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52B" w:rsidRPr="00282A05" w:rsidRDefault="0041652B" w:rsidP="00A66DAB">
      <w:pPr>
        <w:rPr>
          <w:rFonts w:ascii="Calibri" w:hAnsi="Calibri"/>
          <w:b/>
          <w:szCs w:val="20"/>
        </w:rPr>
      </w:pPr>
      <w:bookmarkStart w:id="0" w:name="_GoBack"/>
      <w:bookmarkEnd w:id="0"/>
    </w:p>
    <w:p w:rsidR="0041652B" w:rsidRPr="00BD683A" w:rsidRDefault="0041652B" w:rsidP="00A66DAB">
      <w:pPr>
        <w:rPr>
          <w:rFonts w:ascii="Calibri" w:hAnsi="Calibri"/>
          <w:b/>
        </w:rPr>
      </w:pPr>
    </w:p>
    <w:p w:rsidR="0041652B" w:rsidRPr="00A66DAB" w:rsidRDefault="00A66DAB" w:rsidP="00A66DAB">
      <w:pPr>
        <w:pStyle w:val="Title"/>
      </w:pPr>
      <w:r w:rsidRPr="00A66DAB">
        <w:t xml:space="preserve">ISSUES IN THE MEASUREMENT AND </w:t>
      </w:r>
      <w:r>
        <w:rPr>
          <w:rStyle w:val="TitleChar"/>
        </w:rPr>
        <w:t>R</w:t>
      </w:r>
      <w:r w:rsidRPr="00A66DAB">
        <w:rPr>
          <w:rStyle w:val="TitleChar"/>
        </w:rPr>
        <w:t xml:space="preserve">EPORTING OF </w:t>
      </w:r>
      <w:r>
        <w:rPr>
          <w:rStyle w:val="TitleChar"/>
        </w:rPr>
        <w:t>WORK HEALTH AND S</w:t>
      </w:r>
      <w:r w:rsidRPr="00A66DAB">
        <w:rPr>
          <w:rStyle w:val="TitleChar"/>
        </w:rPr>
        <w:t>AFETY</w:t>
      </w:r>
      <w:r>
        <w:rPr>
          <w:rStyle w:val="TitleChar"/>
        </w:rPr>
        <w:t xml:space="preserve"> P</w:t>
      </w:r>
      <w:r w:rsidRPr="00A66DAB">
        <w:rPr>
          <w:rStyle w:val="TitleChar"/>
        </w:rPr>
        <w:t xml:space="preserve">ERFORMANCE: </w:t>
      </w:r>
      <w:r>
        <w:rPr>
          <w:rStyle w:val="TitleChar"/>
        </w:rPr>
        <w:br/>
      </w:r>
      <w:r w:rsidRPr="00A66DAB">
        <w:rPr>
          <w:rStyle w:val="TitleChar"/>
        </w:rPr>
        <w:t>A REVIEW</w:t>
      </w:r>
    </w:p>
    <w:p w:rsidR="0041652B" w:rsidRDefault="00A66DAB" w:rsidP="00A66DAB">
      <w:pPr>
        <w:rPr>
          <w:rFonts w:ascii="Cambria" w:hAnsi="Cambria"/>
          <w:b/>
          <w:sz w:val="32"/>
          <w:szCs w:val="32"/>
        </w:rPr>
      </w:pPr>
      <w:r>
        <w:rPr>
          <w:rFonts w:ascii="Cambria" w:hAnsi="Cambria"/>
          <w:b/>
          <w:noProof/>
          <w:sz w:val="32"/>
          <w:szCs w:val="32"/>
        </w:rPr>
        <w:drawing>
          <wp:anchor distT="0" distB="0" distL="114300" distR="114300" simplePos="0" relativeHeight="251695104" behindDoc="0" locked="0" layoutInCell="1" allowOverlap="1" wp14:anchorId="639B8B1E" wp14:editId="6134D9FC">
            <wp:simplePos x="0" y="0"/>
            <wp:positionH relativeFrom="column">
              <wp:posOffset>-905510</wp:posOffset>
            </wp:positionH>
            <wp:positionV relativeFrom="paragraph">
              <wp:posOffset>214630</wp:posOffset>
            </wp:positionV>
            <wp:extent cx="7571105" cy="6674485"/>
            <wp:effectExtent l="0" t="0" r="0" b="0"/>
            <wp:wrapNone/>
            <wp:docPr id="292" name="Picture 292" title="Women conducting an 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S-measurement-reporting-cover.jpg"/>
                    <pic:cNvPicPr/>
                  </pic:nvPicPr>
                  <pic:blipFill rotWithShape="1">
                    <a:blip r:embed="rId11" cstate="print">
                      <a:extLst>
                        <a:ext uri="{28A0092B-C50C-407E-A947-70E740481C1C}">
                          <a14:useLocalDpi xmlns:a14="http://schemas.microsoft.com/office/drawing/2010/main" val="0"/>
                        </a:ext>
                      </a:extLst>
                    </a:blip>
                    <a:srcRect t="24414" b="13243"/>
                    <a:stretch/>
                  </pic:blipFill>
                  <pic:spPr bwMode="auto">
                    <a:xfrm>
                      <a:off x="0" y="0"/>
                      <a:ext cx="7571105" cy="6674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p w:rsidR="00A66DAB" w:rsidRDefault="00A66DAB" w:rsidP="00A66DAB">
      <w:r>
        <w:t>November 2013</w:t>
      </w:r>
    </w:p>
    <w:p w:rsidR="0041652B" w:rsidRDefault="0041652B" w:rsidP="00A66DAB">
      <w:pPr>
        <w:rPr>
          <w:rFonts w:ascii="Cambria" w:hAnsi="Cambria"/>
          <w:b/>
          <w:sz w:val="32"/>
          <w:szCs w:val="32"/>
        </w:rPr>
      </w:pPr>
    </w:p>
    <w:p w:rsidR="00647D9C" w:rsidRPr="00550C3E" w:rsidRDefault="00647D9C" w:rsidP="00582C84">
      <w:pPr>
        <w:rPr>
          <w:rFonts w:ascii="Arial Narrow" w:hAnsi="Arial Narrow"/>
          <w:b/>
          <w:caps/>
          <w:color w:val="365F91" w:themeColor="accent1" w:themeShade="BF"/>
          <w:szCs w:val="20"/>
        </w:rPr>
      </w:pPr>
      <w:r w:rsidRPr="00550C3E">
        <w:rPr>
          <w:rFonts w:cs="Arial"/>
          <w:noProof/>
          <w:color w:val="B91F3A"/>
          <w:szCs w:val="20"/>
        </w:rPr>
        <w:drawing>
          <wp:inline distT="0" distB="0" distL="0" distR="0" wp14:anchorId="4D959FF1" wp14:editId="0025AC75">
            <wp:extent cx="1755648" cy="353726"/>
            <wp:effectExtent l="0" t="0" r="0" b="8255"/>
            <wp:docPr id="15" name="Picture 15" descr="Safe Work Australia logo">
              <a:hlinkClick xmlns:a="http://schemas.openxmlformats.org/drawingml/2006/main" r:id="rId12"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 Work Australia logo">
                      <a:hlinkClick r:id="rId12" tooltip="&quot;Hom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126" cy="356845"/>
                    </a:xfrm>
                    <a:prstGeom prst="rect">
                      <a:avLst/>
                    </a:prstGeom>
                    <a:noFill/>
                    <a:ln>
                      <a:noFill/>
                    </a:ln>
                  </pic:spPr>
                </pic:pic>
              </a:graphicData>
            </a:graphic>
          </wp:inline>
        </w:drawing>
      </w:r>
    </w:p>
    <w:p w:rsidR="00B47C1D" w:rsidRPr="00A3594B" w:rsidRDefault="00A3594B" w:rsidP="00647D9C">
      <w:pPr>
        <w:rPr>
          <w:b/>
          <w:color w:val="000000" w:themeColor="text1"/>
          <w:szCs w:val="20"/>
        </w:rPr>
      </w:pPr>
      <w:r w:rsidRPr="00A3594B">
        <w:rPr>
          <w:iCs/>
          <w:color w:val="000000" w:themeColor="text1"/>
        </w:rPr>
        <w:t>This report was co-funded by Safe Work Australia, Safety Institute of Australia and CPA Australia.</w:t>
      </w:r>
    </w:p>
    <w:p w:rsidR="00590680" w:rsidRPr="00550C3E" w:rsidRDefault="00647D9C" w:rsidP="00647D9C">
      <w:pPr>
        <w:rPr>
          <w:b/>
          <w:szCs w:val="20"/>
        </w:rPr>
      </w:pPr>
      <w:r w:rsidRPr="00550C3E">
        <w:rPr>
          <w:b/>
          <w:szCs w:val="20"/>
        </w:rPr>
        <w:t>A</w:t>
      </w:r>
      <w:r w:rsidR="00590680" w:rsidRPr="00550C3E">
        <w:rPr>
          <w:b/>
          <w:szCs w:val="20"/>
        </w:rPr>
        <w:t>uthors</w:t>
      </w:r>
      <w:r w:rsidRPr="00550C3E">
        <w:rPr>
          <w:b/>
          <w:szCs w:val="20"/>
        </w:rPr>
        <w:t>:</w:t>
      </w:r>
    </w:p>
    <w:p w:rsidR="00647D9C" w:rsidRDefault="00647D9C" w:rsidP="00590680">
      <w:pPr>
        <w:autoSpaceDE w:val="0"/>
        <w:autoSpaceDN w:val="0"/>
        <w:adjustRightInd w:val="0"/>
        <w:spacing w:after="0"/>
        <w:jc w:val="both"/>
        <w:rPr>
          <w:rFonts w:cs="Arial"/>
        </w:rPr>
      </w:pPr>
      <w:r>
        <w:rPr>
          <w:rFonts w:ascii="Calibri" w:hAnsi="Calibri"/>
          <w:b/>
          <w:noProof/>
          <w:szCs w:val="20"/>
        </w:rPr>
        <w:drawing>
          <wp:inline distT="0" distB="0" distL="0" distR="0" wp14:anchorId="6563FD73" wp14:editId="47FF092E">
            <wp:extent cx="4798771" cy="588178"/>
            <wp:effectExtent l="0" t="0" r="1905" b="2540"/>
            <wp:docPr id="14" name="Picture 14" descr="Macquarie University: International Goverance and Performance Research Centre" title="Macquari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 IG&amp;PRC Inline 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12137" cy="589816"/>
                    </a:xfrm>
                    <a:prstGeom prst="rect">
                      <a:avLst/>
                    </a:prstGeom>
                  </pic:spPr>
                </pic:pic>
              </a:graphicData>
            </a:graphic>
          </wp:inline>
        </w:drawing>
      </w:r>
    </w:p>
    <w:p w:rsidR="00590680" w:rsidRPr="00550C3E" w:rsidRDefault="00590680" w:rsidP="00590680">
      <w:pPr>
        <w:autoSpaceDE w:val="0"/>
        <w:autoSpaceDN w:val="0"/>
        <w:adjustRightInd w:val="0"/>
        <w:spacing w:after="0"/>
        <w:jc w:val="both"/>
        <w:rPr>
          <w:rFonts w:cs="Arial"/>
          <w:szCs w:val="20"/>
        </w:rPr>
      </w:pPr>
      <w:r w:rsidRPr="00550C3E">
        <w:rPr>
          <w:rFonts w:cs="Arial"/>
          <w:szCs w:val="20"/>
        </w:rPr>
        <w:t>Dr Sharron O’Neill</w:t>
      </w:r>
    </w:p>
    <w:p w:rsidR="00590680" w:rsidRPr="00550C3E" w:rsidRDefault="00590680" w:rsidP="00590680">
      <w:pPr>
        <w:autoSpaceDE w:val="0"/>
        <w:autoSpaceDN w:val="0"/>
        <w:adjustRightInd w:val="0"/>
        <w:spacing w:after="0"/>
        <w:jc w:val="both"/>
        <w:rPr>
          <w:rFonts w:cs="Arial"/>
          <w:szCs w:val="20"/>
        </w:rPr>
      </w:pPr>
      <w:r w:rsidRPr="00550C3E">
        <w:rPr>
          <w:rFonts w:cs="Arial"/>
          <w:szCs w:val="20"/>
        </w:rPr>
        <w:t>International Governance and Performance (IGAP) Research Centre</w:t>
      </w:r>
    </w:p>
    <w:p w:rsidR="00590680" w:rsidRPr="00550C3E" w:rsidRDefault="00590680" w:rsidP="00590680">
      <w:pPr>
        <w:autoSpaceDE w:val="0"/>
        <w:autoSpaceDN w:val="0"/>
        <w:adjustRightInd w:val="0"/>
        <w:spacing w:after="240"/>
        <w:jc w:val="both"/>
        <w:rPr>
          <w:rFonts w:cs="Arial"/>
          <w:szCs w:val="20"/>
        </w:rPr>
      </w:pPr>
      <w:r w:rsidRPr="00550C3E">
        <w:rPr>
          <w:rFonts w:cs="Arial"/>
          <w:szCs w:val="20"/>
        </w:rPr>
        <w:t>Macquarie University</w:t>
      </w:r>
    </w:p>
    <w:p w:rsidR="00590680" w:rsidRPr="00550C3E" w:rsidRDefault="00590680" w:rsidP="00590680">
      <w:pPr>
        <w:autoSpaceDE w:val="0"/>
        <w:autoSpaceDN w:val="0"/>
        <w:adjustRightInd w:val="0"/>
        <w:spacing w:after="0"/>
        <w:jc w:val="both"/>
        <w:rPr>
          <w:rFonts w:cs="Arial"/>
          <w:szCs w:val="20"/>
        </w:rPr>
      </w:pPr>
      <w:r w:rsidRPr="00550C3E">
        <w:rPr>
          <w:rFonts w:cs="Arial"/>
          <w:szCs w:val="20"/>
        </w:rPr>
        <w:t>Professor Nonna Martinov-Bennie</w:t>
      </w:r>
    </w:p>
    <w:p w:rsidR="00590680" w:rsidRPr="00550C3E" w:rsidRDefault="00590680" w:rsidP="00590680">
      <w:pPr>
        <w:autoSpaceDE w:val="0"/>
        <w:autoSpaceDN w:val="0"/>
        <w:adjustRightInd w:val="0"/>
        <w:spacing w:after="0"/>
        <w:jc w:val="both"/>
        <w:rPr>
          <w:rFonts w:cs="Arial"/>
          <w:szCs w:val="20"/>
        </w:rPr>
      </w:pPr>
      <w:r w:rsidRPr="00550C3E">
        <w:rPr>
          <w:rFonts w:cs="Arial"/>
          <w:szCs w:val="20"/>
        </w:rPr>
        <w:t>International Governance and Performance (IGAP) Research Centre</w:t>
      </w:r>
    </w:p>
    <w:p w:rsidR="00590680" w:rsidRPr="00550C3E" w:rsidRDefault="00590680" w:rsidP="00590680">
      <w:pPr>
        <w:autoSpaceDE w:val="0"/>
        <w:autoSpaceDN w:val="0"/>
        <w:adjustRightInd w:val="0"/>
        <w:spacing w:after="240"/>
        <w:jc w:val="both"/>
        <w:rPr>
          <w:rFonts w:cs="Arial"/>
          <w:szCs w:val="20"/>
        </w:rPr>
      </w:pPr>
      <w:r w:rsidRPr="00550C3E">
        <w:rPr>
          <w:rFonts w:cs="Arial"/>
          <w:szCs w:val="20"/>
        </w:rPr>
        <w:t>Macquarie University</w:t>
      </w:r>
    </w:p>
    <w:p w:rsidR="00C64399" w:rsidRPr="00550C3E" w:rsidRDefault="00C64399" w:rsidP="00C64399">
      <w:pPr>
        <w:autoSpaceDE w:val="0"/>
        <w:autoSpaceDN w:val="0"/>
        <w:adjustRightInd w:val="0"/>
        <w:spacing w:after="0"/>
        <w:jc w:val="both"/>
        <w:rPr>
          <w:rFonts w:cs="Arial"/>
          <w:szCs w:val="20"/>
        </w:rPr>
      </w:pPr>
      <w:r w:rsidRPr="00550C3E">
        <w:rPr>
          <w:rFonts w:cs="Arial"/>
          <w:szCs w:val="20"/>
        </w:rPr>
        <w:t>Ms Angela Cheung</w:t>
      </w:r>
    </w:p>
    <w:p w:rsidR="00C64399" w:rsidRPr="00550C3E" w:rsidRDefault="00C64399" w:rsidP="00C64399">
      <w:pPr>
        <w:autoSpaceDE w:val="0"/>
        <w:autoSpaceDN w:val="0"/>
        <w:adjustRightInd w:val="0"/>
        <w:spacing w:after="0"/>
        <w:jc w:val="both"/>
        <w:rPr>
          <w:rFonts w:cs="Arial"/>
          <w:szCs w:val="20"/>
        </w:rPr>
      </w:pPr>
      <w:r w:rsidRPr="00550C3E">
        <w:rPr>
          <w:rFonts w:cs="Arial"/>
          <w:szCs w:val="20"/>
        </w:rPr>
        <w:t>International Governance and Performance (IGAP) Research Centre</w:t>
      </w:r>
    </w:p>
    <w:p w:rsidR="00647D9C" w:rsidRDefault="00C64399" w:rsidP="00C64399">
      <w:pPr>
        <w:autoSpaceDE w:val="0"/>
        <w:autoSpaceDN w:val="0"/>
        <w:adjustRightInd w:val="0"/>
        <w:jc w:val="both"/>
        <w:rPr>
          <w:rFonts w:cs="Arial"/>
          <w:szCs w:val="20"/>
        </w:rPr>
      </w:pPr>
      <w:r w:rsidRPr="00550C3E">
        <w:rPr>
          <w:rFonts w:cs="Arial"/>
          <w:szCs w:val="20"/>
        </w:rPr>
        <w:t>Macquarie University</w:t>
      </w:r>
    </w:p>
    <w:p w:rsidR="00B47C1D" w:rsidRPr="00550C3E" w:rsidRDefault="00B47C1D" w:rsidP="00C64399">
      <w:pPr>
        <w:autoSpaceDE w:val="0"/>
        <w:autoSpaceDN w:val="0"/>
        <w:adjustRightInd w:val="0"/>
        <w:jc w:val="both"/>
        <w:rPr>
          <w:rFonts w:cs="Arial"/>
          <w:szCs w:val="20"/>
        </w:rPr>
      </w:pPr>
      <w:r>
        <w:rPr>
          <w:rFonts w:cs="Arial"/>
          <w:noProof/>
          <w:color w:val="666666"/>
          <w:sz w:val="18"/>
          <w:szCs w:val="18"/>
        </w:rPr>
        <w:drawing>
          <wp:anchor distT="0" distB="0" distL="114300" distR="114300" simplePos="0" relativeHeight="251692032" behindDoc="0" locked="0" layoutInCell="1" allowOverlap="1" wp14:anchorId="565FDF99" wp14:editId="3711CDCB">
            <wp:simplePos x="0" y="0"/>
            <wp:positionH relativeFrom="column">
              <wp:posOffset>-1270</wp:posOffset>
            </wp:positionH>
            <wp:positionV relativeFrom="paragraph">
              <wp:posOffset>208915</wp:posOffset>
            </wp:positionV>
            <wp:extent cx="1466850" cy="480695"/>
            <wp:effectExtent l="0" t="0" r="0" b="0"/>
            <wp:wrapNone/>
            <wp:docPr id="16" name="Picture 16" descr="SIA - Safety Institute of Australia">
              <a:hlinkClick xmlns:a="http://schemas.openxmlformats.org/drawingml/2006/main" r:id="rId15" tooltip="&quot;Return to the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A - Safety Institute of Australia">
                      <a:hlinkClick r:id="rId15" tooltip="&quot;Return to the home pag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850"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7D9C" w:rsidRDefault="00647D9C" w:rsidP="00647D9C">
      <w:pPr>
        <w:autoSpaceDE w:val="0"/>
        <w:autoSpaceDN w:val="0"/>
        <w:adjustRightInd w:val="0"/>
        <w:spacing w:after="0"/>
        <w:jc w:val="both"/>
        <w:rPr>
          <w:rFonts w:cs="Arial"/>
        </w:rPr>
      </w:pPr>
    </w:p>
    <w:p w:rsidR="00B47C1D" w:rsidRDefault="00B47C1D" w:rsidP="00647D9C">
      <w:pPr>
        <w:autoSpaceDE w:val="0"/>
        <w:autoSpaceDN w:val="0"/>
        <w:adjustRightInd w:val="0"/>
        <w:spacing w:after="0"/>
        <w:jc w:val="both"/>
        <w:rPr>
          <w:rFonts w:cs="Arial"/>
          <w:szCs w:val="20"/>
        </w:rPr>
      </w:pPr>
    </w:p>
    <w:p w:rsidR="00B47C1D" w:rsidRDefault="00B47C1D" w:rsidP="00647D9C">
      <w:pPr>
        <w:autoSpaceDE w:val="0"/>
        <w:autoSpaceDN w:val="0"/>
        <w:adjustRightInd w:val="0"/>
        <w:spacing w:after="0"/>
        <w:jc w:val="both"/>
        <w:rPr>
          <w:rFonts w:cs="Arial"/>
          <w:szCs w:val="20"/>
        </w:rPr>
      </w:pPr>
    </w:p>
    <w:p w:rsidR="00647D9C" w:rsidRPr="00550C3E" w:rsidRDefault="00647D9C" w:rsidP="00647D9C">
      <w:pPr>
        <w:autoSpaceDE w:val="0"/>
        <w:autoSpaceDN w:val="0"/>
        <w:adjustRightInd w:val="0"/>
        <w:spacing w:after="0"/>
        <w:jc w:val="both"/>
        <w:rPr>
          <w:rFonts w:cs="Arial"/>
          <w:szCs w:val="20"/>
        </w:rPr>
      </w:pPr>
      <w:r w:rsidRPr="00550C3E">
        <w:rPr>
          <w:rFonts w:cs="Arial"/>
          <w:szCs w:val="20"/>
        </w:rPr>
        <w:t>Ms Karen Wolfe</w:t>
      </w:r>
    </w:p>
    <w:p w:rsidR="00647D9C" w:rsidRPr="00550C3E" w:rsidRDefault="00647D9C" w:rsidP="00647D9C">
      <w:pPr>
        <w:autoSpaceDE w:val="0"/>
        <w:autoSpaceDN w:val="0"/>
        <w:adjustRightInd w:val="0"/>
        <w:spacing w:after="0"/>
        <w:jc w:val="both"/>
        <w:rPr>
          <w:rFonts w:cs="Arial"/>
          <w:szCs w:val="20"/>
        </w:rPr>
      </w:pPr>
      <w:r w:rsidRPr="00550C3E">
        <w:rPr>
          <w:rFonts w:cs="Arial"/>
          <w:szCs w:val="20"/>
        </w:rPr>
        <w:t>NSW Branch President</w:t>
      </w:r>
    </w:p>
    <w:p w:rsidR="00647D9C" w:rsidRDefault="00647D9C" w:rsidP="00647D9C">
      <w:pPr>
        <w:autoSpaceDE w:val="0"/>
        <w:autoSpaceDN w:val="0"/>
        <w:adjustRightInd w:val="0"/>
        <w:jc w:val="both"/>
        <w:rPr>
          <w:rFonts w:cs="Arial"/>
          <w:szCs w:val="20"/>
        </w:rPr>
      </w:pPr>
      <w:r w:rsidRPr="00550C3E">
        <w:rPr>
          <w:rFonts w:cs="Arial"/>
          <w:szCs w:val="20"/>
        </w:rPr>
        <w:t>Safety Institute of Australia</w:t>
      </w:r>
    </w:p>
    <w:p w:rsidR="00B47C1D" w:rsidRPr="00550C3E" w:rsidRDefault="00B47C1D" w:rsidP="00647D9C">
      <w:pPr>
        <w:autoSpaceDE w:val="0"/>
        <w:autoSpaceDN w:val="0"/>
        <w:adjustRightInd w:val="0"/>
        <w:jc w:val="both"/>
        <w:rPr>
          <w:rFonts w:cs="Arial"/>
          <w:szCs w:val="20"/>
        </w:rPr>
      </w:pPr>
    </w:p>
    <w:p w:rsidR="004B5EFC" w:rsidRDefault="00647D9C" w:rsidP="00C64399">
      <w:pPr>
        <w:autoSpaceDE w:val="0"/>
        <w:autoSpaceDN w:val="0"/>
        <w:adjustRightInd w:val="0"/>
        <w:jc w:val="both"/>
        <w:rPr>
          <w:rFonts w:cs="Arial"/>
        </w:rPr>
      </w:pPr>
      <w:r>
        <w:rPr>
          <w:noProof/>
          <w:color w:val="0000FF"/>
          <w:sz w:val="19"/>
          <w:szCs w:val="19"/>
        </w:rPr>
        <w:drawing>
          <wp:inline distT="0" distB="0" distL="0" distR="0" wp14:anchorId="50992F36" wp14:editId="1FB4F88B">
            <wp:extent cx="965606" cy="424219"/>
            <wp:effectExtent l="0" t="0" r="6350" b="0"/>
            <wp:docPr id="4" name="Picture 4" descr="CPA Australia&#10;&#10;CPA Australia is one of the world's largest accounting bodies with a membership of more than 144,000 finance, accounting and business professionals in 127 countries across the globe.&#10;&#10;Our core services to members include education, training, technical support and advocacy. Staff and members work together with local and international bodies to represent the views and concerns of the profession to governments, regulators, industries, academia and the general public.&#10;&#10;http://www.cpaaustralia.com.au/images/contentimages/logo-cpa-australia.gif" title="CPA Australi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paaustralia.com.au/images/contentimages/logo-cpa-australia.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9800" cy="426061"/>
                    </a:xfrm>
                    <a:prstGeom prst="rect">
                      <a:avLst/>
                    </a:prstGeom>
                    <a:noFill/>
                    <a:ln>
                      <a:noFill/>
                    </a:ln>
                  </pic:spPr>
                </pic:pic>
              </a:graphicData>
            </a:graphic>
          </wp:inline>
        </w:drawing>
      </w:r>
    </w:p>
    <w:p w:rsidR="00647D9C" w:rsidRPr="00550C3E" w:rsidRDefault="00647D9C" w:rsidP="00647D9C">
      <w:pPr>
        <w:pStyle w:val="Heading1"/>
        <w:rPr>
          <w:rStyle w:val="Strong"/>
          <w:rFonts w:cs="Arial"/>
          <w:b/>
          <w:color w:val="000000" w:themeColor="text1"/>
          <w:sz w:val="20"/>
          <w:szCs w:val="20"/>
        </w:rPr>
      </w:pPr>
      <w:r w:rsidRPr="00550C3E">
        <w:rPr>
          <w:rStyle w:val="Strong"/>
          <w:rFonts w:cs="Arial"/>
          <w:b/>
          <w:color w:val="000000" w:themeColor="text1"/>
          <w:sz w:val="20"/>
          <w:szCs w:val="20"/>
        </w:rPr>
        <w:t>Disclaimer</w:t>
      </w:r>
    </w:p>
    <w:p w:rsidR="00550C3E" w:rsidRDefault="00647D9C" w:rsidP="00550C3E">
      <w:pPr>
        <w:spacing w:line="240" w:lineRule="auto"/>
        <w:rPr>
          <w:rFonts w:cs="Arial"/>
          <w:szCs w:val="20"/>
        </w:rPr>
      </w:pPr>
      <w:r w:rsidRPr="00550C3E">
        <w:rPr>
          <w:rFonts w:cs="Arial"/>
          <w:szCs w:val="20"/>
        </w:rPr>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unless otherwise expressly stated.</w:t>
      </w:r>
    </w:p>
    <w:p w:rsidR="00B47C1D" w:rsidRDefault="00B47C1D" w:rsidP="00550C3E">
      <w:pPr>
        <w:spacing w:line="240" w:lineRule="auto"/>
        <w:rPr>
          <w:rFonts w:cs="Arial"/>
          <w:szCs w:val="20"/>
        </w:rPr>
      </w:pPr>
    </w:p>
    <w:p w:rsidR="00B47C1D" w:rsidRDefault="00B47C1D" w:rsidP="00B47C1D">
      <w:pPr>
        <w:autoSpaceDE w:val="0"/>
        <w:autoSpaceDN w:val="0"/>
        <w:adjustRightInd w:val="0"/>
        <w:spacing w:after="0"/>
        <w:jc w:val="both"/>
        <w:rPr>
          <w:rFonts w:cs="Arial"/>
        </w:rPr>
      </w:pPr>
      <w:r w:rsidRPr="00B47C1D">
        <w:rPr>
          <w:rFonts w:cs="Arial"/>
          <w:sz w:val="24"/>
          <w:szCs w:val="24"/>
        </w:rPr>
        <w:t>©</w:t>
      </w:r>
      <w:r>
        <w:rPr>
          <w:rFonts w:cs="Arial"/>
        </w:rPr>
        <w:t xml:space="preserve"> June 2013</w:t>
      </w:r>
    </w:p>
    <w:p w:rsidR="00B47C1D" w:rsidRDefault="00B47C1D" w:rsidP="00B47C1D">
      <w:pPr>
        <w:autoSpaceDE w:val="0"/>
        <w:autoSpaceDN w:val="0"/>
        <w:adjustRightInd w:val="0"/>
        <w:spacing w:after="0"/>
        <w:jc w:val="both"/>
        <w:rPr>
          <w:rFonts w:cs="Arial"/>
        </w:rPr>
      </w:pPr>
      <w:r>
        <w:rPr>
          <w:rFonts w:cs="Arial"/>
        </w:rPr>
        <w:t>Macquarie Lighthouse Press</w:t>
      </w:r>
    </w:p>
    <w:p w:rsidR="00B47C1D" w:rsidRDefault="00B47C1D" w:rsidP="00B47C1D">
      <w:pPr>
        <w:autoSpaceDE w:val="0"/>
        <w:autoSpaceDN w:val="0"/>
        <w:adjustRightInd w:val="0"/>
        <w:spacing w:after="0"/>
        <w:jc w:val="both"/>
        <w:rPr>
          <w:rFonts w:cs="Arial"/>
        </w:rPr>
      </w:pPr>
      <w:r>
        <w:rPr>
          <w:rFonts w:cs="Arial"/>
        </w:rPr>
        <w:t>Macquarie University NSW 2109</w:t>
      </w:r>
    </w:p>
    <w:p w:rsidR="00550C3E" w:rsidRPr="00550C3E" w:rsidRDefault="00550C3E" w:rsidP="00550C3E">
      <w:pPr>
        <w:pStyle w:val="NoSpacing"/>
        <w:rPr>
          <w:sz w:val="20"/>
          <w:szCs w:val="20"/>
        </w:rPr>
      </w:pPr>
    </w:p>
    <w:p w:rsidR="00550C3E" w:rsidRPr="00550C3E" w:rsidRDefault="00550C3E" w:rsidP="00550C3E">
      <w:pPr>
        <w:pStyle w:val="NoSpacing"/>
        <w:rPr>
          <w:sz w:val="20"/>
          <w:szCs w:val="20"/>
        </w:rPr>
      </w:pPr>
      <w:r w:rsidRPr="00550C3E">
        <w:rPr>
          <w:sz w:val="20"/>
          <w:szCs w:val="20"/>
        </w:rPr>
        <w:t>ISBN</w:t>
      </w:r>
      <w:r w:rsidR="00555D1A">
        <w:rPr>
          <w:sz w:val="20"/>
          <w:szCs w:val="20"/>
        </w:rPr>
        <w:t xml:space="preserve"> </w:t>
      </w:r>
      <w:r w:rsidR="00555D1A">
        <w:rPr>
          <w:rFonts w:cs="Arial"/>
          <w:sz w:val="20"/>
          <w:szCs w:val="20"/>
        </w:rPr>
        <w:t xml:space="preserve">978-1-74361-308-5 </w:t>
      </w:r>
      <w:r w:rsidRPr="00550C3E">
        <w:rPr>
          <w:sz w:val="20"/>
          <w:szCs w:val="20"/>
        </w:rPr>
        <w:t>[PDF]</w:t>
      </w:r>
    </w:p>
    <w:p w:rsidR="00550C3E" w:rsidRPr="00550C3E" w:rsidRDefault="00550C3E" w:rsidP="00550C3E">
      <w:pPr>
        <w:pStyle w:val="NoSpacing"/>
        <w:rPr>
          <w:sz w:val="20"/>
          <w:szCs w:val="20"/>
        </w:rPr>
      </w:pPr>
      <w:r w:rsidRPr="00550C3E">
        <w:rPr>
          <w:sz w:val="20"/>
          <w:szCs w:val="20"/>
        </w:rPr>
        <w:t>ISBN</w:t>
      </w:r>
      <w:r w:rsidRPr="00550C3E">
        <w:rPr>
          <w:rFonts w:cs="Arial"/>
          <w:sz w:val="20"/>
          <w:szCs w:val="20"/>
        </w:rPr>
        <w:t> </w:t>
      </w:r>
      <w:r w:rsidR="00555D1A">
        <w:rPr>
          <w:rFonts w:cs="Arial"/>
          <w:sz w:val="20"/>
          <w:szCs w:val="20"/>
        </w:rPr>
        <w:t xml:space="preserve">978-1-74361-309-2 </w:t>
      </w:r>
      <w:r w:rsidRPr="00550C3E">
        <w:rPr>
          <w:sz w:val="20"/>
          <w:szCs w:val="20"/>
        </w:rPr>
        <w:t>[DOCX]</w:t>
      </w:r>
    </w:p>
    <w:p w:rsidR="00550C3E" w:rsidRDefault="00550C3E" w:rsidP="004B5EFC">
      <w:pPr>
        <w:keepNext/>
        <w:spacing w:before="240" w:after="60" w:line="240" w:lineRule="auto"/>
        <w:outlineLvl w:val="0"/>
        <w:rPr>
          <w:rFonts w:ascii="Arial Narrow" w:eastAsia="Batang" w:hAnsi="Arial Narrow" w:cstheme="minorHAnsi"/>
          <w:b/>
          <w:bCs/>
          <w:color w:val="548DD4" w:themeColor="text2" w:themeTint="99"/>
          <w:sz w:val="28"/>
          <w:szCs w:val="28"/>
          <w:lang w:eastAsia="en-US"/>
        </w:rPr>
        <w:sectPr w:rsidR="00550C3E" w:rsidSect="00550C3E">
          <w:footerReference w:type="default" r:id="rId19"/>
          <w:pgSz w:w="11906" w:h="16838"/>
          <w:pgMar w:top="709" w:right="1440" w:bottom="1440" w:left="1418" w:header="708" w:footer="708" w:gutter="0"/>
          <w:cols w:space="708"/>
          <w:docGrid w:linePitch="360"/>
        </w:sectPr>
      </w:pPr>
    </w:p>
    <w:p w:rsidR="004B5EFC" w:rsidRPr="00F66291" w:rsidRDefault="004B5EFC" w:rsidP="004B5EFC">
      <w:pPr>
        <w:keepNext/>
        <w:spacing w:before="240" w:after="60" w:line="240" w:lineRule="auto"/>
        <w:outlineLvl w:val="0"/>
        <w:rPr>
          <w:rFonts w:eastAsia="Batang" w:cs="Arial"/>
          <w:b/>
          <w:bCs/>
          <w:color w:val="548DD4" w:themeColor="text2" w:themeTint="99"/>
          <w:sz w:val="28"/>
          <w:szCs w:val="28"/>
          <w:lang w:eastAsia="en-US"/>
        </w:rPr>
      </w:pPr>
      <w:r w:rsidRPr="00F66291">
        <w:rPr>
          <w:rFonts w:eastAsia="Batang" w:cs="Arial"/>
          <w:b/>
          <w:bCs/>
          <w:color w:val="548DD4" w:themeColor="text2" w:themeTint="99"/>
          <w:sz w:val="28"/>
          <w:szCs w:val="28"/>
          <w:lang w:eastAsia="en-US"/>
        </w:rPr>
        <w:lastRenderedPageBreak/>
        <w:t>Foreword</w:t>
      </w:r>
    </w:p>
    <w:p w:rsidR="004B5EFC" w:rsidRPr="004B5EFC" w:rsidRDefault="004B5EFC" w:rsidP="004B5EFC">
      <w:pPr>
        <w:spacing w:after="0" w:line="240" w:lineRule="auto"/>
        <w:rPr>
          <w:rFonts w:eastAsia="Times New Roman" w:cstheme="minorHAnsi"/>
          <w:lang w:eastAsia="en-US"/>
        </w:rPr>
      </w:pPr>
      <w:r w:rsidRPr="004B5EFC">
        <w:rPr>
          <w:rFonts w:eastAsia="Times New Roman" w:cstheme="minorHAnsi"/>
          <w:lang w:eastAsia="en-US"/>
        </w:rPr>
        <w:t>Safe Work Australia is working closely with the International Governance and Performance (IGAP) Research Centre at Macquarie University, to standardise and improve work health and safety reporting by businesses and organisations. This work is being co-funded by the Safety Institute of Australia and CPA Australia.</w:t>
      </w:r>
    </w:p>
    <w:p w:rsidR="004B5EFC" w:rsidRPr="004B5EFC" w:rsidRDefault="004B5EFC" w:rsidP="004B5EFC">
      <w:pPr>
        <w:spacing w:after="0" w:line="240" w:lineRule="auto"/>
        <w:rPr>
          <w:rFonts w:eastAsia="Times New Roman" w:cstheme="minorHAnsi"/>
          <w:lang w:eastAsia="en-US"/>
        </w:rPr>
      </w:pPr>
    </w:p>
    <w:p w:rsidR="004B5EFC" w:rsidRPr="004B5EFC" w:rsidRDefault="004B5EFC" w:rsidP="004B5EFC">
      <w:pPr>
        <w:spacing w:after="0" w:line="240" w:lineRule="auto"/>
        <w:rPr>
          <w:rFonts w:eastAsia="Times New Roman" w:cstheme="minorHAnsi"/>
          <w:lang w:eastAsia="en-US"/>
        </w:rPr>
      </w:pPr>
      <w:r w:rsidRPr="004B5EFC">
        <w:rPr>
          <w:rFonts w:eastAsia="Times New Roman" w:cstheme="minorHAnsi"/>
          <w:lang w:eastAsia="en-US"/>
        </w:rPr>
        <w:t xml:space="preserve">Currently there is a lack of standardised and accepted indicators to measure the </w:t>
      </w:r>
      <w:r w:rsidR="001C3359">
        <w:rPr>
          <w:rFonts w:eastAsia="Times New Roman" w:cstheme="minorHAnsi"/>
          <w:lang w:eastAsia="en-US"/>
        </w:rPr>
        <w:t>work health and safety</w:t>
      </w:r>
      <w:r w:rsidRPr="004B5EFC">
        <w:rPr>
          <w:rFonts w:eastAsia="Times New Roman" w:cstheme="minorHAnsi"/>
          <w:lang w:eastAsia="en-US"/>
        </w:rPr>
        <w:t xml:space="preserve"> performance of organisations and businesses at the organisational level. </w:t>
      </w:r>
      <w:r w:rsidR="00452ED9">
        <w:rPr>
          <w:rFonts w:eastAsia="Times New Roman" w:cstheme="minorHAnsi"/>
          <w:lang w:eastAsia="en-US"/>
        </w:rPr>
        <w:t>Work health and safety</w:t>
      </w:r>
      <w:r w:rsidRPr="004B5EFC">
        <w:rPr>
          <w:rFonts w:eastAsia="Times New Roman" w:cstheme="minorHAnsi"/>
          <w:lang w:eastAsia="en-US"/>
        </w:rPr>
        <w:t xml:space="preserve"> information can and is being reported on a voluntary basis, however reporting is often selective and inconsistent. This hinders comparisons of </w:t>
      </w:r>
      <w:r w:rsidR="001C3359">
        <w:rPr>
          <w:rFonts w:eastAsia="Times New Roman" w:cstheme="minorHAnsi"/>
          <w:lang w:eastAsia="en-US"/>
        </w:rPr>
        <w:t>work health and safety</w:t>
      </w:r>
      <w:r w:rsidRPr="004B5EFC">
        <w:rPr>
          <w:rFonts w:eastAsia="Times New Roman" w:cstheme="minorHAnsi"/>
          <w:lang w:eastAsia="en-US"/>
        </w:rPr>
        <w:t xml:space="preserve"> performance and due diligence reporting over time and across organisations.</w:t>
      </w:r>
    </w:p>
    <w:p w:rsidR="004B5EFC" w:rsidRPr="004B5EFC" w:rsidRDefault="004B5EFC" w:rsidP="004B5EFC">
      <w:pPr>
        <w:spacing w:after="0" w:line="240" w:lineRule="auto"/>
        <w:rPr>
          <w:rFonts w:eastAsia="Times New Roman" w:cstheme="minorHAnsi"/>
          <w:lang w:eastAsia="en-US"/>
        </w:rPr>
      </w:pPr>
    </w:p>
    <w:p w:rsidR="004B5EFC" w:rsidRPr="004B5EFC" w:rsidRDefault="004B5EFC" w:rsidP="004B5EFC">
      <w:pPr>
        <w:spacing w:after="0" w:line="240" w:lineRule="auto"/>
        <w:rPr>
          <w:rFonts w:eastAsia="Times New Roman" w:cstheme="minorHAnsi"/>
          <w:lang w:eastAsia="en-US"/>
        </w:rPr>
      </w:pPr>
      <w:r w:rsidRPr="004B5EFC">
        <w:rPr>
          <w:rFonts w:eastAsia="Times New Roman" w:cstheme="minorHAnsi"/>
          <w:lang w:eastAsia="en-US"/>
        </w:rPr>
        <w:t>This paper is one of a series of research papers that will inform a broader three staged policy development project taking place over the next three years. The aim of the project is to develop a standardised set of indicators businesses can use in annual reports as well as guidelines for the development of lead and lag indicators relevant to the size and nature of the business.</w:t>
      </w:r>
    </w:p>
    <w:p w:rsidR="004B5EFC" w:rsidRPr="004B5EFC" w:rsidRDefault="004B5EFC" w:rsidP="004B5EFC">
      <w:pPr>
        <w:spacing w:after="0" w:line="240" w:lineRule="auto"/>
        <w:rPr>
          <w:rFonts w:eastAsia="Times New Roman" w:cstheme="minorHAnsi"/>
          <w:lang w:eastAsia="en-US"/>
        </w:rPr>
      </w:pPr>
    </w:p>
    <w:p w:rsidR="004B5EFC" w:rsidRPr="004B5EFC" w:rsidRDefault="004B5EFC" w:rsidP="004B5EFC">
      <w:pPr>
        <w:spacing w:after="0" w:line="240" w:lineRule="auto"/>
        <w:rPr>
          <w:rFonts w:eastAsia="Times New Roman" w:cstheme="minorHAnsi"/>
          <w:lang w:eastAsia="en-US"/>
        </w:rPr>
      </w:pPr>
      <w:r w:rsidRPr="004B5EFC">
        <w:rPr>
          <w:rFonts w:eastAsia="Times New Roman" w:cstheme="minorHAnsi"/>
          <w:lang w:eastAsia="en-US"/>
        </w:rPr>
        <w:t xml:space="preserve">Stage one involves developing a draft set of external and internal indicators to improve organisational level </w:t>
      </w:r>
      <w:r w:rsidR="001C3359">
        <w:rPr>
          <w:rFonts w:eastAsia="Times New Roman" w:cstheme="minorHAnsi"/>
          <w:lang w:eastAsia="en-US"/>
        </w:rPr>
        <w:t>work health and safety</w:t>
      </w:r>
      <w:r w:rsidRPr="004B5EFC">
        <w:rPr>
          <w:rFonts w:eastAsia="Times New Roman" w:cstheme="minorHAnsi"/>
          <w:lang w:eastAsia="en-US"/>
        </w:rPr>
        <w:t xml:space="preserve"> reporting, and to help Officers meet their due diligence obligations under the model Work Health and Safety Act.</w:t>
      </w:r>
    </w:p>
    <w:p w:rsidR="004B5EFC" w:rsidRPr="004B5EFC" w:rsidRDefault="004B5EFC" w:rsidP="004B5EFC">
      <w:pPr>
        <w:spacing w:after="0" w:line="240" w:lineRule="auto"/>
        <w:rPr>
          <w:rFonts w:eastAsia="Times New Roman" w:cstheme="minorHAnsi"/>
          <w:lang w:eastAsia="en-US"/>
        </w:rPr>
      </w:pPr>
    </w:p>
    <w:p w:rsidR="004B5EFC" w:rsidRPr="004B5EFC" w:rsidRDefault="004B5EFC" w:rsidP="004B5EFC">
      <w:pPr>
        <w:spacing w:after="0" w:line="240" w:lineRule="auto"/>
        <w:rPr>
          <w:rFonts w:eastAsia="Times New Roman" w:cstheme="minorHAnsi"/>
          <w:lang w:eastAsia="en-US"/>
        </w:rPr>
      </w:pPr>
      <w:r w:rsidRPr="004B5EFC">
        <w:rPr>
          <w:rFonts w:eastAsia="Times New Roman" w:cstheme="minorHAnsi"/>
          <w:lang w:eastAsia="en-US"/>
        </w:rPr>
        <w:t xml:space="preserve">Stage two involves testing of the </w:t>
      </w:r>
      <w:r w:rsidR="00BD225D">
        <w:rPr>
          <w:rFonts w:eastAsia="Times New Roman" w:cstheme="minorHAnsi"/>
          <w:lang w:eastAsia="en-US"/>
        </w:rPr>
        <w:t>work health and safety</w:t>
      </w:r>
      <w:r w:rsidRPr="004B5EFC">
        <w:rPr>
          <w:rFonts w:eastAsia="Times New Roman" w:cstheme="minorHAnsi"/>
          <w:lang w:eastAsia="en-US"/>
        </w:rPr>
        <w:t xml:space="preserve"> indicators and guidelines. Testing will be carried out using a mixed method approach involving case studies, interviews and surveys in selected businesses across Australia. A pilot test will be conducted, and an assessment of the outcomes undertaken.</w:t>
      </w:r>
    </w:p>
    <w:p w:rsidR="004B5EFC" w:rsidRPr="004B5EFC" w:rsidRDefault="004B5EFC" w:rsidP="004B5EFC">
      <w:pPr>
        <w:spacing w:after="0" w:line="240" w:lineRule="auto"/>
        <w:rPr>
          <w:rFonts w:eastAsia="Times New Roman" w:cstheme="minorHAnsi"/>
          <w:lang w:eastAsia="en-US"/>
        </w:rPr>
      </w:pPr>
    </w:p>
    <w:p w:rsidR="004B5EFC" w:rsidRPr="004B5EFC" w:rsidRDefault="00450886" w:rsidP="004B5EFC">
      <w:pPr>
        <w:spacing w:after="0" w:line="240" w:lineRule="auto"/>
        <w:rPr>
          <w:rFonts w:eastAsia="Times New Roman" w:cstheme="minorHAnsi"/>
          <w:lang w:eastAsia="en-US"/>
        </w:rPr>
      </w:pPr>
      <w:r>
        <w:rPr>
          <w:rFonts w:eastAsia="Times New Roman" w:cstheme="minorHAnsi"/>
          <w:lang w:eastAsia="en-US"/>
        </w:rPr>
        <w:t>S</w:t>
      </w:r>
      <w:r w:rsidR="004B5EFC" w:rsidRPr="004B5EFC">
        <w:rPr>
          <w:rFonts w:eastAsia="Times New Roman" w:cstheme="minorHAnsi"/>
          <w:lang w:eastAsia="en-US"/>
        </w:rPr>
        <w:t xml:space="preserve">tage three will involve a review of the research outcomes, which will be used to develop policy options for the consistent use of standardised </w:t>
      </w:r>
      <w:r w:rsidR="00BD225D">
        <w:rPr>
          <w:rFonts w:eastAsia="Times New Roman" w:cstheme="minorHAnsi"/>
          <w:lang w:eastAsia="en-US"/>
        </w:rPr>
        <w:t>work health and safety</w:t>
      </w:r>
      <w:r w:rsidR="004B5EFC" w:rsidRPr="004B5EFC">
        <w:rPr>
          <w:rFonts w:eastAsia="Times New Roman" w:cstheme="minorHAnsi"/>
          <w:lang w:eastAsia="en-US"/>
        </w:rPr>
        <w:t xml:space="preserve"> indicators and guidelines.</w:t>
      </w:r>
    </w:p>
    <w:p w:rsidR="004B5EFC" w:rsidRPr="004B5EFC" w:rsidRDefault="004B5EFC" w:rsidP="004B5EFC">
      <w:pPr>
        <w:spacing w:after="0" w:line="240" w:lineRule="auto"/>
        <w:rPr>
          <w:rFonts w:eastAsia="Times New Roman" w:cstheme="minorHAnsi"/>
          <w:lang w:eastAsia="en-US"/>
        </w:rPr>
      </w:pPr>
    </w:p>
    <w:p w:rsidR="004B5EFC" w:rsidRPr="004B5EFC" w:rsidRDefault="004B5EFC" w:rsidP="004B5EFC">
      <w:pPr>
        <w:spacing w:after="0" w:line="240" w:lineRule="auto"/>
        <w:rPr>
          <w:rFonts w:eastAsia="Times New Roman" w:cstheme="minorHAnsi"/>
          <w:lang w:eastAsia="en-US"/>
        </w:rPr>
      </w:pPr>
    </w:p>
    <w:p w:rsidR="004B5EFC" w:rsidRPr="004B5EFC" w:rsidRDefault="004B5EFC" w:rsidP="004B5EFC">
      <w:pPr>
        <w:spacing w:after="0" w:line="240" w:lineRule="auto"/>
        <w:rPr>
          <w:rFonts w:eastAsia="Times New Roman" w:cstheme="minorHAnsi"/>
          <w:lang w:eastAsia="en-US"/>
        </w:rPr>
      </w:pPr>
      <w:r w:rsidRPr="004B5EFC">
        <w:rPr>
          <w:rFonts w:eastAsia="Times New Roman" w:cstheme="minorHAnsi"/>
          <w:lang w:eastAsia="en-US"/>
        </w:rPr>
        <w:t>Safe Work Australia</w:t>
      </w:r>
    </w:p>
    <w:p w:rsidR="004B5EFC" w:rsidRPr="004B5EFC" w:rsidRDefault="004B5EFC" w:rsidP="004B5EFC">
      <w:pPr>
        <w:spacing w:after="0" w:line="240" w:lineRule="auto"/>
        <w:rPr>
          <w:rFonts w:eastAsia="Times New Roman" w:cstheme="minorHAnsi"/>
          <w:lang w:eastAsia="en-US"/>
        </w:rPr>
      </w:pPr>
    </w:p>
    <w:p w:rsidR="004B5EFC" w:rsidRPr="004B5EFC" w:rsidRDefault="006F3C12" w:rsidP="004B5EFC">
      <w:pPr>
        <w:spacing w:after="0" w:line="240" w:lineRule="auto"/>
        <w:rPr>
          <w:rFonts w:eastAsia="Times New Roman" w:cstheme="minorHAnsi"/>
          <w:lang w:eastAsia="en-US"/>
        </w:rPr>
      </w:pPr>
      <w:r>
        <w:rPr>
          <w:rFonts w:eastAsia="Times New Roman" w:cstheme="minorHAnsi"/>
          <w:lang w:eastAsia="en-US"/>
        </w:rPr>
        <w:t>November</w:t>
      </w:r>
      <w:r w:rsidR="004B5EFC" w:rsidRPr="004B5EFC">
        <w:rPr>
          <w:rFonts w:eastAsia="Times New Roman" w:cstheme="minorHAnsi"/>
          <w:lang w:eastAsia="en-US"/>
        </w:rPr>
        <w:t xml:space="preserve"> 2013</w:t>
      </w:r>
    </w:p>
    <w:p w:rsidR="004B5EFC" w:rsidRDefault="004B5EFC" w:rsidP="00C64399">
      <w:pPr>
        <w:autoSpaceDE w:val="0"/>
        <w:autoSpaceDN w:val="0"/>
        <w:adjustRightInd w:val="0"/>
        <w:jc w:val="both"/>
        <w:rPr>
          <w:rFonts w:cs="Arial"/>
        </w:rPr>
      </w:pPr>
    </w:p>
    <w:p w:rsidR="00590680" w:rsidRDefault="00590680" w:rsidP="00590680">
      <w:pPr>
        <w:autoSpaceDE w:val="0"/>
        <w:autoSpaceDN w:val="0"/>
        <w:adjustRightInd w:val="0"/>
        <w:jc w:val="both"/>
        <w:rPr>
          <w:rFonts w:cs="Arial"/>
        </w:rPr>
      </w:pPr>
    </w:p>
    <w:p w:rsidR="00590680" w:rsidRDefault="00590680" w:rsidP="00590680">
      <w:pPr>
        <w:autoSpaceDE w:val="0"/>
        <w:autoSpaceDN w:val="0"/>
        <w:adjustRightInd w:val="0"/>
        <w:jc w:val="both"/>
        <w:rPr>
          <w:rFonts w:cs="Arial"/>
        </w:rPr>
      </w:pPr>
    </w:p>
    <w:p w:rsidR="00590680" w:rsidRDefault="00590680" w:rsidP="00590680">
      <w:pPr>
        <w:autoSpaceDE w:val="0"/>
        <w:autoSpaceDN w:val="0"/>
        <w:adjustRightInd w:val="0"/>
        <w:jc w:val="both"/>
        <w:rPr>
          <w:rFonts w:cs="Arial"/>
        </w:rPr>
      </w:pPr>
    </w:p>
    <w:p w:rsidR="0073724C" w:rsidRDefault="0073724C" w:rsidP="00590680">
      <w:pPr>
        <w:autoSpaceDE w:val="0"/>
        <w:autoSpaceDN w:val="0"/>
        <w:adjustRightInd w:val="0"/>
        <w:jc w:val="both"/>
        <w:rPr>
          <w:rFonts w:cs="Arial"/>
        </w:rPr>
      </w:pPr>
    </w:p>
    <w:p w:rsidR="00590680" w:rsidRDefault="00590680" w:rsidP="00590680">
      <w:pPr>
        <w:autoSpaceDE w:val="0"/>
        <w:autoSpaceDN w:val="0"/>
        <w:adjustRightInd w:val="0"/>
        <w:jc w:val="both"/>
        <w:rPr>
          <w:rFonts w:cs="Arial"/>
        </w:rPr>
      </w:pPr>
    </w:p>
    <w:p w:rsidR="00590680" w:rsidRDefault="00590680">
      <w:pPr>
        <w:rPr>
          <w:rFonts w:cs="Arial"/>
        </w:rPr>
      </w:pPr>
      <w:r>
        <w:rPr>
          <w:rFonts w:cs="Arial"/>
        </w:rPr>
        <w:br w:type="page"/>
      </w:r>
    </w:p>
    <w:sdt>
      <w:sdtPr>
        <w:rPr>
          <w:rFonts w:asciiTheme="minorHAnsi" w:eastAsiaTheme="minorEastAsia" w:hAnsiTheme="minorHAnsi" w:cs="Arial"/>
          <w:b w:val="0"/>
          <w:bCs w:val="0"/>
          <w:vanish/>
          <w:color w:val="auto"/>
          <w:sz w:val="22"/>
          <w:szCs w:val="22"/>
          <w:highlight w:val="yellow"/>
          <w:lang w:val="en-AU" w:eastAsia="en-AU"/>
        </w:rPr>
        <w:id w:val="1689174128"/>
        <w:docPartObj>
          <w:docPartGallery w:val="Table of Contents"/>
          <w:docPartUnique/>
        </w:docPartObj>
      </w:sdtPr>
      <w:sdtEndPr>
        <w:rPr>
          <w:rFonts w:ascii="Arial" w:hAnsi="Arial" w:cstheme="minorBidi"/>
          <w:noProof/>
          <w:sz w:val="20"/>
        </w:rPr>
      </w:sdtEndPr>
      <w:sdtContent>
        <w:p w:rsidR="00D248CC" w:rsidRPr="00B47C1D" w:rsidRDefault="00D248CC" w:rsidP="000D1925">
          <w:pPr>
            <w:pStyle w:val="TOCHeading"/>
            <w:spacing w:after="240" w:line="240" w:lineRule="auto"/>
            <w:rPr>
              <w:rFonts w:cs="Arial"/>
            </w:rPr>
          </w:pPr>
          <w:r w:rsidRPr="00B47C1D">
            <w:rPr>
              <w:rFonts w:cs="Arial"/>
            </w:rPr>
            <w:t>Contents</w:t>
          </w:r>
        </w:p>
        <w:p w:rsidR="003868A8" w:rsidRDefault="00D515BB" w:rsidP="00654ADC">
          <w:pPr>
            <w:pStyle w:val="TOC1"/>
            <w:spacing w:line="240" w:lineRule="auto"/>
            <w:rPr>
              <w:b w:val="0"/>
            </w:rPr>
          </w:pPr>
          <w:r w:rsidRPr="000D1925">
            <w:fldChar w:fldCharType="begin"/>
          </w:r>
          <w:r w:rsidR="00D248CC" w:rsidRPr="0090086F">
            <w:instrText xml:space="preserve"> TOC \o "1-3" \h \z \u </w:instrText>
          </w:r>
          <w:r w:rsidRPr="000D1925">
            <w:fldChar w:fldCharType="separate"/>
          </w:r>
          <w:hyperlink w:anchor="_Toc361085291" w:history="1">
            <w:r w:rsidR="003868A8" w:rsidRPr="00461970">
              <w:rPr>
                <w:rStyle w:val="Hyperlink"/>
              </w:rPr>
              <w:t>1.</w:t>
            </w:r>
            <w:r w:rsidR="003868A8">
              <w:rPr>
                <w:b w:val="0"/>
              </w:rPr>
              <w:tab/>
            </w:r>
            <w:r w:rsidR="003868A8" w:rsidRPr="00461970">
              <w:rPr>
                <w:rStyle w:val="Hyperlink"/>
              </w:rPr>
              <w:t>Executive Summary</w:t>
            </w:r>
            <w:r w:rsidR="003868A8">
              <w:rPr>
                <w:webHidden/>
              </w:rPr>
              <w:tab/>
            </w:r>
            <w:r w:rsidR="003868A8">
              <w:rPr>
                <w:webHidden/>
              </w:rPr>
              <w:fldChar w:fldCharType="begin"/>
            </w:r>
            <w:r w:rsidR="003868A8">
              <w:rPr>
                <w:webHidden/>
              </w:rPr>
              <w:instrText xml:space="preserve"> PAGEREF _Toc361085291 \h </w:instrText>
            </w:r>
            <w:r w:rsidR="003868A8">
              <w:rPr>
                <w:webHidden/>
              </w:rPr>
            </w:r>
            <w:r w:rsidR="003868A8">
              <w:rPr>
                <w:webHidden/>
              </w:rPr>
              <w:fldChar w:fldCharType="separate"/>
            </w:r>
            <w:r w:rsidR="00E6242C">
              <w:rPr>
                <w:webHidden/>
              </w:rPr>
              <w:t>4</w:t>
            </w:r>
            <w:r w:rsidR="003868A8">
              <w:rPr>
                <w:webHidden/>
              </w:rPr>
              <w:fldChar w:fldCharType="end"/>
            </w:r>
          </w:hyperlink>
        </w:p>
        <w:p w:rsidR="003868A8" w:rsidRDefault="00130887" w:rsidP="00654ADC">
          <w:pPr>
            <w:pStyle w:val="TOC1"/>
            <w:spacing w:line="240" w:lineRule="auto"/>
            <w:rPr>
              <w:b w:val="0"/>
            </w:rPr>
          </w:pPr>
          <w:hyperlink w:anchor="_Toc361085292" w:history="1">
            <w:r w:rsidR="003868A8" w:rsidRPr="00461970">
              <w:rPr>
                <w:rStyle w:val="Hyperlink"/>
              </w:rPr>
              <w:t>2.</w:t>
            </w:r>
            <w:r w:rsidR="003868A8">
              <w:rPr>
                <w:b w:val="0"/>
              </w:rPr>
              <w:tab/>
            </w:r>
            <w:r w:rsidR="00C0682C">
              <w:rPr>
                <w:rStyle w:val="Hyperlink"/>
              </w:rPr>
              <w:t>Work health and safety</w:t>
            </w:r>
            <w:r w:rsidR="003868A8" w:rsidRPr="00461970">
              <w:rPr>
                <w:rStyle w:val="Hyperlink"/>
              </w:rPr>
              <w:t xml:space="preserve"> in Australia</w:t>
            </w:r>
            <w:r w:rsidR="003868A8">
              <w:rPr>
                <w:webHidden/>
              </w:rPr>
              <w:tab/>
            </w:r>
            <w:r w:rsidR="003868A8">
              <w:rPr>
                <w:webHidden/>
              </w:rPr>
              <w:fldChar w:fldCharType="begin"/>
            </w:r>
            <w:r w:rsidR="003868A8">
              <w:rPr>
                <w:webHidden/>
              </w:rPr>
              <w:instrText xml:space="preserve"> PAGEREF _Toc361085292 \h </w:instrText>
            </w:r>
            <w:r w:rsidR="003868A8">
              <w:rPr>
                <w:webHidden/>
              </w:rPr>
            </w:r>
            <w:r w:rsidR="003868A8">
              <w:rPr>
                <w:webHidden/>
              </w:rPr>
              <w:fldChar w:fldCharType="separate"/>
            </w:r>
            <w:r w:rsidR="00E6242C">
              <w:rPr>
                <w:webHidden/>
              </w:rPr>
              <w:t>5</w:t>
            </w:r>
            <w:r w:rsidR="003868A8">
              <w:rPr>
                <w:webHidden/>
              </w:rPr>
              <w:fldChar w:fldCharType="end"/>
            </w:r>
          </w:hyperlink>
        </w:p>
        <w:p w:rsidR="003868A8" w:rsidRDefault="00130887" w:rsidP="00654ADC">
          <w:pPr>
            <w:pStyle w:val="TOC1"/>
            <w:spacing w:line="240" w:lineRule="auto"/>
            <w:rPr>
              <w:b w:val="0"/>
            </w:rPr>
          </w:pPr>
          <w:hyperlink w:anchor="_Toc361085293" w:history="1">
            <w:r w:rsidR="003868A8" w:rsidRPr="00461970">
              <w:rPr>
                <w:rStyle w:val="Hyperlink"/>
              </w:rPr>
              <w:t>3.</w:t>
            </w:r>
            <w:r w:rsidR="003868A8">
              <w:rPr>
                <w:b w:val="0"/>
              </w:rPr>
              <w:tab/>
            </w:r>
            <w:r w:rsidR="003868A8" w:rsidRPr="00461970">
              <w:rPr>
                <w:rStyle w:val="Hyperlink"/>
              </w:rPr>
              <w:t>Measuring work-related injury &amp; illness (WRII)</w:t>
            </w:r>
            <w:r w:rsidR="003868A8">
              <w:rPr>
                <w:webHidden/>
              </w:rPr>
              <w:tab/>
            </w:r>
            <w:r w:rsidR="003868A8">
              <w:rPr>
                <w:webHidden/>
              </w:rPr>
              <w:fldChar w:fldCharType="begin"/>
            </w:r>
            <w:r w:rsidR="003868A8">
              <w:rPr>
                <w:webHidden/>
              </w:rPr>
              <w:instrText xml:space="preserve"> PAGEREF _Toc361085293 \h </w:instrText>
            </w:r>
            <w:r w:rsidR="003868A8">
              <w:rPr>
                <w:webHidden/>
              </w:rPr>
            </w:r>
            <w:r w:rsidR="003868A8">
              <w:rPr>
                <w:webHidden/>
              </w:rPr>
              <w:fldChar w:fldCharType="separate"/>
            </w:r>
            <w:r w:rsidR="00E6242C">
              <w:rPr>
                <w:webHidden/>
              </w:rPr>
              <w:t>6</w:t>
            </w:r>
            <w:r w:rsidR="003868A8">
              <w:rPr>
                <w:webHidden/>
              </w:rPr>
              <w:fldChar w:fldCharType="end"/>
            </w:r>
          </w:hyperlink>
        </w:p>
        <w:p w:rsidR="003868A8" w:rsidRDefault="00130887" w:rsidP="00654ADC">
          <w:pPr>
            <w:pStyle w:val="TOC2"/>
            <w:spacing w:line="240" w:lineRule="auto"/>
          </w:pPr>
          <w:hyperlink w:anchor="_Toc361085294" w:history="1">
            <w:r w:rsidR="003868A8" w:rsidRPr="00461970">
              <w:rPr>
                <w:rStyle w:val="Hyperlink"/>
              </w:rPr>
              <w:t>3.1</w:t>
            </w:r>
            <w:r w:rsidR="003868A8">
              <w:tab/>
            </w:r>
            <w:r w:rsidR="003868A8" w:rsidRPr="00461970">
              <w:rPr>
                <w:rStyle w:val="Hyperlink"/>
              </w:rPr>
              <w:t>The legacy of the safety triangle</w:t>
            </w:r>
            <w:r w:rsidR="003868A8">
              <w:rPr>
                <w:webHidden/>
              </w:rPr>
              <w:tab/>
            </w:r>
            <w:r w:rsidR="003868A8">
              <w:rPr>
                <w:webHidden/>
              </w:rPr>
              <w:fldChar w:fldCharType="begin"/>
            </w:r>
            <w:r w:rsidR="003868A8">
              <w:rPr>
                <w:webHidden/>
              </w:rPr>
              <w:instrText xml:space="preserve"> PAGEREF _Toc361085294 \h </w:instrText>
            </w:r>
            <w:r w:rsidR="003868A8">
              <w:rPr>
                <w:webHidden/>
              </w:rPr>
            </w:r>
            <w:r w:rsidR="003868A8">
              <w:rPr>
                <w:webHidden/>
              </w:rPr>
              <w:fldChar w:fldCharType="separate"/>
            </w:r>
            <w:r w:rsidR="00E6242C">
              <w:rPr>
                <w:webHidden/>
              </w:rPr>
              <w:t>6</w:t>
            </w:r>
            <w:r w:rsidR="003868A8">
              <w:rPr>
                <w:webHidden/>
              </w:rPr>
              <w:fldChar w:fldCharType="end"/>
            </w:r>
          </w:hyperlink>
        </w:p>
        <w:p w:rsidR="003868A8" w:rsidRDefault="00130887" w:rsidP="00654ADC">
          <w:pPr>
            <w:pStyle w:val="TOC3"/>
            <w:tabs>
              <w:tab w:val="left" w:pos="1320"/>
            </w:tabs>
            <w:spacing w:line="240" w:lineRule="auto"/>
            <w:rPr>
              <w:noProof/>
            </w:rPr>
          </w:pPr>
          <w:hyperlink w:anchor="_Toc361085295" w:history="1">
            <w:r w:rsidR="003868A8" w:rsidRPr="00461970">
              <w:rPr>
                <w:rStyle w:val="Hyperlink"/>
                <w:noProof/>
              </w:rPr>
              <w:t>3.1.1</w:t>
            </w:r>
            <w:r w:rsidR="003868A8">
              <w:rPr>
                <w:noProof/>
              </w:rPr>
              <w:tab/>
            </w:r>
            <w:r w:rsidR="003868A8" w:rsidRPr="00461970">
              <w:rPr>
                <w:rStyle w:val="Hyperlink"/>
                <w:noProof/>
              </w:rPr>
              <w:t>Subjective and value laden terminology</w:t>
            </w:r>
            <w:r w:rsidR="003868A8">
              <w:rPr>
                <w:noProof/>
                <w:webHidden/>
              </w:rPr>
              <w:tab/>
            </w:r>
            <w:r w:rsidR="003868A8">
              <w:rPr>
                <w:noProof/>
                <w:webHidden/>
              </w:rPr>
              <w:fldChar w:fldCharType="begin"/>
            </w:r>
            <w:r w:rsidR="003868A8">
              <w:rPr>
                <w:noProof/>
                <w:webHidden/>
              </w:rPr>
              <w:instrText xml:space="preserve"> PAGEREF _Toc361085295 \h </w:instrText>
            </w:r>
            <w:r w:rsidR="003868A8">
              <w:rPr>
                <w:noProof/>
                <w:webHidden/>
              </w:rPr>
            </w:r>
            <w:r w:rsidR="003868A8">
              <w:rPr>
                <w:noProof/>
                <w:webHidden/>
              </w:rPr>
              <w:fldChar w:fldCharType="separate"/>
            </w:r>
            <w:r w:rsidR="00E6242C">
              <w:rPr>
                <w:noProof/>
                <w:webHidden/>
              </w:rPr>
              <w:t>7</w:t>
            </w:r>
            <w:r w:rsidR="003868A8">
              <w:rPr>
                <w:noProof/>
                <w:webHidden/>
              </w:rPr>
              <w:fldChar w:fldCharType="end"/>
            </w:r>
          </w:hyperlink>
        </w:p>
        <w:p w:rsidR="003868A8" w:rsidRDefault="00130887" w:rsidP="00654ADC">
          <w:pPr>
            <w:pStyle w:val="TOC3"/>
            <w:tabs>
              <w:tab w:val="left" w:pos="1320"/>
            </w:tabs>
            <w:spacing w:line="240" w:lineRule="auto"/>
            <w:rPr>
              <w:noProof/>
            </w:rPr>
          </w:pPr>
          <w:hyperlink w:anchor="_Toc361085296" w:history="1">
            <w:r w:rsidR="003868A8" w:rsidRPr="00461970">
              <w:rPr>
                <w:rStyle w:val="Hyperlink"/>
                <w:noProof/>
              </w:rPr>
              <w:t>3.1.2</w:t>
            </w:r>
            <w:r w:rsidR="003868A8">
              <w:rPr>
                <w:noProof/>
              </w:rPr>
              <w:tab/>
            </w:r>
            <w:r w:rsidR="003868A8" w:rsidRPr="00461970">
              <w:rPr>
                <w:rStyle w:val="Hyperlink"/>
                <w:noProof/>
              </w:rPr>
              <w:t>LTI and the aggregation of WRII</w:t>
            </w:r>
            <w:r w:rsidR="003868A8">
              <w:rPr>
                <w:noProof/>
                <w:webHidden/>
              </w:rPr>
              <w:tab/>
            </w:r>
            <w:r w:rsidR="003868A8">
              <w:rPr>
                <w:noProof/>
                <w:webHidden/>
              </w:rPr>
              <w:fldChar w:fldCharType="begin"/>
            </w:r>
            <w:r w:rsidR="003868A8">
              <w:rPr>
                <w:noProof/>
                <w:webHidden/>
              </w:rPr>
              <w:instrText xml:space="preserve"> PAGEREF _Toc361085296 \h </w:instrText>
            </w:r>
            <w:r w:rsidR="003868A8">
              <w:rPr>
                <w:noProof/>
                <w:webHidden/>
              </w:rPr>
            </w:r>
            <w:r w:rsidR="003868A8">
              <w:rPr>
                <w:noProof/>
                <w:webHidden/>
              </w:rPr>
              <w:fldChar w:fldCharType="separate"/>
            </w:r>
            <w:r w:rsidR="00E6242C">
              <w:rPr>
                <w:noProof/>
                <w:webHidden/>
              </w:rPr>
              <w:t>8</w:t>
            </w:r>
            <w:r w:rsidR="003868A8">
              <w:rPr>
                <w:noProof/>
                <w:webHidden/>
              </w:rPr>
              <w:fldChar w:fldCharType="end"/>
            </w:r>
          </w:hyperlink>
        </w:p>
        <w:p w:rsidR="003868A8" w:rsidRDefault="00130887" w:rsidP="00654ADC">
          <w:pPr>
            <w:pStyle w:val="TOC3"/>
            <w:tabs>
              <w:tab w:val="left" w:pos="1320"/>
            </w:tabs>
            <w:spacing w:line="240" w:lineRule="auto"/>
            <w:rPr>
              <w:noProof/>
            </w:rPr>
          </w:pPr>
          <w:hyperlink w:anchor="_Toc361085297" w:history="1">
            <w:r w:rsidR="003868A8" w:rsidRPr="00461970">
              <w:rPr>
                <w:rStyle w:val="Hyperlink"/>
                <w:noProof/>
              </w:rPr>
              <w:t>3.1.3</w:t>
            </w:r>
            <w:r w:rsidR="003868A8">
              <w:rPr>
                <w:noProof/>
              </w:rPr>
              <w:tab/>
            </w:r>
            <w:r w:rsidR="003868A8" w:rsidRPr="00461970">
              <w:rPr>
                <w:rStyle w:val="Hyperlink"/>
                <w:noProof/>
              </w:rPr>
              <w:t>Assumed drivers of high consequence injury</w:t>
            </w:r>
            <w:r w:rsidR="003868A8">
              <w:rPr>
                <w:noProof/>
                <w:webHidden/>
              </w:rPr>
              <w:tab/>
            </w:r>
            <w:r w:rsidR="003868A8">
              <w:rPr>
                <w:noProof/>
                <w:webHidden/>
              </w:rPr>
              <w:fldChar w:fldCharType="begin"/>
            </w:r>
            <w:r w:rsidR="003868A8">
              <w:rPr>
                <w:noProof/>
                <w:webHidden/>
              </w:rPr>
              <w:instrText xml:space="preserve"> PAGEREF _Toc361085297 \h </w:instrText>
            </w:r>
            <w:r w:rsidR="003868A8">
              <w:rPr>
                <w:noProof/>
                <w:webHidden/>
              </w:rPr>
            </w:r>
            <w:r w:rsidR="003868A8">
              <w:rPr>
                <w:noProof/>
                <w:webHidden/>
              </w:rPr>
              <w:fldChar w:fldCharType="separate"/>
            </w:r>
            <w:r w:rsidR="00E6242C">
              <w:rPr>
                <w:noProof/>
                <w:webHidden/>
              </w:rPr>
              <w:t>9</w:t>
            </w:r>
            <w:r w:rsidR="003868A8">
              <w:rPr>
                <w:noProof/>
                <w:webHidden/>
              </w:rPr>
              <w:fldChar w:fldCharType="end"/>
            </w:r>
          </w:hyperlink>
        </w:p>
        <w:p w:rsidR="003868A8" w:rsidRDefault="00130887" w:rsidP="00654ADC">
          <w:pPr>
            <w:pStyle w:val="TOC2"/>
            <w:spacing w:line="240" w:lineRule="auto"/>
          </w:pPr>
          <w:hyperlink w:anchor="_Toc361085298" w:history="1">
            <w:r w:rsidR="003868A8" w:rsidRPr="00461970">
              <w:rPr>
                <w:rStyle w:val="Hyperlink"/>
              </w:rPr>
              <w:t>3.2</w:t>
            </w:r>
            <w:r w:rsidR="003868A8">
              <w:tab/>
            </w:r>
            <w:r w:rsidR="003868A8" w:rsidRPr="00461970">
              <w:rPr>
                <w:rStyle w:val="Hyperlink"/>
              </w:rPr>
              <w:t>Validity of WRII data</w:t>
            </w:r>
            <w:r w:rsidR="003868A8">
              <w:rPr>
                <w:webHidden/>
              </w:rPr>
              <w:tab/>
            </w:r>
            <w:r w:rsidR="003868A8">
              <w:rPr>
                <w:webHidden/>
              </w:rPr>
              <w:fldChar w:fldCharType="begin"/>
            </w:r>
            <w:r w:rsidR="003868A8">
              <w:rPr>
                <w:webHidden/>
              </w:rPr>
              <w:instrText xml:space="preserve"> PAGEREF _Toc361085298 \h </w:instrText>
            </w:r>
            <w:r w:rsidR="003868A8">
              <w:rPr>
                <w:webHidden/>
              </w:rPr>
            </w:r>
            <w:r w:rsidR="003868A8">
              <w:rPr>
                <w:webHidden/>
              </w:rPr>
              <w:fldChar w:fldCharType="separate"/>
            </w:r>
            <w:r w:rsidR="00E6242C">
              <w:rPr>
                <w:webHidden/>
              </w:rPr>
              <w:t>10</w:t>
            </w:r>
            <w:r w:rsidR="003868A8">
              <w:rPr>
                <w:webHidden/>
              </w:rPr>
              <w:fldChar w:fldCharType="end"/>
            </w:r>
          </w:hyperlink>
        </w:p>
        <w:p w:rsidR="003868A8" w:rsidRDefault="00130887" w:rsidP="00654ADC">
          <w:pPr>
            <w:pStyle w:val="TOC3"/>
            <w:tabs>
              <w:tab w:val="left" w:pos="1320"/>
            </w:tabs>
            <w:spacing w:line="240" w:lineRule="auto"/>
            <w:rPr>
              <w:noProof/>
            </w:rPr>
          </w:pPr>
          <w:hyperlink w:anchor="_Toc361085299" w:history="1">
            <w:r w:rsidR="003868A8" w:rsidRPr="00461970">
              <w:rPr>
                <w:rStyle w:val="Hyperlink"/>
                <w:noProof/>
              </w:rPr>
              <w:t>3.2.1</w:t>
            </w:r>
            <w:r w:rsidR="003868A8">
              <w:rPr>
                <w:noProof/>
              </w:rPr>
              <w:tab/>
            </w:r>
            <w:r w:rsidR="003868A8" w:rsidRPr="00461970">
              <w:rPr>
                <w:rStyle w:val="Hyperlink"/>
                <w:noProof/>
              </w:rPr>
              <w:t>LTI(FR) is not a measure of injury</w:t>
            </w:r>
            <w:r w:rsidR="003868A8">
              <w:rPr>
                <w:noProof/>
                <w:webHidden/>
              </w:rPr>
              <w:tab/>
            </w:r>
            <w:r w:rsidR="003868A8">
              <w:rPr>
                <w:noProof/>
                <w:webHidden/>
              </w:rPr>
              <w:fldChar w:fldCharType="begin"/>
            </w:r>
            <w:r w:rsidR="003868A8">
              <w:rPr>
                <w:noProof/>
                <w:webHidden/>
              </w:rPr>
              <w:instrText xml:space="preserve"> PAGEREF _Toc361085299 \h </w:instrText>
            </w:r>
            <w:r w:rsidR="003868A8">
              <w:rPr>
                <w:noProof/>
                <w:webHidden/>
              </w:rPr>
            </w:r>
            <w:r w:rsidR="003868A8">
              <w:rPr>
                <w:noProof/>
                <w:webHidden/>
              </w:rPr>
              <w:fldChar w:fldCharType="separate"/>
            </w:r>
            <w:r w:rsidR="00E6242C">
              <w:rPr>
                <w:noProof/>
                <w:webHidden/>
              </w:rPr>
              <w:t>11</w:t>
            </w:r>
            <w:r w:rsidR="003868A8">
              <w:rPr>
                <w:noProof/>
                <w:webHidden/>
              </w:rPr>
              <w:fldChar w:fldCharType="end"/>
            </w:r>
          </w:hyperlink>
        </w:p>
        <w:p w:rsidR="003868A8" w:rsidRDefault="00130887" w:rsidP="00654ADC">
          <w:pPr>
            <w:pStyle w:val="TOC3"/>
            <w:tabs>
              <w:tab w:val="left" w:pos="1320"/>
            </w:tabs>
            <w:spacing w:line="240" w:lineRule="auto"/>
            <w:rPr>
              <w:noProof/>
            </w:rPr>
          </w:pPr>
          <w:hyperlink w:anchor="_Toc361085300" w:history="1">
            <w:r w:rsidR="003868A8" w:rsidRPr="00461970">
              <w:rPr>
                <w:rStyle w:val="Hyperlink"/>
                <w:noProof/>
              </w:rPr>
              <w:t>3.2.2</w:t>
            </w:r>
            <w:r w:rsidR="003868A8">
              <w:rPr>
                <w:noProof/>
              </w:rPr>
              <w:tab/>
            </w:r>
            <w:r w:rsidR="003868A8" w:rsidRPr="00461970">
              <w:rPr>
                <w:rStyle w:val="Hyperlink"/>
                <w:noProof/>
              </w:rPr>
              <w:t>LTI(FR) is not a measure of safety</w:t>
            </w:r>
            <w:r w:rsidR="003868A8">
              <w:rPr>
                <w:noProof/>
                <w:webHidden/>
              </w:rPr>
              <w:tab/>
            </w:r>
            <w:r w:rsidR="003868A8">
              <w:rPr>
                <w:noProof/>
                <w:webHidden/>
              </w:rPr>
              <w:fldChar w:fldCharType="begin"/>
            </w:r>
            <w:r w:rsidR="003868A8">
              <w:rPr>
                <w:noProof/>
                <w:webHidden/>
              </w:rPr>
              <w:instrText xml:space="preserve"> PAGEREF _Toc361085300 \h </w:instrText>
            </w:r>
            <w:r w:rsidR="003868A8">
              <w:rPr>
                <w:noProof/>
                <w:webHidden/>
              </w:rPr>
            </w:r>
            <w:r w:rsidR="003868A8">
              <w:rPr>
                <w:noProof/>
                <w:webHidden/>
              </w:rPr>
              <w:fldChar w:fldCharType="separate"/>
            </w:r>
            <w:r w:rsidR="00E6242C">
              <w:rPr>
                <w:noProof/>
                <w:webHidden/>
              </w:rPr>
              <w:t>11</w:t>
            </w:r>
            <w:r w:rsidR="003868A8">
              <w:rPr>
                <w:noProof/>
                <w:webHidden/>
              </w:rPr>
              <w:fldChar w:fldCharType="end"/>
            </w:r>
          </w:hyperlink>
        </w:p>
        <w:p w:rsidR="003868A8" w:rsidRDefault="00130887" w:rsidP="00654ADC">
          <w:pPr>
            <w:pStyle w:val="TOC2"/>
            <w:spacing w:line="240" w:lineRule="auto"/>
          </w:pPr>
          <w:hyperlink w:anchor="_Toc361085301" w:history="1">
            <w:r w:rsidR="003868A8" w:rsidRPr="00461970">
              <w:rPr>
                <w:rStyle w:val="Hyperlink"/>
              </w:rPr>
              <w:t>3.3</w:t>
            </w:r>
            <w:r w:rsidR="003868A8">
              <w:tab/>
            </w:r>
            <w:r w:rsidR="003868A8" w:rsidRPr="00461970">
              <w:rPr>
                <w:rStyle w:val="Hyperlink"/>
              </w:rPr>
              <w:t>Relevance of WRII data</w:t>
            </w:r>
            <w:r w:rsidR="003868A8">
              <w:rPr>
                <w:webHidden/>
              </w:rPr>
              <w:tab/>
            </w:r>
            <w:r w:rsidR="003868A8">
              <w:rPr>
                <w:webHidden/>
              </w:rPr>
              <w:fldChar w:fldCharType="begin"/>
            </w:r>
            <w:r w:rsidR="003868A8">
              <w:rPr>
                <w:webHidden/>
              </w:rPr>
              <w:instrText xml:space="preserve"> PAGEREF _Toc361085301 \h </w:instrText>
            </w:r>
            <w:r w:rsidR="003868A8">
              <w:rPr>
                <w:webHidden/>
              </w:rPr>
            </w:r>
            <w:r w:rsidR="003868A8">
              <w:rPr>
                <w:webHidden/>
              </w:rPr>
              <w:fldChar w:fldCharType="separate"/>
            </w:r>
            <w:r w:rsidR="00E6242C">
              <w:rPr>
                <w:webHidden/>
              </w:rPr>
              <w:t>12</w:t>
            </w:r>
            <w:r w:rsidR="003868A8">
              <w:rPr>
                <w:webHidden/>
              </w:rPr>
              <w:fldChar w:fldCharType="end"/>
            </w:r>
          </w:hyperlink>
        </w:p>
        <w:p w:rsidR="003868A8" w:rsidRDefault="00130887" w:rsidP="00654ADC">
          <w:pPr>
            <w:pStyle w:val="TOC3"/>
            <w:tabs>
              <w:tab w:val="left" w:pos="1320"/>
            </w:tabs>
            <w:spacing w:line="240" w:lineRule="auto"/>
            <w:rPr>
              <w:noProof/>
            </w:rPr>
          </w:pPr>
          <w:hyperlink w:anchor="_Toc361085302" w:history="1">
            <w:r w:rsidR="003868A8" w:rsidRPr="00461970">
              <w:rPr>
                <w:rStyle w:val="Hyperlink"/>
                <w:noProof/>
              </w:rPr>
              <w:t>3.3.1</w:t>
            </w:r>
            <w:r w:rsidR="003868A8">
              <w:rPr>
                <w:noProof/>
              </w:rPr>
              <w:tab/>
            </w:r>
            <w:r w:rsidR="003868A8" w:rsidRPr="00461970">
              <w:rPr>
                <w:rStyle w:val="Hyperlink"/>
                <w:noProof/>
              </w:rPr>
              <w:t>Classifying qualitative attributes of WRII</w:t>
            </w:r>
            <w:r w:rsidR="003868A8">
              <w:rPr>
                <w:noProof/>
                <w:webHidden/>
              </w:rPr>
              <w:tab/>
            </w:r>
            <w:r w:rsidR="003868A8">
              <w:rPr>
                <w:noProof/>
                <w:webHidden/>
              </w:rPr>
              <w:fldChar w:fldCharType="begin"/>
            </w:r>
            <w:r w:rsidR="003868A8">
              <w:rPr>
                <w:noProof/>
                <w:webHidden/>
              </w:rPr>
              <w:instrText xml:space="preserve"> PAGEREF _Toc361085302 \h </w:instrText>
            </w:r>
            <w:r w:rsidR="003868A8">
              <w:rPr>
                <w:noProof/>
                <w:webHidden/>
              </w:rPr>
            </w:r>
            <w:r w:rsidR="003868A8">
              <w:rPr>
                <w:noProof/>
                <w:webHidden/>
              </w:rPr>
              <w:fldChar w:fldCharType="separate"/>
            </w:r>
            <w:r w:rsidR="00E6242C">
              <w:rPr>
                <w:noProof/>
                <w:webHidden/>
              </w:rPr>
              <w:t>12</w:t>
            </w:r>
            <w:r w:rsidR="003868A8">
              <w:rPr>
                <w:noProof/>
                <w:webHidden/>
              </w:rPr>
              <w:fldChar w:fldCharType="end"/>
            </w:r>
          </w:hyperlink>
        </w:p>
        <w:p w:rsidR="003868A8" w:rsidRDefault="00130887" w:rsidP="00654ADC">
          <w:pPr>
            <w:pStyle w:val="TOC3"/>
            <w:tabs>
              <w:tab w:val="left" w:pos="1320"/>
            </w:tabs>
            <w:spacing w:line="240" w:lineRule="auto"/>
            <w:rPr>
              <w:noProof/>
            </w:rPr>
          </w:pPr>
          <w:hyperlink w:anchor="_Toc361085303" w:history="1">
            <w:r w:rsidR="003868A8" w:rsidRPr="00461970">
              <w:rPr>
                <w:rStyle w:val="Hyperlink"/>
                <w:noProof/>
              </w:rPr>
              <w:t>3.3.2</w:t>
            </w:r>
            <w:r w:rsidR="003868A8">
              <w:rPr>
                <w:noProof/>
              </w:rPr>
              <w:tab/>
            </w:r>
            <w:r w:rsidR="003868A8" w:rsidRPr="00461970">
              <w:rPr>
                <w:rStyle w:val="Hyperlink"/>
                <w:noProof/>
              </w:rPr>
              <w:t>Classifying WRII severity</w:t>
            </w:r>
            <w:r w:rsidR="003868A8">
              <w:rPr>
                <w:noProof/>
                <w:webHidden/>
              </w:rPr>
              <w:tab/>
            </w:r>
            <w:r w:rsidR="003868A8">
              <w:rPr>
                <w:noProof/>
                <w:webHidden/>
              </w:rPr>
              <w:fldChar w:fldCharType="begin"/>
            </w:r>
            <w:r w:rsidR="003868A8">
              <w:rPr>
                <w:noProof/>
                <w:webHidden/>
              </w:rPr>
              <w:instrText xml:space="preserve"> PAGEREF _Toc361085303 \h </w:instrText>
            </w:r>
            <w:r w:rsidR="003868A8">
              <w:rPr>
                <w:noProof/>
                <w:webHidden/>
              </w:rPr>
            </w:r>
            <w:r w:rsidR="003868A8">
              <w:rPr>
                <w:noProof/>
                <w:webHidden/>
              </w:rPr>
              <w:fldChar w:fldCharType="separate"/>
            </w:r>
            <w:r w:rsidR="00E6242C">
              <w:rPr>
                <w:noProof/>
                <w:webHidden/>
              </w:rPr>
              <w:t>13</w:t>
            </w:r>
            <w:r w:rsidR="003868A8">
              <w:rPr>
                <w:noProof/>
                <w:webHidden/>
              </w:rPr>
              <w:fldChar w:fldCharType="end"/>
            </w:r>
          </w:hyperlink>
        </w:p>
        <w:p w:rsidR="003868A8" w:rsidRDefault="00130887" w:rsidP="00654ADC">
          <w:pPr>
            <w:pStyle w:val="TOC2"/>
            <w:spacing w:line="240" w:lineRule="auto"/>
          </w:pPr>
          <w:hyperlink w:anchor="_Toc361085304" w:history="1">
            <w:r w:rsidR="003868A8" w:rsidRPr="00461970">
              <w:rPr>
                <w:rStyle w:val="Hyperlink"/>
              </w:rPr>
              <w:t>3.4</w:t>
            </w:r>
            <w:r w:rsidR="003868A8">
              <w:tab/>
            </w:r>
            <w:r w:rsidR="003868A8" w:rsidRPr="00461970">
              <w:rPr>
                <w:rStyle w:val="Hyperlink"/>
              </w:rPr>
              <w:t>Reliability of WRII data</w:t>
            </w:r>
            <w:r w:rsidR="003868A8">
              <w:rPr>
                <w:webHidden/>
              </w:rPr>
              <w:tab/>
            </w:r>
            <w:r w:rsidR="003868A8">
              <w:rPr>
                <w:webHidden/>
              </w:rPr>
              <w:fldChar w:fldCharType="begin"/>
            </w:r>
            <w:r w:rsidR="003868A8">
              <w:rPr>
                <w:webHidden/>
              </w:rPr>
              <w:instrText xml:space="preserve"> PAGEREF _Toc361085304 \h </w:instrText>
            </w:r>
            <w:r w:rsidR="003868A8">
              <w:rPr>
                <w:webHidden/>
              </w:rPr>
            </w:r>
            <w:r w:rsidR="003868A8">
              <w:rPr>
                <w:webHidden/>
              </w:rPr>
              <w:fldChar w:fldCharType="separate"/>
            </w:r>
            <w:r w:rsidR="00E6242C">
              <w:rPr>
                <w:webHidden/>
              </w:rPr>
              <w:t>16</w:t>
            </w:r>
            <w:r w:rsidR="003868A8">
              <w:rPr>
                <w:webHidden/>
              </w:rPr>
              <w:fldChar w:fldCharType="end"/>
            </w:r>
          </w:hyperlink>
        </w:p>
        <w:p w:rsidR="003868A8" w:rsidRDefault="00130887" w:rsidP="00654ADC">
          <w:pPr>
            <w:pStyle w:val="TOC3"/>
            <w:tabs>
              <w:tab w:val="left" w:pos="1320"/>
            </w:tabs>
            <w:spacing w:line="240" w:lineRule="auto"/>
            <w:rPr>
              <w:noProof/>
            </w:rPr>
          </w:pPr>
          <w:hyperlink w:anchor="_Toc361085305" w:history="1">
            <w:r w:rsidR="003868A8" w:rsidRPr="00461970">
              <w:rPr>
                <w:rStyle w:val="Hyperlink"/>
                <w:noProof/>
              </w:rPr>
              <w:t>3.4.1</w:t>
            </w:r>
            <w:r w:rsidR="003868A8">
              <w:rPr>
                <w:noProof/>
              </w:rPr>
              <w:tab/>
            </w:r>
            <w:r w:rsidR="003868A8" w:rsidRPr="00461970">
              <w:rPr>
                <w:rStyle w:val="Hyperlink"/>
                <w:noProof/>
              </w:rPr>
              <w:t>Issues of sample size</w:t>
            </w:r>
            <w:r w:rsidR="003868A8">
              <w:rPr>
                <w:noProof/>
                <w:webHidden/>
              </w:rPr>
              <w:tab/>
            </w:r>
            <w:r w:rsidR="003868A8">
              <w:rPr>
                <w:noProof/>
                <w:webHidden/>
              </w:rPr>
              <w:fldChar w:fldCharType="begin"/>
            </w:r>
            <w:r w:rsidR="003868A8">
              <w:rPr>
                <w:noProof/>
                <w:webHidden/>
              </w:rPr>
              <w:instrText xml:space="preserve"> PAGEREF _Toc361085305 \h </w:instrText>
            </w:r>
            <w:r w:rsidR="003868A8">
              <w:rPr>
                <w:noProof/>
                <w:webHidden/>
              </w:rPr>
            </w:r>
            <w:r w:rsidR="003868A8">
              <w:rPr>
                <w:noProof/>
                <w:webHidden/>
              </w:rPr>
              <w:fldChar w:fldCharType="separate"/>
            </w:r>
            <w:r w:rsidR="00E6242C">
              <w:rPr>
                <w:noProof/>
                <w:webHidden/>
              </w:rPr>
              <w:t>16</w:t>
            </w:r>
            <w:r w:rsidR="003868A8">
              <w:rPr>
                <w:noProof/>
                <w:webHidden/>
              </w:rPr>
              <w:fldChar w:fldCharType="end"/>
            </w:r>
          </w:hyperlink>
        </w:p>
        <w:p w:rsidR="003868A8" w:rsidRDefault="00130887" w:rsidP="00654ADC">
          <w:pPr>
            <w:pStyle w:val="TOC3"/>
            <w:tabs>
              <w:tab w:val="left" w:pos="1320"/>
            </w:tabs>
            <w:spacing w:line="240" w:lineRule="auto"/>
            <w:rPr>
              <w:noProof/>
            </w:rPr>
          </w:pPr>
          <w:hyperlink w:anchor="_Toc361085306" w:history="1">
            <w:r w:rsidR="003868A8" w:rsidRPr="00461970">
              <w:rPr>
                <w:rStyle w:val="Hyperlink"/>
                <w:noProof/>
              </w:rPr>
              <w:t>3.4.2</w:t>
            </w:r>
            <w:r w:rsidR="003868A8">
              <w:rPr>
                <w:noProof/>
              </w:rPr>
              <w:tab/>
            </w:r>
            <w:r w:rsidR="003868A8" w:rsidRPr="00461970">
              <w:rPr>
                <w:rStyle w:val="Hyperlink"/>
                <w:noProof/>
              </w:rPr>
              <w:t>Issues of under-reporting of injury</w:t>
            </w:r>
            <w:r w:rsidR="003868A8">
              <w:rPr>
                <w:noProof/>
                <w:webHidden/>
              </w:rPr>
              <w:tab/>
            </w:r>
            <w:r w:rsidR="003868A8">
              <w:rPr>
                <w:noProof/>
                <w:webHidden/>
              </w:rPr>
              <w:fldChar w:fldCharType="begin"/>
            </w:r>
            <w:r w:rsidR="003868A8">
              <w:rPr>
                <w:noProof/>
                <w:webHidden/>
              </w:rPr>
              <w:instrText xml:space="preserve"> PAGEREF _Toc361085306 \h </w:instrText>
            </w:r>
            <w:r w:rsidR="003868A8">
              <w:rPr>
                <w:noProof/>
                <w:webHidden/>
              </w:rPr>
            </w:r>
            <w:r w:rsidR="003868A8">
              <w:rPr>
                <w:noProof/>
                <w:webHidden/>
              </w:rPr>
              <w:fldChar w:fldCharType="separate"/>
            </w:r>
            <w:r w:rsidR="00E6242C">
              <w:rPr>
                <w:noProof/>
                <w:webHidden/>
              </w:rPr>
              <w:t>16</w:t>
            </w:r>
            <w:r w:rsidR="003868A8">
              <w:rPr>
                <w:noProof/>
                <w:webHidden/>
              </w:rPr>
              <w:fldChar w:fldCharType="end"/>
            </w:r>
          </w:hyperlink>
        </w:p>
        <w:p w:rsidR="003868A8" w:rsidRDefault="00130887" w:rsidP="00654ADC">
          <w:pPr>
            <w:pStyle w:val="TOC3"/>
            <w:tabs>
              <w:tab w:val="left" w:pos="1320"/>
            </w:tabs>
            <w:spacing w:line="240" w:lineRule="auto"/>
            <w:rPr>
              <w:noProof/>
            </w:rPr>
          </w:pPr>
          <w:hyperlink w:anchor="_Toc361085307" w:history="1">
            <w:r w:rsidR="003868A8" w:rsidRPr="00461970">
              <w:rPr>
                <w:rStyle w:val="Hyperlink"/>
                <w:noProof/>
              </w:rPr>
              <w:t>3.4.3</w:t>
            </w:r>
            <w:r w:rsidR="003868A8">
              <w:rPr>
                <w:noProof/>
              </w:rPr>
              <w:tab/>
            </w:r>
            <w:r w:rsidR="003868A8" w:rsidRPr="00461970">
              <w:rPr>
                <w:rStyle w:val="Hyperlink"/>
                <w:noProof/>
              </w:rPr>
              <w:t>Issues in under-reporting of occupational illness</w:t>
            </w:r>
            <w:r w:rsidR="003868A8">
              <w:rPr>
                <w:noProof/>
                <w:webHidden/>
              </w:rPr>
              <w:tab/>
            </w:r>
            <w:r w:rsidR="003868A8">
              <w:rPr>
                <w:noProof/>
                <w:webHidden/>
              </w:rPr>
              <w:fldChar w:fldCharType="begin"/>
            </w:r>
            <w:r w:rsidR="003868A8">
              <w:rPr>
                <w:noProof/>
                <w:webHidden/>
              </w:rPr>
              <w:instrText xml:space="preserve"> PAGEREF _Toc361085307 \h </w:instrText>
            </w:r>
            <w:r w:rsidR="003868A8">
              <w:rPr>
                <w:noProof/>
                <w:webHidden/>
              </w:rPr>
            </w:r>
            <w:r w:rsidR="003868A8">
              <w:rPr>
                <w:noProof/>
                <w:webHidden/>
              </w:rPr>
              <w:fldChar w:fldCharType="separate"/>
            </w:r>
            <w:r w:rsidR="00E6242C">
              <w:rPr>
                <w:noProof/>
                <w:webHidden/>
              </w:rPr>
              <w:t>17</w:t>
            </w:r>
            <w:r w:rsidR="003868A8">
              <w:rPr>
                <w:noProof/>
                <w:webHidden/>
              </w:rPr>
              <w:fldChar w:fldCharType="end"/>
            </w:r>
          </w:hyperlink>
        </w:p>
        <w:p w:rsidR="003868A8" w:rsidRDefault="00130887" w:rsidP="00654ADC">
          <w:pPr>
            <w:pStyle w:val="TOC2"/>
            <w:spacing w:line="240" w:lineRule="auto"/>
          </w:pPr>
          <w:hyperlink w:anchor="_Toc361085308" w:history="1">
            <w:r w:rsidR="003868A8" w:rsidRPr="00461970">
              <w:rPr>
                <w:rStyle w:val="Hyperlink"/>
              </w:rPr>
              <w:t>3.5</w:t>
            </w:r>
            <w:r w:rsidR="003868A8">
              <w:tab/>
            </w:r>
            <w:r w:rsidR="003868A8" w:rsidRPr="00461970">
              <w:rPr>
                <w:rStyle w:val="Hyperlink"/>
              </w:rPr>
              <w:t>Beyond injury measures</w:t>
            </w:r>
            <w:r w:rsidR="003868A8">
              <w:rPr>
                <w:webHidden/>
              </w:rPr>
              <w:tab/>
            </w:r>
            <w:r w:rsidR="003868A8">
              <w:rPr>
                <w:webHidden/>
              </w:rPr>
              <w:fldChar w:fldCharType="begin"/>
            </w:r>
            <w:r w:rsidR="003868A8">
              <w:rPr>
                <w:webHidden/>
              </w:rPr>
              <w:instrText xml:space="preserve"> PAGEREF _Toc361085308 \h </w:instrText>
            </w:r>
            <w:r w:rsidR="003868A8">
              <w:rPr>
                <w:webHidden/>
              </w:rPr>
            </w:r>
            <w:r w:rsidR="003868A8">
              <w:rPr>
                <w:webHidden/>
              </w:rPr>
              <w:fldChar w:fldCharType="separate"/>
            </w:r>
            <w:r w:rsidR="00E6242C">
              <w:rPr>
                <w:webHidden/>
              </w:rPr>
              <w:t>18</w:t>
            </w:r>
            <w:r w:rsidR="003868A8">
              <w:rPr>
                <w:webHidden/>
              </w:rPr>
              <w:fldChar w:fldCharType="end"/>
            </w:r>
          </w:hyperlink>
        </w:p>
        <w:p w:rsidR="003868A8" w:rsidRDefault="00130887" w:rsidP="00654ADC">
          <w:pPr>
            <w:pStyle w:val="TOC1"/>
            <w:spacing w:line="240" w:lineRule="auto"/>
            <w:rPr>
              <w:b w:val="0"/>
            </w:rPr>
          </w:pPr>
          <w:hyperlink w:anchor="_Toc361085309" w:history="1">
            <w:r w:rsidR="003868A8" w:rsidRPr="00461970">
              <w:rPr>
                <w:rStyle w:val="Hyperlink"/>
              </w:rPr>
              <w:t>4.</w:t>
            </w:r>
            <w:r w:rsidR="003868A8">
              <w:rPr>
                <w:b w:val="0"/>
              </w:rPr>
              <w:tab/>
            </w:r>
            <w:r w:rsidR="003868A8" w:rsidRPr="00461970">
              <w:rPr>
                <w:rStyle w:val="Hyperlink"/>
              </w:rPr>
              <w:t xml:space="preserve">Developing positive indicators of </w:t>
            </w:r>
            <w:r w:rsidR="00C0682C">
              <w:rPr>
                <w:rStyle w:val="Hyperlink"/>
              </w:rPr>
              <w:t>work health and safety</w:t>
            </w:r>
            <w:r w:rsidR="003868A8">
              <w:rPr>
                <w:webHidden/>
              </w:rPr>
              <w:tab/>
            </w:r>
            <w:r w:rsidR="003868A8">
              <w:rPr>
                <w:webHidden/>
              </w:rPr>
              <w:fldChar w:fldCharType="begin"/>
            </w:r>
            <w:r w:rsidR="003868A8">
              <w:rPr>
                <w:webHidden/>
              </w:rPr>
              <w:instrText xml:space="preserve"> PAGEREF _Toc361085309 \h </w:instrText>
            </w:r>
            <w:r w:rsidR="003868A8">
              <w:rPr>
                <w:webHidden/>
              </w:rPr>
            </w:r>
            <w:r w:rsidR="003868A8">
              <w:rPr>
                <w:webHidden/>
              </w:rPr>
              <w:fldChar w:fldCharType="separate"/>
            </w:r>
            <w:r w:rsidR="00E6242C">
              <w:rPr>
                <w:webHidden/>
              </w:rPr>
              <w:t>18</w:t>
            </w:r>
            <w:r w:rsidR="003868A8">
              <w:rPr>
                <w:webHidden/>
              </w:rPr>
              <w:fldChar w:fldCharType="end"/>
            </w:r>
          </w:hyperlink>
        </w:p>
        <w:p w:rsidR="003868A8" w:rsidRDefault="00130887" w:rsidP="00654ADC">
          <w:pPr>
            <w:pStyle w:val="TOC2"/>
            <w:spacing w:line="240" w:lineRule="auto"/>
          </w:pPr>
          <w:hyperlink w:anchor="_Toc361085310" w:history="1">
            <w:r w:rsidR="003868A8" w:rsidRPr="00461970">
              <w:rPr>
                <w:rStyle w:val="Hyperlink"/>
              </w:rPr>
              <w:t>4.1</w:t>
            </w:r>
            <w:r w:rsidR="003868A8">
              <w:tab/>
            </w:r>
            <w:r w:rsidR="003868A8" w:rsidRPr="00461970">
              <w:rPr>
                <w:rStyle w:val="Hyperlink"/>
              </w:rPr>
              <w:t>What are positive (leading) performance indicators?</w:t>
            </w:r>
            <w:r w:rsidR="003868A8">
              <w:rPr>
                <w:webHidden/>
              </w:rPr>
              <w:tab/>
            </w:r>
            <w:r w:rsidR="003868A8">
              <w:rPr>
                <w:webHidden/>
              </w:rPr>
              <w:fldChar w:fldCharType="begin"/>
            </w:r>
            <w:r w:rsidR="003868A8">
              <w:rPr>
                <w:webHidden/>
              </w:rPr>
              <w:instrText xml:space="preserve"> PAGEREF _Toc361085310 \h </w:instrText>
            </w:r>
            <w:r w:rsidR="003868A8">
              <w:rPr>
                <w:webHidden/>
              </w:rPr>
            </w:r>
            <w:r w:rsidR="003868A8">
              <w:rPr>
                <w:webHidden/>
              </w:rPr>
              <w:fldChar w:fldCharType="separate"/>
            </w:r>
            <w:r w:rsidR="00E6242C">
              <w:rPr>
                <w:webHidden/>
              </w:rPr>
              <w:t>18</w:t>
            </w:r>
            <w:r w:rsidR="003868A8">
              <w:rPr>
                <w:webHidden/>
              </w:rPr>
              <w:fldChar w:fldCharType="end"/>
            </w:r>
          </w:hyperlink>
        </w:p>
        <w:p w:rsidR="003868A8" w:rsidRDefault="00130887" w:rsidP="00654ADC">
          <w:pPr>
            <w:pStyle w:val="TOC2"/>
            <w:spacing w:line="240" w:lineRule="auto"/>
          </w:pPr>
          <w:hyperlink w:anchor="_Toc361085311" w:history="1">
            <w:r w:rsidR="003868A8" w:rsidRPr="00461970">
              <w:rPr>
                <w:rStyle w:val="Hyperlink"/>
              </w:rPr>
              <w:t>4.2</w:t>
            </w:r>
            <w:r w:rsidR="003868A8">
              <w:tab/>
            </w:r>
            <w:r w:rsidR="003868A8" w:rsidRPr="00461970">
              <w:rPr>
                <w:rStyle w:val="Hyperlink"/>
              </w:rPr>
              <w:t>How are positive performance indicators (PPIs) developed?</w:t>
            </w:r>
            <w:r w:rsidR="003868A8">
              <w:rPr>
                <w:webHidden/>
              </w:rPr>
              <w:tab/>
            </w:r>
            <w:r w:rsidR="003868A8">
              <w:rPr>
                <w:webHidden/>
              </w:rPr>
              <w:fldChar w:fldCharType="begin"/>
            </w:r>
            <w:r w:rsidR="003868A8">
              <w:rPr>
                <w:webHidden/>
              </w:rPr>
              <w:instrText xml:space="preserve"> PAGEREF _Toc361085311 \h </w:instrText>
            </w:r>
            <w:r w:rsidR="003868A8">
              <w:rPr>
                <w:webHidden/>
              </w:rPr>
            </w:r>
            <w:r w:rsidR="003868A8">
              <w:rPr>
                <w:webHidden/>
              </w:rPr>
              <w:fldChar w:fldCharType="separate"/>
            </w:r>
            <w:r w:rsidR="00E6242C">
              <w:rPr>
                <w:webHidden/>
              </w:rPr>
              <w:t>19</w:t>
            </w:r>
            <w:r w:rsidR="003868A8">
              <w:rPr>
                <w:webHidden/>
              </w:rPr>
              <w:fldChar w:fldCharType="end"/>
            </w:r>
          </w:hyperlink>
        </w:p>
        <w:p w:rsidR="003868A8" w:rsidRDefault="00130887" w:rsidP="00654ADC">
          <w:pPr>
            <w:pStyle w:val="TOC2"/>
            <w:spacing w:line="240" w:lineRule="auto"/>
          </w:pPr>
          <w:hyperlink w:anchor="_Toc361085312" w:history="1">
            <w:r w:rsidR="003868A8" w:rsidRPr="00461970">
              <w:rPr>
                <w:rStyle w:val="Hyperlink"/>
              </w:rPr>
              <w:t>4.3</w:t>
            </w:r>
            <w:r w:rsidR="003868A8">
              <w:tab/>
            </w:r>
            <w:r w:rsidR="003868A8" w:rsidRPr="00461970">
              <w:rPr>
                <w:rStyle w:val="Hyperlink"/>
              </w:rPr>
              <w:t>Characteristics of high quality PPIs</w:t>
            </w:r>
            <w:r w:rsidR="003868A8">
              <w:rPr>
                <w:webHidden/>
              </w:rPr>
              <w:tab/>
            </w:r>
            <w:r w:rsidR="003868A8">
              <w:rPr>
                <w:webHidden/>
              </w:rPr>
              <w:fldChar w:fldCharType="begin"/>
            </w:r>
            <w:r w:rsidR="003868A8">
              <w:rPr>
                <w:webHidden/>
              </w:rPr>
              <w:instrText xml:space="preserve"> PAGEREF _Toc361085312 \h </w:instrText>
            </w:r>
            <w:r w:rsidR="003868A8">
              <w:rPr>
                <w:webHidden/>
              </w:rPr>
            </w:r>
            <w:r w:rsidR="003868A8">
              <w:rPr>
                <w:webHidden/>
              </w:rPr>
              <w:fldChar w:fldCharType="separate"/>
            </w:r>
            <w:r w:rsidR="00E6242C">
              <w:rPr>
                <w:webHidden/>
              </w:rPr>
              <w:t>19</w:t>
            </w:r>
            <w:r w:rsidR="003868A8">
              <w:rPr>
                <w:webHidden/>
              </w:rPr>
              <w:fldChar w:fldCharType="end"/>
            </w:r>
          </w:hyperlink>
        </w:p>
        <w:p w:rsidR="003868A8" w:rsidRDefault="00130887" w:rsidP="00654ADC">
          <w:pPr>
            <w:pStyle w:val="TOC2"/>
            <w:spacing w:line="240" w:lineRule="auto"/>
          </w:pPr>
          <w:hyperlink w:anchor="_Toc361085313" w:history="1">
            <w:r w:rsidR="003868A8" w:rsidRPr="00461970">
              <w:rPr>
                <w:rStyle w:val="Hyperlink"/>
              </w:rPr>
              <w:t>4.4</w:t>
            </w:r>
            <w:r w:rsidR="003868A8">
              <w:tab/>
            </w:r>
            <w:r w:rsidR="003868A8" w:rsidRPr="00461970">
              <w:rPr>
                <w:rStyle w:val="Hyperlink"/>
              </w:rPr>
              <w:t>Issues in developing PPIs</w:t>
            </w:r>
            <w:r w:rsidR="003868A8">
              <w:rPr>
                <w:webHidden/>
              </w:rPr>
              <w:tab/>
            </w:r>
            <w:r w:rsidR="003868A8">
              <w:rPr>
                <w:webHidden/>
              </w:rPr>
              <w:fldChar w:fldCharType="begin"/>
            </w:r>
            <w:r w:rsidR="003868A8">
              <w:rPr>
                <w:webHidden/>
              </w:rPr>
              <w:instrText xml:space="preserve"> PAGEREF _Toc361085313 \h </w:instrText>
            </w:r>
            <w:r w:rsidR="003868A8">
              <w:rPr>
                <w:webHidden/>
              </w:rPr>
            </w:r>
            <w:r w:rsidR="003868A8">
              <w:rPr>
                <w:webHidden/>
              </w:rPr>
              <w:fldChar w:fldCharType="separate"/>
            </w:r>
            <w:r w:rsidR="00E6242C">
              <w:rPr>
                <w:webHidden/>
              </w:rPr>
              <w:t>20</w:t>
            </w:r>
            <w:r w:rsidR="003868A8">
              <w:rPr>
                <w:webHidden/>
              </w:rPr>
              <w:fldChar w:fldCharType="end"/>
            </w:r>
          </w:hyperlink>
        </w:p>
        <w:p w:rsidR="003868A8" w:rsidRDefault="00130887" w:rsidP="00654ADC">
          <w:pPr>
            <w:pStyle w:val="TOC3"/>
            <w:tabs>
              <w:tab w:val="left" w:pos="1320"/>
            </w:tabs>
            <w:spacing w:line="240" w:lineRule="auto"/>
            <w:rPr>
              <w:noProof/>
            </w:rPr>
          </w:pPr>
          <w:hyperlink w:anchor="_Toc361085314" w:history="1">
            <w:r w:rsidR="003868A8" w:rsidRPr="00461970">
              <w:rPr>
                <w:rStyle w:val="Hyperlink"/>
                <w:noProof/>
              </w:rPr>
              <w:t>4.4.1</w:t>
            </w:r>
            <w:r w:rsidR="003868A8">
              <w:rPr>
                <w:noProof/>
              </w:rPr>
              <w:tab/>
            </w:r>
            <w:r w:rsidR="003868A8" w:rsidRPr="00461970">
              <w:rPr>
                <w:rStyle w:val="Hyperlink"/>
                <w:noProof/>
              </w:rPr>
              <w:t>Organisational dynamism</w:t>
            </w:r>
            <w:r w:rsidR="003868A8">
              <w:rPr>
                <w:noProof/>
                <w:webHidden/>
              </w:rPr>
              <w:tab/>
            </w:r>
            <w:r w:rsidR="003868A8">
              <w:rPr>
                <w:noProof/>
                <w:webHidden/>
              </w:rPr>
              <w:fldChar w:fldCharType="begin"/>
            </w:r>
            <w:r w:rsidR="003868A8">
              <w:rPr>
                <w:noProof/>
                <w:webHidden/>
              </w:rPr>
              <w:instrText xml:space="preserve"> PAGEREF _Toc361085314 \h </w:instrText>
            </w:r>
            <w:r w:rsidR="003868A8">
              <w:rPr>
                <w:noProof/>
                <w:webHidden/>
              </w:rPr>
            </w:r>
            <w:r w:rsidR="003868A8">
              <w:rPr>
                <w:noProof/>
                <w:webHidden/>
              </w:rPr>
              <w:fldChar w:fldCharType="separate"/>
            </w:r>
            <w:r w:rsidR="00E6242C">
              <w:rPr>
                <w:noProof/>
                <w:webHidden/>
              </w:rPr>
              <w:t>20</w:t>
            </w:r>
            <w:r w:rsidR="003868A8">
              <w:rPr>
                <w:noProof/>
                <w:webHidden/>
              </w:rPr>
              <w:fldChar w:fldCharType="end"/>
            </w:r>
          </w:hyperlink>
        </w:p>
        <w:p w:rsidR="003868A8" w:rsidRDefault="00130887" w:rsidP="00654ADC">
          <w:pPr>
            <w:pStyle w:val="TOC3"/>
            <w:tabs>
              <w:tab w:val="left" w:pos="1320"/>
            </w:tabs>
            <w:spacing w:line="240" w:lineRule="auto"/>
            <w:rPr>
              <w:noProof/>
            </w:rPr>
          </w:pPr>
          <w:hyperlink w:anchor="_Toc361085315" w:history="1">
            <w:r w:rsidR="003868A8" w:rsidRPr="00461970">
              <w:rPr>
                <w:rStyle w:val="Hyperlink"/>
                <w:noProof/>
              </w:rPr>
              <w:t>4.4.2</w:t>
            </w:r>
            <w:r w:rsidR="003868A8">
              <w:rPr>
                <w:noProof/>
              </w:rPr>
              <w:tab/>
            </w:r>
            <w:r w:rsidR="003868A8" w:rsidRPr="00461970">
              <w:rPr>
                <w:rStyle w:val="Hyperlink"/>
                <w:noProof/>
              </w:rPr>
              <w:t>Imprecise links to outcomes</w:t>
            </w:r>
            <w:r w:rsidR="003868A8">
              <w:rPr>
                <w:noProof/>
                <w:webHidden/>
              </w:rPr>
              <w:tab/>
            </w:r>
            <w:r w:rsidR="003868A8">
              <w:rPr>
                <w:noProof/>
                <w:webHidden/>
              </w:rPr>
              <w:fldChar w:fldCharType="begin"/>
            </w:r>
            <w:r w:rsidR="003868A8">
              <w:rPr>
                <w:noProof/>
                <w:webHidden/>
              </w:rPr>
              <w:instrText xml:space="preserve"> PAGEREF _Toc361085315 \h </w:instrText>
            </w:r>
            <w:r w:rsidR="003868A8">
              <w:rPr>
                <w:noProof/>
                <w:webHidden/>
              </w:rPr>
            </w:r>
            <w:r w:rsidR="003868A8">
              <w:rPr>
                <w:noProof/>
                <w:webHidden/>
              </w:rPr>
              <w:fldChar w:fldCharType="separate"/>
            </w:r>
            <w:r w:rsidR="00E6242C">
              <w:rPr>
                <w:noProof/>
                <w:webHidden/>
              </w:rPr>
              <w:t>20</w:t>
            </w:r>
            <w:r w:rsidR="003868A8">
              <w:rPr>
                <w:noProof/>
                <w:webHidden/>
              </w:rPr>
              <w:fldChar w:fldCharType="end"/>
            </w:r>
          </w:hyperlink>
        </w:p>
        <w:p w:rsidR="003868A8" w:rsidRDefault="00130887" w:rsidP="00654ADC">
          <w:pPr>
            <w:pStyle w:val="TOC3"/>
            <w:tabs>
              <w:tab w:val="left" w:pos="1320"/>
            </w:tabs>
            <w:spacing w:line="240" w:lineRule="auto"/>
            <w:rPr>
              <w:noProof/>
            </w:rPr>
          </w:pPr>
          <w:hyperlink w:anchor="_Toc361085316" w:history="1">
            <w:r w:rsidR="003868A8" w:rsidRPr="00461970">
              <w:rPr>
                <w:rStyle w:val="Hyperlink"/>
                <w:noProof/>
              </w:rPr>
              <w:t>4.4.3</w:t>
            </w:r>
            <w:r w:rsidR="003868A8">
              <w:rPr>
                <w:noProof/>
              </w:rPr>
              <w:tab/>
            </w:r>
            <w:r w:rsidR="003868A8" w:rsidRPr="00461970">
              <w:rPr>
                <w:rStyle w:val="Hyperlink"/>
                <w:noProof/>
              </w:rPr>
              <w:t>Implementation issues</w:t>
            </w:r>
            <w:r w:rsidR="003868A8">
              <w:rPr>
                <w:noProof/>
                <w:webHidden/>
              </w:rPr>
              <w:tab/>
            </w:r>
            <w:r w:rsidR="003868A8">
              <w:rPr>
                <w:noProof/>
                <w:webHidden/>
              </w:rPr>
              <w:fldChar w:fldCharType="begin"/>
            </w:r>
            <w:r w:rsidR="003868A8">
              <w:rPr>
                <w:noProof/>
                <w:webHidden/>
              </w:rPr>
              <w:instrText xml:space="preserve"> PAGEREF _Toc361085316 \h </w:instrText>
            </w:r>
            <w:r w:rsidR="003868A8">
              <w:rPr>
                <w:noProof/>
                <w:webHidden/>
              </w:rPr>
            </w:r>
            <w:r w:rsidR="003868A8">
              <w:rPr>
                <w:noProof/>
                <w:webHidden/>
              </w:rPr>
              <w:fldChar w:fldCharType="separate"/>
            </w:r>
            <w:r w:rsidR="00E6242C">
              <w:rPr>
                <w:noProof/>
                <w:webHidden/>
              </w:rPr>
              <w:t>21</w:t>
            </w:r>
            <w:r w:rsidR="003868A8">
              <w:rPr>
                <w:noProof/>
                <w:webHidden/>
              </w:rPr>
              <w:fldChar w:fldCharType="end"/>
            </w:r>
          </w:hyperlink>
        </w:p>
        <w:p w:rsidR="003868A8" w:rsidRDefault="00130887" w:rsidP="00654ADC">
          <w:pPr>
            <w:pStyle w:val="TOC2"/>
            <w:spacing w:line="240" w:lineRule="auto"/>
          </w:pPr>
          <w:hyperlink w:anchor="_Toc361085317" w:history="1">
            <w:r w:rsidR="003868A8" w:rsidRPr="00461970">
              <w:rPr>
                <w:rStyle w:val="Hyperlink"/>
              </w:rPr>
              <w:t>4.5</w:t>
            </w:r>
            <w:r w:rsidR="003868A8">
              <w:tab/>
            </w:r>
            <w:r w:rsidR="003868A8" w:rsidRPr="00461970">
              <w:rPr>
                <w:rStyle w:val="Hyperlink"/>
              </w:rPr>
              <w:t>Existing guidance</w:t>
            </w:r>
            <w:r w:rsidR="003868A8">
              <w:rPr>
                <w:webHidden/>
              </w:rPr>
              <w:tab/>
            </w:r>
            <w:r w:rsidR="003868A8">
              <w:rPr>
                <w:webHidden/>
              </w:rPr>
              <w:fldChar w:fldCharType="begin"/>
            </w:r>
            <w:r w:rsidR="003868A8">
              <w:rPr>
                <w:webHidden/>
              </w:rPr>
              <w:instrText xml:space="preserve"> PAGEREF _Toc361085317 \h </w:instrText>
            </w:r>
            <w:r w:rsidR="003868A8">
              <w:rPr>
                <w:webHidden/>
              </w:rPr>
            </w:r>
            <w:r w:rsidR="003868A8">
              <w:rPr>
                <w:webHidden/>
              </w:rPr>
              <w:fldChar w:fldCharType="separate"/>
            </w:r>
            <w:r w:rsidR="00E6242C">
              <w:rPr>
                <w:webHidden/>
              </w:rPr>
              <w:t>21</w:t>
            </w:r>
            <w:r w:rsidR="003868A8">
              <w:rPr>
                <w:webHidden/>
              </w:rPr>
              <w:fldChar w:fldCharType="end"/>
            </w:r>
          </w:hyperlink>
        </w:p>
        <w:p w:rsidR="003868A8" w:rsidRDefault="00130887" w:rsidP="00654ADC">
          <w:pPr>
            <w:pStyle w:val="TOC1"/>
            <w:spacing w:line="240" w:lineRule="auto"/>
            <w:rPr>
              <w:b w:val="0"/>
            </w:rPr>
          </w:pPr>
          <w:hyperlink w:anchor="_Toc361085318" w:history="1">
            <w:r w:rsidR="003868A8" w:rsidRPr="00461970">
              <w:rPr>
                <w:rStyle w:val="Hyperlink"/>
              </w:rPr>
              <w:t>5.</w:t>
            </w:r>
            <w:r w:rsidR="003868A8">
              <w:rPr>
                <w:b w:val="0"/>
              </w:rPr>
              <w:tab/>
            </w:r>
            <w:r w:rsidR="003868A8" w:rsidRPr="00461970">
              <w:rPr>
                <w:rStyle w:val="Hyperlink"/>
              </w:rPr>
              <w:t xml:space="preserve">Reporting on </w:t>
            </w:r>
            <w:r w:rsidR="00C0682C">
              <w:rPr>
                <w:rStyle w:val="Hyperlink"/>
              </w:rPr>
              <w:t>work health and safety</w:t>
            </w:r>
            <w:r w:rsidR="003868A8">
              <w:rPr>
                <w:webHidden/>
              </w:rPr>
              <w:tab/>
            </w:r>
            <w:r w:rsidR="003868A8">
              <w:rPr>
                <w:webHidden/>
              </w:rPr>
              <w:fldChar w:fldCharType="begin"/>
            </w:r>
            <w:r w:rsidR="003868A8">
              <w:rPr>
                <w:webHidden/>
              </w:rPr>
              <w:instrText xml:space="preserve"> PAGEREF _Toc361085318 \h </w:instrText>
            </w:r>
            <w:r w:rsidR="003868A8">
              <w:rPr>
                <w:webHidden/>
              </w:rPr>
            </w:r>
            <w:r w:rsidR="003868A8">
              <w:rPr>
                <w:webHidden/>
              </w:rPr>
              <w:fldChar w:fldCharType="separate"/>
            </w:r>
            <w:r w:rsidR="00E6242C">
              <w:rPr>
                <w:webHidden/>
              </w:rPr>
              <w:t>22</w:t>
            </w:r>
            <w:r w:rsidR="003868A8">
              <w:rPr>
                <w:webHidden/>
              </w:rPr>
              <w:fldChar w:fldCharType="end"/>
            </w:r>
          </w:hyperlink>
        </w:p>
        <w:p w:rsidR="003868A8" w:rsidRDefault="00130887" w:rsidP="00654ADC">
          <w:pPr>
            <w:pStyle w:val="TOC2"/>
            <w:spacing w:line="240" w:lineRule="auto"/>
          </w:pPr>
          <w:hyperlink w:anchor="_Toc361085319" w:history="1">
            <w:r w:rsidR="003868A8" w:rsidRPr="00461970">
              <w:rPr>
                <w:rStyle w:val="Hyperlink"/>
              </w:rPr>
              <w:t>5.1</w:t>
            </w:r>
            <w:r w:rsidR="003868A8">
              <w:tab/>
            </w:r>
            <w:r w:rsidR="003868A8" w:rsidRPr="00461970">
              <w:rPr>
                <w:rStyle w:val="Hyperlink"/>
              </w:rPr>
              <w:t>Mandatory</w:t>
            </w:r>
            <w:r w:rsidR="006F25C3">
              <w:rPr>
                <w:rStyle w:val="Hyperlink"/>
              </w:rPr>
              <w:t xml:space="preserve"> work health and safety</w:t>
            </w:r>
            <w:r w:rsidR="003868A8" w:rsidRPr="00461970">
              <w:rPr>
                <w:rStyle w:val="Hyperlink"/>
              </w:rPr>
              <w:t xml:space="preserve"> reporting</w:t>
            </w:r>
            <w:r w:rsidR="003868A8">
              <w:rPr>
                <w:webHidden/>
              </w:rPr>
              <w:tab/>
            </w:r>
            <w:r w:rsidR="003868A8">
              <w:rPr>
                <w:webHidden/>
              </w:rPr>
              <w:fldChar w:fldCharType="begin"/>
            </w:r>
            <w:r w:rsidR="003868A8">
              <w:rPr>
                <w:webHidden/>
              </w:rPr>
              <w:instrText xml:space="preserve"> PAGEREF _Toc361085319 \h </w:instrText>
            </w:r>
            <w:r w:rsidR="003868A8">
              <w:rPr>
                <w:webHidden/>
              </w:rPr>
            </w:r>
            <w:r w:rsidR="003868A8">
              <w:rPr>
                <w:webHidden/>
              </w:rPr>
              <w:fldChar w:fldCharType="separate"/>
            </w:r>
            <w:r w:rsidR="00E6242C">
              <w:rPr>
                <w:webHidden/>
              </w:rPr>
              <w:t>22</w:t>
            </w:r>
            <w:r w:rsidR="003868A8">
              <w:rPr>
                <w:webHidden/>
              </w:rPr>
              <w:fldChar w:fldCharType="end"/>
            </w:r>
          </w:hyperlink>
        </w:p>
        <w:p w:rsidR="003868A8" w:rsidRDefault="00130887" w:rsidP="00654ADC">
          <w:pPr>
            <w:pStyle w:val="TOC2"/>
            <w:spacing w:line="240" w:lineRule="auto"/>
          </w:pPr>
          <w:hyperlink w:anchor="_Toc361085320" w:history="1">
            <w:r w:rsidR="003868A8" w:rsidRPr="00461970">
              <w:rPr>
                <w:rStyle w:val="Hyperlink"/>
              </w:rPr>
              <w:t>5.2</w:t>
            </w:r>
            <w:r w:rsidR="003868A8">
              <w:tab/>
            </w:r>
            <w:r w:rsidR="006F25C3">
              <w:rPr>
                <w:rStyle w:val="Hyperlink"/>
              </w:rPr>
              <w:t>Voluntary work health and safety</w:t>
            </w:r>
            <w:r w:rsidR="003868A8" w:rsidRPr="00461970">
              <w:rPr>
                <w:rStyle w:val="Hyperlink"/>
              </w:rPr>
              <w:t xml:space="preserve"> reporting</w:t>
            </w:r>
            <w:r w:rsidR="003868A8">
              <w:rPr>
                <w:webHidden/>
              </w:rPr>
              <w:tab/>
            </w:r>
            <w:r w:rsidR="003868A8">
              <w:rPr>
                <w:webHidden/>
              </w:rPr>
              <w:fldChar w:fldCharType="begin"/>
            </w:r>
            <w:r w:rsidR="003868A8">
              <w:rPr>
                <w:webHidden/>
              </w:rPr>
              <w:instrText xml:space="preserve"> PAGEREF _Toc361085320 \h </w:instrText>
            </w:r>
            <w:r w:rsidR="003868A8">
              <w:rPr>
                <w:webHidden/>
              </w:rPr>
            </w:r>
            <w:r w:rsidR="003868A8">
              <w:rPr>
                <w:webHidden/>
              </w:rPr>
              <w:fldChar w:fldCharType="separate"/>
            </w:r>
            <w:r w:rsidR="00E6242C">
              <w:rPr>
                <w:webHidden/>
              </w:rPr>
              <w:t>24</w:t>
            </w:r>
            <w:r w:rsidR="003868A8">
              <w:rPr>
                <w:webHidden/>
              </w:rPr>
              <w:fldChar w:fldCharType="end"/>
            </w:r>
          </w:hyperlink>
        </w:p>
        <w:p w:rsidR="003868A8" w:rsidRDefault="00130887" w:rsidP="00654ADC">
          <w:pPr>
            <w:pStyle w:val="TOC2"/>
            <w:spacing w:line="240" w:lineRule="auto"/>
          </w:pPr>
          <w:hyperlink w:anchor="_Toc361085321" w:history="1">
            <w:r w:rsidR="003868A8" w:rsidRPr="00461970">
              <w:rPr>
                <w:rStyle w:val="Hyperlink"/>
              </w:rPr>
              <w:t>5.3</w:t>
            </w:r>
            <w:r w:rsidR="003868A8">
              <w:tab/>
            </w:r>
            <w:r w:rsidR="003868A8" w:rsidRPr="00461970">
              <w:rPr>
                <w:rStyle w:val="Hyperlink"/>
              </w:rPr>
              <w:t>Existing frameworks and guidance</w:t>
            </w:r>
            <w:r w:rsidR="003868A8">
              <w:rPr>
                <w:webHidden/>
              </w:rPr>
              <w:tab/>
            </w:r>
            <w:r w:rsidR="003868A8">
              <w:rPr>
                <w:webHidden/>
              </w:rPr>
              <w:fldChar w:fldCharType="begin"/>
            </w:r>
            <w:r w:rsidR="003868A8">
              <w:rPr>
                <w:webHidden/>
              </w:rPr>
              <w:instrText xml:space="preserve"> PAGEREF _Toc361085321 \h </w:instrText>
            </w:r>
            <w:r w:rsidR="003868A8">
              <w:rPr>
                <w:webHidden/>
              </w:rPr>
            </w:r>
            <w:r w:rsidR="003868A8">
              <w:rPr>
                <w:webHidden/>
              </w:rPr>
              <w:fldChar w:fldCharType="separate"/>
            </w:r>
            <w:r w:rsidR="00E6242C">
              <w:rPr>
                <w:webHidden/>
              </w:rPr>
              <w:t>24</w:t>
            </w:r>
            <w:r w:rsidR="003868A8">
              <w:rPr>
                <w:webHidden/>
              </w:rPr>
              <w:fldChar w:fldCharType="end"/>
            </w:r>
          </w:hyperlink>
        </w:p>
        <w:p w:rsidR="003868A8" w:rsidRDefault="00130887" w:rsidP="00654ADC">
          <w:pPr>
            <w:pStyle w:val="TOC2"/>
            <w:spacing w:line="240" w:lineRule="auto"/>
          </w:pPr>
          <w:hyperlink w:anchor="_Toc361085322" w:history="1">
            <w:r w:rsidR="003868A8" w:rsidRPr="00461970">
              <w:rPr>
                <w:rStyle w:val="Hyperlink"/>
              </w:rPr>
              <w:t>5.4</w:t>
            </w:r>
            <w:r w:rsidR="003868A8">
              <w:tab/>
            </w:r>
            <w:r w:rsidR="003868A8" w:rsidRPr="00461970">
              <w:rPr>
                <w:rStyle w:val="Hyperlink"/>
              </w:rPr>
              <w:t>Future directions</w:t>
            </w:r>
            <w:r w:rsidR="003868A8">
              <w:rPr>
                <w:webHidden/>
              </w:rPr>
              <w:tab/>
            </w:r>
            <w:r w:rsidR="003868A8">
              <w:rPr>
                <w:webHidden/>
              </w:rPr>
              <w:fldChar w:fldCharType="begin"/>
            </w:r>
            <w:r w:rsidR="003868A8">
              <w:rPr>
                <w:webHidden/>
              </w:rPr>
              <w:instrText xml:space="preserve"> PAGEREF _Toc361085322 \h </w:instrText>
            </w:r>
            <w:r w:rsidR="003868A8">
              <w:rPr>
                <w:webHidden/>
              </w:rPr>
            </w:r>
            <w:r w:rsidR="003868A8">
              <w:rPr>
                <w:webHidden/>
              </w:rPr>
              <w:fldChar w:fldCharType="separate"/>
            </w:r>
            <w:r w:rsidR="00E6242C">
              <w:rPr>
                <w:webHidden/>
              </w:rPr>
              <w:t>25</w:t>
            </w:r>
            <w:r w:rsidR="003868A8">
              <w:rPr>
                <w:webHidden/>
              </w:rPr>
              <w:fldChar w:fldCharType="end"/>
            </w:r>
          </w:hyperlink>
        </w:p>
        <w:p w:rsidR="003868A8" w:rsidRDefault="00130887" w:rsidP="00654ADC">
          <w:pPr>
            <w:pStyle w:val="TOC1"/>
            <w:spacing w:line="240" w:lineRule="auto"/>
            <w:rPr>
              <w:b w:val="0"/>
            </w:rPr>
          </w:pPr>
          <w:hyperlink w:anchor="_Toc361085323" w:history="1">
            <w:r w:rsidR="003868A8" w:rsidRPr="00461970">
              <w:rPr>
                <w:rStyle w:val="Hyperlink"/>
              </w:rPr>
              <w:t>6.</w:t>
            </w:r>
            <w:r w:rsidR="003868A8">
              <w:rPr>
                <w:b w:val="0"/>
              </w:rPr>
              <w:tab/>
            </w:r>
            <w:r w:rsidR="003868A8" w:rsidRPr="00461970">
              <w:rPr>
                <w:rStyle w:val="Hyperlink"/>
              </w:rPr>
              <w:t>Conclusion</w:t>
            </w:r>
            <w:r w:rsidR="003868A8">
              <w:rPr>
                <w:webHidden/>
              </w:rPr>
              <w:tab/>
            </w:r>
            <w:r w:rsidR="003868A8">
              <w:rPr>
                <w:webHidden/>
              </w:rPr>
              <w:fldChar w:fldCharType="begin"/>
            </w:r>
            <w:r w:rsidR="003868A8">
              <w:rPr>
                <w:webHidden/>
              </w:rPr>
              <w:instrText xml:space="preserve"> PAGEREF _Toc361085323 \h </w:instrText>
            </w:r>
            <w:r w:rsidR="003868A8">
              <w:rPr>
                <w:webHidden/>
              </w:rPr>
            </w:r>
            <w:r w:rsidR="003868A8">
              <w:rPr>
                <w:webHidden/>
              </w:rPr>
              <w:fldChar w:fldCharType="separate"/>
            </w:r>
            <w:r w:rsidR="00E6242C">
              <w:rPr>
                <w:webHidden/>
              </w:rPr>
              <w:t>25</w:t>
            </w:r>
            <w:r w:rsidR="003868A8">
              <w:rPr>
                <w:webHidden/>
              </w:rPr>
              <w:fldChar w:fldCharType="end"/>
            </w:r>
          </w:hyperlink>
        </w:p>
        <w:p w:rsidR="003868A8" w:rsidRDefault="00130887" w:rsidP="00654ADC">
          <w:pPr>
            <w:pStyle w:val="TOC1"/>
            <w:spacing w:line="240" w:lineRule="auto"/>
            <w:rPr>
              <w:b w:val="0"/>
            </w:rPr>
          </w:pPr>
          <w:hyperlink w:anchor="_Toc361085324" w:history="1">
            <w:r w:rsidR="003868A8" w:rsidRPr="00461970">
              <w:rPr>
                <w:rStyle w:val="Hyperlink"/>
              </w:rPr>
              <w:t>7.</w:t>
            </w:r>
            <w:r w:rsidR="003868A8">
              <w:rPr>
                <w:b w:val="0"/>
              </w:rPr>
              <w:tab/>
            </w:r>
            <w:r w:rsidR="003868A8" w:rsidRPr="00461970">
              <w:rPr>
                <w:rStyle w:val="Hyperlink"/>
              </w:rPr>
              <w:t>References</w:t>
            </w:r>
            <w:r w:rsidR="003868A8">
              <w:rPr>
                <w:webHidden/>
              </w:rPr>
              <w:tab/>
            </w:r>
            <w:r w:rsidR="003868A8">
              <w:rPr>
                <w:webHidden/>
              </w:rPr>
              <w:fldChar w:fldCharType="begin"/>
            </w:r>
            <w:r w:rsidR="003868A8">
              <w:rPr>
                <w:webHidden/>
              </w:rPr>
              <w:instrText xml:space="preserve"> PAGEREF _Toc361085324 \h </w:instrText>
            </w:r>
            <w:r w:rsidR="003868A8">
              <w:rPr>
                <w:webHidden/>
              </w:rPr>
            </w:r>
            <w:r w:rsidR="003868A8">
              <w:rPr>
                <w:webHidden/>
              </w:rPr>
              <w:fldChar w:fldCharType="separate"/>
            </w:r>
            <w:r w:rsidR="00E6242C">
              <w:rPr>
                <w:webHidden/>
              </w:rPr>
              <w:t>26</w:t>
            </w:r>
            <w:r w:rsidR="003868A8">
              <w:rPr>
                <w:webHidden/>
              </w:rPr>
              <w:fldChar w:fldCharType="end"/>
            </w:r>
          </w:hyperlink>
        </w:p>
        <w:p w:rsidR="003868A8" w:rsidRDefault="00130887" w:rsidP="00654ADC">
          <w:pPr>
            <w:pStyle w:val="TOC1"/>
            <w:spacing w:line="240" w:lineRule="auto"/>
            <w:rPr>
              <w:b w:val="0"/>
            </w:rPr>
          </w:pPr>
          <w:hyperlink w:anchor="_Toc361085325" w:history="1">
            <w:r w:rsidR="003868A8" w:rsidRPr="00461970">
              <w:rPr>
                <w:rStyle w:val="Hyperlink"/>
              </w:rPr>
              <w:t>8.</w:t>
            </w:r>
            <w:r w:rsidR="003868A8">
              <w:rPr>
                <w:b w:val="0"/>
              </w:rPr>
              <w:tab/>
            </w:r>
            <w:r w:rsidR="003868A8" w:rsidRPr="00461970">
              <w:rPr>
                <w:rStyle w:val="Hyperlink"/>
              </w:rPr>
              <w:t>Appendices</w:t>
            </w:r>
            <w:r w:rsidR="003868A8">
              <w:rPr>
                <w:webHidden/>
              </w:rPr>
              <w:tab/>
            </w:r>
            <w:r w:rsidR="003868A8">
              <w:rPr>
                <w:webHidden/>
              </w:rPr>
              <w:fldChar w:fldCharType="begin"/>
            </w:r>
            <w:r w:rsidR="003868A8">
              <w:rPr>
                <w:webHidden/>
              </w:rPr>
              <w:instrText xml:space="preserve"> PAGEREF _Toc361085325 \h </w:instrText>
            </w:r>
            <w:r w:rsidR="003868A8">
              <w:rPr>
                <w:webHidden/>
              </w:rPr>
            </w:r>
            <w:r w:rsidR="003868A8">
              <w:rPr>
                <w:webHidden/>
              </w:rPr>
              <w:fldChar w:fldCharType="separate"/>
            </w:r>
            <w:r w:rsidR="00E6242C">
              <w:rPr>
                <w:webHidden/>
              </w:rPr>
              <w:t>29</w:t>
            </w:r>
            <w:r w:rsidR="003868A8">
              <w:rPr>
                <w:webHidden/>
              </w:rPr>
              <w:fldChar w:fldCharType="end"/>
            </w:r>
          </w:hyperlink>
        </w:p>
        <w:p w:rsidR="00B2541F" w:rsidRPr="00A24B62" w:rsidRDefault="00D515BB" w:rsidP="00654ADC">
          <w:pPr>
            <w:tabs>
              <w:tab w:val="left" w:pos="440"/>
              <w:tab w:val="right" w:leader="dot" w:pos="9072"/>
            </w:tabs>
            <w:spacing w:after="60" w:line="240" w:lineRule="auto"/>
            <w:ind w:left="426" w:right="-24" w:hanging="426"/>
          </w:pPr>
          <w:r w:rsidRPr="000D1925">
            <w:rPr>
              <w:b/>
              <w:bCs/>
              <w:noProof/>
            </w:rPr>
            <w:fldChar w:fldCharType="end"/>
          </w:r>
        </w:p>
      </w:sdtContent>
    </w:sdt>
    <w:p w:rsidR="002908E3" w:rsidRPr="002707A7" w:rsidRDefault="002908E3" w:rsidP="005B00C5">
      <w:pPr>
        <w:pStyle w:val="Heading1"/>
        <w:numPr>
          <w:ilvl w:val="0"/>
          <w:numId w:val="19"/>
        </w:numPr>
        <w:tabs>
          <w:tab w:val="center" w:pos="4607"/>
          <w:tab w:val="left" w:pos="5670"/>
        </w:tabs>
        <w:spacing w:before="360" w:after="120"/>
        <w:ind w:left="425" w:hanging="425"/>
        <w:rPr>
          <w:rFonts w:asciiTheme="minorHAnsi" w:hAnsiTheme="minorHAnsi"/>
          <w:sz w:val="30"/>
          <w:szCs w:val="30"/>
        </w:rPr>
      </w:pPr>
      <w:bookmarkStart w:id="1" w:name="_Toc361085291"/>
      <w:r w:rsidRPr="002707A7">
        <w:rPr>
          <w:rFonts w:asciiTheme="minorHAnsi" w:hAnsiTheme="minorHAnsi"/>
          <w:sz w:val="30"/>
          <w:szCs w:val="30"/>
        </w:rPr>
        <w:lastRenderedPageBreak/>
        <w:t>Executive Summary</w:t>
      </w:r>
      <w:bookmarkEnd w:id="1"/>
    </w:p>
    <w:p w:rsidR="00857EF4" w:rsidRDefault="00857EF4" w:rsidP="000D1925">
      <w:pPr>
        <w:tabs>
          <w:tab w:val="left" w:pos="5670"/>
        </w:tabs>
        <w:spacing w:after="180"/>
        <w:jc w:val="both"/>
        <w:rPr>
          <w:rFonts w:eastAsia="Times New Roman" w:cs="Arial"/>
        </w:rPr>
      </w:pPr>
      <w:r>
        <w:rPr>
          <w:rFonts w:eastAsia="Times New Roman" w:cs="Arial"/>
        </w:rPr>
        <w:t>Current a</w:t>
      </w:r>
      <w:r w:rsidRPr="00015134">
        <w:rPr>
          <w:rFonts w:eastAsia="Times New Roman" w:cs="Arial"/>
        </w:rPr>
        <w:t xml:space="preserve">dvances in </w:t>
      </w:r>
      <w:r w:rsidR="002E4D8A">
        <w:rPr>
          <w:rFonts w:eastAsia="Times New Roman" w:cs="Arial"/>
        </w:rPr>
        <w:t xml:space="preserve">the </w:t>
      </w:r>
      <w:r w:rsidR="002E4D8A" w:rsidRPr="00015134">
        <w:rPr>
          <w:rFonts w:eastAsia="Times New Roman" w:cs="Arial"/>
        </w:rPr>
        <w:t>theory and practice</w:t>
      </w:r>
      <w:r w:rsidR="002E4D8A">
        <w:rPr>
          <w:rFonts w:eastAsia="Times New Roman" w:cs="Arial"/>
        </w:rPr>
        <w:t xml:space="preserve"> of</w:t>
      </w:r>
      <w:r w:rsidR="002E4D8A" w:rsidRPr="00015134">
        <w:rPr>
          <w:rFonts w:eastAsia="Times New Roman" w:cs="Arial"/>
        </w:rPr>
        <w:t xml:space="preserve"> </w:t>
      </w:r>
      <w:r w:rsidR="00651322">
        <w:rPr>
          <w:rFonts w:eastAsia="Times New Roman" w:cs="Arial"/>
        </w:rPr>
        <w:t xml:space="preserve">work health and safety </w:t>
      </w:r>
      <w:r w:rsidRPr="00015134">
        <w:rPr>
          <w:rFonts w:eastAsia="Times New Roman" w:cs="Arial"/>
        </w:rPr>
        <w:t>are underpinned by an increasingly comprehensive technical body of knowledge</w:t>
      </w:r>
      <w:r w:rsidR="00C17B7A">
        <w:rPr>
          <w:rFonts w:eastAsia="Times New Roman" w:cs="Arial"/>
        </w:rPr>
        <w:t>.</w:t>
      </w:r>
      <w:r w:rsidR="0090086F" w:rsidRPr="00015134">
        <w:rPr>
          <w:rFonts w:eastAsia="Times New Roman" w:cs="Arial"/>
          <w:vertAlign w:val="superscript"/>
        </w:rPr>
        <w:footnoteReference w:id="1"/>
      </w:r>
      <w:r w:rsidR="00C17B7A">
        <w:rPr>
          <w:rFonts w:eastAsia="Times New Roman" w:cs="Arial"/>
        </w:rPr>
        <w:t xml:space="preserve"> </w:t>
      </w:r>
      <w:r w:rsidR="002E4D8A">
        <w:rPr>
          <w:rFonts w:eastAsia="Times New Roman" w:cs="Arial"/>
        </w:rPr>
        <w:t>The c</w:t>
      </w:r>
      <w:r w:rsidRPr="00015134">
        <w:rPr>
          <w:rFonts w:eastAsia="Times New Roman" w:cs="Arial"/>
        </w:rPr>
        <w:t xml:space="preserve">ontinued improvement </w:t>
      </w:r>
      <w:r w:rsidR="00980BB4">
        <w:rPr>
          <w:rFonts w:eastAsia="Times New Roman" w:cs="Arial"/>
        </w:rPr>
        <w:t>in</w:t>
      </w:r>
      <w:r w:rsidR="00C81B04">
        <w:rPr>
          <w:rFonts w:eastAsia="Times New Roman" w:cs="Arial"/>
        </w:rPr>
        <w:t xml:space="preserve"> work health and safety</w:t>
      </w:r>
      <w:r w:rsidRPr="00015134">
        <w:rPr>
          <w:rFonts w:eastAsia="Times New Roman" w:cs="Arial"/>
        </w:rPr>
        <w:t xml:space="preserve"> </w:t>
      </w:r>
      <w:r w:rsidR="00C17B7A">
        <w:rPr>
          <w:rFonts w:eastAsia="Times New Roman" w:cs="Arial"/>
        </w:rPr>
        <w:t>has seen s</w:t>
      </w:r>
      <w:r w:rsidR="007E3F06">
        <w:rPr>
          <w:rFonts w:eastAsia="Times New Roman" w:cs="Arial"/>
        </w:rPr>
        <w:t xml:space="preserve">ignificant reductions </w:t>
      </w:r>
      <w:r w:rsidR="00C17B7A">
        <w:rPr>
          <w:rFonts w:eastAsia="Times New Roman" w:cs="Arial"/>
        </w:rPr>
        <w:t xml:space="preserve">over time </w:t>
      </w:r>
      <w:r w:rsidR="007E3F06">
        <w:rPr>
          <w:rFonts w:eastAsia="Times New Roman" w:cs="Arial"/>
        </w:rPr>
        <w:t>in work-related injury and illness frequency</w:t>
      </w:r>
      <w:r w:rsidRPr="00015134">
        <w:rPr>
          <w:rFonts w:eastAsia="Times New Roman" w:cs="Arial"/>
        </w:rPr>
        <w:t xml:space="preserve">, </w:t>
      </w:r>
      <w:r>
        <w:rPr>
          <w:rFonts w:eastAsia="Times New Roman" w:cs="Arial"/>
        </w:rPr>
        <w:t xml:space="preserve">both </w:t>
      </w:r>
      <w:r w:rsidRPr="00015134">
        <w:rPr>
          <w:rFonts w:eastAsia="Times New Roman" w:cs="Arial"/>
        </w:rPr>
        <w:t xml:space="preserve">in Australia and around the </w:t>
      </w:r>
      <w:r w:rsidR="00C17B7A">
        <w:rPr>
          <w:rFonts w:eastAsia="Times New Roman" w:cs="Arial"/>
        </w:rPr>
        <w:t>world</w:t>
      </w:r>
      <w:r w:rsidRPr="00015134">
        <w:rPr>
          <w:rFonts w:eastAsia="Times New Roman" w:cs="Arial"/>
        </w:rPr>
        <w:t xml:space="preserve">. </w:t>
      </w:r>
      <w:r w:rsidR="00C13244">
        <w:rPr>
          <w:rFonts w:eastAsia="Times New Roman" w:cs="Arial"/>
        </w:rPr>
        <w:t>Concurrently</w:t>
      </w:r>
      <w:r w:rsidR="002E4D8A">
        <w:rPr>
          <w:rFonts w:eastAsia="Times New Roman" w:cs="Arial"/>
        </w:rPr>
        <w:t xml:space="preserve"> however</w:t>
      </w:r>
      <w:r w:rsidR="007E3F06">
        <w:rPr>
          <w:rFonts w:eastAsia="Times New Roman" w:cs="Arial"/>
        </w:rPr>
        <w:t>,</w:t>
      </w:r>
      <w:r>
        <w:rPr>
          <w:rFonts w:eastAsia="Times New Roman" w:cs="Arial"/>
        </w:rPr>
        <w:t xml:space="preserve"> the </w:t>
      </w:r>
      <w:r w:rsidRPr="00857EF4">
        <w:rPr>
          <w:rFonts w:eastAsia="Times New Roman" w:cs="Arial"/>
        </w:rPr>
        <w:t xml:space="preserve">advent of globalisation and </w:t>
      </w:r>
      <w:r w:rsidR="005B5C5F">
        <w:rPr>
          <w:rFonts w:eastAsia="Times New Roman" w:cs="Arial"/>
        </w:rPr>
        <w:t xml:space="preserve">ongoing </w:t>
      </w:r>
      <w:r w:rsidRPr="00857EF4">
        <w:rPr>
          <w:rFonts w:eastAsia="Times New Roman" w:cs="Arial"/>
        </w:rPr>
        <w:t>change</w:t>
      </w:r>
      <w:r w:rsidR="00980BB4">
        <w:rPr>
          <w:rFonts w:eastAsia="Times New Roman" w:cs="Arial"/>
        </w:rPr>
        <w:t>s</w:t>
      </w:r>
      <w:r w:rsidRPr="00857EF4">
        <w:rPr>
          <w:rFonts w:eastAsia="Times New Roman" w:cs="Arial"/>
        </w:rPr>
        <w:t xml:space="preserve"> in technolog</w:t>
      </w:r>
      <w:r w:rsidR="00980BB4">
        <w:rPr>
          <w:rFonts w:eastAsia="Times New Roman" w:cs="Arial"/>
        </w:rPr>
        <w:t>y</w:t>
      </w:r>
      <w:r w:rsidRPr="00857EF4">
        <w:rPr>
          <w:rFonts w:eastAsia="Times New Roman" w:cs="Arial"/>
        </w:rPr>
        <w:t>, management techniques</w:t>
      </w:r>
      <w:r w:rsidR="005B5C5F">
        <w:rPr>
          <w:rFonts w:eastAsia="Times New Roman" w:cs="Arial"/>
        </w:rPr>
        <w:t>, work structures</w:t>
      </w:r>
      <w:r w:rsidRPr="00857EF4">
        <w:rPr>
          <w:rFonts w:eastAsia="Times New Roman" w:cs="Arial"/>
        </w:rPr>
        <w:t xml:space="preserve"> and work processes</w:t>
      </w:r>
      <w:r>
        <w:rPr>
          <w:rFonts w:eastAsia="Times New Roman" w:cs="Arial"/>
        </w:rPr>
        <w:t xml:space="preserve"> are </w:t>
      </w:r>
      <w:r w:rsidR="003C7A1B">
        <w:rPr>
          <w:rFonts w:eastAsia="Times New Roman" w:cs="Arial"/>
        </w:rPr>
        <w:t xml:space="preserve">continually </w:t>
      </w:r>
      <w:r>
        <w:rPr>
          <w:rFonts w:eastAsia="Times New Roman" w:cs="Arial"/>
        </w:rPr>
        <w:t xml:space="preserve">presenting new </w:t>
      </w:r>
      <w:r w:rsidR="00C81B04">
        <w:rPr>
          <w:rFonts w:eastAsia="Times New Roman" w:cs="Arial"/>
        </w:rPr>
        <w:t>work health and safety</w:t>
      </w:r>
      <w:r w:rsidR="005B5C5F">
        <w:rPr>
          <w:rFonts w:eastAsia="Times New Roman" w:cs="Arial"/>
        </w:rPr>
        <w:t xml:space="preserve"> </w:t>
      </w:r>
      <w:r>
        <w:rPr>
          <w:rFonts w:eastAsia="Times New Roman" w:cs="Arial"/>
        </w:rPr>
        <w:t>hazards, risks and challenges</w:t>
      </w:r>
      <w:r w:rsidR="00651322">
        <w:rPr>
          <w:rFonts w:eastAsia="Times New Roman" w:cs="Arial"/>
        </w:rPr>
        <w:t xml:space="preserve"> for </w:t>
      </w:r>
      <w:r w:rsidR="00C13244">
        <w:rPr>
          <w:rFonts w:eastAsia="Times New Roman" w:cs="Arial"/>
        </w:rPr>
        <w:t xml:space="preserve">employers </w:t>
      </w:r>
      <w:r w:rsidR="00C17B7A">
        <w:rPr>
          <w:rFonts w:eastAsia="Times New Roman" w:cs="Arial"/>
        </w:rPr>
        <w:t>and regulators</w:t>
      </w:r>
      <w:r w:rsidR="00471564">
        <w:rPr>
          <w:rFonts w:eastAsia="Times New Roman" w:cs="Arial"/>
        </w:rPr>
        <w:t xml:space="preserve"> alike</w:t>
      </w:r>
      <w:r>
        <w:rPr>
          <w:rFonts w:eastAsia="Times New Roman" w:cs="Arial"/>
        </w:rPr>
        <w:t>.</w:t>
      </w:r>
      <w:r w:rsidR="00C13244">
        <w:rPr>
          <w:rStyle w:val="FootnoteReference"/>
          <w:rFonts w:eastAsia="Times New Roman" w:cs="Arial"/>
        </w:rPr>
        <w:footnoteReference w:id="2"/>
      </w:r>
    </w:p>
    <w:p w:rsidR="00C752ED" w:rsidRDefault="00980BB4" w:rsidP="000D1925">
      <w:pPr>
        <w:tabs>
          <w:tab w:val="left" w:pos="5670"/>
        </w:tabs>
        <w:spacing w:after="180"/>
        <w:jc w:val="both"/>
        <w:rPr>
          <w:rFonts w:eastAsia="Times New Roman" w:cs="Arial"/>
        </w:rPr>
      </w:pPr>
      <w:r>
        <w:rPr>
          <w:rFonts w:eastAsia="Times New Roman" w:cs="Arial"/>
        </w:rPr>
        <w:t xml:space="preserve">Effective strategies for identifying and eliminating </w:t>
      </w:r>
      <w:r w:rsidR="002E4D8A">
        <w:rPr>
          <w:rFonts w:eastAsia="Times New Roman" w:cs="Arial"/>
        </w:rPr>
        <w:t>(</w:t>
      </w:r>
      <w:r>
        <w:rPr>
          <w:rFonts w:eastAsia="Times New Roman" w:cs="Arial"/>
        </w:rPr>
        <w:t>or controlling</w:t>
      </w:r>
      <w:r w:rsidR="002E4D8A">
        <w:rPr>
          <w:rFonts w:eastAsia="Times New Roman" w:cs="Arial"/>
        </w:rPr>
        <w:t>)</w:t>
      </w:r>
      <w:r>
        <w:rPr>
          <w:rFonts w:eastAsia="Times New Roman" w:cs="Arial"/>
        </w:rPr>
        <w:t xml:space="preserve"> </w:t>
      </w:r>
      <w:r w:rsidR="00C81B04">
        <w:rPr>
          <w:rFonts w:eastAsia="Times New Roman" w:cs="Arial"/>
        </w:rPr>
        <w:t>work health and safety</w:t>
      </w:r>
      <w:r>
        <w:rPr>
          <w:rFonts w:eastAsia="Times New Roman" w:cs="Arial"/>
        </w:rPr>
        <w:t xml:space="preserve"> hazards and risk are therefore critical. </w:t>
      </w:r>
      <w:r w:rsidR="002E4D8A">
        <w:rPr>
          <w:rFonts w:eastAsia="Times New Roman" w:cs="Arial"/>
        </w:rPr>
        <w:t>Research demonstrates a</w:t>
      </w:r>
      <w:r w:rsidR="00651322">
        <w:rPr>
          <w:rFonts w:eastAsia="Times New Roman" w:cs="Arial"/>
        </w:rPr>
        <w:t xml:space="preserve"> robust inverse relationship between an organisation’s </w:t>
      </w:r>
      <w:r>
        <w:rPr>
          <w:rFonts w:eastAsia="Times New Roman" w:cs="Arial"/>
        </w:rPr>
        <w:t xml:space="preserve">work-related injury and illness </w:t>
      </w:r>
      <w:r w:rsidR="00651322">
        <w:rPr>
          <w:rFonts w:eastAsia="Times New Roman" w:cs="Arial"/>
        </w:rPr>
        <w:t>prevent</w:t>
      </w:r>
      <w:r>
        <w:rPr>
          <w:rFonts w:eastAsia="Times New Roman" w:cs="Arial"/>
        </w:rPr>
        <w:t>ion</w:t>
      </w:r>
      <w:r w:rsidR="00651322">
        <w:rPr>
          <w:rFonts w:eastAsia="Times New Roman" w:cs="Arial"/>
        </w:rPr>
        <w:t xml:space="preserve"> efforts and the subsequent frequency and severity of damage to people at work</w:t>
      </w:r>
      <w:r w:rsidR="002E4D8A">
        <w:rPr>
          <w:rFonts w:eastAsia="Times New Roman" w:cs="Arial"/>
        </w:rPr>
        <w:t>. R</w:t>
      </w:r>
      <w:r w:rsidR="00C752ED">
        <w:rPr>
          <w:rFonts w:eastAsia="Times New Roman" w:cs="Arial"/>
        </w:rPr>
        <w:t xml:space="preserve">elevant, reliable and valid </w:t>
      </w:r>
      <w:r w:rsidR="00E54FCE">
        <w:rPr>
          <w:rFonts w:eastAsia="Times New Roman" w:cs="Arial"/>
        </w:rPr>
        <w:t>work health and safety</w:t>
      </w:r>
      <w:r w:rsidR="00C752ED">
        <w:rPr>
          <w:rFonts w:eastAsia="Times New Roman" w:cs="Arial"/>
        </w:rPr>
        <w:t xml:space="preserve"> performance data </w:t>
      </w:r>
      <w:r w:rsidR="002E4D8A">
        <w:rPr>
          <w:rFonts w:eastAsia="Times New Roman" w:cs="Arial"/>
        </w:rPr>
        <w:t xml:space="preserve">is critical to </w:t>
      </w:r>
      <w:r w:rsidR="00C752ED">
        <w:rPr>
          <w:rFonts w:eastAsia="Times New Roman" w:cs="Arial"/>
        </w:rPr>
        <w:t>inform</w:t>
      </w:r>
      <w:r w:rsidR="002E4D8A">
        <w:rPr>
          <w:rFonts w:eastAsia="Times New Roman" w:cs="Arial"/>
        </w:rPr>
        <w:t>ing</w:t>
      </w:r>
      <w:r w:rsidR="00C752ED">
        <w:rPr>
          <w:rFonts w:eastAsia="Times New Roman" w:cs="Arial"/>
        </w:rPr>
        <w:t xml:space="preserve"> </w:t>
      </w:r>
      <w:r w:rsidR="002E4D8A">
        <w:rPr>
          <w:rFonts w:eastAsia="Times New Roman" w:cs="Arial"/>
        </w:rPr>
        <w:t xml:space="preserve">the </w:t>
      </w:r>
      <w:r w:rsidR="00C752ED">
        <w:rPr>
          <w:rFonts w:eastAsia="Times New Roman" w:cs="Arial"/>
        </w:rPr>
        <w:t>strategic and operational decisions</w:t>
      </w:r>
      <w:r w:rsidR="002E4D8A">
        <w:rPr>
          <w:rFonts w:eastAsia="Times New Roman" w:cs="Arial"/>
        </w:rPr>
        <w:t xml:space="preserve"> that drive the effective management of </w:t>
      </w:r>
      <w:r w:rsidR="00C81B04">
        <w:rPr>
          <w:rFonts w:eastAsia="Times New Roman" w:cs="Arial"/>
        </w:rPr>
        <w:t>work health and safety</w:t>
      </w:r>
      <w:r w:rsidR="002E4D8A">
        <w:rPr>
          <w:rStyle w:val="FootnoteReference"/>
          <w:rFonts w:eastAsia="Times New Roman" w:cs="Arial"/>
        </w:rPr>
        <w:footnoteReference w:id="3"/>
      </w:r>
      <w:r w:rsidR="00C752ED">
        <w:rPr>
          <w:rFonts w:eastAsia="Times New Roman" w:cs="Arial"/>
        </w:rPr>
        <w:t xml:space="preserve">. This paper examines various issues relating to the measurement </w:t>
      </w:r>
      <w:r w:rsidR="002E4D8A">
        <w:rPr>
          <w:rFonts w:eastAsia="Times New Roman" w:cs="Arial"/>
        </w:rPr>
        <w:t xml:space="preserve">and reporting </w:t>
      </w:r>
      <w:r w:rsidR="00C752ED">
        <w:rPr>
          <w:rFonts w:eastAsia="Times New Roman" w:cs="Arial"/>
        </w:rPr>
        <w:t xml:space="preserve">of </w:t>
      </w:r>
      <w:r w:rsidR="004B404D">
        <w:rPr>
          <w:rFonts w:eastAsia="Times New Roman" w:cs="Arial"/>
        </w:rPr>
        <w:t xml:space="preserve">that </w:t>
      </w:r>
      <w:r w:rsidR="00D9056E">
        <w:rPr>
          <w:rFonts w:eastAsia="Times New Roman" w:cs="Arial"/>
        </w:rPr>
        <w:t>work health and safety</w:t>
      </w:r>
      <w:r w:rsidR="00C752ED">
        <w:rPr>
          <w:rFonts w:eastAsia="Times New Roman" w:cs="Arial"/>
        </w:rPr>
        <w:t xml:space="preserve"> performance</w:t>
      </w:r>
      <w:r w:rsidR="004B404D">
        <w:rPr>
          <w:rFonts w:eastAsia="Times New Roman" w:cs="Arial"/>
        </w:rPr>
        <w:t xml:space="preserve"> data</w:t>
      </w:r>
      <w:r w:rsidR="00C752ED">
        <w:rPr>
          <w:rFonts w:eastAsia="Times New Roman" w:cs="Arial"/>
        </w:rPr>
        <w:t>.</w:t>
      </w:r>
    </w:p>
    <w:p w:rsidR="00865525" w:rsidRDefault="007E3F06" w:rsidP="000D1925">
      <w:pPr>
        <w:tabs>
          <w:tab w:val="left" w:pos="5670"/>
        </w:tabs>
        <w:spacing w:after="180"/>
        <w:jc w:val="both"/>
        <w:rPr>
          <w:rFonts w:eastAsia="Times New Roman" w:cs="Arial"/>
        </w:rPr>
      </w:pPr>
      <w:r>
        <w:rPr>
          <w:rFonts w:eastAsia="Times New Roman" w:cs="Arial"/>
        </w:rPr>
        <w:t>Historical</w:t>
      </w:r>
      <w:r w:rsidR="004B404D">
        <w:rPr>
          <w:rFonts w:eastAsia="Times New Roman" w:cs="Arial"/>
        </w:rPr>
        <w:t>ly</w:t>
      </w:r>
      <w:r>
        <w:rPr>
          <w:rFonts w:eastAsia="Times New Roman" w:cs="Arial"/>
        </w:rPr>
        <w:t xml:space="preserve">, </w:t>
      </w:r>
      <w:r w:rsidR="002E4D8A">
        <w:rPr>
          <w:rFonts w:eastAsia="Times New Roman" w:cs="Arial"/>
        </w:rPr>
        <w:t xml:space="preserve">frequency </w:t>
      </w:r>
      <w:r>
        <w:rPr>
          <w:rFonts w:eastAsia="Times New Roman" w:cs="Arial"/>
        </w:rPr>
        <w:t xml:space="preserve">measures of injury outcome have been at the centre of </w:t>
      </w:r>
      <w:r w:rsidR="00C81B04">
        <w:rPr>
          <w:rFonts w:eastAsia="Times New Roman" w:cs="Arial"/>
        </w:rPr>
        <w:t>work health and safety</w:t>
      </w:r>
      <w:r>
        <w:rPr>
          <w:rFonts w:eastAsia="Times New Roman" w:cs="Arial"/>
        </w:rPr>
        <w:t xml:space="preserve"> performance evaluation. </w:t>
      </w:r>
      <w:r w:rsidR="00085DCD">
        <w:rPr>
          <w:rFonts w:eastAsia="Times New Roman" w:cs="Arial"/>
        </w:rPr>
        <w:t xml:space="preserve">In particular, lost </w:t>
      </w:r>
      <w:r>
        <w:rPr>
          <w:rFonts w:eastAsia="Times New Roman" w:cs="Arial"/>
        </w:rPr>
        <w:t xml:space="preserve">time injury </w:t>
      </w:r>
      <w:r w:rsidR="000E705E">
        <w:rPr>
          <w:rFonts w:eastAsia="Times New Roman" w:cs="Arial"/>
        </w:rPr>
        <w:t xml:space="preserve">(LTI) </w:t>
      </w:r>
      <w:r>
        <w:rPr>
          <w:rFonts w:eastAsia="Times New Roman" w:cs="Arial"/>
        </w:rPr>
        <w:t xml:space="preserve">rates have, over time, become the cornerstone of </w:t>
      </w:r>
      <w:r w:rsidR="00C8466B">
        <w:rPr>
          <w:rFonts w:eastAsia="Times New Roman" w:cs="Arial"/>
        </w:rPr>
        <w:t xml:space="preserve">mainstream </w:t>
      </w:r>
      <w:r>
        <w:rPr>
          <w:rFonts w:eastAsia="Times New Roman" w:cs="Arial"/>
        </w:rPr>
        <w:t xml:space="preserve">injury reporting and </w:t>
      </w:r>
      <w:r w:rsidR="000E705E">
        <w:rPr>
          <w:rFonts w:eastAsia="Times New Roman" w:cs="Arial"/>
        </w:rPr>
        <w:t xml:space="preserve">the benchmark against which organisational, industry and national comparisons are made. </w:t>
      </w:r>
      <w:r w:rsidR="002E4D8A">
        <w:rPr>
          <w:rFonts w:eastAsia="Times New Roman" w:cs="Arial"/>
        </w:rPr>
        <w:t>Although</w:t>
      </w:r>
      <w:r w:rsidR="000E705E">
        <w:rPr>
          <w:rFonts w:eastAsia="Times New Roman" w:cs="Arial"/>
        </w:rPr>
        <w:t xml:space="preserve"> LTI rates are being applied to inform an ever-growing range of </w:t>
      </w:r>
      <w:r w:rsidR="00C81B04">
        <w:rPr>
          <w:rFonts w:eastAsia="Times New Roman" w:cs="Arial"/>
        </w:rPr>
        <w:t>work health and safety</w:t>
      </w:r>
      <w:r w:rsidR="000E705E">
        <w:rPr>
          <w:rFonts w:eastAsia="Times New Roman" w:cs="Arial"/>
        </w:rPr>
        <w:t xml:space="preserve"> problems and decisions</w:t>
      </w:r>
      <w:r w:rsidR="002E4D8A">
        <w:rPr>
          <w:rFonts w:eastAsia="Times New Roman" w:cs="Arial"/>
        </w:rPr>
        <w:t>,</w:t>
      </w:r>
      <w:r w:rsidR="000E705E">
        <w:rPr>
          <w:rFonts w:eastAsia="Times New Roman" w:cs="Arial"/>
        </w:rPr>
        <w:t xml:space="preserve"> </w:t>
      </w:r>
      <w:r w:rsidR="002E4D8A">
        <w:rPr>
          <w:rFonts w:eastAsia="Times New Roman" w:cs="Arial"/>
        </w:rPr>
        <w:t>they have</w:t>
      </w:r>
      <w:r w:rsidR="000E705E">
        <w:rPr>
          <w:rFonts w:eastAsia="Times New Roman" w:cs="Arial"/>
        </w:rPr>
        <w:t xml:space="preserve"> a number of important limitations. Primarily, </w:t>
      </w:r>
      <w:r w:rsidR="002E4D8A">
        <w:rPr>
          <w:rFonts w:eastAsia="Times New Roman" w:cs="Arial"/>
        </w:rPr>
        <w:t xml:space="preserve">LTIs </w:t>
      </w:r>
      <w:r w:rsidR="000E705E">
        <w:rPr>
          <w:rFonts w:eastAsia="Times New Roman" w:cs="Arial"/>
        </w:rPr>
        <w:t>correlat</w:t>
      </w:r>
      <w:r w:rsidR="002E4D8A">
        <w:rPr>
          <w:rFonts w:eastAsia="Times New Roman" w:cs="Arial"/>
        </w:rPr>
        <w:t>e poorly</w:t>
      </w:r>
      <w:r w:rsidR="000E705E">
        <w:rPr>
          <w:rFonts w:eastAsia="Times New Roman" w:cs="Arial"/>
        </w:rPr>
        <w:t xml:space="preserve"> with both the human and financial consequences of </w:t>
      </w:r>
      <w:r w:rsidR="002E4D8A">
        <w:rPr>
          <w:rFonts w:eastAsia="Times New Roman" w:cs="Arial"/>
        </w:rPr>
        <w:t>work related injury and illness (</w:t>
      </w:r>
      <w:r w:rsidR="000E705E">
        <w:rPr>
          <w:rFonts w:eastAsia="Times New Roman" w:cs="Arial"/>
        </w:rPr>
        <w:t>WRII</w:t>
      </w:r>
      <w:r w:rsidR="002E4D8A">
        <w:rPr>
          <w:rFonts w:eastAsia="Times New Roman" w:cs="Arial"/>
        </w:rPr>
        <w:t>)</w:t>
      </w:r>
      <w:r w:rsidR="000E705E">
        <w:rPr>
          <w:rFonts w:eastAsia="Times New Roman" w:cs="Arial"/>
        </w:rPr>
        <w:t xml:space="preserve"> (i.e. damage) mean</w:t>
      </w:r>
      <w:r w:rsidR="002E4D8A">
        <w:rPr>
          <w:rFonts w:eastAsia="Times New Roman" w:cs="Arial"/>
        </w:rPr>
        <w:t>ing they</w:t>
      </w:r>
      <w:r w:rsidR="00C17B7A">
        <w:rPr>
          <w:rFonts w:eastAsia="Times New Roman" w:cs="Arial"/>
        </w:rPr>
        <w:t xml:space="preserve"> do</w:t>
      </w:r>
      <w:r w:rsidR="000E705E">
        <w:rPr>
          <w:rFonts w:eastAsia="Times New Roman" w:cs="Arial"/>
        </w:rPr>
        <w:t xml:space="preserve"> not provide </w:t>
      </w:r>
      <w:r w:rsidR="00C8466B">
        <w:rPr>
          <w:rFonts w:eastAsia="Times New Roman" w:cs="Arial"/>
        </w:rPr>
        <w:t xml:space="preserve">a </w:t>
      </w:r>
      <w:r w:rsidR="000E705E">
        <w:rPr>
          <w:rFonts w:eastAsia="Times New Roman" w:cs="Arial"/>
        </w:rPr>
        <w:t xml:space="preserve">valid or reliable measure of </w:t>
      </w:r>
      <w:r w:rsidR="00C8466B">
        <w:rPr>
          <w:rFonts w:eastAsia="Times New Roman" w:cs="Arial"/>
        </w:rPr>
        <w:t>performance</w:t>
      </w:r>
      <w:r w:rsidR="000E705E">
        <w:rPr>
          <w:rFonts w:eastAsia="Times New Roman" w:cs="Arial"/>
        </w:rPr>
        <w:t xml:space="preserve"> for the purposes of evaluating either the consequences of </w:t>
      </w:r>
      <w:r w:rsidR="00C81B04">
        <w:rPr>
          <w:rFonts w:eastAsia="Times New Roman" w:cs="Arial"/>
        </w:rPr>
        <w:t>work health and safety</w:t>
      </w:r>
      <w:r w:rsidR="000E705E">
        <w:rPr>
          <w:rFonts w:eastAsia="Times New Roman" w:cs="Arial"/>
        </w:rPr>
        <w:t xml:space="preserve"> failure</w:t>
      </w:r>
      <w:r w:rsidR="00085DCD">
        <w:rPr>
          <w:rFonts w:eastAsia="Times New Roman" w:cs="Arial"/>
        </w:rPr>
        <w:t xml:space="preserve"> </w:t>
      </w:r>
      <w:r w:rsidR="000E705E">
        <w:rPr>
          <w:rFonts w:eastAsia="Times New Roman" w:cs="Arial"/>
        </w:rPr>
        <w:t xml:space="preserve">or the success of </w:t>
      </w:r>
      <w:r w:rsidR="00E54FCE">
        <w:rPr>
          <w:rFonts w:eastAsia="Times New Roman" w:cs="Arial"/>
        </w:rPr>
        <w:t>work health and safety</w:t>
      </w:r>
      <w:r w:rsidR="000E705E">
        <w:rPr>
          <w:rFonts w:eastAsia="Times New Roman" w:cs="Arial"/>
        </w:rPr>
        <w:t xml:space="preserve"> controls and initiatives.</w:t>
      </w:r>
    </w:p>
    <w:p w:rsidR="006C2B68" w:rsidRDefault="006A3177" w:rsidP="000D1925">
      <w:pPr>
        <w:tabs>
          <w:tab w:val="left" w:pos="5670"/>
        </w:tabs>
        <w:spacing w:after="180"/>
        <w:jc w:val="both"/>
        <w:rPr>
          <w:rFonts w:eastAsia="Times New Roman" w:cs="Arial"/>
        </w:rPr>
      </w:pPr>
      <w:r>
        <w:rPr>
          <w:rFonts w:eastAsia="Times New Roman" w:cs="Arial"/>
        </w:rPr>
        <w:t xml:space="preserve">In </w:t>
      </w:r>
      <w:r w:rsidR="00A27CED">
        <w:rPr>
          <w:rFonts w:eastAsia="Times New Roman" w:cs="Arial"/>
        </w:rPr>
        <w:t xml:space="preserve">recent decades, </w:t>
      </w:r>
      <w:r>
        <w:rPr>
          <w:rFonts w:eastAsia="Times New Roman" w:cs="Arial"/>
        </w:rPr>
        <w:t xml:space="preserve">the increased </w:t>
      </w:r>
      <w:r w:rsidR="007E6058">
        <w:rPr>
          <w:rFonts w:eastAsia="Times New Roman" w:cs="Arial"/>
        </w:rPr>
        <w:t>reliance on</w:t>
      </w:r>
      <w:r w:rsidR="00A27CED">
        <w:rPr>
          <w:rFonts w:eastAsia="Times New Roman" w:cs="Arial"/>
        </w:rPr>
        <w:t xml:space="preserve"> LTI measures </w:t>
      </w:r>
      <w:r w:rsidR="00C17B7A">
        <w:rPr>
          <w:rFonts w:eastAsia="Times New Roman" w:cs="Arial"/>
        </w:rPr>
        <w:t>in</w:t>
      </w:r>
      <w:r w:rsidR="00A27CED">
        <w:rPr>
          <w:rFonts w:eastAsia="Times New Roman" w:cs="Arial"/>
        </w:rPr>
        <w:t xml:space="preserve"> </w:t>
      </w:r>
      <w:r w:rsidR="007237F9">
        <w:rPr>
          <w:rFonts w:eastAsia="Times New Roman" w:cs="Arial"/>
        </w:rPr>
        <w:t>work health and safety</w:t>
      </w:r>
      <w:r w:rsidR="00A27CED">
        <w:rPr>
          <w:rFonts w:eastAsia="Times New Roman" w:cs="Arial"/>
        </w:rPr>
        <w:t xml:space="preserve"> performance management and reporting </w:t>
      </w:r>
      <w:r>
        <w:rPr>
          <w:rFonts w:eastAsia="Times New Roman" w:cs="Arial"/>
        </w:rPr>
        <w:t xml:space="preserve">has reportedly </w:t>
      </w:r>
      <w:r w:rsidR="00A27CED">
        <w:rPr>
          <w:rFonts w:eastAsia="Times New Roman" w:cs="Arial"/>
        </w:rPr>
        <w:t>left stakeholders increasingly dissatisfied</w:t>
      </w:r>
      <w:r w:rsidR="000E705E">
        <w:rPr>
          <w:rFonts w:eastAsia="Times New Roman" w:cs="Arial"/>
        </w:rPr>
        <w:t>.</w:t>
      </w:r>
      <w:r>
        <w:rPr>
          <w:rStyle w:val="FootnoteReference"/>
          <w:rFonts w:eastAsia="Times New Roman" w:cs="Arial"/>
        </w:rPr>
        <w:footnoteReference w:id="4"/>
      </w:r>
      <w:r>
        <w:rPr>
          <w:rFonts w:eastAsia="Times New Roman" w:cs="Arial"/>
        </w:rPr>
        <w:t xml:space="preserve"> </w:t>
      </w:r>
      <w:r w:rsidR="00C17B7A">
        <w:rPr>
          <w:rFonts w:eastAsia="Times New Roman" w:cs="Arial"/>
        </w:rPr>
        <w:t xml:space="preserve">Furthermore, growing anecdotal </w:t>
      </w:r>
      <w:r w:rsidR="006C2B68">
        <w:rPr>
          <w:rFonts w:eastAsia="Times New Roman" w:cs="Arial"/>
        </w:rPr>
        <w:t xml:space="preserve">claims of </w:t>
      </w:r>
      <w:r w:rsidR="002E4D8A">
        <w:rPr>
          <w:rFonts w:eastAsia="Times New Roman" w:cs="Arial"/>
        </w:rPr>
        <w:t xml:space="preserve">individuals </w:t>
      </w:r>
      <w:r w:rsidR="006C2B68">
        <w:rPr>
          <w:rFonts w:eastAsia="Times New Roman" w:cs="Arial"/>
        </w:rPr>
        <w:t xml:space="preserve">seeking to manage the measure, rather than </w:t>
      </w:r>
      <w:r>
        <w:rPr>
          <w:rFonts w:eastAsia="Times New Roman" w:cs="Arial"/>
        </w:rPr>
        <w:t xml:space="preserve">to </w:t>
      </w:r>
      <w:r w:rsidR="006C2B68">
        <w:rPr>
          <w:rFonts w:eastAsia="Times New Roman" w:cs="Arial"/>
        </w:rPr>
        <w:t>manage performance</w:t>
      </w:r>
      <w:r>
        <w:rPr>
          <w:rFonts w:eastAsia="Times New Roman" w:cs="Arial"/>
        </w:rPr>
        <w:t>,</w:t>
      </w:r>
      <w:r w:rsidR="006C2B68">
        <w:rPr>
          <w:rFonts w:eastAsia="Times New Roman" w:cs="Arial"/>
        </w:rPr>
        <w:t xml:space="preserve"> have pointed to </w:t>
      </w:r>
      <w:r w:rsidR="006678B0">
        <w:rPr>
          <w:rFonts w:eastAsia="Times New Roman" w:cs="Arial"/>
        </w:rPr>
        <w:t xml:space="preserve">practices of </w:t>
      </w:r>
      <w:r w:rsidR="006C2B68">
        <w:rPr>
          <w:rFonts w:eastAsia="Times New Roman" w:cs="Arial"/>
        </w:rPr>
        <w:t xml:space="preserve">deliberate manipulation and under-reporting of LTI data. </w:t>
      </w:r>
      <w:r w:rsidR="007E6058">
        <w:rPr>
          <w:rFonts w:eastAsia="Times New Roman" w:cs="Arial"/>
        </w:rPr>
        <w:t>Yet t</w:t>
      </w:r>
      <w:r w:rsidR="004B404D">
        <w:rPr>
          <w:rFonts w:eastAsia="Times New Roman" w:cs="Arial"/>
        </w:rPr>
        <w:t>he search f</w:t>
      </w:r>
      <w:r w:rsidR="007E6058">
        <w:rPr>
          <w:rFonts w:eastAsia="Times New Roman" w:cs="Arial"/>
        </w:rPr>
        <w:t xml:space="preserve">or more meaningful </w:t>
      </w:r>
      <w:r w:rsidR="004B404D">
        <w:rPr>
          <w:rFonts w:eastAsia="Times New Roman" w:cs="Arial"/>
        </w:rPr>
        <w:t xml:space="preserve">alternatives </w:t>
      </w:r>
      <w:r w:rsidR="006C2B68">
        <w:rPr>
          <w:rFonts w:eastAsia="Times New Roman" w:cs="Arial"/>
        </w:rPr>
        <w:t>to LTI</w:t>
      </w:r>
      <w:r>
        <w:rPr>
          <w:rFonts w:eastAsia="Times New Roman" w:cs="Arial"/>
        </w:rPr>
        <w:t xml:space="preserve"> </w:t>
      </w:r>
      <w:r w:rsidR="006678B0">
        <w:rPr>
          <w:rFonts w:eastAsia="Times New Roman" w:cs="Arial"/>
        </w:rPr>
        <w:t>remains</w:t>
      </w:r>
      <w:r>
        <w:rPr>
          <w:rFonts w:eastAsia="Times New Roman" w:cs="Arial"/>
        </w:rPr>
        <w:t xml:space="preserve"> contested</w:t>
      </w:r>
      <w:r w:rsidR="004B404D">
        <w:rPr>
          <w:rFonts w:eastAsia="Times New Roman" w:cs="Arial"/>
        </w:rPr>
        <w:t>.</w:t>
      </w:r>
      <w:r>
        <w:rPr>
          <w:rFonts w:eastAsia="Times New Roman" w:cs="Arial"/>
        </w:rPr>
        <w:t xml:space="preserve"> </w:t>
      </w:r>
      <w:r w:rsidR="000D1789">
        <w:rPr>
          <w:rFonts w:eastAsia="Times New Roman" w:cs="Arial"/>
        </w:rPr>
        <w:t xml:space="preserve">Among the most promising </w:t>
      </w:r>
      <w:r w:rsidR="006C2B68">
        <w:rPr>
          <w:rFonts w:eastAsia="Times New Roman" w:cs="Arial"/>
        </w:rPr>
        <w:t>is</w:t>
      </w:r>
      <w:r w:rsidR="000D1789">
        <w:rPr>
          <w:rFonts w:eastAsia="Times New Roman" w:cs="Arial"/>
        </w:rPr>
        <w:t xml:space="preserve"> a </w:t>
      </w:r>
      <w:r w:rsidR="006678B0">
        <w:rPr>
          <w:rFonts w:eastAsia="Times New Roman" w:cs="Arial"/>
        </w:rPr>
        <w:t>severity</w:t>
      </w:r>
      <w:r>
        <w:rPr>
          <w:rFonts w:eastAsia="Times New Roman" w:cs="Arial"/>
        </w:rPr>
        <w:t xml:space="preserve"> </w:t>
      </w:r>
      <w:r w:rsidR="000D1789">
        <w:rPr>
          <w:rFonts w:eastAsia="Times New Roman" w:cs="Arial"/>
        </w:rPr>
        <w:t xml:space="preserve">framework </w:t>
      </w:r>
      <w:r w:rsidR="006678B0">
        <w:rPr>
          <w:rFonts w:eastAsia="Times New Roman" w:cs="Arial"/>
        </w:rPr>
        <w:t>that</w:t>
      </w:r>
      <w:r w:rsidR="000D1789">
        <w:rPr>
          <w:rFonts w:eastAsia="Times New Roman" w:cs="Arial"/>
        </w:rPr>
        <w:t xml:space="preserve"> classif</w:t>
      </w:r>
      <w:r w:rsidR="006678B0">
        <w:rPr>
          <w:rFonts w:eastAsia="Times New Roman" w:cs="Arial"/>
        </w:rPr>
        <w:t xml:space="preserve">ies injuries </w:t>
      </w:r>
      <w:r>
        <w:rPr>
          <w:rFonts w:eastAsia="Times New Roman" w:cs="Arial"/>
        </w:rPr>
        <w:t xml:space="preserve">based on </w:t>
      </w:r>
      <w:r w:rsidR="006678B0">
        <w:rPr>
          <w:rFonts w:eastAsia="Times New Roman" w:cs="Arial"/>
        </w:rPr>
        <w:t xml:space="preserve">impact on </w:t>
      </w:r>
      <w:r>
        <w:rPr>
          <w:rFonts w:eastAsia="Times New Roman" w:cs="Arial"/>
        </w:rPr>
        <w:t xml:space="preserve">worker </w:t>
      </w:r>
      <w:r w:rsidR="006678B0">
        <w:rPr>
          <w:rFonts w:eastAsia="Times New Roman" w:cs="Arial"/>
        </w:rPr>
        <w:t>life, rather than on organisational productivity</w:t>
      </w:r>
      <w:r w:rsidR="006C2B68">
        <w:rPr>
          <w:rFonts w:eastAsia="Times New Roman" w:cs="Arial"/>
        </w:rPr>
        <w:t xml:space="preserve">. This </w:t>
      </w:r>
      <w:r>
        <w:rPr>
          <w:rFonts w:eastAsia="Times New Roman" w:cs="Arial"/>
        </w:rPr>
        <w:t xml:space="preserve">approach </w:t>
      </w:r>
      <w:r w:rsidR="006C2B68">
        <w:rPr>
          <w:rFonts w:eastAsia="Times New Roman" w:cs="Arial"/>
        </w:rPr>
        <w:t>aligns more closely with model</w:t>
      </w:r>
      <w:r w:rsidR="006678B0">
        <w:rPr>
          <w:rFonts w:eastAsia="Times New Roman" w:cs="Arial"/>
        </w:rPr>
        <w:t>s</w:t>
      </w:r>
      <w:r w:rsidR="006C2B68">
        <w:rPr>
          <w:rFonts w:eastAsia="Times New Roman" w:cs="Arial"/>
        </w:rPr>
        <w:t xml:space="preserve"> </w:t>
      </w:r>
      <w:r>
        <w:rPr>
          <w:rFonts w:eastAsia="Times New Roman" w:cs="Arial"/>
        </w:rPr>
        <w:t xml:space="preserve">adopted </w:t>
      </w:r>
      <w:r w:rsidR="006C2B68">
        <w:rPr>
          <w:rFonts w:eastAsia="Times New Roman" w:cs="Arial"/>
        </w:rPr>
        <w:t xml:space="preserve">by governments </w:t>
      </w:r>
      <w:r>
        <w:rPr>
          <w:rFonts w:eastAsia="Times New Roman" w:cs="Arial"/>
        </w:rPr>
        <w:t xml:space="preserve">rather </w:t>
      </w:r>
      <w:r w:rsidR="006C2B68">
        <w:rPr>
          <w:rFonts w:eastAsia="Times New Roman" w:cs="Arial"/>
        </w:rPr>
        <w:t xml:space="preserve">than </w:t>
      </w:r>
      <w:r w:rsidR="006678B0">
        <w:rPr>
          <w:rFonts w:eastAsia="Times New Roman" w:cs="Arial"/>
        </w:rPr>
        <w:t>those</w:t>
      </w:r>
      <w:r w:rsidR="006C2B68">
        <w:rPr>
          <w:rFonts w:eastAsia="Times New Roman" w:cs="Arial"/>
        </w:rPr>
        <w:t xml:space="preserve"> traditionally </w:t>
      </w:r>
      <w:r>
        <w:rPr>
          <w:rFonts w:eastAsia="Times New Roman" w:cs="Arial"/>
        </w:rPr>
        <w:t xml:space="preserve">used </w:t>
      </w:r>
      <w:r w:rsidR="000D1925">
        <w:rPr>
          <w:rFonts w:eastAsia="Times New Roman" w:cs="Arial"/>
        </w:rPr>
        <w:t>by</w:t>
      </w:r>
      <w:r>
        <w:rPr>
          <w:rFonts w:eastAsia="Times New Roman" w:cs="Arial"/>
        </w:rPr>
        <w:t xml:space="preserve"> </w:t>
      </w:r>
      <w:r w:rsidR="006C2B68">
        <w:rPr>
          <w:rFonts w:eastAsia="Times New Roman" w:cs="Arial"/>
        </w:rPr>
        <w:t xml:space="preserve">industry and provides superior insight into the </w:t>
      </w:r>
      <w:r>
        <w:rPr>
          <w:rFonts w:eastAsia="Times New Roman" w:cs="Arial"/>
        </w:rPr>
        <w:t xml:space="preserve">magnitude </w:t>
      </w:r>
      <w:r w:rsidR="006C2B68">
        <w:rPr>
          <w:rFonts w:eastAsia="Times New Roman" w:cs="Arial"/>
        </w:rPr>
        <w:t xml:space="preserve">of damage </w:t>
      </w:r>
      <w:r w:rsidR="0052708E">
        <w:rPr>
          <w:rFonts w:eastAsia="Times New Roman" w:cs="Arial"/>
        </w:rPr>
        <w:t>that result</w:t>
      </w:r>
      <w:r w:rsidR="002E4D8A">
        <w:rPr>
          <w:rFonts w:eastAsia="Times New Roman" w:cs="Arial"/>
        </w:rPr>
        <w:t>s</w:t>
      </w:r>
      <w:r w:rsidR="00C81B04">
        <w:rPr>
          <w:rFonts w:eastAsia="Times New Roman" w:cs="Arial"/>
        </w:rPr>
        <w:t xml:space="preserve"> from work health and safety</w:t>
      </w:r>
      <w:r w:rsidR="0052708E">
        <w:rPr>
          <w:rFonts w:eastAsia="Times New Roman" w:cs="Arial"/>
        </w:rPr>
        <w:t xml:space="preserve"> failure</w:t>
      </w:r>
      <w:r w:rsidR="006C2B68">
        <w:rPr>
          <w:rFonts w:eastAsia="Times New Roman" w:cs="Arial"/>
        </w:rPr>
        <w:t>.</w:t>
      </w:r>
    </w:p>
    <w:p w:rsidR="003877A5" w:rsidRDefault="006678B0" w:rsidP="000D1925">
      <w:pPr>
        <w:tabs>
          <w:tab w:val="left" w:pos="5670"/>
        </w:tabs>
        <w:spacing w:after="0"/>
        <w:jc w:val="both"/>
        <w:rPr>
          <w:rFonts w:eastAsia="Times New Roman" w:cs="Arial"/>
        </w:rPr>
      </w:pPr>
      <w:r>
        <w:rPr>
          <w:rFonts w:eastAsia="Times New Roman" w:cs="Arial"/>
        </w:rPr>
        <w:t>Ultimately,</w:t>
      </w:r>
      <w:r w:rsidR="00296B32">
        <w:rPr>
          <w:rFonts w:eastAsia="Times New Roman" w:cs="Arial"/>
        </w:rPr>
        <w:t xml:space="preserve"> injury measures inform about specific incidents of </w:t>
      </w:r>
      <w:r w:rsidR="00C81B04">
        <w:rPr>
          <w:rFonts w:eastAsia="Times New Roman" w:cs="Arial"/>
        </w:rPr>
        <w:t>work health and safety</w:t>
      </w:r>
      <w:r w:rsidR="00296B32">
        <w:rPr>
          <w:rFonts w:eastAsia="Times New Roman" w:cs="Arial"/>
        </w:rPr>
        <w:t xml:space="preserve"> system failure</w:t>
      </w:r>
      <w:r w:rsidR="006A3177">
        <w:rPr>
          <w:rFonts w:eastAsia="Times New Roman" w:cs="Arial"/>
        </w:rPr>
        <w:t xml:space="preserve">, however </w:t>
      </w:r>
      <w:r w:rsidR="00296B32">
        <w:rPr>
          <w:rFonts w:eastAsia="Times New Roman" w:cs="Arial"/>
        </w:rPr>
        <w:t xml:space="preserve">they cannot provide a valid measure of </w:t>
      </w:r>
      <w:r w:rsidR="00C81B04">
        <w:rPr>
          <w:rFonts w:eastAsia="Times New Roman" w:cs="Arial"/>
        </w:rPr>
        <w:t>work health and safety</w:t>
      </w:r>
      <w:r w:rsidR="00296B32">
        <w:rPr>
          <w:rFonts w:eastAsia="Times New Roman" w:cs="Arial"/>
        </w:rPr>
        <w:t xml:space="preserve"> system integrity. Consequently</w:t>
      </w:r>
      <w:r w:rsidR="006C2B68">
        <w:rPr>
          <w:rFonts w:eastAsia="Times New Roman" w:cs="Arial"/>
        </w:rPr>
        <w:t xml:space="preserve">, </w:t>
      </w:r>
      <w:r w:rsidR="006A3177">
        <w:rPr>
          <w:rFonts w:eastAsia="Times New Roman" w:cs="Arial"/>
        </w:rPr>
        <w:t xml:space="preserve">additional </w:t>
      </w:r>
      <w:r w:rsidR="006C2B68">
        <w:rPr>
          <w:rFonts w:eastAsia="Times New Roman" w:cs="Arial"/>
        </w:rPr>
        <w:t xml:space="preserve">positive (leading) performance indicators </w:t>
      </w:r>
      <w:r w:rsidR="006A3177">
        <w:rPr>
          <w:rFonts w:eastAsia="Times New Roman" w:cs="Arial"/>
        </w:rPr>
        <w:t xml:space="preserve">(PPIs) </w:t>
      </w:r>
      <w:r w:rsidR="00296B32">
        <w:rPr>
          <w:rFonts w:eastAsia="Times New Roman" w:cs="Arial"/>
        </w:rPr>
        <w:t>have been strongly advocated since the mid-1990s, as tools to</w:t>
      </w:r>
      <w:r w:rsidR="006C2B68">
        <w:rPr>
          <w:rFonts w:eastAsia="Times New Roman" w:cs="Arial"/>
        </w:rPr>
        <w:t xml:space="preserve"> better inform decisions </w:t>
      </w:r>
      <w:r w:rsidR="006A3177">
        <w:rPr>
          <w:rFonts w:eastAsia="Times New Roman" w:cs="Arial"/>
        </w:rPr>
        <w:t xml:space="preserve">regarding </w:t>
      </w:r>
      <w:r w:rsidR="003852E6">
        <w:rPr>
          <w:rFonts w:eastAsia="Times New Roman" w:cs="Arial"/>
        </w:rPr>
        <w:t>work health and safety</w:t>
      </w:r>
      <w:r w:rsidR="006C2B68">
        <w:rPr>
          <w:rFonts w:eastAsia="Times New Roman" w:cs="Arial"/>
        </w:rPr>
        <w:t xml:space="preserve"> </w:t>
      </w:r>
      <w:r w:rsidR="00F917D1">
        <w:rPr>
          <w:rFonts w:eastAsia="Times New Roman" w:cs="Arial"/>
        </w:rPr>
        <w:t xml:space="preserve">risk </w:t>
      </w:r>
      <w:r w:rsidR="006C2B68">
        <w:rPr>
          <w:rFonts w:eastAsia="Times New Roman" w:cs="Arial"/>
        </w:rPr>
        <w:t xml:space="preserve">and the effectiveness of hazard control initiatives. </w:t>
      </w:r>
      <w:r w:rsidR="00296B32">
        <w:rPr>
          <w:rFonts w:eastAsia="Times New Roman" w:cs="Arial"/>
        </w:rPr>
        <w:t xml:space="preserve">Despite </w:t>
      </w:r>
      <w:r w:rsidR="00AE3117">
        <w:rPr>
          <w:rFonts w:eastAsia="Times New Roman" w:cs="Arial"/>
        </w:rPr>
        <w:t>industry demand</w:t>
      </w:r>
      <w:r w:rsidR="00296B32">
        <w:rPr>
          <w:rFonts w:eastAsia="Times New Roman" w:cs="Arial"/>
        </w:rPr>
        <w:t xml:space="preserve"> and </w:t>
      </w:r>
      <w:r w:rsidR="00AE3117">
        <w:rPr>
          <w:rFonts w:eastAsia="Times New Roman" w:cs="Arial"/>
        </w:rPr>
        <w:t xml:space="preserve">the </w:t>
      </w:r>
      <w:r w:rsidR="00296B32">
        <w:rPr>
          <w:rFonts w:eastAsia="Times New Roman" w:cs="Arial"/>
        </w:rPr>
        <w:t xml:space="preserve">availability of guidance for </w:t>
      </w:r>
      <w:r w:rsidR="006A3177">
        <w:rPr>
          <w:rFonts w:eastAsia="Times New Roman" w:cs="Arial"/>
        </w:rPr>
        <w:t>develop</w:t>
      </w:r>
      <w:r w:rsidR="00AE3117">
        <w:rPr>
          <w:rFonts w:eastAsia="Times New Roman" w:cs="Arial"/>
        </w:rPr>
        <w:t>ing</w:t>
      </w:r>
      <w:r w:rsidR="006A3177">
        <w:rPr>
          <w:rFonts w:eastAsia="Times New Roman" w:cs="Arial"/>
        </w:rPr>
        <w:t xml:space="preserve"> </w:t>
      </w:r>
      <w:r w:rsidR="00296B32">
        <w:rPr>
          <w:rFonts w:eastAsia="Times New Roman" w:cs="Arial"/>
        </w:rPr>
        <w:t xml:space="preserve">PPIs, progress has been slow and </w:t>
      </w:r>
      <w:r w:rsidR="006A3177">
        <w:rPr>
          <w:rFonts w:eastAsia="Times New Roman" w:cs="Arial"/>
        </w:rPr>
        <w:t xml:space="preserve">questions have been raised about </w:t>
      </w:r>
      <w:r w:rsidR="00296B32">
        <w:rPr>
          <w:rFonts w:eastAsia="Times New Roman" w:cs="Arial"/>
        </w:rPr>
        <w:t xml:space="preserve">the extent to which </w:t>
      </w:r>
      <w:r w:rsidR="00AE3117">
        <w:rPr>
          <w:rFonts w:eastAsia="Times New Roman" w:cs="Arial"/>
        </w:rPr>
        <w:t xml:space="preserve">existing </w:t>
      </w:r>
      <w:r w:rsidR="00296B32">
        <w:rPr>
          <w:rFonts w:eastAsia="Times New Roman" w:cs="Arial"/>
        </w:rPr>
        <w:t xml:space="preserve">PPIs are fit for purpose. </w:t>
      </w:r>
      <w:r w:rsidR="00C17B7A">
        <w:rPr>
          <w:rFonts w:eastAsia="Times New Roman" w:cs="Arial"/>
        </w:rPr>
        <w:t>Collaborative endeavours</w:t>
      </w:r>
      <w:r w:rsidR="002B78C9" w:rsidRPr="00015134">
        <w:rPr>
          <w:rFonts w:eastAsia="Times New Roman" w:cs="Arial"/>
        </w:rPr>
        <w:t xml:space="preserve"> </w:t>
      </w:r>
      <w:r w:rsidR="00AE3117">
        <w:rPr>
          <w:rFonts w:eastAsia="Times New Roman" w:cs="Arial"/>
        </w:rPr>
        <w:t xml:space="preserve">that </w:t>
      </w:r>
      <w:r w:rsidR="006A3177">
        <w:rPr>
          <w:rFonts w:eastAsia="Times New Roman" w:cs="Arial"/>
        </w:rPr>
        <w:t xml:space="preserve">combine </w:t>
      </w:r>
      <w:r w:rsidR="002B78C9" w:rsidRPr="00015134">
        <w:rPr>
          <w:rFonts w:eastAsia="Times New Roman" w:cs="Arial"/>
        </w:rPr>
        <w:t>the spec</w:t>
      </w:r>
      <w:r w:rsidR="00C81B04">
        <w:rPr>
          <w:rFonts w:eastAsia="Times New Roman" w:cs="Arial"/>
        </w:rPr>
        <w:t>ialised technical expertise of work health and safety</w:t>
      </w:r>
      <w:r w:rsidR="002B78C9" w:rsidRPr="00015134">
        <w:rPr>
          <w:rFonts w:eastAsia="Times New Roman" w:cs="Arial"/>
        </w:rPr>
        <w:t xml:space="preserve"> </w:t>
      </w:r>
      <w:r w:rsidR="00C17B7A" w:rsidRPr="00015134">
        <w:rPr>
          <w:rFonts w:eastAsia="Times New Roman" w:cs="Arial"/>
        </w:rPr>
        <w:t>professional</w:t>
      </w:r>
      <w:r w:rsidR="00C17B7A">
        <w:rPr>
          <w:rFonts w:eastAsia="Times New Roman" w:cs="Arial"/>
        </w:rPr>
        <w:t>s</w:t>
      </w:r>
      <w:r w:rsidR="006A3177">
        <w:rPr>
          <w:rFonts w:eastAsia="Times New Roman" w:cs="Arial"/>
        </w:rPr>
        <w:t xml:space="preserve"> </w:t>
      </w:r>
      <w:r w:rsidR="002B78C9" w:rsidRPr="00015134">
        <w:rPr>
          <w:rFonts w:eastAsia="Times New Roman" w:cs="Arial"/>
        </w:rPr>
        <w:t xml:space="preserve">and </w:t>
      </w:r>
      <w:r w:rsidR="00C17B7A">
        <w:rPr>
          <w:rFonts w:eastAsia="Times New Roman" w:cs="Arial"/>
        </w:rPr>
        <w:t xml:space="preserve">measurement expertise of </w:t>
      </w:r>
      <w:r w:rsidR="002B78C9" w:rsidRPr="00015134">
        <w:rPr>
          <w:rFonts w:eastAsia="Times New Roman" w:cs="Arial"/>
        </w:rPr>
        <w:t>accounting professional</w:t>
      </w:r>
      <w:r w:rsidR="00C17B7A">
        <w:rPr>
          <w:rFonts w:eastAsia="Times New Roman" w:cs="Arial"/>
        </w:rPr>
        <w:t>s</w:t>
      </w:r>
      <w:r w:rsidR="002B78C9" w:rsidRPr="00015134">
        <w:rPr>
          <w:rFonts w:eastAsia="Times New Roman" w:cs="Arial"/>
        </w:rPr>
        <w:t xml:space="preserve"> (at organisational, industry and national levels) </w:t>
      </w:r>
      <w:r w:rsidR="006A3177">
        <w:rPr>
          <w:rFonts w:eastAsia="Times New Roman" w:cs="Arial"/>
        </w:rPr>
        <w:t xml:space="preserve">may result in promising developments in the </w:t>
      </w:r>
      <w:r w:rsidR="00AE3117">
        <w:rPr>
          <w:rFonts w:eastAsia="Times New Roman" w:cs="Arial"/>
        </w:rPr>
        <w:t xml:space="preserve">innovation </w:t>
      </w:r>
      <w:r w:rsidR="006A3177">
        <w:rPr>
          <w:rFonts w:eastAsia="Times New Roman" w:cs="Arial"/>
        </w:rPr>
        <w:t>of PPIs.</w:t>
      </w:r>
    </w:p>
    <w:p w:rsidR="002B4103" w:rsidRPr="00C17B7A" w:rsidRDefault="003877A5" w:rsidP="003877A5">
      <w:pPr>
        <w:rPr>
          <w:rFonts w:eastAsia="Times New Roman" w:cs="Arial"/>
        </w:rPr>
      </w:pPr>
      <w:r>
        <w:rPr>
          <w:rFonts w:eastAsia="Times New Roman" w:cs="Arial"/>
        </w:rPr>
        <w:br w:type="page"/>
      </w:r>
    </w:p>
    <w:p w:rsidR="002B4103" w:rsidRPr="002707A7" w:rsidRDefault="009E4FE9" w:rsidP="008A6FF5">
      <w:pPr>
        <w:pStyle w:val="Heading1"/>
        <w:numPr>
          <w:ilvl w:val="0"/>
          <w:numId w:val="19"/>
        </w:numPr>
        <w:tabs>
          <w:tab w:val="center" w:pos="4607"/>
        </w:tabs>
        <w:spacing w:before="360" w:after="120"/>
        <w:ind w:left="425" w:hanging="425"/>
        <w:rPr>
          <w:rFonts w:asciiTheme="minorHAnsi" w:hAnsiTheme="minorHAnsi"/>
          <w:sz w:val="30"/>
          <w:szCs w:val="30"/>
        </w:rPr>
      </w:pPr>
      <w:bookmarkStart w:id="2" w:name="_Toc361085292"/>
      <w:r w:rsidRPr="002707A7">
        <w:rPr>
          <w:rFonts w:asciiTheme="minorHAnsi" w:hAnsiTheme="minorHAnsi"/>
          <w:sz w:val="30"/>
          <w:szCs w:val="30"/>
        </w:rPr>
        <w:lastRenderedPageBreak/>
        <w:t>W</w:t>
      </w:r>
      <w:r w:rsidR="0059592E" w:rsidRPr="002707A7">
        <w:rPr>
          <w:rFonts w:asciiTheme="minorHAnsi" w:hAnsiTheme="minorHAnsi"/>
          <w:sz w:val="30"/>
          <w:szCs w:val="30"/>
        </w:rPr>
        <w:t>ork</w:t>
      </w:r>
      <w:r w:rsidR="00A24B62">
        <w:rPr>
          <w:rFonts w:asciiTheme="minorHAnsi" w:hAnsiTheme="minorHAnsi"/>
          <w:sz w:val="30"/>
          <w:szCs w:val="30"/>
        </w:rPr>
        <w:t xml:space="preserve"> health and safety</w:t>
      </w:r>
      <w:r w:rsidR="00360314">
        <w:rPr>
          <w:rFonts w:asciiTheme="minorHAnsi" w:hAnsiTheme="minorHAnsi"/>
          <w:sz w:val="30"/>
          <w:szCs w:val="30"/>
        </w:rPr>
        <w:t xml:space="preserve"> </w:t>
      </w:r>
      <w:r w:rsidRPr="002707A7">
        <w:rPr>
          <w:rFonts w:asciiTheme="minorHAnsi" w:hAnsiTheme="minorHAnsi"/>
          <w:sz w:val="30"/>
          <w:szCs w:val="30"/>
        </w:rPr>
        <w:t>in Australia</w:t>
      </w:r>
      <w:bookmarkEnd w:id="2"/>
    </w:p>
    <w:p w:rsidR="002846E6" w:rsidRPr="005C3F28" w:rsidRDefault="00B47C1D" w:rsidP="00EF718A">
      <w:pPr>
        <w:spacing w:after="240"/>
        <w:jc w:val="both"/>
        <w:rPr>
          <w:rFonts w:eastAsia="Times New Roman" w:cs="Arial"/>
        </w:rPr>
      </w:pPr>
      <w:r>
        <w:rPr>
          <w:noProof/>
        </w:rPr>
        <mc:AlternateContent>
          <mc:Choice Requires="wps">
            <w:drawing>
              <wp:anchor distT="0" distB="0" distL="114300" distR="114300" simplePos="0" relativeHeight="251694080" behindDoc="0" locked="0" layoutInCell="1" allowOverlap="1" wp14:anchorId="4AAA7869" wp14:editId="08DA304F">
                <wp:simplePos x="0" y="0"/>
                <wp:positionH relativeFrom="column">
                  <wp:posOffset>1270</wp:posOffset>
                </wp:positionH>
                <wp:positionV relativeFrom="paragraph">
                  <wp:posOffset>5305425</wp:posOffset>
                </wp:positionV>
                <wp:extent cx="3397250" cy="635"/>
                <wp:effectExtent l="0" t="0" r="0" b="0"/>
                <wp:wrapTight wrapText="bothSides">
                  <wp:wrapPolygon edited="0">
                    <wp:start x="0" y="0"/>
                    <wp:lineTo x="0" y="21600"/>
                    <wp:lineTo x="21600" y="21600"/>
                    <wp:lineTo x="21600" y="0"/>
                  </wp:wrapPolygon>
                </wp:wrapTight>
                <wp:docPr id="313" name="Text Box 313"/>
                <wp:cNvGraphicFramePr/>
                <a:graphic xmlns:a="http://schemas.openxmlformats.org/drawingml/2006/main">
                  <a:graphicData uri="http://schemas.microsoft.com/office/word/2010/wordprocessingShape">
                    <wps:wsp>
                      <wps:cNvSpPr txBox="1"/>
                      <wps:spPr>
                        <a:xfrm>
                          <a:off x="0" y="0"/>
                          <a:ext cx="3397250" cy="635"/>
                        </a:xfrm>
                        <a:prstGeom prst="rect">
                          <a:avLst/>
                        </a:prstGeom>
                        <a:solidFill>
                          <a:prstClr val="white"/>
                        </a:solidFill>
                        <a:ln>
                          <a:noFill/>
                        </a:ln>
                        <a:effectLst/>
                      </wps:spPr>
                      <wps:txbx>
                        <w:txbxContent>
                          <w:p w:rsidR="00123706" w:rsidRPr="00B96E52" w:rsidRDefault="00123706" w:rsidP="00B47C1D">
                            <w:pPr>
                              <w:pStyle w:val="Caption"/>
                              <w:rPr>
                                <w:noProof/>
                                <w:sz w:val="20"/>
                              </w:rPr>
                            </w:pPr>
                            <w:r>
                              <w:t xml:space="preserve">Figure </w:t>
                            </w:r>
                            <w:fldSimple w:instr=" SEQ Figure \* ARABIC ">
                              <w:r>
                                <w:rPr>
                                  <w:noProof/>
                                </w:rPr>
                                <w:t>1</w:t>
                              </w:r>
                            </w:fldSimple>
                            <w:r>
                              <w:t xml:space="preserve"> </w:t>
                            </w:r>
                            <w:r w:rsidRPr="008A088D">
                              <w:t>Economic cost of work-related injury &amp; illness in Australia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13" o:spid="_x0000_s1026" type="#_x0000_t202" style="position:absolute;left:0;text-align:left;margin-left:.1pt;margin-top:417.75pt;width:267.5pt;height:.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" stroked="f">
                <v:textbox style="mso-fit-shape-to-text:t" inset="0,0,0,0">
                  <w:txbxContent>
                    <w:p w:rsidR="00123706" w:rsidRPr="00B96E52" w:rsidRDefault="00123706" w:rsidP="00B47C1D">
                      <w:pPr>
                        <w:pStyle w:val="Caption"/>
                        <w:rPr>
                          <w:noProof/>
                          <w:sz w:val="20"/>
                        </w:rPr>
                      </w:pPr>
                      <w:r>
                        <w:t xml:space="preserve">Figure </w:t>
                      </w:r>
                      <w:r w:rsidR="00A66DAB">
                        <w:fldChar w:fldCharType="begin"/>
                      </w:r>
                      <w:r w:rsidR="00A66DAB">
                        <w:instrText xml:space="preserve"> SEQ Figure \* ARABIC </w:instrText>
                      </w:r>
                      <w:r w:rsidR="00A66DAB">
                        <w:fldChar w:fldCharType="separate"/>
                      </w:r>
                      <w:r>
                        <w:rPr>
                          <w:noProof/>
                        </w:rPr>
                        <w:t>1</w:t>
                      </w:r>
                      <w:r w:rsidR="00A66DAB">
                        <w:rPr>
                          <w:noProof/>
                        </w:rPr>
                        <w:fldChar w:fldCharType="end"/>
                      </w:r>
                      <w:r>
                        <w:t xml:space="preserve"> </w:t>
                      </w:r>
                      <w:r w:rsidRPr="008A088D">
                        <w:t>Economic cost of work-related injury &amp; illness in Australia</w:t>
                      </w:r>
                    </w:p>
                  </w:txbxContent>
                </v:textbox>
                <w10:wrap type="tight"/>
              </v:shape>
            </w:pict>
          </mc:Fallback>
        </mc:AlternateContent>
      </w:r>
      <w:r w:rsidR="003877A5">
        <w:rPr>
          <w:noProof/>
        </w:rPr>
        <w:drawing>
          <wp:anchor distT="0" distB="0" distL="114300" distR="114300" simplePos="0" relativeHeight="251651072" behindDoc="1" locked="0" layoutInCell="1" allowOverlap="1" wp14:anchorId="5C38F7E5" wp14:editId="108AFB03">
            <wp:simplePos x="0" y="0"/>
            <wp:positionH relativeFrom="column">
              <wp:posOffset>1270</wp:posOffset>
            </wp:positionH>
            <wp:positionV relativeFrom="paragraph">
              <wp:posOffset>2339975</wp:posOffset>
            </wp:positionV>
            <wp:extent cx="3397250" cy="2908300"/>
            <wp:effectExtent l="0" t="0" r="0" b="6350"/>
            <wp:wrapTight wrapText="bothSides">
              <wp:wrapPolygon edited="0">
                <wp:start x="0" y="0"/>
                <wp:lineTo x="0" y="21506"/>
                <wp:lineTo x="21439" y="21506"/>
                <wp:lineTo x="21439" y="0"/>
                <wp:lineTo x="0" y="0"/>
              </wp:wrapPolygon>
            </wp:wrapTight>
            <wp:docPr id="325" name="Picture 9" descr="This chart shows the economic cost of work-related injury &amp; illness          in Australia in 1991/2, 2000/1, 2005/6 and 2008/9.&#10;&#10;In 1991/2 the economic costwas $20 billion.&#10;&#10;In 200/1, the economic cost was $34.3 billion (or 5% of GDP) and the cost incluidng pain and asuffering (for 2002 only) was $82.8 billion (or 12% of GDP).&#10;&#10;In 2005/6 the economic cost was $57.5 billion (or 5.9% of GDP).&#10;&#10;In 2008/9, the economic cost was $75.1 billion (or 6% of GDP). In the same year, it was $60.6 billion, using the revised methodology (or 4.8% of GDP." title="Figure 1: Economic cost of work-related injury &amp; illness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397250" cy="2908300"/>
                    </a:xfrm>
                    <a:prstGeom prst="rect">
                      <a:avLst/>
                    </a:prstGeom>
                  </pic:spPr>
                </pic:pic>
              </a:graphicData>
            </a:graphic>
          </wp:anchor>
        </w:drawing>
      </w:r>
      <w:r w:rsidR="00DA1709">
        <w:rPr>
          <w:rFonts w:eastAsia="Times New Roman" w:cs="Arial"/>
        </w:rPr>
        <w:t>‘S</w:t>
      </w:r>
      <w:r w:rsidR="00713010">
        <w:rPr>
          <w:rFonts w:eastAsia="Times New Roman" w:cs="Arial"/>
        </w:rPr>
        <w:t xml:space="preserve">afety’ is </w:t>
      </w:r>
      <w:r w:rsidR="00DA1709">
        <w:rPr>
          <w:rFonts w:eastAsia="Times New Roman" w:cs="Arial"/>
        </w:rPr>
        <w:t xml:space="preserve">defined as </w:t>
      </w:r>
      <w:r w:rsidR="00713010">
        <w:rPr>
          <w:rFonts w:eastAsia="Times New Roman" w:cs="Arial"/>
        </w:rPr>
        <w:t xml:space="preserve">freedom from </w:t>
      </w:r>
      <w:r w:rsidR="00DA1709">
        <w:rPr>
          <w:rFonts w:eastAsia="Times New Roman" w:cs="Arial"/>
        </w:rPr>
        <w:t xml:space="preserve">the </w:t>
      </w:r>
      <w:r w:rsidR="00713010">
        <w:rPr>
          <w:rFonts w:eastAsia="Times New Roman" w:cs="Arial"/>
        </w:rPr>
        <w:t>risk of injury and ‘health’</w:t>
      </w:r>
      <w:r w:rsidR="00DA1709">
        <w:rPr>
          <w:rFonts w:eastAsia="Times New Roman" w:cs="Arial"/>
        </w:rPr>
        <w:t xml:space="preserve"> as</w:t>
      </w:r>
      <w:r w:rsidR="00713010">
        <w:rPr>
          <w:rFonts w:eastAsia="Times New Roman" w:cs="Arial"/>
        </w:rPr>
        <w:t xml:space="preserve"> freedom from </w:t>
      </w:r>
      <w:r w:rsidR="00DA1709">
        <w:rPr>
          <w:rFonts w:eastAsia="Times New Roman" w:cs="Arial"/>
        </w:rPr>
        <w:t xml:space="preserve">the </w:t>
      </w:r>
      <w:r w:rsidR="00713010">
        <w:rPr>
          <w:rFonts w:eastAsia="Times New Roman" w:cs="Arial"/>
        </w:rPr>
        <w:t>risk of illness.</w:t>
      </w:r>
      <w:r w:rsidR="00AF7D43">
        <w:rPr>
          <w:rStyle w:val="FootnoteReference"/>
          <w:rFonts w:eastAsia="Times New Roman" w:cs="Arial"/>
        </w:rPr>
        <w:footnoteReference w:id="5"/>
      </w:r>
      <w:r w:rsidR="00713010">
        <w:rPr>
          <w:rFonts w:eastAsia="Times New Roman" w:cs="Arial"/>
        </w:rPr>
        <w:t xml:space="preserve"> A safe and healthy workplace is therefore one in which </w:t>
      </w:r>
      <w:r w:rsidR="00AE3117">
        <w:rPr>
          <w:rFonts w:eastAsia="Times New Roman" w:cs="Arial"/>
        </w:rPr>
        <w:t xml:space="preserve">those </w:t>
      </w:r>
      <w:r w:rsidR="00713010">
        <w:rPr>
          <w:rFonts w:eastAsia="Times New Roman" w:cs="Arial"/>
        </w:rPr>
        <w:t>hazards that pose a potential risk to the health and safety of workers (and others in the workplace</w:t>
      </w:r>
      <w:r w:rsidR="002F2F7D">
        <w:rPr>
          <w:rStyle w:val="FootnoteReference"/>
          <w:rFonts w:eastAsia="Times New Roman" w:cs="Arial"/>
        </w:rPr>
        <w:footnoteReference w:id="6"/>
      </w:r>
      <w:r w:rsidR="00713010">
        <w:rPr>
          <w:rFonts w:eastAsia="Times New Roman" w:cs="Arial"/>
        </w:rPr>
        <w:t xml:space="preserve">) are </w:t>
      </w:r>
      <w:r w:rsidR="00E42C23">
        <w:rPr>
          <w:rFonts w:eastAsia="Times New Roman" w:cs="Arial"/>
        </w:rPr>
        <w:t xml:space="preserve">eliminated or </w:t>
      </w:r>
      <w:r w:rsidR="00713010">
        <w:rPr>
          <w:rFonts w:eastAsia="Times New Roman" w:cs="Arial"/>
        </w:rPr>
        <w:t>controlled effectively. Australian businesses have achieved considerable success</w:t>
      </w:r>
      <w:r w:rsidR="000D1925">
        <w:rPr>
          <w:rFonts w:eastAsia="Times New Roman" w:cs="Arial"/>
        </w:rPr>
        <w:t xml:space="preserve"> </w:t>
      </w:r>
      <w:r w:rsidR="00713010">
        <w:rPr>
          <w:rFonts w:eastAsia="Times New Roman" w:cs="Arial"/>
        </w:rPr>
        <w:t>i</w:t>
      </w:r>
      <w:r w:rsidR="00713010" w:rsidRPr="005C3F28">
        <w:rPr>
          <w:rFonts w:eastAsia="Times New Roman" w:cs="Arial"/>
        </w:rPr>
        <w:t xml:space="preserve">n </w:t>
      </w:r>
      <w:r w:rsidR="00713010">
        <w:rPr>
          <w:rFonts w:eastAsia="Times New Roman" w:cs="Arial"/>
        </w:rPr>
        <w:t xml:space="preserve">improving </w:t>
      </w:r>
      <w:r w:rsidR="002F2F7D">
        <w:rPr>
          <w:rFonts w:eastAsia="Times New Roman" w:cs="Arial"/>
        </w:rPr>
        <w:t>work</w:t>
      </w:r>
      <w:r w:rsidR="00713010">
        <w:rPr>
          <w:rFonts w:eastAsia="Times New Roman" w:cs="Arial"/>
        </w:rPr>
        <w:t xml:space="preserve"> health and safety </w:t>
      </w:r>
      <w:r w:rsidR="00161027">
        <w:rPr>
          <w:rFonts w:eastAsia="Times New Roman" w:cs="Arial"/>
        </w:rPr>
        <w:t>over recent decades</w:t>
      </w:r>
      <w:r w:rsidR="002F2F7D">
        <w:rPr>
          <w:rFonts w:eastAsia="Times New Roman" w:cs="Arial"/>
        </w:rPr>
        <w:t>. However, ongoing</w:t>
      </w:r>
      <w:r w:rsidR="00713010">
        <w:rPr>
          <w:rFonts w:eastAsia="Times New Roman" w:cs="Arial"/>
        </w:rPr>
        <w:t xml:space="preserve"> rates of </w:t>
      </w:r>
      <w:r w:rsidR="00713010" w:rsidRPr="005F3019">
        <w:rPr>
          <w:rFonts w:eastAsia="Times New Roman" w:cs="Arial"/>
          <w:b/>
        </w:rPr>
        <w:t xml:space="preserve">work-related injury and illness </w:t>
      </w:r>
      <w:r w:rsidR="00A47F74" w:rsidRPr="005F3019">
        <w:rPr>
          <w:rFonts w:eastAsia="Times New Roman" w:cs="Arial"/>
          <w:b/>
        </w:rPr>
        <w:t xml:space="preserve">(WRII) </w:t>
      </w:r>
      <w:r w:rsidR="00713010">
        <w:rPr>
          <w:rFonts w:eastAsia="Times New Roman" w:cs="Arial"/>
        </w:rPr>
        <w:t xml:space="preserve">provide evidence </w:t>
      </w:r>
      <w:r w:rsidR="00A27016">
        <w:rPr>
          <w:rFonts w:eastAsia="Times New Roman" w:cs="Arial"/>
        </w:rPr>
        <w:t>as to</w:t>
      </w:r>
      <w:r w:rsidR="00713010">
        <w:rPr>
          <w:rFonts w:eastAsia="Times New Roman" w:cs="Arial"/>
        </w:rPr>
        <w:t xml:space="preserve"> the ongoing challenge </w:t>
      </w:r>
      <w:r w:rsidR="00FD421A">
        <w:rPr>
          <w:rFonts w:eastAsia="Times New Roman" w:cs="Arial"/>
        </w:rPr>
        <w:t xml:space="preserve">that </w:t>
      </w:r>
      <w:r w:rsidR="00A27016" w:rsidRPr="005F3019">
        <w:rPr>
          <w:rFonts w:eastAsia="Times New Roman" w:cs="Arial"/>
          <w:b/>
        </w:rPr>
        <w:t xml:space="preserve">work health and safety </w:t>
      </w:r>
      <w:r w:rsidR="00713010">
        <w:rPr>
          <w:rFonts w:eastAsia="Times New Roman" w:cs="Arial"/>
        </w:rPr>
        <w:t>poses</w:t>
      </w:r>
      <w:r w:rsidR="003E583E">
        <w:rPr>
          <w:rFonts w:eastAsia="Times New Roman" w:cs="Arial"/>
        </w:rPr>
        <w:t xml:space="preserve"> </w:t>
      </w:r>
      <w:r w:rsidR="00B45831" w:rsidRPr="005C3F28">
        <w:rPr>
          <w:rFonts w:eastAsia="Times New Roman" w:cs="Arial"/>
        </w:rPr>
        <w:t xml:space="preserve">for Australian workers, business and the </w:t>
      </w:r>
      <w:r w:rsidR="002F2F7D">
        <w:rPr>
          <w:rFonts w:eastAsia="Times New Roman" w:cs="Arial"/>
        </w:rPr>
        <w:t>broader</w:t>
      </w:r>
      <w:r w:rsidR="00B45831" w:rsidRPr="005C3F28">
        <w:rPr>
          <w:rFonts w:eastAsia="Times New Roman" w:cs="Arial"/>
        </w:rPr>
        <w:t xml:space="preserve"> economy</w:t>
      </w:r>
      <w:r w:rsidR="00CD245F" w:rsidRPr="005C3F28">
        <w:rPr>
          <w:rFonts w:eastAsia="Times New Roman" w:cs="Arial"/>
        </w:rPr>
        <w:t>.</w:t>
      </w:r>
      <w:r w:rsidR="007C1B4F">
        <w:rPr>
          <w:rFonts w:eastAsia="Times New Roman" w:cs="Arial"/>
        </w:rPr>
        <w:t xml:space="preserve"> </w:t>
      </w:r>
      <w:r w:rsidR="007B092C">
        <w:rPr>
          <w:rFonts w:eastAsia="Times New Roman" w:cs="Arial"/>
        </w:rPr>
        <w:t xml:space="preserve">The failure to control occupational hazards contributes to </w:t>
      </w:r>
      <w:r w:rsidR="002F2F7D">
        <w:rPr>
          <w:rFonts w:eastAsia="Times New Roman" w:cs="Arial"/>
        </w:rPr>
        <w:t>over</w:t>
      </w:r>
      <w:r w:rsidR="007B092C">
        <w:rPr>
          <w:rFonts w:eastAsia="Times New Roman" w:cs="Arial"/>
        </w:rPr>
        <w:t xml:space="preserve"> half a million WRII each year, including more than 125</w:t>
      </w:r>
      <w:r w:rsidR="00C81B04">
        <w:rPr>
          <w:rFonts w:eastAsia="Times New Roman" w:cs="Arial"/>
        </w:rPr>
        <w:t xml:space="preserve"> </w:t>
      </w:r>
      <w:r w:rsidR="007B092C">
        <w:rPr>
          <w:rFonts w:eastAsia="Times New Roman" w:cs="Arial"/>
        </w:rPr>
        <w:t>000 serious (sic) injur</w:t>
      </w:r>
      <w:r w:rsidR="002F2F7D">
        <w:rPr>
          <w:rFonts w:eastAsia="Times New Roman" w:cs="Arial"/>
        </w:rPr>
        <w:t>y cases</w:t>
      </w:r>
      <w:r w:rsidR="007B092C">
        <w:rPr>
          <w:rFonts w:eastAsia="Times New Roman" w:cs="Arial"/>
        </w:rPr>
        <w:t>.</w:t>
      </w:r>
      <w:r w:rsidR="00AF7D43">
        <w:rPr>
          <w:rStyle w:val="FootnoteReference"/>
          <w:rFonts w:eastAsia="Times New Roman" w:cs="Arial"/>
        </w:rPr>
        <w:footnoteReference w:id="7"/>
      </w:r>
      <w:r w:rsidR="007B092C">
        <w:rPr>
          <w:rFonts w:eastAsia="Times New Roman" w:cs="Arial"/>
        </w:rPr>
        <w:t xml:space="preserve"> These </w:t>
      </w:r>
      <w:r w:rsidR="002F2F7D">
        <w:rPr>
          <w:rFonts w:eastAsia="Times New Roman" w:cs="Arial"/>
        </w:rPr>
        <w:t xml:space="preserve">cases </w:t>
      </w:r>
      <w:r w:rsidR="007B092C">
        <w:rPr>
          <w:rFonts w:eastAsia="Times New Roman" w:cs="Arial"/>
        </w:rPr>
        <w:t>not only</w:t>
      </w:r>
      <w:r w:rsidR="00AF7D43">
        <w:rPr>
          <w:rFonts w:eastAsia="Times New Roman" w:cs="Arial"/>
        </w:rPr>
        <w:t xml:space="preserve"> </w:t>
      </w:r>
      <w:r w:rsidR="00161027">
        <w:rPr>
          <w:rFonts w:eastAsia="Times New Roman" w:cs="Arial"/>
        </w:rPr>
        <w:t>inflict</w:t>
      </w:r>
      <w:r w:rsidR="00123722" w:rsidRPr="005C3F28">
        <w:rPr>
          <w:rFonts w:eastAsia="Times New Roman" w:cs="Arial"/>
        </w:rPr>
        <w:t xml:space="preserve"> varying levels of pain and suffering on workers </w:t>
      </w:r>
      <w:r w:rsidR="007B092C">
        <w:rPr>
          <w:rFonts w:eastAsia="Times New Roman" w:cs="Arial"/>
        </w:rPr>
        <w:t>but also</w:t>
      </w:r>
      <w:r w:rsidR="00AF7D43">
        <w:rPr>
          <w:rFonts w:eastAsia="Times New Roman" w:cs="Arial"/>
        </w:rPr>
        <w:t xml:space="preserve"> </w:t>
      </w:r>
      <w:r w:rsidR="00161027">
        <w:rPr>
          <w:rFonts w:eastAsia="Times New Roman" w:cs="Arial"/>
        </w:rPr>
        <w:t xml:space="preserve">impose </w:t>
      </w:r>
      <w:r w:rsidR="00B14BE0">
        <w:rPr>
          <w:rFonts w:eastAsia="Times New Roman" w:cs="Arial"/>
        </w:rPr>
        <w:t>a</w:t>
      </w:r>
      <w:r w:rsidR="007B092C">
        <w:rPr>
          <w:rFonts w:eastAsia="Times New Roman" w:cs="Arial"/>
        </w:rPr>
        <w:t xml:space="preserve"> significant</w:t>
      </w:r>
      <w:r w:rsidR="00AF7D43">
        <w:rPr>
          <w:rFonts w:eastAsia="Times New Roman" w:cs="Arial"/>
        </w:rPr>
        <w:t xml:space="preserve"> </w:t>
      </w:r>
      <w:r w:rsidR="007B092C">
        <w:rPr>
          <w:rFonts w:eastAsia="Times New Roman" w:cs="Arial"/>
        </w:rPr>
        <w:t>financial burden</w:t>
      </w:r>
      <w:r w:rsidR="00AF7D43">
        <w:rPr>
          <w:rFonts w:eastAsia="Times New Roman" w:cs="Arial"/>
        </w:rPr>
        <w:t xml:space="preserve"> </w:t>
      </w:r>
      <w:r w:rsidR="00B14BE0">
        <w:rPr>
          <w:rFonts w:eastAsia="Times New Roman" w:cs="Arial"/>
        </w:rPr>
        <w:t>on workers, businesses and external stakeholders.</w:t>
      </w:r>
      <w:r w:rsidR="00AF7D43">
        <w:rPr>
          <w:rStyle w:val="FootnoteReference"/>
          <w:rFonts w:eastAsia="Times New Roman" w:cs="Arial"/>
        </w:rPr>
        <w:footnoteReference w:id="8"/>
      </w:r>
      <w:r w:rsidR="00AF7D43">
        <w:rPr>
          <w:rFonts w:eastAsia="Times New Roman" w:cs="Arial"/>
        </w:rPr>
        <w:t xml:space="preserve"> </w:t>
      </w:r>
      <w:r w:rsidR="007B092C">
        <w:rPr>
          <w:rFonts w:eastAsia="Times New Roman" w:cs="Arial"/>
        </w:rPr>
        <w:t>Co</w:t>
      </w:r>
      <w:r w:rsidR="00B14BE0">
        <w:rPr>
          <w:rFonts w:eastAsia="Times New Roman" w:cs="Arial"/>
        </w:rPr>
        <w:t>sts</w:t>
      </w:r>
      <w:r w:rsidR="00FA696C">
        <w:rPr>
          <w:rFonts w:eastAsia="Times New Roman" w:cs="Arial"/>
        </w:rPr>
        <w:t xml:space="preserve"> of WRII</w:t>
      </w:r>
      <w:r w:rsidR="00AF7D43">
        <w:rPr>
          <w:rFonts w:eastAsia="Times New Roman" w:cs="Arial"/>
        </w:rPr>
        <w:t xml:space="preserve"> </w:t>
      </w:r>
      <w:r w:rsidR="002F2F7D">
        <w:rPr>
          <w:rFonts w:eastAsia="Times New Roman" w:cs="Arial"/>
        </w:rPr>
        <w:t>include</w:t>
      </w:r>
      <w:r w:rsidR="00FA696C">
        <w:rPr>
          <w:rFonts w:eastAsia="Times New Roman" w:cs="Arial"/>
        </w:rPr>
        <w:t>:</w:t>
      </w:r>
      <w:r w:rsidR="00AF7D43">
        <w:rPr>
          <w:rFonts w:eastAsia="Times New Roman" w:cs="Arial"/>
        </w:rPr>
        <w:t xml:space="preserve"> </w:t>
      </w:r>
      <w:r w:rsidR="00FA696C">
        <w:rPr>
          <w:rFonts w:eastAsia="Times New Roman" w:cs="Arial"/>
        </w:rPr>
        <w:t>lost wages; medical treatment;</w:t>
      </w:r>
      <w:r w:rsidR="00AF7D43">
        <w:rPr>
          <w:rFonts w:eastAsia="Times New Roman" w:cs="Arial"/>
        </w:rPr>
        <w:t xml:space="preserve"> </w:t>
      </w:r>
      <w:r w:rsidR="00161027">
        <w:rPr>
          <w:rFonts w:eastAsia="Times New Roman" w:cs="Arial"/>
        </w:rPr>
        <w:t>compensation</w:t>
      </w:r>
      <w:r w:rsidR="00AF7D43">
        <w:rPr>
          <w:rFonts w:eastAsia="Times New Roman" w:cs="Arial"/>
        </w:rPr>
        <w:t xml:space="preserve"> </w:t>
      </w:r>
      <w:r w:rsidR="007B092C">
        <w:rPr>
          <w:rFonts w:eastAsia="Times New Roman" w:cs="Arial"/>
        </w:rPr>
        <w:t>for</w:t>
      </w:r>
      <w:r w:rsidR="006335BD">
        <w:rPr>
          <w:rFonts w:eastAsia="Times New Roman" w:cs="Arial"/>
        </w:rPr>
        <w:t xml:space="preserve"> pain and suffering</w:t>
      </w:r>
      <w:r w:rsidR="00FA696C">
        <w:rPr>
          <w:rFonts w:eastAsia="Times New Roman" w:cs="Arial"/>
        </w:rPr>
        <w:t>;</w:t>
      </w:r>
      <w:r w:rsidR="00AF7D43">
        <w:rPr>
          <w:rFonts w:eastAsia="Times New Roman" w:cs="Arial"/>
        </w:rPr>
        <w:t xml:space="preserve"> </w:t>
      </w:r>
      <w:r w:rsidR="00161027">
        <w:rPr>
          <w:rFonts w:eastAsia="Times New Roman" w:cs="Arial"/>
        </w:rPr>
        <w:t>legal fees</w:t>
      </w:r>
      <w:r w:rsidR="00FA696C">
        <w:rPr>
          <w:rFonts w:eastAsia="Times New Roman" w:cs="Arial"/>
        </w:rPr>
        <w:t>;</w:t>
      </w:r>
      <w:r w:rsidR="00161027">
        <w:rPr>
          <w:rFonts w:eastAsia="Times New Roman" w:cs="Arial"/>
        </w:rPr>
        <w:t xml:space="preserve"> fines</w:t>
      </w:r>
      <w:r w:rsidR="00AF7D43">
        <w:rPr>
          <w:rFonts w:eastAsia="Times New Roman" w:cs="Arial"/>
        </w:rPr>
        <w:t xml:space="preserve"> </w:t>
      </w:r>
      <w:r w:rsidR="00B14BE0">
        <w:rPr>
          <w:rFonts w:eastAsia="Times New Roman" w:cs="Arial"/>
        </w:rPr>
        <w:t>and penalties</w:t>
      </w:r>
      <w:r w:rsidR="00FA696C">
        <w:rPr>
          <w:rFonts w:eastAsia="Times New Roman" w:cs="Arial"/>
        </w:rPr>
        <w:t>;</w:t>
      </w:r>
      <w:r w:rsidR="00AF7D43">
        <w:rPr>
          <w:rFonts w:eastAsia="Times New Roman" w:cs="Arial"/>
        </w:rPr>
        <w:t xml:space="preserve"> </w:t>
      </w:r>
      <w:r w:rsidR="00123722" w:rsidRPr="005C3F28">
        <w:rPr>
          <w:rFonts w:eastAsia="Times New Roman" w:cs="Arial"/>
        </w:rPr>
        <w:t>lost productivity</w:t>
      </w:r>
      <w:r w:rsidR="00FA696C">
        <w:rPr>
          <w:rFonts w:eastAsia="Times New Roman" w:cs="Arial"/>
        </w:rPr>
        <w:t>;</w:t>
      </w:r>
      <w:r w:rsidR="00123722" w:rsidRPr="005C3F28">
        <w:rPr>
          <w:rFonts w:eastAsia="Times New Roman" w:cs="Arial"/>
        </w:rPr>
        <w:t xml:space="preserve"> poor morale</w:t>
      </w:r>
      <w:r w:rsidR="00FA696C">
        <w:rPr>
          <w:rFonts w:eastAsia="Times New Roman" w:cs="Arial"/>
        </w:rPr>
        <w:t>;</w:t>
      </w:r>
      <w:r w:rsidR="00123722" w:rsidRPr="005C3F28">
        <w:rPr>
          <w:rFonts w:eastAsia="Times New Roman" w:cs="Arial"/>
        </w:rPr>
        <w:t xml:space="preserve"> and </w:t>
      </w:r>
      <w:r w:rsidR="00161027">
        <w:rPr>
          <w:rFonts w:eastAsia="Times New Roman" w:cs="Arial"/>
        </w:rPr>
        <w:t>expenditures</w:t>
      </w:r>
      <w:r w:rsidR="00123722" w:rsidRPr="005C3F28">
        <w:rPr>
          <w:rFonts w:eastAsia="Times New Roman" w:cs="Arial"/>
        </w:rPr>
        <w:t xml:space="preserve"> associated with retraining, recruitment and </w:t>
      </w:r>
      <w:r w:rsidR="00B14BE0">
        <w:rPr>
          <w:rFonts w:eastAsia="Times New Roman" w:cs="Arial"/>
        </w:rPr>
        <w:t xml:space="preserve">the </w:t>
      </w:r>
      <w:r w:rsidR="00123722" w:rsidRPr="005C3F28">
        <w:rPr>
          <w:rFonts w:eastAsia="Times New Roman" w:cs="Arial"/>
        </w:rPr>
        <w:t>hazard mitigation to prevent recurrence.</w:t>
      </w:r>
    </w:p>
    <w:p w:rsidR="005C011A" w:rsidRDefault="00161027" w:rsidP="002F2F7D">
      <w:pPr>
        <w:spacing w:after="240"/>
        <w:ind w:left="5670"/>
        <w:jc w:val="both"/>
        <w:rPr>
          <w:rFonts w:eastAsia="Times New Roman" w:cs="Arial"/>
        </w:rPr>
      </w:pPr>
      <w:r>
        <w:rPr>
          <w:rFonts w:eastAsia="Times New Roman" w:cs="Arial"/>
        </w:rPr>
        <w:t xml:space="preserve">At </w:t>
      </w:r>
      <w:r w:rsidRPr="00E80A4E">
        <w:rPr>
          <w:rFonts w:eastAsia="Times New Roman" w:cs="Arial"/>
        </w:rPr>
        <w:t>around 5% of GDP</w:t>
      </w:r>
      <w:r w:rsidR="00D464D5" w:rsidRPr="00E80A4E">
        <w:rPr>
          <w:rFonts w:eastAsia="Times New Roman" w:cs="Arial"/>
        </w:rPr>
        <w:t>, t</w:t>
      </w:r>
      <w:r w:rsidR="00123722" w:rsidRPr="00E80A4E">
        <w:rPr>
          <w:rFonts w:eastAsia="Times New Roman" w:cs="Arial"/>
        </w:rPr>
        <w:t xml:space="preserve">he </w:t>
      </w:r>
      <w:r w:rsidR="00123722" w:rsidRPr="005A64D1">
        <w:rPr>
          <w:rFonts w:eastAsia="Times New Roman" w:cs="Arial"/>
        </w:rPr>
        <w:t xml:space="preserve">cost </w:t>
      </w:r>
      <w:r w:rsidR="005A116F" w:rsidRPr="005A64D1">
        <w:rPr>
          <w:rFonts w:eastAsia="Times New Roman" w:cs="Arial"/>
        </w:rPr>
        <w:t>of WRII</w:t>
      </w:r>
      <w:r w:rsidR="00176A32" w:rsidRPr="005A64D1">
        <w:rPr>
          <w:rFonts w:eastAsia="Times New Roman" w:cs="Arial"/>
        </w:rPr>
        <w:t xml:space="preserve"> </w:t>
      </w:r>
      <w:r w:rsidR="00FA696C" w:rsidRPr="005A64D1">
        <w:rPr>
          <w:rFonts w:eastAsia="Times New Roman" w:cs="Arial"/>
        </w:rPr>
        <w:t>to</w:t>
      </w:r>
      <w:r w:rsidR="00FA696C">
        <w:rPr>
          <w:rFonts w:eastAsia="Times New Roman" w:cs="Arial"/>
        </w:rPr>
        <w:t xml:space="preserve"> the </w:t>
      </w:r>
      <w:r w:rsidR="00097169" w:rsidRPr="005C3F28">
        <w:rPr>
          <w:rFonts w:eastAsia="Times New Roman" w:cs="Arial"/>
        </w:rPr>
        <w:t>Australia</w:t>
      </w:r>
      <w:r w:rsidR="00FA696C">
        <w:rPr>
          <w:rFonts w:eastAsia="Times New Roman" w:cs="Arial"/>
        </w:rPr>
        <w:t xml:space="preserve">n economy </w:t>
      </w:r>
      <w:r w:rsidR="00123722" w:rsidRPr="005C3F28">
        <w:rPr>
          <w:rFonts w:eastAsia="Times New Roman" w:cs="Arial"/>
        </w:rPr>
        <w:t xml:space="preserve">is </w:t>
      </w:r>
      <w:r w:rsidR="005A116F" w:rsidRPr="005C3F28">
        <w:rPr>
          <w:rFonts w:eastAsia="Times New Roman" w:cs="Arial"/>
        </w:rPr>
        <w:t>significant</w:t>
      </w:r>
      <w:r w:rsidR="005A116F">
        <w:rPr>
          <w:rFonts w:eastAsia="Times New Roman" w:cs="Arial"/>
        </w:rPr>
        <w:t xml:space="preserve"> and rising</w:t>
      </w:r>
      <w:r w:rsidR="00FA696C">
        <w:rPr>
          <w:rFonts w:eastAsia="Times New Roman" w:cs="Arial"/>
        </w:rPr>
        <w:t>. F</w:t>
      </w:r>
      <w:r w:rsidR="00D464D5">
        <w:rPr>
          <w:rFonts w:eastAsia="Times New Roman" w:cs="Arial"/>
        </w:rPr>
        <w:t>igure 1</w:t>
      </w:r>
      <w:r w:rsidR="00FA696C">
        <w:rPr>
          <w:rFonts w:eastAsia="Times New Roman" w:cs="Arial"/>
        </w:rPr>
        <w:t xml:space="preserve"> summarises findings of studies into the estimated economic </w:t>
      </w:r>
      <w:r w:rsidR="005A116F" w:rsidRPr="005C3F28">
        <w:rPr>
          <w:rFonts w:eastAsia="Times New Roman" w:cs="Arial"/>
        </w:rPr>
        <w:t>cost</w:t>
      </w:r>
      <w:r w:rsidR="005A116F">
        <w:rPr>
          <w:rFonts w:eastAsia="Times New Roman" w:cs="Arial"/>
        </w:rPr>
        <w:t>s</w:t>
      </w:r>
      <w:r w:rsidR="000D1925">
        <w:rPr>
          <w:rFonts w:eastAsia="Times New Roman" w:cs="Arial"/>
        </w:rPr>
        <w:t xml:space="preserve"> </w:t>
      </w:r>
      <w:r w:rsidR="002846E6" w:rsidRPr="005C3F28">
        <w:rPr>
          <w:rFonts w:eastAsia="Times New Roman" w:cs="Arial"/>
        </w:rPr>
        <w:t xml:space="preserve">of </w:t>
      </w:r>
      <w:r w:rsidR="00FA696C">
        <w:rPr>
          <w:rFonts w:eastAsia="Times New Roman" w:cs="Arial"/>
        </w:rPr>
        <w:t>WRII incurred in</w:t>
      </w:r>
      <w:r w:rsidR="005F3019">
        <w:rPr>
          <w:rFonts w:eastAsia="Times New Roman" w:cs="Arial"/>
        </w:rPr>
        <w:t xml:space="preserve"> the</w:t>
      </w:r>
      <w:r w:rsidR="00FA696C">
        <w:rPr>
          <w:rFonts w:eastAsia="Times New Roman" w:cs="Arial"/>
        </w:rPr>
        <w:t xml:space="preserve"> 1991/2, 2000/1, 2005/6 and 2008/9</w:t>
      </w:r>
      <w:r w:rsidR="005F3019">
        <w:rPr>
          <w:rFonts w:eastAsia="Times New Roman" w:cs="Arial"/>
        </w:rPr>
        <w:t xml:space="preserve"> financial years</w:t>
      </w:r>
      <w:r w:rsidR="00FA696C">
        <w:rPr>
          <w:rFonts w:eastAsia="Times New Roman" w:cs="Arial"/>
        </w:rPr>
        <w:t>.</w:t>
      </w:r>
      <w:r w:rsidR="00AF7D43">
        <w:rPr>
          <w:rStyle w:val="FootnoteReference"/>
          <w:rFonts w:eastAsia="Times New Roman" w:cs="Arial"/>
        </w:rPr>
        <w:footnoteReference w:id="9"/>
      </w:r>
      <w:r w:rsidR="00FA696C">
        <w:rPr>
          <w:rFonts w:eastAsia="Times New Roman" w:cs="Arial"/>
        </w:rPr>
        <w:t xml:space="preserve"> </w:t>
      </w:r>
      <w:r w:rsidR="005F3019">
        <w:rPr>
          <w:rFonts w:eastAsia="Times New Roman" w:cs="Arial"/>
        </w:rPr>
        <w:t xml:space="preserve">The </w:t>
      </w:r>
      <w:r w:rsidR="00FA696C">
        <w:rPr>
          <w:rFonts w:eastAsia="Times New Roman" w:cs="Arial"/>
        </w:rPr>
        <w:t>estimated cost</w:t>
      </w:r>
      <w:r w:rsidR="005F3019">
        <w:rPr>
          <w:rFonts w:eastAsia="Times New Roman" w:cs="Arial"/>
        </w:rPr>
        <w:t xml:space="preserve"> of</w:t>
      </w:r>
      <w:r w:rsidR="00AF7D43">
        <w:rPr>
          <w:rFonts w:eastAsia="Times New Roman" w:cs="Arial"/>
        </w:rPr>
        <w:t xml:space="preserve"> </w:t>
      </w:r>
      <w:r w:rsidR="002846E6" w:rsidRPr="005C3F28">
        <w:rPr>
          <w:rFonts w:eastAsia="Times New Roman" w:cs="Arial"/>
        </w:rPr>
        <w:t xml:space="preserve">pain, suffering and early death </w:t>
      </w:r>
      <w:r w:rsidR="005F3019">
        <w:rPr>
          <w:rFonts w:eastAsia="Times New Roman" w:cs="Arial"/>
        </w:rPr>
        <w:t>(included in the 200</w:t>
      </w:r>
      <w:r w:rsidR="002F2F7D">
        <w:rPr>
          <w:rFonts w:eastAsia="Times New Roman" w:cs="Arial"/>
        </w:rPr>
        <w:t>0/1 data</w:t>
      </w:r>
      <w:r w:rsidR="005F3019">
        <w:rPr>
          <w:rFonts w:eastAsia="Times New Roman" w:cs="Arial"/>
        </w:rPr>
        <w:t xml:space="preserve"> only) was reported to </w:t>
      </w:r>
      <w:r w:rsidR="002846E6" w:rsidRPr="005C3F28">
        <w:rPr>
          <w:rFonts w:eastAsia="Times New Roman" w:cs="Arial"/>
        </w:rPr>
        <w:t>‘</w:t>
      </w:r>
      <w:r w:rsidR="002846E6" w:rsidRPr="005C3F28">
        <w:rPr>
          <w:rFonts w:eastAsia="Times New Roman" w:cs="Arial"/>
          <w:i/>
        </w:rPr>
        <w:t>conservatively add a further $48.5 billion to the [$34.3Bn] total cost</w:t>
      </w:r>
      <w:r w:rsidR="002846E6" w:rsidRPr="002F2F7D">
        <w:rPr>
          <w:rFonts w:eastAsia="Times New Roman" w:cs="Arial"/>
        </w:rPr>
        <w:t>’</w:t>
      </w:r>
      <w:r w:rsidR="002846E6" w:rsidRPr="000D1925">
        <w:rPr>
          <w:rFonts w:eastAsia="Times New Roman" w:cs="Arial"/>
        </w:rPr>
        <w:t>.</w:t>
      </w:r>
      <w:r w:rsidR="001148A6" w:rsidRPr="000D1925">
        <w:rPr>
          <w:rStyle w:val="FootnoteReference"/>
          <w:rFonts w:eastAsia="Times New Roman" w:cs="Arial"/>
        </w:rPr>
        <w:footnoteReference w:id="10"/>
      </w:r>
    </w:p>
    <w:p w:rsidR="002846E6" w:rsidRDefault="00443FC4" w:rsidP="002F2F7D">
      <w:pPr>
        <w:spacing w:after="240"/>
        <w:ind w:left="5670"/>
        <w:jc w:val="both"/>
        <w:rPr>
          <w:rFonts w:eastAsia="Times New Roman" w:cs="Arial"/>
        </w:rPr>
      </w:pPr>
      <w:r>
        <w:rPr>
          <w:rFonts w:eastAsia="Times New Roman" w:cs="Arial"/>
        </w:rPr>
        <w:t>O</w:t>
      </w:r>
      <w:r w:rsidR="00D464D5">
        <w:rPr>
          <w:rFonts w:eastAsia="Times New Roman" w:cs="Arial"/>
        </w:rPr>
        <w:t>nly</w:t>
      </w:r>
      <w:r w:rsidR="005C011A">
        <w:rPr>
          <w:rFonts w:eastAsia="Times New Roman" w:cs="Arial"/>
        </w:rPr>
        <w:t xml:space="preserve"> 14</w:t>
      </w:r>
      <w:r w:rsidR="006C20D7">
        <w:rPr>
          <w:rFonts w:eastAsia="Times New Roman" w:cs="Arial"/>
        </w:rPr>
        <w:t>-15</w:t>
      </w:r>
      <w:r w:rsidR="005C011A">
        <w:rPr>
          <w:rFonts w:eastAsia="Times New Roman" w:cs="Arial"/>
        </w:rPr>
        <w:t xml:space="preserve">% of </w:t>
      </w:r>
      <w:r w:rsidR="006C20D7">
        <w:rPr>
          <w:rFonts w:eastAsia="Times New Roman" w:cs="Arial"/>
        </w:rPr>
        <w:t>serious</w:t>
      </w:r>
      <w:r w:rsidR="005F3019">
        <w:rPr>
          <w:rFonts w:eastAsia="Times New Roman" w:cs="Arial"/>
        </w:rPr>
        <w:t xml:space="preserve"> </w:t>
      </w:r>
      <w:r w:rsidR="00D464D5">
        <w:rPr>
          <w:rFonts w:eastAsia="Times New Roman" w:cs="Arial"/>
        </w:rPr>
        <w:t xml:space="preserve">injuries </w:t>
      </w:r>
      <w:r w:rsidR="00490586">
        <w:rPr>
          <w:rFonts w:eastAsia="Times New Roman" w:cs="Arial"/>
        </w:rPr>
        <w:t xml:space="preserve">tend to </w:t>
      </w:r>
      <w:r w:rsidR="00D464D5">
        <w:rPr>
          <w:rFonts w:eastAsia="Times New Roman" w:cs="Arial"/>
        </w:rPr>
        <w:t>involve</w:t>
      </w:r>
      <w:r w:rsidR="005C011A">
        <w:rPr>
          <w:rFonts w:eastAsia="Times New Roman" w:cs="Arial"/>
        </w:rPr>
        <w:t xml:space="preserve"> fatality or permanent disability</w:t>
      </w:r>
      <w:r w:rsidR="00D464D5">
        <w:rPr>
          <w:rFonts w:eastAsia="Times New Roman" w:cs="Arial"/>
        </w:rPr>
        <w:t>, yet the</w:t>
      </w:r>
      <w:r w:rsidR="005F3019">
        <w:rPr>
          <w:rFonts w:eastAsia="Times New Roman" w:cs="Arial"/>
        </w:rPr>
        <w:t>se</w:t>
      </w:r>
      <w:r w:rsidR="008F6895">
        <w:rPr>
          <w:rFonts w:eastAsia="Times New Roman" w:cs="Arial"/>
        </w:rPr>
        <w:t xml:space="preserve"> </w:t>
      </w:r>
      <w:r w:rsidR="005F3019">
        <w:rPr>
          <w:rFonts w:eastAsia="Times New Roman" w:cs="Arial"/>
        </w:rPr>
        <w:t xml:space="preserve">routinely </w:t>
      </w:r>
      <w:r w:rsidR="005C011A">
        <w:rPr>
          <w:rFonts w:eastAsia="Times New Roman" w:cs="Arial"/>
        </w:rPr>
        <w:t xml:space="preserve">account for </w:t>
      </w:r>
      <w:r w:rsidR="002F2F7D">
        <w:rPr>
          <w:rFonts w:eastAsia="Times New Roman" w:cs="Arial"/>
        </w:rPr>
        <w:t>over</w:t>
      </w:r>
      <w:r w:rsidR="008F6895">
        <w:rPr>
          <w:rFonts w:eastAsia="Times New Roman" w:cs="Arial"/>
        </w:rPr>
        <w:t xml:space="preserve"> </w:t>
      </w:r>
      <w:r w:rsidR="005C011A">
        <w:rPr>
          <w:rFonts w:eastAsia="Times New Roman" w:cs="Arial"/>
        </w:rPr>
        <w:t>9</w:t>
      </w:r>
      <w:r w:rsidR="00D464D5">
        <w:rPr>
          <w:rFonts w:eastAsia="Times New Roman" w:cs="Arial"/>
        </w:rPr>
        <w:t>0</w:t>
      </w:r>
      <w:r w:rsidR="005C011A">
        <w:rPr>
          <w:rFonts w:eastAsia="Times New Roman" w:cs="Arial"/>
        </w:rPr>
        <w:t>% of economic cost (</w:t>
      </w:r>
      <w:r w:rsidR="006C20D7">
        <w:rPr>
          <w:rFonts w:eastAsia="Times New Roman" w:cs="Arial"/>
        </w:rPr>
        <w:t xml:space="preserve">i.e. </w:t>
      </w:r>
      <w:r w:rsidR="00D464D5">
        <w:rPr>
          <w:rFonts w:eastAsia="Times New Roman" w:cs="Arial"/>
        </w:rPr>
        <w:t xml:space="preserve">2009: </w:t>
      </w:r>
      <w:r w:rsidR="006C20D7">
        <w:rPr>
          <w:rFonts w:eastAsia="Times New Roman" w:cs="Arial"/>
        </w:rPr>
        <w:t xml:space="preserve">$54.8 </w:t>
      </w:r>
      <w:r w:rsidR="00D464D5">
        <w:rPr>
          <w:rFonts w:eastAsia="Times New Roman" w:cs="Arial"/>
        </w:rPr>
        <w:t>of $60.6bn</w:t>
      </w:r>
      <w:r w:rsidR="006C20D7">
        <w:rPr>
          <w:rFonts w:eastAsia="Times New Roman" w:cs="Arial"/>
        </w:rPr>
        <w:t>)</w:t>
      </w:r>
      <w:r w:rsidR="005C011A">
        <w:rPr>
          <w:rFonts w:eastAsia="Times New Roman" w:cs="Arial"/>
        </w:rPr>
        <w:t>.</w:t>
      </w:r>
    </w:p>
    <w:p w:rsidR="003C5E42" w:rsidRDefault="00B40A0A" w:rsidP="007B092C">
      <w:pPr>
        <w:spacing w:before="120"/>
        <w:jc w:val="both"/>
        <w:rPr>
          <w:rFonts w:eastAsia="Times New Roman" w:cs="Arial"/>
        </w:rPr>
      </w:pPr>
      <w:r>
        <w:rPr>
          <w:rFonts w:eastAsia="Times New Roman" w:cs="Arial"/>
        </w:rPr>
        <w:t>The human, social, financial and economic consequences of WRII underscore the importance of ensur</w:t>
      </w:r>
      <w:r w:rsidR="00A46866">
        <w:rPr>
          <w:rFonts w:eastAsia="Times New Roman" w:cs="Arial"/>
        </w:rPr>
        <w:t>ing</w:t>
      </w:r>
      <w:r w:rsidR="00C81B04">
        <w:rPr>
          <w:rFonts w:eastAsia="Times New Roman" w:cs="Arial"/>
        </w:rPr>
        <w:t xml:space="preserve"> work health and safety </w:t>
      </w:r>
      <w:r>
        <w:rPr>
          <w:rFonts w:eastAsia="Times New Roman" w:cs="Arial"/>
        </w:rPr>
        <w:t xml:space="preserve">in Australian workplaces. </w:t>
      </w:r>
      <w:r w:rsidR="00A46866">
        <w:rPr>
          <w:rFonts w:eastAsia="Times New Roman" w:cs="Arial"/>
        </w:rPr>
        <w:t xml:space="preserve">This requires </w:t>
      </w:r>
      <w:r w:rsidR="00F93AA1">
        <w:rPr>
          <w:rFonts w:eastAsia="Times New Roman" w:cs="Arial"/>
        </w:rPr>
        <w:t>measurement systems capable of</w:t>
      </w:r>
      <w:r w:rsidR="009B64B2">
        <w:rPr>
          <w:rFonts w:eastAsia="Times New Roman" w:cs="Arial"/>
        </w:rPr>
        <w:t xml:space="preserve"> inform</w:t>
      </w:r>
      <w:r w:rsidR="00F93AA1">
        <w:rPr>
          <w:rFonts w:eastAsia="Times New Roman" w:cs="Arial"/>
        </w:rPr>
        <w:t>ing</w:t>
      </w:r>
      <w:r w:rsidR="000D1925">
        <w:rPr>
          <w:rFonts w:eastAsia="Times New Roman" w:cs="Arial"/>
        </w:rPr>
        <w:t xml:space="preserve"> </w:t>
      </w:r>
      <w:r w:rsidR="00F93AA1">
        <w:rPr>
          <w:rFonts w:eastAsia="Times New Roman" w:cs="Arial"/>
        </w:rPr>
        <w:t>about</w:t>
      </w:r>
      <w:r w:rsidR="009B64B2">
        <w:rPr>
          <w:rFonts w:eastAsia="Times New Roman" w:cs="Arial"/>
        </w:rPr>
        <w:t xml:space="preserve"> </w:t>
      </w:r>
      <w:r w:rsidR="00C81B04">
        <w:rPr>
          <w:rFonts w:eastAsia="Times New Roman" w:cs="Arial"/>
        </w:rPr>
        <w:t>work health and safety</w:t>
      </w:r>
      <w:r w:rsidR="009B64B2">
        <w:rPr>
          <w:rFonts w:eastAsia="Times New Roman" w:cs="Arial"/>
        </w:rPr>
        <w:t xml:space="preserve"> </w:t>
      </w:r>
      <w:r w:rsidR="00443FC4">
        <w:rPr>
          <w:rFonts w:eastAsia="Times New Roman" w:cs="Arial"/>
        </w:rPr>
        <w:t>issues</w:t>
      </w:r>
      <w:r w:rsidR="00A46866">
        <w:rPr>
          <w:rFonts w:eastAsia="Times New Roman" w:cs="Arial"/>
        </w:rPr>
        <w:t xml:space="preserve"> (e.g. information about WRII outcomes and </w:t>
      </w:r>
      <w:r w:rsidR="00C0682C">
        <w:rPr>
          <w:rFonts w:eastAsia="Times New Roman" w:cs="Arial"/>
        </w:rPr>
        <w:t>work health and safety</w:t>
      </w:r>
      <w:r w:rsidR="00A46866">
        <w:rPr>
          <w:rFonts w:eastAsia="Times New Roman" w:cs="Arial"/>
        </w:rPr>
        <w:t xml:space="preserve"> risk) </w:t>
      </w:r>
      <w:r w:rsidR="00443FC4">
        <w:rPr>
          <w:rFonts w:eastAsia="Times New Roman" w:cs="Arial"/>
        </w:rPr>
        <w:t>in order to enable</w:t>
      </w:r>
      <w:r w:rsidR="00A46866">
        <w:rPr>
          <w:rFonts w:eastAsia="Times New Roman" w:cs="Arial"/>
        </w:rPr>
        <w:t xml:space="preserve"> the</w:t>
      </w:r>
      <w:r w:rsidR="000D1925">
        <w:rPr>
          <w:rFonts w:eastAsia="Times New Roman" w:cs="Arial"/>
        </w:rPr>
        <w:t xml:space="preserve"> </w:t>
      </w:r>
      <w:r w:rsidR="00A46866">
        <w:rPr>
          <w:rFonts w:eastAsia="Times New Roman" w:cs="Arial"/>
        </w:rPr>
        <w:t xml:space="preserve">evaluation and </w:t>
      </w:r>
      <w:r w:rsidR="009B64B2">
        <w:rPr>
          <w:rFonts w:eastAsia="Times New Roman" w:cs="Arial"/>
        </w:rPr>
        <w:t xml:space="preserve">continuous improvement of effective </w:t>
      </w:r>
      <w:r w:rsidR="00C81B04">
        <w:rPr>
          <w:rFonts w:eastAsia="Times New Roman" w:cs="Arial"/>
        </w:rPr>
        <w:t>work health and safety</w:t>
      </w:r>
      <w:r w:rsidR="009B64B2">
        <w:rPr>
          <w:rFonts w:eastAsia="Times New Roman" w:cs="Arial"/>
        </w:rPr>
        <w:t xml:space="preserve"> policy, regulation and practice. </w:t>
      </w:r>
    </w:p>
    <w:p w:rsidR="009E4FE9" w:rsidRPr="002707A7" w:rsidRDefault="00A24B62" w:rsidP="008A6FF5">
      <w:pPr>
        <w:pStyle w:val="Heading1"/>
        <w:numPr>
          <w:ilvl w:val="0"/>
          <w:numId w:val="19"/>
        </w:numPr>
        <w:tabs>
          <w:tab w:val="center" w:pos="4607"/>
        </w:tabs>
        <w:spacing w:before="360" w:after="120"/>
        <w:ind w:left="425" w:hanging="425"/>
        <w:rPr>
          <w:rFonts w:asciiTheme="minorHAnsi" w:hAnsiTheme="minorHAnsi"/>
          <w:sz w:val="30"/>
          <w:szCs w:val="30"/>
        </w:rPr>
      </w:pPr>
      <w:bookmarkStart w:id="3" w:name="_Toc361085293"/>
      <w:r>
        <w:rPr>
          <w:rFonts w:asciiTheme="minorHAnsi" w:hAnsiTheme="minorHAnsi"/>
          <w:sz w:val="30"/>
          <w:szCs w:val="30"/>
        </w:rPr>
        <w:lastRenderedPageBreak/>
        <w:t>M</w:t>
      </w:r>
      <w:r w:rsidR="009E4FE9" w:rsidRPr="002707A7">
        <w:rPr>
          <w:rFonts w:asciiTheme="minorHAnsi" w:hAnsiTheme="minorHAnsi"/>
          <w:sz w:val="30"/>
          <w:szCs w:val="30"/>
        </w:rPr>
        <w:t xml:space="preserve">easuring </w:t>
      </w:r>
      <w:r>
        <w:rPr>
          <w:rFonts w:asciiTheme="minorHAnsi" w:hAnsiTheme="minorHAnsi"/>
          <w:sz w:val="30"/>
          <w:szCs w:val="30"/>
        </w:rPr>
        <w:t>w</w:t>
      </w:r>
      <w:r w:rsidRPr="002707A7">
        <w:rPr>
          <w:rFonts w:asciiTheme="minorHAnsi" w:hAnsiTheme="minorHAnsi"/>
          <w:sz w:val="30"/>
          <w:szCs w:val="30"/>
        </w:rPr>
        <w:t xml:space="preserve">ork-related injury &amp; illness </w:t>
      </w:r>
      <w:r>
        <w:rPr>
          <w:rFonts w:asciiTheme="minorHAnsi" w:hAnsiTheme="minorHAnsi"/>
          <w:sz w:val="30"/>
          <w:szCs w:val="30"/>
        </w:rPr>
        <w:t>(WRII)</w:t>
      </w:r>
      <w:bookmarkEnd w:id="3"/>
    </w:p>
    <w:p w:rsidR="00AC359A" w:rsidRDefault="00256FED" w:rsidP="00DB4771">
      <w:pPr>
        <w:spacing w:before="120" w:after="240"/>
        <w:jc w:val="both"/>
        <w:rPr>
          <w:rFonts w:eastAsia="Times New Roman" w:cs="Arial"/>
        </w:rPr>
      </w:pPr>
      <w:r w:rsidRPr="00256FED">
        <w:rPr>
          <w:rFonts w:eastAsia="Times New Roman" w:cs="Arial"/>
        </w:rPr>
        <w:t xml:space="preserve">The measurement and </w:t>
      </w:r>
      <w:r w:rsidR="00612532">
        <w:rPr>
          <w:rFonts w:eastAsia="Times New Roman" w:cs="Arial"/>
        </w:rPr>
        <w:t>analysis</w:t>
      </w:r>
      <w:r w:rsidRPr="00256FED">
        <w:rPr>
          <w:rFonts w:eastAsia="Times New Roman" w:cs="Arial"/>
        </w:rPr>
        <w:t xml:space="preserve"> of WRII is </w:t>
      </w:r>
      <w:r w:rsidR="00443FC4">
        <w:rPr>
          <w:rFonts w:eastAsia="Times New Roman" w:cs="Arial"/>
        </w:rPr>
        <w:t xml:space="preserve">a </w:t>
      </w:r>
      <w:r w:rsidRPr="00256FED">
        <w:rPr>
          <w:rFonts w:eastAsia="Times New Roman" w:cs="Arial"/>
        </w:rPr>
        <w:t>challenging</w:t>
      </w:r>
      <w:r w:rsidR="00443FC4">
        <w:rPr>
          <w:rFonts w:eastAsia="Times New Roman" w:cs="Arial"/>
        </w:rPr>
        <w:t xml:space="preserve"> task</w:t>
      </w:r>
      <w:r w:rsidRPr="00256FED">
        <w:rPr>
          <w:rFonts w:eastAsia="Times New Roman" w:cs="Arial"/>
        </w:rPr>
        <w:t xml:space="preserve"> because injuries and illnesses are not homogenous outcomes. </w:t>
      </w:r>
      <w:r w:rsidR="00443FC4">
        <w:rPr>
          <w:rFonts w:eastAsia="Times New Roman" w:cs="Arial"/>
        </w:rPr>
        <w:t>Instead, t</w:t>
      </w:r>
      <w:r w:rsidRPr="00256FED">
        <w:rPr>
          <w:rFonts w:eastAsia="Times New Roman" w:cs="Arial"/>
        </w:rPr>
        <w:t xml:space="preserve">hey </w:t>
      </w:r>
      <w:r w:rsidR="00612532">
        <w:rPr>
          <w:rFonts w:eastAsia="Times New Roman" w:cs="Arial"/>
        </w:rPr>
        <w:t>are driven by</w:t>
      </w:r>
      <w:r w:rsidRPr="00256FED">
        <w:rPr>
          <w:rFonts w:eastAsia="Times New Roman" w:cs="Arial"/>
        </w:rPr>
        <w:t xml:space="preserve"> a diverse range of</w:t>
      </w:r>
      <w:r w:rsidR="008F6895">
        <w:rPr>
          <w:rFonts w:eastAsia="Times New Roman" w:cs="Arial"/>
        </w:rPr>
        <w:t xml:space="preserve"> </w:t>
      </w:r>
      <w:r w:rsidRPr="00256FED">
        <w:rPr>
          <w:rFonts w:eastAsia="Times New Roman" w:cs="Arial"/>
        </w:rPr>
        <w:t>causes and contributing factors</w:t>
      </w:r>
      <w:r w:rsidR="008F6895">
        <w:rPr>
          <w:rFonts w:eastAsia="Times New Roman" w:cs="Arial"/>
        </w:rPr>
        <w:t xml:space="preserve"> </w:t>
      </w:r>
      <w:r w:rsidRPr="00256FED">
        <w:rPr>
          <w:rFonts w:eastAsia="Times New Roman" w:cs="Arial"/>
        </w:rPr>
        <w:t xml:space="preserve">and </w:t>
      </w:r>
      <w:r w:rsidR="00443FC4">
        <w:rPr>
          <w:rFonts w:eastAsia="Times New Roman" w:cs="Arial"/>
        </w:rPr>
        <w:t xml:space="preserve">can </w:t>
      </w:r>
      <w:r w:rsidRPr="00256FED">
        <w:rPr>
          <w:rFonts w:eastAsia="Times New Roman" w:cs="Arial"/>
        </w:rPr>
        <w:t>differ significantly in their physical, mental, social and economic consequences.</w:t>
      </w:r>
      <w:r w:rsidR="008F6895" w:rsidRPr="00612532">
        <w:rPr>
          <w:vertAlign w:val="superscript"/>
        </w:rPr>
        <w:footnoteReference w:id="11"/>
      </w:r>
      <w:r w:rsidRPr="00256FED">
        <w:rPr>
          <w:rFonts w:eastAsia="Times New Roman" w:cs="Arial"/>
        </w:rPr>
        <w:t xml:space="preserve"> </w:t>
      </w:r>
      <w:r w:rsidR="00FE4BB5">
        <w:rPr>
          <w:rFonts w:eastAsia="Times New Roman" w:cs="Arial"/>
        </w:rPr>
        <w:t>Consequently</w:t>
      </w:r>
      <w:r w:rsidRPr="00256FED">
        <w:rPr>
          <w:rFonts w:eastAsia="Times New Roman" w:cs="Arial"/>
        </w:rPr>
        <w:t xml:space="preserve">, a single measure of WRII occurrences </w:t>
      </w:r>
      <w:r w:rsidR="00AB7E85">
        <w:rPr>
          <w:rFonts w:eastAsia="Times New Roman" w:cs="Arial"/>
        </w:rPr>
        <w:t xml:space="preserve">is </w:t>
      </w:r>
      <w:r w:rsidRPr="00256FED">
        <w:rPr>
          <w:rFonts w:eastAsia="Times New Roman" w:cs="Arial"/>
        </w:rPr>
        <w:t xml:space="preserve">far too aggregated to inform the </w:t>
      </w:r>
      <w:r w:rsidR="00443FC4">
        <w:rPr>
          <w:rFonts w:eastAsia="Times New Roman" w:cs="Arial"/>
        </w:rPr>
        <w:t>various</w:t>
      </w:r>
      <w:r w:rsidRPr="00256FED">
        <w:rPr>
          <w:rFonts w:eastAsia="Times New Roman" w:cs="Arial"/>
        </w:rPr>
        <w:t xml:space="preserve"> decisions that </w:t>
      </w:r>
      <w:r w:rsidR="00612532" w:rsidRPr="00256FED">
        <w:rPr>
          <w:rFonts w:eastAsia="Times New Roman" w:cs="Arial"/>
        </w:rPr>
        <w:t>policymakers</w:t>
      </w:r>
      <w:r w:rsidR="00612532">
        <w:rPr>
          <w:rFonts w:eastAsia="Times New Roman" w:cs="Arial"/>
        </w:rPr>
        <w:t>,</w:t>
      </w:r>
      <w:r w:rsidR="008F6895">
        <w:rPr>
          <w:rFonts w:eastAsia="Times New Roman" w:cs="Arial"/>
        </w:rPr>
        <w:t xml:space="preserve"> </w:t>
      </w:r>
      <w:r w:rsidR="00380D0D">
        <w:rPr>
          <w:rFonts w:eastAsia="Times New Roman" w:cs="Arial"/>
        </w:rPr>
        <w:t xml:space="preserve">boards, </w:t>
      </w:r>
      <w:r w:rsidRPr="00256FED">
        <w:rPr>
          <w:rFonts w:eastAsia="Times New Roman" w:cs="Arial"/>
        </w:rPr>
        <w:t xml:space="preserve">managers, </w:t>
      </w:r>
      <w:r w:rsidR="00612532">
        <w:rPr>
          <w:rFonts w:eastAsia="Times New Roman" w:cs="Arial"/>
        </w:rPr>
        <w:t xml:space="preserve">employees </w:t>
      </w:r>
      <w:r w:rsidRPr="00256FED">
        <w:rPr>
          <w:rFonts w:eastAsia="Times New Roman" w:cs="Arial"/>
        </w:rPr>
        <w:t>and other stakeholders seek to make.</w:t>
      </w:r>
    </w:p>
    <w:p w:rsidR="00FE4BB5" w:rsidRDefault="00FE4BB5" w:rsidP="00FE4BB5">
      <w:pPr>
        <w:jc w:val="both"/>
        <w:rPr>
          <w:rFonts w:eastAsia="Times New Roman" w:cs="Arial"/>
        </w:rPr>
      </w:pPr>
      <w:r w:rsidRPr="005C3F28">
        <w:rPr>
          <w:rFonts w:eastAsia="Times New Roman" w:cs="Arial"/>
        </w:rPr>
        <w:t xml:space="preserve">The </w:t>
      </w:r>
      <w:r>
        <w:rPr>
          <w:rFonts w:eastAsia="Times New Roman" w:cs="Arial"/>
        </w:rPr>
        <w:t>dissection</w:t>
      </w:r>
      <w:r w:rsidRPr="005C3F28">
        <w:rPr>
          <w:rFonts w:eastAsia="Times New Roman" w:cs="Arial"/>
        </w:rPr>
        <w:t xml:space="preserve"> of </w:t>
      </w:r>
      <w:r>
        <w:rPr>
          <w:rFonts w:eastAsia="Times New Roman" w:cs="Arial"/>
        </w:rPr>
        <w:t>WRII</w:t>
      </w:r>
      <w:r w:rsidRPr="005C3F28">
        <w:rPr>
          <w:rFonts w:eastAsia="Times New Roman" w:cs="Arial"/>
        </w:rPr>
        <w:t xml:space="preserve"> outcomes </w:t>
      </w:r>
      <w:r>
        <w:rPr>
          <w:rFonts w:eastAsia="Times New Roman" w:cs="Arial"/>
        </w:rPr>
        <w:t xml:space="preserve">into meaningful and decision-relevant subsets, categories or classifications </w:t>
      </w:r>
      <w:r w:rsidRPr="005C3F28">
        <w:rPr>
          <w:rFonts w:eastAsia="Times New Roman" w:cs="Arial"/>
        </w:rPr>
        <w:t>is a subjective exercise</w:t>
      </w:r>
      <w:r>
        <w:rPr>
          <w:rFonts w:eastAsia="Times New Roman" w:cs="Arial"/>
        </w:rPr>
        <w:t>.</w:t>
      </w:r>
      <w:r w:rsidR="008F6895">
        <w:rPr>
          <w:rStyle w:val="FootnoteReference"/>
          <w:rFonts w:eastAsia="Times New Roman" w:cs="Arial"/>
        </w:rPr>
        <w:footnoteReference w:id="12"/>
      </w:r>
      <w:r>
        <w:rPr>
          <w:rFonts w:eastAsia="Times New Roman" w:cs="Arial"/>
        </w:rPr>
        <w:t xml:space="preserve"> The same data may need to be classified in different ways (e.g. </w:t>
      </w:r>
      <w:r w:rsidR="00443FC4">
        <w:rPr>
          <w:rFonts w:eastAsia="Times New Roman" w:cs="Arial"/>
        </w:rPr>
        <w:t>according to</w:t>
      </w:r>
      <w:r>
        <w:rPr>
          <w:rFonts w:eastAsia="Times New Roman" w:cs="Arial"/>
        </w:rPr>
        <w:t xml:space="preserve"> frequency, severity, bodily location </w:t>
      </w:r>
      <w:r w:rsidR="00443FC4">
        <w:rPr>
          <w:rFonts w:eastAsia="Times New Roman" w:cs="Arial"/>
        </w:rPr>
        <w:t>or</w:t>
      </w:r>
      <w:r>
        <w:rPr>
          <w:rFonts w:eastAsia="Times New Roman" w:cs="Arial"/>
        </w:rPr>
        <w:t xml:space="preserve"> agency) </w:t>
      </w:r>
      <w:r w:rsidR="00443FC4">
        <w:rPr>
          <w:rFonts w:eastAsia="Times New Roman" w:cs="Arial"/>
        </w:rPr>
        <w:t xml:space="preserve">so as </w:t>
      </w:r>
      <w:r>
        <w:rPr>
          <w:rFonts w:eastAsia="Times New Roman" w:cs="Arial"/>
        </w:rPr>
        <w:t xml:space="preserve">to provide useful information for different end-users. Further, the boundaries between </w:t>
      </w:r>
      <w:r w:rsidR="00443FC4">
        <w:rPr>
          <w:rFonts w:eastAsia="Times New Roman" w:cs="Arial"/>
        </w:rPr>
        <w:t>different categories</w:t>
      </w:r>
      <w:r>
        <w:rPr>
          <w:rFonts w:eastAsia="Times New Roman" w:cs="Arial"/>
        </w:rPr>
        <w:t xml:space="preserve"> are often difficult to define</w:t>
      </w:r>
      <w:r w:rsidR="00815074">
        <w:rPr>
          <w:rFonts w:eastAsia="Times New Roman" w:cs="Arial"/>
        </w:rPr>
        <w:t>,</w:t>
      </w:r>
      <w:r w:rsidR="000D1925">
        <w:rPr>
          <w:rFonts w:eastAsia="Times New Roman" w:cs="Arial"/>
        </w:rPr>
        <w:t xml:space="preserve"> </w:t>
      </w:r>
      <w:r w:rsidR="00443FC4">
        <w:rPr>
          <w:rFonts w:eastAsia="Times New Roman" w:cs="Arial"/>
        </w:rPr>
        <w:t xml:space="preserve">thus </w:t>
      </w:r>
      <w:r w:rsidR="00E650D3">
        <w:rPr>
          <w:rFonts w:eastAsia="Times New Roman" w:cs="Arial"/>
        </w:rPr>
        <w:t>leaving</w:t>
      </w:r>
      <w:r>
        <w:rPr>
          <w:rFonts w:eastAsia="Times New Roman" w:cs="Arial"/>
        </w:rPr>
        <w:t xml:space="preserve"> classifications contested and poorly understood. This </w:t>
      </w:r>
      <w:r w:rsidR="00443FC4">
        <w:rPr>
          <w:rFonts w:eastAsia="Times New Roman" w:cs="Arial"/>
        </w:rPr>
        <w:t>is</w:t>
      </w:r>
      <w:r w:rsidR="00E650D3">
        <w:rPr>
          <w:rFonts w:eastAsia="Times New Roman" w:cs="Arial"/>
        </w:rPr>
        <w:t xml:space="preserve"> part</w:t>
      </w:r>
      <w:r w:rsidR="00443FC4">
        <w:rPr>
          <w:rFonts w:eastAsia="Times New Roman" w:cs="Arial"/>
        </w:rPr>
        <w:t>ly attributable</w:t>
      </w:r>
      <w:r w:rsidR="000D1925">
        <w:rPr>
          <w:rFonts w:eastAsia="Times New Roman" w:cs="Arial"/>
        </w:rPr>
        <w:t xml:space="preserve"> </w:t>
      </w:r>
      <w:r w:rsidR="00443FC4">
        <w:rPr>
          <w:rFonts w:eastAsia="Times New Roman" w:cs="Arial"/>
        </w:rPr>
        <w:t>to</w:t>
      </w:r>
      <w:r>
        <w:rPr>
          <w:rFonts w:eastAsia="Times New Roman" w:cs="Arial"/>
        </w:rPr>
        <w:t xml:space="preserve"> choices </w:t>
      </w:r>
      <w:r w:rsidR="00443FC4">
        <w:rPr>
          <w:rFonts w:eastAsia="Times New Roman" w:cs="Arial"/>
        </w:rPr>
        <w:t>about</w:t>
      </w:r>
      <w:r>
        <w:rPr>
          <w:rFonts w:eastAsia="Times New Roman" w:cs="Arial"/>
        </w:rPr>
        <w:t xml:space="preserve"> boundaries </w:t>
      </w:r>
      <w:r w:rsidR="00443FC4">
        <w:rPr>
          <w:rFonts w:eastAsia="Times New Roman" w:cs="Arial"/>
        </w:rPr>
        <w:t xml:space="preserve">being </w:t>
      </w:r>
      <w:r>
        <w:rPr>
          <w:rFonts w:eastAsia="Times New Roman" w:cs="Arial"/>
        </w:rPr>
        <w:t xml:space="preserve">framed </w:t>
      </w:r>
      <w:r w:rsidR="00443FC4">
        <w:rPr>
          <w:rFonts w:eastAsia="Times New Roman" w:cs="Arial"/>
        </w:rPr>
        <w:t>by</w:t>
      </w:r>
      <w:r>
        <w:rPr>
          <w:rFonts w:eastAsia="Times New Roman" w:cs="Arial"/>
        </w:rPr>
        <w:t xml:space="preserve"> the available knowledge and experience </w:t>
      </w:r>
      <w:r w:rsidR="00AB7E85">
        <w:rPr>
          <w:rFonts w:eastAsia="Times New Roman" w:cs="Arial"/>
        </w:rPr>
        <w:t>at</w:t>
      </w:r>
      <w:r>
        <w:rPr>
          <w:rFonts w:eastAsia="Times New Roman" w:cs="Arial"/>
        </w:rPr>
        <w:t xml:space="preserve"> the time. </w:t>
      </w:r>
      <w:r w:rsidR="00815074">
        <w:rPr>
          <w:rFonts w:eastAsia="Times New Roman" w:cs="Arial"/>
        </w:rPr>
        <w:t>Categories</w:t>
      </w:r>
      <w:r w:rsidR="000D1925">
        <w:rPr>
          <w:rFonts w:eastAsia="Times New Roman" w:cs="Arial"/>
        </w:rPr>
        <w:t xml:space="preserve"> </w:t>
      </w:r>
      <w:r w:rsidR="00AB7E85">
        <w:rPr>
          <w:rFonts w:eastAsia="Times New Roman" w:cs="Arial"/>
        </w:rPr>
        <w:t>must</w:t>
      </w:r>
      <w:r w:rsidR="000D1925">
        <w:rPr>
          <w:rFonts w:eastAsia="Times New Roman" w:cs="Arial"/>
        </w:rPr>
        <w:t xml:space="preserve"> </w:t>
      </w:r>
      <w:r w:rsidR="00AB7E85">
        <w:rPr>
          <w:rFonts w:eastAsia="Times New Roman" w:cs="Arial"/>
        </w:rPr>
        <w:t xml:space="preserve">therefore </w:t>
      </w:r>
      <w:r>
        <w:rPr>
          <w:rFonts w:eastAsia="Times New Roman" w:cs="Arial"/>
        </w:rPr>
        <w:t>be reviewed and reassessed as knowledge advances.</w:t>
      </w:r>
    </w:p>
    <w:p w:rsidR="00F67EC5" w:rsidRPr="00F67EC5" w:rsidRDefault="00F86691" w:rsidP="00117420">
      <w:pPr>
        <w:spacing w:after="80"/>
        <w:jc w:val="both"/>
        <w:rPr>
          <w:rFonts w:eastAsia="Times New Roman" w:cs="Arial"/>
        </w:rPr>
      </w:pPr>
      <w:r>
        <w:rPr>
          <w:rFonts w:eastAsia="Times New Roman" w:cs="Arial"/>
        </w:rPr>
        <w:t>Accordingly, there is no</w:t>
      </w:r>
      <w:r w:rsidR="00FE4BB5">
        <w:rPr>
          <w:rFonts w:eastAsia="Times New Roman" w:cs="Arial"/>
        </w:rPr>
        <w:t xml:space="preserve"> single, scientifically ‘correct’ classification </w:t>
      </w:r>
      <w:r w:rsidR="005A279A">
        <w:rPr>
          <w:rFonts w:eastAsia="Times New Roman" w:cs="Arial"/>
        </w:rPr>
        <w:t xml:space="preserve">system </w:t>
      </w:r>
      <w:r>
        <w:rPr>
          <w:rFonts w:eastAsia="Times New Roman" w:cs="Arial"/>
        </w:rPr>
        <w:t xml:space="preserve">or approach </w:t>
      </w:r>
      <w:r w:rsidR="005A279A">
        <w:rPr>
          <w:rFonts w:eastAsia="Times New Roman" w:cs="Arial"/>
        </w:rPr>
        <w:t xml:space="preserve">for </w:t>
      </w:r>
      <w:r>
        <w:rPr>
          <w:rFonts w:eastAsia="Times New Roman" w:cs="Arial"/>
        </w:rPr>
        <w:t xml:space="preserve">the organisation of </w:t>
      </w:r>
      <w:r w:rsidR="00FE4BB5">
        <w:rPr>
          <w:rFonts w:eastAsia="Times New Roman" w:cs="Arial"/>
        </w:rPr>
        <w:t>WRII</w:t>
      </w:r>
      <w:r w:rsidR="005A279A">
        <w:rPr>
          <w:rFonts w:eastAsia="Times New Roman" w:cs="Arial"/>
        </w:rPr>
        <w:t xml:space="preserve"> into </w:t>
      </w:r>
      <w:r>
        <w:rPr>
          <w:rFonts w:eastAsia="Times New Roman" w:cs="Arial"/>
        </w:rPr>
        <w:t xml:space="preserve">meaningful </w:t>
      </w:r>
      <w:r w:rsidR="00815074">
        <w:rPr>
          <w:rFonts w:eastAsia="Times New Roman" w:cs="Arial"/>
        </w:rPr>
        <w:t>categories capable of informing strategy, programs or other issues of interest</w:t>
      </w:r>
      <w:r w:rsidR="00FE4BB5">
        <w:rPr>
          <w:rFonts w:eastAsia="Times New Roman" w:cs="Arial"/>
        </w:rPr>
        <w:t xml:space="preserve">. Instead, as with all information gathering exercises, particular classification and measurement choices must be tailored to ensure </w:t>
      </w:r>
      <w:r w:rsidR="00815074">
        <w:rPr>
          <w:rFonts w:eastAsia="Times New Roman" w:cs="Arial"/>
        </w:rPr>
        <w:t xml:space="preserve">each of </w:t>
      </w:r>
      <w:r w:rsidR="00FE4BB5">
        <w:rPr>
          <w:rFonts w:eastAsia="Times New Roman" w:cs="Arial"/>
        </w:rPr>
        <w:t xml:space="preserve">the resulting </w:t>
      </w:r>
      <w:r w:rsidR="005F57EE">
        <w:rPr>
          <w:rFonts w:eastAsia="Times New Roman" w:cs="Arial"/>
        </w:rPr>
        <w:t xml:space="preserve">measures </w:t>
      </w:r>
      <w:r w:rsidR="007057C6">
        <w:rPr>
          <w:rFonts w:eastAsia="Times New Roman" w:cs="Arial"/>
        </w:rPr>
        <w:t>provide</w:t>
      </w:r>
      <w:r w:rsidR="007577BC">
        <w:rPr>
          <w:rFonts w:eastAsia="Times New Roman" w:cs="Arial"/>
        </w:rPr>
        <w:t>s</w:t>
      </w:r>
      <w:r w:rsidR="007057C6">
        <w:rPr>
          <w:rFonts w:eastAsia="Times New Roman" w:cs="Arial"/>
        </w:rPr>
        <w:t xml:space="preserve"> high quality data that is</w:t>
      </w:r>
      <w:r w:rsidR="000D1925">
        <w:rPr>
          <w:rFonts w:eastAsia="Times New Roman" w:cs="Arial"/>
        </w:rPr>
        <w:t xml:space="preserve"> </w:t>
      </w:r>
      <w:r w:rsidR="00E650D3">
        <w:rPr>
          <w:rFonts w:eastAsia="Times New Roman" w:cs="Arial"/>
        </w:rPr>
        <w:t>‘</w:t>
      </w:r>
      <w:r w:rsidR="00FE4BB5">
        <w:rPr>
          <w:rFonts w:eastAsia="Times New Roman" w:cs="Arial"/>
        </w:rPr>
        <w:t>fit for purpose</w:t>
      </w:r>
      <w:r w:rsidR="00E650D3">
        <w:rPr>
          <w:rFonts w:eastAsia="Times New Roman" w:cs="Arial"/>
        </w:rPr>
        <w:t>’</w:t>
      </w:r>
      <w:r w:rsidR="005A279A">
        <w:rPr>
          <w:rFonts w:eastAsia="Times New Roman" w:cs="Arial"/>
        </w:rPr>
        <w:t>.</w:t>
      </w:r>
      <w:r w:rsidR="000D1925">
        <w:rPr>
          <w:rFonts w:eastAsia="Times New Roman" w:cs="Arial"/>
        </w:rPr>
        <w:t xml:space="preserve"> </w:t>
      </w:r>
      <w:r w:rsidR="00337D88">
        <w:rPr>
          <w:rFonts w:eastAsia="Times New Roman" w:cs="Arial"/>
        </w:rPr>
        <w:t xml:space="preserve">The over-riding </w:t>
      </w:r>
      <w:r w:rsidR="007057C6">
        <w:rPr>
          <w:rFonts w:eastAsia="Times New Roman" w:cs="Arial"/>
        </w:rPr>
        <w:t xml:space="preserve">requirement is that </w:t>
      </w:r>
      <w:r w:rsidR="00AB7E85">
        <w:rPr>
          <w:rFonts w:eastAsia="Times New Roman" w:cs="Arial"/>
        </w:rPr>
        <w:t>measure</w:t>
      </w:r>
      <w:r w:rsidR="00E650D3">
        <w:rPr>
          <w:rFonts w:eastAsia="Times New Roman" w:cs="Arial"/>
        </w:rPr>
        <w:t>s</w:t>
      </w:r>
      <w:r w:rsidR="00AB7E85">
        <w:rPr>
          <w:rFonts w:eastAsia="Times New Roman" w:cs="Arial"/>
        </w:rPr>
        <w:t xml:space="preserve"> are:</w:t>
      </w:r>
      <w:r w:rsidR="007057C6">
        <w:rPr>
          <w:rStyle w:val="FootnoteReference"/>
          <w:rFonts w:eastAsia="Times New Roman" w:cs="Arial"/>
        </w:rPr>
        <w:footnoteReference w:id="13"/>
      </w:r>
    </w:p>
    <w:p w:rsidR="005A279A" w:rsidRPr="00A37EB2" w:rsidRDefault="005A279A" w:rsidP="00373CBD">
      <w:pPr>
        <w:pStyle w:val="ListParagraph"/>
        <w:numPr>
          <w:ilvl w:val="0"/>
          <w:numId w:val="35"/>
        </w:numPr>
        <w:spacing w:after="80"/>
        <w:ind w:left="851" w:right="1111" w:hanging="284"/>
        <w:contextualSpacing w:val="0"/>
        <w:jc w:val="both"/>
        <w:rPr>
          <w:rFonts w:eastAsia="Times New Roman" w:cs="Arial"/>
        </w:rPr>
      </w:pPr>
      <w:r w:rsidRPr="000D1925">
        <w:rPr>
          <w:rFonts w:eastAsia="Times New Roman" w:cs="Arial"/>
          <w:i/>
        </w:rPr>
        <w:t>Valid</w:t>
      </w:r>
      <w:r w:rsidR="00A37EB2" w:rsidRPr="000D1925">
        <w:rPr>
          <w:rFonts w:eastAsia="Times New Roman" w:cs="Arial"/>
        </w:rPr>
        <w:t>:</w:t>
      </w:r>
      <w:r w:rsidR="008F6895" w:rsidRPr="000D1925">
        <w:rPr>
          <w:rFonts w:eastAsia="Times New Roman" w:cs="Arial"/>
          <w:i/>
        </w:rPr>
        <w:t xml:space="preserve"> </w:t>
      </w:r>
      <w:r w:rsidRPr="00A37EB2">
        <w:rPr>
          <w:rFonts w:eastAsia="Times New Roman" w:cs="Arial"/>
        </w:rPr>
        <w:t>actually measur</w:t>
      </w:r>
      <w:r w:rsidR="007577BC">
        <w:rPr>
          <w:rFonts w:eastAsia="Times New Roman" w:cs="Arial"/>
        </w:rPr>
        <w:t>e</w:t>
      </w:r>
      <w:r w:rsidRPr="00A37EB2">
        <w:rPr>
          <w:rFonts w:eastAsia="Times New Roman" w:cs="Arial"/>
        </w:rPr>
        <w:t xml:space="preserve"> what </w:t>
      </w:r>
      <w:r w:rsidR="007577BC">
        <w:rPr>
          <w:rFonts w:eastAsia="Times New Roman" w:cs="Arial"/>
        </w:rPr>
        <w:t>they</w:t>
      </w:r>
      <w:r w:rsidR="000D1925">
        <w:rPr>
          <w:rFonts w:eastAsia="Times New Roman" w:cs="Arial"/>
        </w:rPr>
        <w:t xml:space="preserve"> </w:t>
      </w:r>
      <w:r w:rsidR="007577BC">
        <w:rPr>
          <w:rFonts w:eastAsia="Times New Roman" w:cs="Arial"/>
        </w:rPr>
        <w:t>purport</w:t>
      </w:r>
      <w:r w:rsidR="000D1925">
        <w:rPr>
          <w:rFonts w:eastAsia="Times New Roman" w:cs="Arial"/>
        </w:rPr>
        <w:t xml:space="preserve"> </w:t>
      </w:r>
      <w:r w:rsidR="007577BC">
        <w:rPr>
          <w:rFonts w:eastAsia="Times New Roman" w:cs="Arial"/>
        </w:rPr>
        <w:t xml:space="preserve">(claim) </w:t>
      </w:r>
      <w:r w:rsidR="007057C6" w:rsidRPr="00A37EB2">
        <w:rPr>
          <w:rFonts w:eastAsia="Times New Roman" w:cs="Arial"/>
        </w:rPr>
        <w:t>to</w:t>
      </w:r>
      <w:r w:rsidR="008A4533">
        <w:rPr>
          <w:rFonts w:eastAsia="Times New Roman" w:cs="Arial"/>
        </w:rPr>
        <w:t xml:space="preserve"> measure</w:t>
      </w:r>
    </w:p>
    <w:p w:rsidR="005A279A" w:rsidRPr="00A37EB2" w:rsidRDefault="005A279A" w:rsidP="00292D08">
      <w:pPr>
        <w:pStyle w:val="ListParagraph"/>
        <w:numPr>
          <w:ilvl w:val="0"/>
          <w:numId w:val="35"/>
        </w:numPr>
        <w:spacing w:after="80"/>
        <w:ind w:left="851" w:right="684" w:hanging="284"/>
        <w:contextualSpacing w:val="0"/>
        <w:jc w:val="both"/>
        <w:rPr>
          <w:rFonts w:eastAsia="Times New Roman" w:cs="Arial"/>
          <w:b/>
          <w:u w:val="single"/>
        </w:rPr>
      </w:pPr>
      <w:r w:rsidRPr="000D1925">
        <w:rPr>
          <w:rFonts w:eastAsia="Times New Roman" w:cs="Arial"/>
          <w:i/>
        </w:rPr>
        <w:t>Relevant</w:t>
      </w:r>
      <w:r w:rsidR="00A37EB2" w:rsidRPr="008F6895">
        <w:rPr>
          <w:rFonts w:eastAsia="Times New Roman" w:cs="Arial"/>
        </w:rPr>
        <w:t>:</w:t>
      </w:r>
      <w:r w:rsidR="00A37EB2" w:rsidRPr="00A37EB2">
        <w:rPr>
          <w:rFonts w:eastAsia="Times New Roman" w:cs="Arial"/>
        </w:rPr>
        <w:t xml:space="preserve"> </w:t>
      </w:r>
      <w:r w:rsidR="00A37EB2">
        <w:rPr>
          <w:rFonts w:eastAsia="Times New Roman" w:cs="Arial"/>
        </w:rPr>
        <w:t>meet the</w:t>
      </w:r>
      <w:r w:rsidR="007577BC">
        <w:rPr>
          <w:rFonts w:eastAsia="Times New Roman" w:cs="Arial"/>
        </w:rPr>
        <w:t>ir</w:t>
      </w:r>
      <w:r w:rsidR="00A37EB2">
        <w:rPr>
          <w:rFonts w:eastAsia="Times New Roman" w:cs="Arial"/>
        </w:rPr>
        <w:t xml:space="preserve"> intended purpose</w:t>
      </w:r>
      <w:r w:rsidR="007577BC">
        <w:rPr>
          <w:rFonts w:eastAsia="Times New Roman" w:cs="Arial"/>
        </w:rPr>
        <w:t xml:space="preserve"> (</w:t>
      </w:r>
      <w:r w:rsidR="00A37EB2">
        <w:rPr>
          <w:rFonts w:eastAsia="Times New Roman" w:cs="Arial"/>
        </w:rPr>
        <w:t xml:space="preserve">i.e. </w:t>
      </w:r>
      <w:r w:rsidR="00AE3117">
        <w:rPr>
          <w:rFonts w:eastAsia="Times New Roman" w:cs="Arial"/>
        </w:rPr>
        <w:t xml:space="preserve">are </w:t>
      </w:r>
      <w:r w:rsidR="00A37EB2">
        <w:rPr>
          <w:rFonts w:eastAsia="Times New Roman" w:cs="Arial"/>
        </w:rPr>
        <w:t xml:space="preserve">useful for </w:t>
      </w:r>
      <w:r w:rsidR="00E650D3">
        <w:rPr>
          <w:rFonts w:eastAsia="Times New Roman" w:cs="Arial"/>
        </w:rPr>
        <w:t>informing</w:t>
      </w:r>
      <w:r w:rsidR="00A37EB2">
        <w:rPr>
          <w:rFonts w:eastAsia="Times New Roman" w:cs="Arial"/>
        </w:rPr>
        <w:t xml:space="preserve"> decision(s)</w:t>
      </w:r>
      <w:r w:rsidR="00AE3117">
        <w:rPr>
          <w:rFonts w:eastAsia="Times New Roman" w:cs="Arial"/>
        </w:rPr>
        <w:t xml:space="preserve">, noting that </w:t>
      </w:r>
      <w:r w:rsidR="007577BC">
        <w:rPr>
          <w:rFonts w:eastAsia="Times New Roman" w:cs="Arial"/>
        </w:rPr>
        <w:t>d</w:t>
      </w:r>
      <w:r w:rsidR="00AB7E85">
        <w:rPr>
          <w:rFonts w:eastAsia="Times New Roman" w:cs="Arial"/>
        </w:rPr>
        <w:t>ifferent information may be relevant to different users and decisions</w:t>
      </w:r>
      <w:r w:rsidR="00AE3117">
        <w:rPr>
          <w:rFonts w:eastAsia="Times New Roman" w:cs="Arial"/>
        </w:rPr>
        <w:t>)</w:t>
      </w:r>
      <w:r w:rsidR="008A4533">
        <w:rPr>
          <w:rFonts w:eastAsia="Times New Roman" w:cs="Arial"/>
        </w:rPr>
        <w:t>, and</w:t>
      </w:r>
    </w:p>
    <w:p w:rsidR="005A279A" w:rsidRPr="00A37EB2" w:rsidRDefault="005A279A" w:rsidP="00373CBD">
      <w:pPr>
        <w:pStyle w:val="ListParagraph"/>
        <w:numPr>
          <w:ilvl w:val="0"/>
          <w:numId w:val="35"/>
        </w:numPr>
        <w:spacing w:after="80"/>
        <w:ind w:left="851" w:right="1111" w:hanging="284"/>
        <w:contextualSpacing w:val="0"/>
        <w:jc w:val="both"/>
        <w:rPr>
          <w:rFonts w:eastAsia="Times New Roman" w:cs="Arial"/>
          <w:b/>
          <w:u w:val="single"/>
        </w:rPr>
      </w:pPr>
      <w:r w:rsidRPr="000D1925">
        <w:rPr>
          <w:rFonts w:eastAsia="Times New Roman" w:cs="Arial"/>
          <w:i/>
        </w:rPr>
        <w:t>Reliable</w:t>
      </w:r>
      <w:r w:rsidR="00AB7E85" w:rsidRPr="000D1925">
        <w:rPr>
          <w:rFonts w:eastAsia="Times New Roman" w:cs="Arial"/>
          <w:i/>
        </w:rPr>
        <w:t>:</w:t>
      </w:r>
      <w:r w:rsidR="008F6895" w:rsidRPr="000D1925">
        <w:rPr>
          <w:rFonts w:eastAsia="Times New Roman" w:cs="Arial"/>
          <w:b/>
        </w:rPr>
        <w:t xml:space="preserve"> </w:t>
      </w:r>
      <w:r w:rsidR="007577BC">
        <w:rPr>
          <w:rFonts w:eastAsia="Times New Roman" w:cs="Arial"/>
        </w:rPr>
        <w:t>are</w:t>
      </w:r>
      <w:r w:rsidR="00AB7E85">
        <w:rPr>
          <w:rFonts w:eastAsia="Times New Roman" w:cs="Arial"/>
        </w:rPr>
        <w:t xml:space="preserve"> complete, free from</w:t>
      </w:r>
      <w:r w:rsidR="00741DB4">
        <w:rPr>
          <w:rFonts w:eastAsia="Times New Roman" w:cs="Arial"/>
        </w:rPr>
        <w:t xml:space="preserve"> omission,</w:t>
      </w:r>
      <w:r w:rsidR="00AB7E85">
        <w:rPr>
          <w:rFonts w:eastAsia="Times New Roman" w:cs="Arial"/>
        </w:rPr>
        <w:t xml:space="preserve"> bias and error.</w:t>
      </w:r>
    </w:p>
    <w:p w:rsidR="003C5E42" w:rsidRDefault="007577BC" w:rsidP="009D60A8">
      <w:pPr>
        <w:spacing w:after="240"/>
        <w:jc w:val="both"/>
        <w:rPr>
          <w:rFonts w:eastAsia="Times New Roman" w:cs="Arial"/>
        </w:rPr>
      </w:pPr>
      <w:r>
        <w:rPr>
          <w:rFonts w:eastAsia="Times New Roman" w:cs="Arial"/>
        </w:rPr>
        <w:t>Anecdotal e</w:t>
      </w:r>
      <w:r w:rsidR="005A279A">
        <w:rPr>
          <w:rFonts w:eastAsia="Times New Roman" w:cs="Arial"/>
        </w:rPr>
        <w:t>vidence</w:t>
      </w:r>
      <w:r>
        <w:rPr>
          <w:rFonts w:eastAsia="Times New Roman" w:cs="Arial"/>
        </w:rPr>
        <w:t xml:space="preserve"> points to a lack of </w:t>
      </w:r>
      <w:r w:rsidR="005A279A">
        <w:rPr>
          <w:rFonts w:eastAsia="Times New Roman" w:cs="Arial"/>
        </w:rPr>
        <w:t>reliab</w:t>
      </w:r>
      <w:r>
        <w:rPr>
          <w:rFonts w:eastAsia="Times New Roman" w:cs="Arial"/>
        </w:rPr>
        <w:t>ility</w:t>
      </w:r>
      <w:r w:rsidR="005A279A">
        <w:rPr>
          <w:rFonts w:eastAsia="Times New Roman" w:cs="Arial"/>
        </w:rPr>
        <w:t xml:space="preserve"> and comparab</w:t>
      </w:r>
      <w:r>
        <w:rPr>
          <w:rFonts w:eastAsia="Times New Roman" w:cs="Arial"/>
        </w:rPr>
        <w:t>ility in</w:t>
      </w:r>
      <w:r w:rsidR="005A279A">
        <w:rPr>
          <w:rFonts w:eastAsia="Times New Roman" w:cs="Arial"/>
        </w:rPr>
        <w:t xml:space="preserve"> WRII report</w:t>
      </w:r>
      <w:r w:rsidR="00E650D3">
        <w:rPr>
          <w:rFonts w:eastAsia="Times New Roman" w:cs="Arial"/>
        </w:rPr>
        <w:t>ing</w:t>
      </w:r>
      <w:r>
        <w:rPr>
          <w:rFonts w:eastAsia="Times New Roman" w:cs="Arial"/>
        </w:rPr>
        <w:t xml:space="preserve"> and</w:t>
      </w:r>
      <w:r w:rsidR="005A279A">
        <w:rPr>
          <w:rFonts w:eastAsia="Times New Roman" w:cs="Arial"/>
        </w:rPr>
        <w:t xml:space="preserve"> invalid conclusions </w:t>
      </w:r>
      <w:r w:rsidR="009528FA">
        <w:rPr>
          <w:rFonts w:eastAsia="Times New Roman" w:cs="Arial"/>
        </w:rPr>
        <w:t>drawn</w:t>
      </w:r>
      <w:r w:rsidR="000D1925">
        <w:rPr>
          <w:rFonts w:eastAsia="Times New Roman" w:cs="Arial"/>
        </w:rPr>
        <w:t xml:space="preserve"> </w:t>
      </w:r>
      <w:r w:rsidR="005A279A">
        <w:rPr>
          <w:rFonts w:eastAsia="Times New Roman" w:cs="Arial"/>
        </w:rPr>
        <w:t xml:space="preserve">from inappropriate </w:t>
      </w:r>
      <w:r w:rsidR="00E650D3">
        <w:rPr>
          <w:rFonts w:eastAsia="Times New Roman" w:cs="Arial"/>
        </w:rPr>
        <w:t>selection</w:t>
      </w:r>
      <w:r w:rsidR="005A279A">
        <w:rPr>
          <w:rFonts w:eastAsia="Times New Roman" w:cs="Arial"/>
        </w:rPr>
        <w:t xml:space="preserve"> of WRII data</w:t>
      </w:r>
      <w:r>
        <w:rPr>
          <w:rFonts w:eastAsia="Times New Roman" w:cs="Arial"/>
        </w:rPr>
        <w:t>. In turn, this</w:t>
      </w:r>
      <w:r w:rsidR="000D1925">
        <w:rPr>
          <w:rFonts w:eastAsia="Times New Roman" w:cs="Arial"/>
        </w:rPr>
        <w:t xml:space="preserve"> </w:t>
      </w:r>
      <w:r w:rsidR="009D60A8">
        <w:rPr>
          <w:rFonts w:eastAsia="Times New Roman" w:cs="Arial"/>
        </w:rPr>
        <w:t>suggests</w:t>
      </w:r>
      <w:r w:rsidR="005A279A">
        <w:rPr>
          <w:rFonts w:eastAsia="Times New Roman" w:cs="Arial"/>
        </w:rPr>
        <w:t xml:space="preserve"> a poor level of understanding of both the history of WRII measurement and the principles </w:t>
      </w:r>
      <w:r w:rsidR="00A37EB2">
        <w:rPr>
          <w:rFonts w:eastAsia="Times New Roman" w:cs="Arial"/>
        </w:rPr>
        <w:t xml:space="preserve">that </w:t>
      </w:r>
      <w:r w:rsidR="005A279A">
        <w:rPr>
          <w:rFonts w:eastAsia="Times New Roman" w:cs="Arial"/>
        </w:rPr>
        <w:t xml:space="preserve">underpin current </w:t>
      </w:r>
      <w:r w:rsidR="00A37EB2">
        <w:rPr>
          <w:rFonts w:eastAsia="Times New Roman" w:cs="Arial"/>
        </w:rPr>
        <w:t>measurement</w:t>
      </w:r>
      <w:r w:rsidR="005A279A">
        <w:rPr>
          <w:rFonts w:eastAsia="Times New Roman" w:cs="Arial"/>
        </w:rPr>
        <w:t xml:space="preserve"> practice</w:t>
      </w:r>
      <w:r w:rsidR="00A37EB2">
        <w:rPr>
          <w:rFonts w:eastAsia="Times New Roman" w:cs="Arial"/>
        </w:rPr>
        <w:t>s</w:t>
      </w:r>
      <w:r w:rsidR="005A279A">
        <w:rPr>
          <w:rFonts w:eastAsia="Times New Roman" w:cs="Arial"/>
        </w:rPr>
        <w:t>.</w:t>
      </w:r>
      <w:r w:rsidR="00CF5DA5">
        <w:rPr>
          <w:rStyle w:val="FootnoteReference"/>
          <w:rFonts w:eastAsia="Times New Roman" w:cs="Arial"/>
        </w:rPr>
        <w:footnoteReference w:id="14"/>
      </w:r>
      <w:r w:rsidR="005A279A">
        <w:rPr>
          <w:rFonts w:eastAsia="Times New Roman" w:cs="Arial"/>
        </w:rPr>
        <w:t xml:space="preserve"> </w:t>
      </w:r>
      <w:r w:rsidR="009528FA">
        <w:rPr>
          <w:rFonts w:eastAsia="Times New Roman" w:cs="Arial"/>
        </w:rPr>
        <w:t>Issues arising from t</w:t>
      </w:r>
      <w:r w:rsidR="005A279A">
        <w:rPr>
          <w:rFonts w:eastAsia="Times New Roman" w:cs="Arial"/>
        </w:rPr>
        <w:t xml:space="preserve">he safety triangle </w:t>
      </w:r>
      <w:r w:rsidR="00E650D3">
        <w:rPr>
          <w:rFonts w:eastAsia="Times New Roman" w:cs="Arial"/>
        </w:rPr>
        <w:t xml:space="preserve">may contribute </w:t>
      </w:r>
      <w:r w:rsidR="005A279A">
        <w:rPr>
          <w:rFonts w:eastAsia="Times New Roman" w:cs="Arial"/>
        </w:rPr>
        <w:t xml:space="preserve">to </w:t>
      </w:r>
      <w:r w:rsidR="00A37EB2">
        <w:rPr>
          <w:rFonts w:eastAsia="Times New Roman" w:cs="Arial"/>
        </w:rPr>
        <w:t xml:space="preserve">this </w:t>
      </w:r>
      <w:r w:rsidR="009E5C8E">
        <w:rPr>
          <w:rFonts w:eastAsia="Times New Roman" w:cs="Arial"/>
        </w:rPr>
        <w:t>confusion</w:t>
      </w:r>
      <w:r w:rsidR="005A279A">
        <w:rPr>
          <w:rFonts w:eastAsia="Times New Roman" w:cs="Arial"/>
        </w:rPr>
        <w:t>.</w:t>
      </w:r>
    </w:p>
    <w:p w:rsidR="003C5E42" w:rsidRPr="003C5E42" w:rsidRDefault="00B47C1D" w:rsidP="008E5529">
      <w:pPr>
        <w:pStyle w:val="Style1"/>
        <w:numPr>
          <w:ilvl w:val="0"/>
          <w:numId w:val="3"/>
        </w:numPr>
        <w:spacing w:before="120" w:after="120"/>
        <w:ind w:left="567" w:hanging="567"/>
        <w:rPr>
          <w:rFonts w:asciiTheme="minorHAnsi" w:hAnsiTheme="minorHAnsi"/>
          <w:color w:val="365F91" w:themeColor="accent1" w:themeShade="BF"/>
          <w:sz w:val="26"/>
          <w:szCs w:val="26"/>
        </w:rPr>
      </w:pPr>
      <w:bookmarkStart w:id="4" w:name="_Toc361085294"/>
      <w:r>
        <w:rPr>
          <w:noProof/>
        </w:rPr>
        <w:drawing>
          <wp:anchor distT="0" distB="0" distL="114300" distR="114300" simplePos="0" relativeHeight="251634688" behindDoc="1" locked="0" layoutInCell="1" allowOverlap="1" wp14:anchorId="2F5F5303" wp14:editId="77007533">
            <wp:simplePos x="0" y="0"/>
            <wp:positionH relativeFrom="column">
              <wp:posOffset>4171315</wp:posOffset>
            </wp:positionH>
            <wp:positionV relativeFrom="paragraph">
              <wp:posOffset>257175</wp:posOffset>
            </wp:positionV>
            <wp:extent cx="1732915" cy="1510665"/>
            <wp:effectExtent l="76200" t="76200" r="114935" b="127635"/>
            <wp:wrapSquare wrapText="bothSides"/>
            <wp:docPr id="12" name="Diagram 12" descr="This graph hows Heinrich's Triangle. No injury incidents is at the base of the triangle. Minor injuries are in the middle and major injury is at the top.&#10;&#10;Heinrich observed from an examination of insurance incident reports that, for every accident that causes a major injury, there are 29 accidents that cause minor injuries and 300 accidents that cause no injuries. The 1:29:300 ratio became known as Heinrich’s Law." title="Heinrich's Triangl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003C5E42" w:rsidRPr="003C5E42">
        <w:rPr>
          <w:rFonts w:asciiTheme="minorHAnsi" w:hAnsiTheme="minorHAnsi"/>
          <w:color w:val="365F91" w:themeColor="accent1" w:themeShade="BF"/>
          <w:sz w:val="26"/>
          <w:szCs w:val="26"/>
        </w:rPr>
        <w:t>The legacy of the safety triangle</w:t>
      </w:r>
      <w:bookmarkEnd w:id="4"/>
    </w:p>
    <w:p w:rsidR="003C5E42" w:rsidRDefault="00410BC0" w:rsidP="000D1925">
      <w:pPr>
        <w:spacing w:after="0"/>
        <w:ind w:right="-24"/>
        <w:jc w:val="both"/>
      </w:pPr>
      <w:r>
        <w:rPr>
          <w:noProof/>
        </w:rPr>
        <mc:AlternateContent>
          <mc:Choice Requires="wps">
            <w:drawing>
              <wp:anchor distT="0" distB="0" distL="114300" distR="114300" simplePos="0" relativeHeight="251643904" behindDoc="0" locked="0" layoutInCell="1" allowOverlap="1" wp14:anchorId="28F1FB9B" wp14:editId="664E26AC">
                <wp:simplePos x="0" y="0"/>
                <wp:positionH relativeFrom="column">
                  <wp:posOffset>4168140</wp:posOffset>
                </wp:positionH>
                <wp:positionV relativeFrom="paragraph">
                  <wp:posOffset>1365250</wp:posOffset>
                </wp:positionV>
                <wp:extent cx="1678305" cy="424180"/>
                <wp:effectExtent l="0" t="0" r="0" b="0"/>
                <wp:wrapSquare wrapText="bothSides"/>
                <wp:docPr id="28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8305" cy="424180"/>
                        </a:xfrm>
                        <a:prstGeom prst="rect">
                          <a:avLst/>
                        </a:prstGeom>
                        <a:solidFill>
                          <a:prstClr val="white"/>
                        </a:solidFill>
                        <a:ln>
                          <a:noFill/>
                        </a:ln>
                        <a:effectLst/>
                      </wps:spPr>
                      <wps:txbx>
                        <w:txbxContent>
                          <w:p w:rsidR="00123706" w:rsidRPr="00B47C1D" w:rsidRDefault="00123706" w:rsidP="00B47C1D">
                            <w:pPr>
                              <w:pStyle w:val="Caption"/>
                            </w:pPr>
                            <w:r w:rsidRPr="00B47C1D">
                              <w:t xml:space="preserve">Figure </w:t>
                            </w:r>
                            <w:fldSimple w:instr=" SEQ Figure \* ARABIC ">
                              <w:r w:rsidRPr="00B47C1D">
                                <w:t>2</w:t>
                              </w:r>
                            </w:fldSimple>
                            <w:r w:rsidRPr="00B47C1D">
                              <w:t>: Heinrich's triangle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328.2pt;margin-top:107.5pt;width:132.15pt;height:33.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" stroked="f">
                <v:path arrowok="t"/>
                <v:textbox inset="0,0,0,0">
                  <w:txbxContent>
                    <w:p w:rsidR="00123706" w:rsidRPr="00B47C1D" w:rsidRDefault="00123706" w:rsidP="00B47C1D">
                      <w:pPr>
                        <w:pStyle w:val="Caption"/>
                      </w:pPr>
                      <w:r w:rsidRPr="00B47C1D">
                        <w:t xml:space="preserve">Figure </w:t>
                      </w:r>
                      <w:r w:rsidR="00A66DAB">
                        <w:fldChar w:fldCharType="begin"/>
                      </w:r>
                      <w:r w:rsidR="00A66DAB">
                        <w:instrText xml:space="preserve"> SEQ Figure \* ARABIC </w:instrText>
                      </w:r>
                      <w:r w:rsidR="00A66DAB">
                        <w:fldChar w:fldCharType="separate"/>
                      </w:r>
                      <w:r w:rsidRPr="00B47C1D">
                        <w:t>2</w:t>
                      </w:r>
                      <w:r w:rsidR="00A66DAB">
                        <w:fldChar w:fldCharType="end"/>
                      </w:r>
                      <w:r w:rsidRPr="00B47C1D">
                        <w:t>: Heinrich's triangle</w:t>
                      </w:r>
                    </w:p>
                  </w:txbxContent>
                </v:textbox>
                <w10:wrap type="square"/>
              </v:shape>
            </w:pict>
          </mc:Fallback>
        </mc:AlternateContent>
      </w:r>
      <w:r w:rsidR="009528FA">
        <w:rPr>
          <w:rFonts w:eastAsia="Times New Roman" w:cs="Arial"/>
        </w:rPr>
        <w:t>Mu</w:t>
      </w:r>
      <w:r w:rsidR="003C5E42">
        <w:rPr>
          <w:rFonts w:eastAsia="Times New Roman" w:cs="Arial"/>
        </w:rPr>
        <w:t xml:space="preserve">ch of the thinking that underpins contemporary WRII performance evaluation is heavily influenced by </w:t>
      </w:r>
      <w:r w:rsidR="003C5E42">
        <w:t xml:space="preserve">Heinrich’s safety triangle. </w:t>
      </w:r>
      <w:r w:rsidR="003C5E42">
        <w:rPr>
          <w:rFonts w:eastAsia="Times New Roman" w:cs="Arial"/>
        </w:rPr>
        <w:t xml:space="preserve">Herbert W. Heinrich (1886–1962) was an American insurance assessor and industrial safety pioneer </w:t>
      </w:r>
      <w:r w:rsidR="00AB7E85">
        <w:rPr>
          <w:rFonts w:eastAsia="Times New Roman" w:cs="Arial"/>
        </w:rPr>
        <w:t>and author of</w:t>
      </w:r>
      <w:r w:rsidR="003C5E42">
        <w:rPr>
          <w:rFonts w:eastAsia="Times New Roman" w:cs="Arial"/>
        </w:rPr>
        <w:t xml:space="preserve"> ‘</w:t>
      </w:r>
      <w:r w:rsidR="003C5E42" w:rsidRPr="005450D6">
        <w:rPr>
          <w:rFonts w:eastAsia="Times New Roman" w:cs="Arial"/>
          <w:i/>
        </w:rPr>
        <w:t>Industrial Accident Prevention: A Scientific Approach</w:t>
      </w:r>
      <w:r w:rsidR="003C5E42">
        <w:rPr>
          <w:rFonts w:eastAsia="Times New Roman" w:cs="Arial"/>
          <w:i/>
        </w:rPr>
        <w:t>’</w:t>
      </w:r>
      <w:r w:rsidR="00AB7E85">
        <w:rPr>
          <w:rFonts w:eastAsia="Times New Roman" w:cs="Arial"/>
        </w:rPr>
        <w:t>(</w:t>
      </w:r>
      <w:r w:rsidR="003C5E42" w:rsidRPr="00B1529C">
        <w:rPr>
          <w:rFonts w:eastAsia="Times New Roman" w:cs="Arial"/>
        </w:rPr>
        <w:t>1931</w:t>
      </w:r>
      <w:r w:rsidR="00AB7E85">
        <w:rPr>
          <w:rFonts w:eastAsia="Times New Roman" w:cs="Arial"/>
        </w:rPr>
        <w:t>)</w:t>
      </w:r>
      <w:r w:rsidR="003C5E42" w:rsidRPr="00B1529C">
        <w:rPr>
          <w:rFonts w:eastAsia="Times New Roman" w:cs="Arial"/>
        </w:rPr>
        <w:t xml:space="preserve">. Heinrich observed </w:t>
      </w:r>
      <w:r w:rsidR="009528FA">
        <w:rPr>
          <w:rFonts w:eastAsia="Times New Roman" w:cs="Arial"/>
        </w:rPr>
        <w:t xml:space="preserve">from an examination of insurance incident reports </w:t>
      </w:r>
      <w:r w:rsidR="003C5E42" w:rsidRPr="00B1529C">
        <w:rPr>
          <w:rFonts w:eastAsia="Times New Roman" w:cs="Arial"/>
        </w:rPr>
        <w:t>that</w:t>
      </w:r>
      <w:r w:rsidR="009528FA">
        <w:rPr>
          <w:rFonts w:eastAsia="Times New Roman" w:cs="Arial"/>
        </w:rPr>
        <w:t>,</w:t>
      </w:r>
      <w:r w:rsidR="000D1925">
        <w:rPr>
          <w:rFonts w:eastAsia="Times New Roman" w:cs="Arial"/>
        </w:rPr>
        <w:t xml:space="preserve"> </w:t>
      </w:r>
      <w:r w:rsidR="003C5E42" w:rsidRPr="00B1529C">
        <w:t>for every accident that causes a</w:t>
      </w:r>
      <w:r w:rsidR="003C5E42">
        <w:t xml:space="preserve"> major injury, there are 29 accidents that cause minor injuries and 300 accidents that cause no injuries. The 1:29:300 ratio became known as Heinrich’s Law.</w:t>
      </w:r>
    </w:p>
    <w:p w:rsidR="003C5E42" w:rsidRDefault="009E5C8E" w:rsidP="00DB2090">
      <w:pPr>
        <w:spacing w:after="0"/>
        <w:jc w:val="both"/>
      </w:pPr>
      <w:r>
        <w:t>R</w:t>
      </w:r>
      <w:r w:rsidR="003C5E42" w:rsidRPr="002B1E47">
        <w:t>ecognising</w:t>
      </w:r>
      <w:r w:rsidR="003C5E42">
        <w:t xml:space="preserve"> the ratio observed by Heinrich was based on as</w:t>
      </w:r>
      <w:r w:rsidR="00C81B04">
        <w:t>sumptions of a similar type of incident</w:t>
      </w:r>
      <w:r w:rsidR="003C5E42">
        <w:t xml:space="preserve"> and person, Frank E. Bird (1921-2007), also in the insurance industry, conducted </w:t>
      </w:r>
      <w:r>
        <w:t>a study</w:t>
      </w:r>
      <w:r w:rsidR="003C5E42">
        <w:t xml:space="preserve"> to </w:t>
      </w:r>
      <w:r w:rsidR="009528FA">
        <w:t>test whether</w:t>
      </w:r>
      <w:r w:rsidR="003C5E42">
        <w:t xml:space="preserve"> Heinrich’s ratio held true across a diverse </w:t>
      </w:r>
      <w:r w:rsidR="003C5E42">
        <w:lastRenderedPageBreak/>
        <w:t xml:space="preserve">group of industries and individuals. Bird’s 1969 study is said to have examined </w:t>
      </w:r>
      <w:r w:rsidR="003C5E42" w:rsidRPr="00573358">
        <w:t xml:space="preserve">1,753,498 </w:t>
      </w:r>
      <w:r w:rsidR="003C5E42">
        <w:t>incident</w:t>
      </w:r>
      <w:r w:rsidR="003C5E42" w:rsidRPr="00573358">
        <w:t xml:space="preserve"> reports </w:t>
      </w:r>
      <w:r w:rsidR="003C5E42">
        <w:t>from</w:t>
      </w:r>
      <w:r w:rsidR="003C5E42" w:rsidRPr="00573358">
        <w:t xml:space="preserve"> 297 firms </w:t>
      </w:r>
      <w:r w:rsidR="003C5E42">
        <w:t>in</w:t>
      </w:r>
      <w:r w:rsidR="003C5E42" w:rsidRPr="00573358">
        <w:t xml:space="preserve"> 21 industrial groups</w:t>
      </w:r>
      <w:r w:rsidR="003C5E42">
        <w:t xml:space="preserve">, covering 1,7500,000 employees across 3 billion working hours. </w:t>
      </w:r>
      <w:r w:rsidR="009528FA">
        <w:t>Bird concluded</w:t>
      </w:r>
      <w:r w:rsidR="003C5E42">
        <w:t xml:space="preserve"> that</w:t>
      </w:r>
      <w:r w:rsidR="009528FA">
        <w:t xml:space="preserve"> (i)</w:t>
      </w:r>
      <w:r w:rsidR="003C5E42">
        <w:t xml:space="preserve"> for every major injury there were 9.8 minor injuries and </w:t>
      </w:r>
      <w:r w:rsidR="009528FA">
        <w:t>(ii)</w:t>
      </w:r>
      <w:r w:rsidR="003C5E42">
        <w:t xml:space="preserve"> that the ratio of lost time injuries to medical treatment injuries was 1:15. Bird’s findings led him to propose an alternate s</w:t>
      </w:r>
      <w:r w:rsidR="003C5E42" w:rsidRPr="008F2110">
        <w:t xml:space="preserve">afety </w:t>
      </w:r>
      <w:r w:rsidR="003C5E42">
        <w:t>t</w:t>
      </w:r>
      <w:r w:rsidR="003C5E42" w:rsidRPr="008F2110">
        <w:t>riangle</w:t>
      </w:r>
      <w:r w:rsidR="003C5E42">
        <w:t xml:space="preserve"> which has since been subject to various representations and adaptations.</w:t>
      </w:r>
      <w:r w:rsidR="00CF5DA5">
        <w:rPr>
          <w:rStyle w:val="FootnoteReference"/>
        </w:rPr>
        <w:footnoteReference w:id="15"/>
      </w:r>
      <w:r w:rsidR="003C5E42">
        <w:t xml:space="preserve"> Figure 4 </w:t>
      </w:r>
      <w:r>
        <w:t>depicts</w:t>
      </w:r>
      <w:r w:rsidR="003C5E42">
        <w:t xml:space="preserve"> a Safety Triangle (or Accident Pyramid) commonly attributed to F. Bird.</w:t>
      </w:r>
    </w:p>
    <w:p w:rsidR="003C5E42" w:rsidRDefault="000D1925" w:rsidP="00DB2090">
      <w:pPr>
        <w:spacing w:before="240" w:after="120"/>
        <w:ind w:left="720"/>
        <w:jc w:val="both"/>
        <w:rPr>
          <w:rFonts w:eastAsia="Times New Roman" w:cs="Arial"/>
        </w:rPr>
      </w:pPr>
      <w:r>
        <w:rPr>
          <w:rFonts w:eastAsia="Times New Roman" w:cs="Arial"/>
          <w:noProof/>
        </w:rPr>
        <w:drawing>
          <wp:anchor distT="0" distB="0" distL="114300" distR="114300" simplePos="0" relativeHeight="251633664" behindDoc="1" locked="0" layoutInCell="1" allowOverlap="1" wp14:anchorId="5F2E8B9E" wp14:editId="17AF2543">
            <wp:simplePos x="0" y="0"/>
            <wp:positionH relativeFrom="column">
              <wp:posOffset>13970</wp:posOffset>
            </wp:positionH>
            <wp:positionV relativeFrom="paragraph">
              <wp:posOffset>106680</wp:posOffset>
            </wp:positionV>
            <wp:extent cx="1677670" cy="1590040"/>
            <wp:effectExtent l="95250" t="76200" r="74930" b="86360"/>
            <wp:wrapSquare wrapText="bothSides"/>
            <wp:docPr id="13" name="Diagram 13" descr="Despite the two insights afforded by the safety triangle, its application to contemporary safety problems has been subject to considerable criticism.  Progress over time in both the safety and medical sciences means few will expect the identified ratio’s to hold true today. However three important issues persist well into the 21st century. These relate to: the ambiguity surrounding Heinrich’s (1931) ‘major’ and ’minor’ and Bird’s (1969) ‘serious’ injury categories; a seemingly unquestioned acceptance by industry of Bird’s WRII categories as the appropriate measures of WRII occurrence to inform work health and safety decisions; and a perceived value in directing managerial attention and resources to high frequency but low consequence WRIIs and near misses. Each issue has important implications for practice and is worthy of further scrutiny." title="Figure 3: Bird's Triangl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r w:rsidR="003C5E42">
        <w:rPr>
          <w:rFonts w:eastAsia="Times New Roman" w:cs="Arial"/>
        </w:rPr>
        <w:t>The frequency models developed by Heinrich (1930) and Bird (1969) offer two important propositions:</w:t>
      </w:r>
    </w:p>
    <w:p w:rsidR="003C5E42" w:rsidRPr="002C711B" w:rsidRDefault="003C5E42" w:rsidP="000D1925">
      <w:pPr>
        <w:pStyle w:val="ListParagraph"/>
        <w:spacing w:after="0"/>
        <w:ind w:left="3261"/>
        <w:contextualSpacing w:val="0"/>
        <w:jc w:val="both"/>
      </w:pPr>
      <w:r>
        <w:rPr>
          <w:rFonts w:eastAsia="Times New Roman" w:cs="Arial"/>
        </w:rPr>
        <w:t xml:space="preserve">1.   </w:t>
      </w:r>
      <w:r w:rsidRPr="00373CBD">
        <w:rPr>
          <w:rFonts w:eastAsia="Times New Roman" w:cs="Arial"/>
        </w:rPr>
        <w:t>There is an inverse relationship between the frequency</w:t>
      </w:r>
      <w:r w:rsidR="002C711B" w:rsidRPr="00373CBD">
        <w:rPr>
          <w:rFonts w:eastAsia="Times New Roman" w:cs="Arial"/>
        </w:rPr>
        <w:t xml:space="preserve"> </w:t>
      </w:r>
      <w:r w:rsidRPr="00373CBD">
        <w:t>of</w:t>
      </w:r>
      <w:r w:rsidR="002C711B" w:rsidRPr="00373CBD">
        <w:t xml:space="preserve"> </w:t>
      </w:r>
      <w:r w:rsidRPr="00373CBD">
        <w:t>occurrence</w:t>
      </w:r>
      <w:r w:rsidRPr="00373CBD">
        <w:rPr>
          <w:rStyle w:val="FootnoteReference"/>
          <w:rFonts w:eastAsia="Times New Roman" w:cs="Arial"/>
        </w:rPr>
        <w:footnoteReference w:id="16"/>
      </w:r>
      <w:r w:rsidRPr="00373CBD">
        <w:t xml:space="preserve"> and the severity of</w:t>
      </w:r>
      <w:r w:rsidRPr="002C711B">
        <w:t xml:space="preserve"> WRII outcomes</w:t>
      </w:r>
      <w:r w:rsidR="008A4533">
        <w:t>,</w:t>
      </w:r>
      <w:r w:rsidR="00741DB4">
        <w:t xml:space="preserve"> and</w:t>
      </w:r>
      <w:r w:rsidRPr="002C711B">
        <w:t xml:space="preserve"> </w:t>
      </w:r>
    </w:p>
    <w:p w:rsidR="003C5E42" w:rsidRDefault="003C5E42" w:rsidP="000D1925">
      <w:pPr>
        <w:pStyle w:val="ListParagraph"/>
        <w:spacing w:after="0"/>
        <w:ind w:left="3261"/>
        <w:contextualSpacing w:val="0"/>
        <w:jc w:val="both"/>
        <w:rPr>
          <w:rFonts w:eastAsia="Times New Roman" w:cs="Arial"/>
        </w:rPr>
      </w:pPr>
      <w:r>
        <w:rPr>
          <w:rFonts w:eastAsia="Times New Roman" w:cs="Arial"/>
        </w:rPr>
        <w:t xml:space="preserve">2.  The magnitude of this inverse relationship, i.e. the ratio  </w:t>
      </w:r>
    </w:p>
    <w:p w:rsidR="003C5E42" w:rsidRDefault="003C5E42" w:rsidP="000D1925">
      <w:pPr>
        <w:pStyle w:val="ListParagraph"/>
        <w:spacing w:after="0"/>
        <w:ind w:left="3261"/>
        <w:contextualSpacing w:val="0"/>
        <w:jc w:val="both"/>
        <w:rPr>
          <w:rFonts w:eastAsia="Times New Roman" w:cs="Arial"/>
        </w:rPr>
      </w:pPr>
      <w:r>
        <w:rPr>
          <w:rFonts w:eastAsia="Times New Roman" w:cs="Arial"/>
        </w:rPr>
        <w:t>between occurrences of various types of injury,</w:t>
      </w:r>
      <w:r w:rsidR="000D1CDB">
        <w:rPr>
          <w:rFonts w:eastAsia="Times New Roman" w:cs="Arial"/>
        </w:rPr>
        <w:t xml:space="preserve"> </w:t>
      </w:r>
      <w:r>
        <w:rPr>
          <w:rFonts w:eastAsia="Times New Roman" w:cs="Arial"/>
        </w:rPr>
        <w:t>although</w:t>
      </w:r>
    </w:p>
    <w:p w:rsidR="003C5E42" w:rsidRDefault="003C5E42" w:rsidP="00373CBD">
      <w:pPr>
        <w:pStyle w:val="ListParagraph"/>
        <w:tabs>
          <w:tab w:val="left" w:pos="3686"/>
        </w:tabs>
        <w:spacing w:after="240"/>
        <w:ind w:left="3261"/>
        <w:contextualSpacing w:val="0"/>
        <w:jc w:val="both"/>
        <w:rPr>
          <w:rFonts w:eastAsia="Times New Roman" w:cs="Arial"/>
        </w:rPr>
      </w:pPr>
      <w:r>
        <w:rPr>
          <w:rFonts w:eastAsia="Times New Roman" w:cs="Arial"/>
        </w:rPr>
        <w:t xml:space="preserve">similar, is inconsistent and </w:t>
      </w:r>
      <w:r w:rsidR="009E5C8E">
        <w:rPr>
          <w:rFonts w:eastAsia="Times New Roman" w:cs="Arial"/>
        </w:rPr>
        <w:t xml:space="preserve">ultimately </w:t>
      </w:r>
      <w:r>
        <w:rPr>
          <w:rFonts w:eastAsia="Times New Roman" w:cs="Arial"/>
        </w:rPr>
        <w:t>appears to depend           on the organisational context (e</w:t>
      </w:r>
      <w:r w:rsidR="002C711B">
        <w:rPr>
          <w:rFonts w:eastAsia="Times New Roman" w:cs="Arial"/>
        </w:rPr>
        <w:t>.</w:t>
      </w:r>
      <w:r>
        <w:rPr>
          <w:rFonts w:eastAsia="Times New Roman" w:cs="Arial"/>
        </w:rPr>
        <w:t>g</w:t>
      </w:r>
      <w:r w:rsidR="002C711B">
        <w:rPr>
          <w:rFonts w:eastAsia="Times New Roman" w:cs="Arial"/>
        </w:rPr>
        <w:t>.</w:t>
      </w:r>
      <w:r>
        <w:rPr>
          <w:rFonts w:eastAsia="Times New Roman" w:cs="Arial"/>
        </w:rPr>
        <w:t xml:space="preserve"> industry </w:t>
      </w:r>
      <w:r w:rsidR="00FC1B5E">
        <w:rPr>
          <w:rFonts w:eastAsia="Times New Roman" w:cs="Arial"/>
        </w:rPr>
        <w:t>or</w:t>
      </w:r>
      <w:r>
        <w:rPr>
          <w:rFonts w:eastAsia="Times New Roman" w:cs="Arial"/>
        </w:rPr>
        <w:t xml:space="preserve"> firm factors).</w:t>
      </w:r>
    </w:p>
    <w:p w:rsidR="003C5E42" w:rsidRDefault="00B47C1D" w:rsidP="005A64D1">
      <w:pPr>
        <w:pStyle w:val="ListParagraph"/>
        <w:tabs>
          <w:tab w:val="left" w:pos="3969"/>
        </w:tabs>
        <w:spacing w:before="360"/>
        <w:ind w:left="0"/>
        <w:contextualSpacing w:val="0"/>
        <w:jc w:val="both"/>
        <w:rPr>
          <w:rFonts w:eastAsia="Times New Roman" w:cs="Arial"/>
        </w:rPr>
      </w:pPr>
      <w:r>
        <w:rPr>
          <w:noProof/>
          <w:lang w:eastAsia="en-AU"/>
        </w:rPr>
        <mc:AlternateContent>
          <mc:Choice Requires="wps">
            <w:drawing>
              <wp:anchor distT="0" distB="0" distL="114300" distR="114300" simplePos="0" relativeHeight="251641856" behindDoc="0" locked="0" layoutInCell="1" allowOverlap="1" wp14:anchorId="1A0C6D2B" wp14:editId="69C4D207">
                <wp:simplePos x="0" y="0"/>
                <wp:positionH relativeFrom="column">
                  <wp:posOffset>-1957705</wp:posOffset>
                </wp:positionH>
                <wp:positionV relativeFrom="paragraph">
                  <wp:posOffset>64770</wp:posOffset>
                </wp:positionV>
                <wp:extent cx="1771650" cy="135255"/>
                <wp:effectExtent l="0" t="0" r="0" b="0"/>
                <wp:wrapSquare wrapText="bothSides"/>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135255"/>
                        </a:xfrm>
                        <a:prstGeom prst="rect">
                          <a:avLst/>
                        </a:prstGeom>
                        <a:solidFill>
                          <a:prstClr val="white"/>
                        </a:solidFill>
                        <a:ln>
                          <a:noFill/>
                        </a:ln>
                        <a:effectLst/>
                      </wps:spPr>
                      <wps:txbx>
                        <w:txbxContent>
                          <w:p w:rsidR="00123706" w:rsidRPr="00B47C1D" w:rsidRDefault="00123706" w:rsidP="00B47C1D">
                            <w:pPr>
                              <w:pStyle w:val="Caption"/>
                            </w:pPr>
                            <w:r w:rsidRPr="00B47C1D">
                              <w:t xml:space="preserve">Figure </w:t>
                            </w:r>
                            <w:fldSimple w:instr=" SEQ Figure \* ARABIC ">
                              <w:r w:rsidRPr="00B47C1D">
                                <w:t>3</w:t>
                              </w:r>
                            </w:fldSimple>
                            <w:r w:rsidRPr="00B47C1D">
                              <w:t>: Bird's triangle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154.15pt;margin-top:5.1pt;width:139.5pt;height:10.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" stroked="f">
                <v:path arrowok="t"/>
                <v:textbox inset="0,0,0,0">
                  <w:txbxContent>
                    <w:p w:rsidR="00123706" w:rsidRPr="00B47C1D" w:rsidRDefault="00123706" w:rsidP="00B47C1D">
                      <w:pPr>
                        <w:pStyle w:val="Caption"/>
                      </w:pPr>
                      <w:r w:rsidRPr="00B47C1D">
                        <w:t xml:space="preserve">Figure </w:t>
                      </w:r>
                      <w:r w:rsidR="00A66DAB">
                        <w:fldChar w:fldCharType="begin"/>
                      </w:r>
                      <w:r w:rsidR="00A66DAB">
                        <w:instrText xml:space="preserve"> SEQ Figure \* ARABIC </w:instrText>
                      </w:r>
                      <w:r w:rsidR="00A66DAB">
                        <w:fldChar w:fldCharType="separate"/>
                      </w:r>
                      <w:r w:rsidRPr="00B47C1D">
                        <w:t>3</w:t>
                      </w:r>
                      <w:r w:rsidR="00A66DAB">
                        <w:fldChar w:fldCharType="end"/>
                      </w:r>
                      <w:r w:rsidRPr="00B47C1D">
                        <w:t>: Bird's triangle</w:t>
                      </w:r>
                    </w:p>
                  </w:txbxContent>
                </v:textbox>
                <w10:wrap type="square"/>
              </v:shape>
            </w:pict>
          </mc:Fallback>
        </mc:AlternateContent>
      </w:r>
      <w:r w:rsidR="003C5E42">
        <w:rPr>
          <w:rFonts w:eastAsia="Times New Roman" w:cs="Arial"/>
        </w:rPr>
        <w:t>Despite the</w:t>
      </w:r>
      <w:r w:rsidR="009E5C8E">
        <w:rPr>
          <w:rFonts w:eastAsia="Times New Roman" w:cs="Arial"/>
        </w:rPr>
        <w:t xml:space="preserve"> two</w:t>
      </w:r>
      <w:r w:rsidR="009D36DF">
        <w:rPr>
          <w:rFonts w:eastAsia="Times New Roman" w:cs="Arial"/>
        </w:rPr>
        <w:t xml:space="preserve"> </w:t>
      </w:r>
      <w:r w:rsidR="003C5E42" w:rsidRPr="007A2272">
        <w:rPr>
          <w:rFonts w:eastAsia="Times New Roman" w:cs="Arial"/>
        </w:rPr>
        <w:t>insight</w:t>
      </w:r>
      <w:r w:rsidR="009E5C8E">
        <w:rPr>
          <w:rFonts w:eastAsia="Times New Roman" w:cs="Arial"/>
        </w:rPr>
        <w:t>s</w:t>
      </w:r>
      <w:r w:rsidR="003C5E42" w:rsidRPr="007A2272">
        <w:rPr>
          <w:rFonts w:eastAsia="Times New Roman" w:cs="Arial"/>
        </w:rPr>
        <w:t xml:space="preserve"> afforded by the safety triangle, </w:t>
      </w:r>
      <w:r w:rsidR="003C5E42">
        <w:rPr>
          <w:rFonts w:eastAsia="Times New Roman" w:cs="Arial"/>
        </w:rPr>
        <w:t xml:space="preserve">its application to </w:t>
      </w:r>
      <w:r w:rsidR="003C5E42" w:rsidRPr="00292D08">
        <w:rPr>
          <w:rFonts w:eastAsia="Times New Roman" w:cs="Arial"/>
          <w:i/>
        </w:rPr>
        <w:t>contemporary</w:t>
      </w:r>
      <w:r w:rsidR="003C5E42">
        <w:rPr>
          <w:rFonts w:eastAsia="Times New Roman" w:cs="Arial"/>
        </w:rPr>
        <w:t xml:space="preserve"> safety problems has been subject to considerable criticism.</w:t>
      </w:r>
      <w:r w:rsidR="009D36DF">
        <w:rPr>
          <w:rStyle w:val="FootnoteReference"/>
          <w:rFonts w:eastAsia="Times New Roman" w:cs="Arial"/>
        </w:rPr>
        <w:footnoteReference w:id="17"/>
      </w:r>
      <w:r w:rsidR="003C5E42">
        <w:rPr>
          <w:rFonts w:eastAsia="Times New Roman" w:cs="Arial"/>
        </w:rPr>
        <w:t xml:space="preserve"> </w:t>
      </w:r>
      <w:r w:rsidR="00BE3407">
        <w:rPr>
          <w:rFonts w:eastAsia="Times New Roman" w:cs="Arial"/>
        </w:rPr>
        <w:t>P</w:t>
      </w:r>
      <w:r w:rsidR="003C5E42">
        <w:rPr>
          <w:rFonts w:eastAsia="Times New Roman" w:cs="Arial"/>
        </w:rPr>
        <w:t xml:space="preserve">rogress </w:t>
      </w:r>
      <w:r w:rsidR="00BE3407">
        <w:rPr>
          <w:rFonts w:eastAsia="Times New Roman" w:cs="Arial"/>
        </w:rPr>
        <w:t>over time</w:t>
      </w:r>
      <w:r w:rsidR="003C5E42">
        <w:rPr>
          <w:rFonts w:eastAsia="Times New Roman" w:cs="Arial"/>
        </w:rPr>
        <w:t xml:space="preserve"> in both the safety and medical sciences means few will expect the identified ratio’s to hold true today</w:t>
      </w:r>
      <w:r w:rsidR="00373CA2">
        <w:rPr>
          <w:rFonts w:eastAsia="Times New Roman" w:cs="Arial"/>
        </w:rPr>
        <w:t>. H</w:t>
      </w:r>
      <w:r w:rsidR="00BE3407">
        <w:rPr>
          <w:rFonts w:eastAsia="Times New Roman" w:cs="Arial"/>
        </w:rPr>
        <w:t xml:space="preserve">owever </w:t>
      </w:r>
      <w:r w:rsidR="003C5E42">
        <w:rPr>
          <w:rFonts w:eastAsia="Times New Roman" w:cs="Arial"/>
        </w:rPr>
        <w:t xml:space="preserve">three </w:t>
      </w:r>
      <w:r w:rsidR="00BE3407">
        <w:rPr>
          <w:rFonts w:eastAsia="Times New Roman" w:cs="Arial"/>
        </w:rPr>
        <w:t xml:space="preserve">important </w:t>
      </w:r>
      <w:r w:rsidR="00373CA2">
        <w:rPr>
          <w:rFonts w:eastAsia="Times New Roman" w:cs="Arial"/>
        </w:rPr>
        <w:t xml:space="preserve">issues persist well into the 21st </w:t>
      </w:r>
      <w:r w:rsidR="003C5E42">
        <w:rPr>
          <w:rFonts w:eastAsia="Times New Roman" w:cs="Arial"/>
        </w:rPr>
        <w:t>century.</w:t>
      </w:r>
      <w:r w:rsidR="00034297">
        <w:rPr>
          <w:rFonts w:eastAsia="Times New Roman" w:cs="Arial"/>
        </w:rPr>
        <w:t xml:space="preserve"> </w:t>
      </w:r>
      <w:r w:rsidR="003C5E42">
        <w:rPr>
          <w:rFonts w:eastAsia="Times New Roman" w:cs="Arial"/>
        </w:rPr>
        <w:t>These relate to</w:t>
      </w:r>
      <w:r w:rsidR="00BD1B98">
        <w:rPr>
          <w:rFonts w:eastAsia="Times New Roman" w:cs="Arial"/>
        </w:rPr>
        <w:t>:</w:t>
      </w:r>
      <w:r w:rsidR="003C5E42">
        <w:rPr>
          <w:rFonts w:eastAsia="Times New Roman" w:cs="Arial"/>
        </w:rPr>
        <w:t xml:space="preserve"> the ambiguity surrounding Heinrich’s (1931) ‘major’</w:t>
      </w:r>
      <w:r w:rsidR="009E5C8E">
        <w:rPr>
          <w:rFonts w:eastAsia="Times New Roman" w:cs="Arial"/>
        </w:rPr>
        <w:t xml:space="preserve"> and </w:t>
      </w:r>
      <w:r w:rsidR="003C5E42">
        <w:rPr>
          <w:rFonts w:eastAsia="Times New Roman" w:cs="Arial"/>
        </w:rPr>
        <w:t>’minor’ and Bird’s (1969) ‘serious’ injury categories</w:t>
      </w:r>
      <w:r w:rsidR="00BD1B98">
        <w:rPr>
          <w:rFonts w:eastAsia="Times New Roman" w:cs="Arial"/>
        </w:rPr>
        <w:t>;</w:t>
      </w:r>
      <w:r w:rsidR="00034297">
        <w:rPr>
          <w:rFonts w:eastAsia="Times New Roman" w:cs="Arial"/>
        </w:rPr>
        <w:t xml:space="preserve"> </w:t>
      </w:r>
      <w:r w:rsidR="00BE3407">
        <w:rPr>
          <w:rFonts w:eastAsia="Times New Roman" w:cs="Arial"/>
        </w:rPr>
        <w:t>a</w:t>
      </w:r>
      <w:r w:rsidR="003C5E42">
        <w:rPr>
          <w:rFonts w:eastAsia="Times New Roman" w:cs="Arial"/>
        </w:rPr>
        <w:t xml:space="preserve"> seemingly unquestioned acceptance by industry of Bird’s WRII categories as the appropriate measures of WRII</w:t>
      </w:r>
      <w:r w:rsidR="00034297">
        <w:rPr>
          <w:rFonts w:eastAsia="Times New Roman" w:cs="Arial"/>
        </w:rPr>
        <w:t xml:space="preserve"> </w:t>
      </w:r>
      <w:r w:rsidR="009E5C8E">
        <w:rPr>
          <w:rFonts w:eastAsia="Times New Roman" w:cs="Arial"/>
        </w:rPr>
        <w:t xml:space="preserve">occurrence to inform </w:t>
      </w:r>
      <w:r w:rsidR="00C81B04">
        <w:rPr>
          <w:rFonts w:eastAsia="Times New Roman" w:cs="Arial"/>
        </w:rPr>
        <w:t>work health and safety</w:t>
      </w:r>
      <w:r w:rsidR="009E5C8E">
        <w:rPr>
          <w:rFonts w:eastAsia="Times New Roman" w:cs="Arial"/>
        </w:rPr>
        <w:t xml:space="preserve"> decisions</w:t>
      </w:r>
      <w:r w:rsidR="00BD1B98">
        <w:rPr>
          <w:rFonts w:eastAsia="Times New Roman" w:cs="Arial"/>
        </w:rPr>
        <w:t>;</w:t>
      </w:r>
      <w:r w:rsidR="003C5E42">
        <w:rPr>
          <w:rFonts w:eastAsia="Times New Roman" w:cs="Arial"/>
        </w:rPr>
        <w:t xml:space="preserve"> and </w:t>
      </w:r>
      <w:r w:rsidR="00BD1B98">
        <w:rPr>
          <w:rFonts w:eastAsia="Times New Roman" w:cs="Arial"/>
        </w:rPr>
        <w:t>a</w:t>
      </w:r>
      <w:r w:rsidR="00034297">
        <w:rPr>
          <w:rFonts w:eastAsia="Times New Roman" w:cs="Arial"/>
        </w:rPr>
        <w:t xml:space="preserve"> </w:t>
      </w:r>
      <w:r w:rsidR="009E5C8E">
        <w:rPr>
          <w:rFonts w:eastAsia="Times New Roman" w:cs="Arial"/>
        </w:rPr>
        <w:t>perceived</w:t>
      </w:r>
      <w:r w:rsidR="003C5E42">
        <w:rPr>
          <w:rFonts w:eastAsia="Times New Roman" w:cs="Arial"/>
        </w:rPr>
        <w:t xml:space="preserve"> value in directing </w:t>
      </w:r>
      <w:r w:rsidR="00BD1B98">
        <w:rPr>
          <w:rFonts w:eastAsia="Times New Roman" w:cs="Arial"/>
        </w:rPr>
        <w:t xml:space="preserve">managerial </w:t>
      </w:r>
      <w:r w:rsidR="003C5E42">
        <w:rPr>
          <w:rFonts w:eastAsia="Times New Roman" w:cs="Arial"/>
        </w:rPr>
        <w:t>attention</w:t>
      </w:r>
      <w:r w:rsidR="00BD1B98">
        <w:rPr>
          <w:rFonts w:eastAsia="Times New Roman" w:cs="Arial"/>
        </w:rPr>
        <w:t xml:space="preserve"> and resources </w:t>
      </w:r>
      <w:r w:rsidR="003C5E42">
        <w:rPr>
          <w:rFonts w:eastAsia="Times New Roman" w:cs="Arial"/>
        </w:rPr>
        <w:t>to high frequency but low consequence WRII</w:t>
      </w:r>
      <w:r w:rsidR="00BD1B98">
        <w:rPr>
          <w:rFonts w:eastAsia="Times New Roman" w:cs="Arial"/>
        </w:rPr>
        <w:t>s and near misses</w:t>
      </w:r>
      <w:r w:rsidR="003C5E42">
        <w:rPr>
          <w:rFonts w:eastAsia="Times New Roman" w:cs="Arial"/>
        </w:rPr>
        <w:t xml:space="preserve">. Each issue has important implications for practice and is worthy of </w:t>
      </w:r>
      <w:r w:rsidR="00373CA2">
        <w:rPr>
          <w:rFonts w:eastAsia="Times New Roman" w:cs="Arial"/>
        </w:rPr>
        <w:t>further scrutiny</w:t>
      </w:r>
      <w:r w:rsidR="003C5E42">
        <w:rPr>
          <w:rFonts w:eastAsia="Times New Roman" w:cs="Arial"/>
        </w:rPr>
        <w:t>.</w:t>
      </w:r>
    </w:p>
    <w:p w:rsidR="003C5E42" w:rsidRPr="003C5E42" w:rsidRDefault="003C5E42" w:rsidP="00734A6C">
      <w:pPr>
        <w:pStyle w:val="Style3"/>
        <w:numPr>
          <w:ilvl w:val="0"/>
          <w:numId w:val="4"/>
        </w:numPr>
        <w:ind w:left="567" w:hanging="567"/>
        <w:rPr>
          <w:rFonts w:asciiTheme="minorHAnsi" w:hAnsiTheme="minorHAnsi"/>
          <w:sz w:val="24"/>
          <w:szCs w:val="24"/>
          <w:u w:val="single"/>
        </w:rPr>
      </w:pPr>
      <w:bookmarkStart w:id="5" w:name="_Toc361085295"/>
      <w:r w:rsidRPr="003C5E42">
        <w:rPr>
          <w:rFonts w:asciiTheme="minorHAnsi" w:hAnsiTheme="minorHAnsi"/>
          <w:sz w:val="24"/>
          <w:szCs w:val="24"/>
          <w:u w:val="single"/>
        </w:rPr>
        <w:t>Subjective and value laden terminology</w:t>
      </w:r>
      <w:bookmarkEnd w:id="5"/>
    </w:p>
    <w:p w:rsidR="003C5E42" w:rsidRDefault="003C5E42" w:rsidP="00BE3407">
      <w:pPr>
        <w:jc w:val="both"/>
        <w:rPr>
          <w:rFonts w:eastAsia="Times New Roman" w:cs="Arial"/>
        </w:rPr>
      </w:pPr>
      <w:r>
        <w:rPr>
          <w:rFonts w:eastAsia="Times New Roman" w:cs="Arial"/>
        </w:rPr>
        <w:t xml:space="preserve">The use of subjective terminology is </w:t>
      </w:r>
      <w:r w:rsidR="00373CA2">
        <w:rPr>
          <w:rFonts w:eastAsia="Times New Roman" w:cs="Arial"/>
        </w:rPr>
        <w:t>mainstream</w:t>
      </w:r>
      <w:r>
        <w:rPr>
          <w:rFonts w:eastAsia="Times New Roman" w:cs="Arial"/>
        </w:rPr>
        <w:t xml:space="preserve"> in contemporary safety practice. What distinguishes a ‘major injury’ from a ‘minor injury’ may differ markedly from </w:t>
      </w:r>
      <w:r w:rsidR="00BE3407">
        <w:rPr>
          <w:rFonts w:eastAsia="Times New Roman" w:cs="Arial"/>
        </w:rPr>
        <w:t xml:space="preserve">the perception of </w:t>
      </w:r>
      <w:r w:rsidR="009E5C8E">
        <w:rPr>
          <w:rFonts w:eastAsia="Times New Roman" w:cs="Arial"/>
        </w:rPr>
        <w:t xml:space="preserve">one </w:t>
      </w:r>
      <w:r>
        <w:rPr>
          <w:rFonts w:eastAsia="Times New Roman" w:cs="Arial"/>
        </w:rPr>
        <w:t xml:space="preserve">person to </w:t>
      </w:r>
      <w:r w:rsidR="00BE3407">
        <w:rPr>
          <w:rFonts w:eastAsia="Times New Roman" w:cs="Arial"/>
        </w:rPr>
        <w:t>another</w:t>
      </w:r>
      <w:r>
        <w:rPr>
          <w:rFonts w:eastAsia="Times New Roman" w:cs="Arial"/>
        </w:rPr>
        <w:t xml:space="preserve"> and what one person perceives as ‘serious’ another may not. This is clearly illustrated in WRII reporting where</w:t>
      </w:r>
      <w:r w:rsidR="00BE3407">
        <w:rPr>
          <w:rFonts w:eastAsia="Times New Roman" w:cs="Arial"/>
        </w:rPr>
        <w:t xml:space="preserve"> evidence shows that</w:t>
      </w:r>
      <w:r>
        <w:rPr>
          <w:rFonts w:eastAsia="Times New Roman" w:cs="Arial"/>
        </w:rPr>
        <w:t xml:space="preserve"> organisations reporting on ‘serious injury’ may be referring to WRII</w:t>
      </w:r>
      <w:r w:rsidR="00BE3407">
        <w:rPr>
          <w:rFonts w:eastAsia="Times New Roman" w:cs="Arial"/>
        </w:rPr>
        <w:t>s</w:t>
      </w:r>
      <w:r>
        <w:rPr>
          <w:rFonts w:eastAsia="Times New Roman" w:cs="Arial"/>
        </w:rPr>
        <w:t xml:space="preserve"> that</w:t>
      </w:r>
      <w:r w:rsidR="00741DB4">
        <w:rPr>
          <w:rFonts w:eastAsia="Times New Roman" w:cs="Arial"/>
        </w:rPr>
        <w:t xml:space="preserve"> either</w:t>
      </w:r>
      <w:r>
        <w:rPr>
          <w:rFonts w:eastAsia="Times New Roman" w:cs="Arial"/>
        </w:rPr>
        <w:t>: require one or more days lost time</w:t>
      </w:r>
      <w:r w:rsidR="00BE3407">
        <w:rPr>
          <w:rFonts w:eastAsia="Times New Roman" w:cs="Arial"/>
        </w:rPr>
        <w:t>;</w:t>
      </w:r>
      <w:r>
        <w:rPr>
          <w:rFonts w:eastAsia="Times New Roman" w:cs="Arial"/>
        </w:rPr>
        <w:t xml:space="preserve"> require more than five days lost time</w:t>
      </w:r>
      <w:r w:rsidR="00BE3407">
        <w:rPr>
          <w:rFonts w:eastAsia="Times New Roman" w:cs="Arial"/>
        </w:rPr>
        <w:t>;</w:t>
      </w:r>
      <w:r>
        <w:rPr>
          <w:rFonts w:eastAsia="Times New Roman" w:cs="Arial"/>
        </w:rPr>
        <w:t xml:space="preserve"> or result in </w:t>
      </w:r>
      <w:r w:rsidR="00BD1B98">
        <w:rPr>
          <w:rFonts w:eastAsia="Times New Roman" w:cs="Arial"/>
        </w:rPr>
        <w:t xml:space="preserve">at least some form of </w:t>
      </w:r>
      <w:r>
        <w:rPr>
          <w:rFonts w:eastAsia="Times New Roman" w:cs="Arial"/>
        </w:rPr>
        <w:t>partial permanent disability.</w:t>
      </w:r>
    </w:p>
    <w:p w:rsidR="003C5E42" w:rsidRDefault="003C5E42" w:rsidP="00BD1B98">
      <w:pPr>
        <w:spacing w:after="0"/>
        <w:jc w:val="both"/>
        <w:rPr>
          <w:rFonts w:eastAsia="Times New Roman" w:cs="Arial"/>
        </w:rPr>
      </w:pPr>
      <w:r>
        <w:rPr>
          <w:rFonts w:eastAsia="Times New Roman" w:cs="Arial"/>
        </w:rPr>
        <w:t xml:space="preserve">Rather than </w:t>
      </w:r>
      <w:r w:rsidR="00373CA2">
        <w:rPr>
          <w:rFonts w:eastAsia="Times New Roman" w:cs="Arial"/>
        </w:rPr>
        <w:t>adopt</w:t>
      </w:r>
      <w:r>
        <w:rPr>
          <w:rFonts w:eastAsia="Times New Roman" w:cs="Arial"/>
        </w:rPr>
        <w:t xml:space="preserve"> subjective terminology, which is inherently emotive and value laden</w:t>
      </w:r>
      <w:r>
        <w:rPr>
          <w:rStyle w:val="FootnoteReference"/>
          <w:rFonts w:eastAsia="Times New Roman" w:cs="Arial"/>
        </w:rPr>
        <w:footnoteReference w:id="18"/>
      </w:r>
      <w:r>
        <w:rPr>
          <w:rFonts w:eastAsia="Times New Roman" w:cs="Arial"/>
        </w:rPr>
        <w:t xml:space="preserve">, a lexicon of descriptors </w:t>
      </w:r>
      <w:r w:rsidR="00741DB4">
        <w:rPr>
          <w:rFonts w:eastAsia="Times New Roman" w:cs="Arial"/>
        </w:rPr>
        <w:t xml:space="preserve">must </w:t>
      </w:r>
      <w:r>
        <w:rPr>
          <w:rFonts w:eastAsia="Times New Roman" w:cs="Arial"/>
        </w:rPr>
        <w:t>be developed that is rooted in objective language, based on fact and logic</w:t>
      </w:r>
      <w:r w:rsidR="00741DB4">
        <w:rPr>
          <w:rFonts w:eastAsia="Times New Roman" w:cs="Arial"/>
        </w:rPr>
        <w:t>,</w:t>
      </w:r>
      <w:r>
        <w:rPr>
          <w:rFonts w:eastAsia="Times New Roman" w:cs="Arial"/>
        </w:rPr>
        <w:t xml:space="preserve"> </w:t>
      </w:r>
      <w:r w:rsidR="00373CA2">
        <w:rPr>
          <w:rFonts w:eastAsia="Times New Roman" w:cs="Arial"/>
        </w:rPr>
        <w:t xml:space="preserve">which </w:t>
      </w:r>
      <w:r>
        <w:rPr>
          <w:rFonts w:eastAsia="Times New Roman" w:cs="Arial"/>
        </w:rPr>
        <w:t>can be readily and consistently interpreted by users.</w:t>
      </w:r>
      <w:r w:rsidR="00BE3407">
        <w:rPr>
          <w:rFonts w:eastAsia="Times New Roman" w:cs="Arial"/>
        </w:rPr>
        <w:t xml:space="preserve"> V</w:t>
      </w:r>
      <w:r>
        <w:rPr>
          <w:rFonts w:eastAsia="Times New Roman" w:cs="Arial"/>
        </w:rPr>
        <w:t xml:space="preserve">alue laden terminology not only affects the ability of different users to interpret WRII data, but </w:t>
      </w:r>
      <w:r w:rsidR="00373CA2">
        <w:rPr>
          <w:rFonts w:eastAsia="Times New Roman" w:cs="Arial"/>
        </w:rPr>
        <w:t xml:space="preserve">may </w:t>
      </w:r>
      <w:r>
        <w:rPr>
          <w:rFonts w:eastAsia="Times New Roman" w:cs="Arial"/>
        </w:rPr>
        <w:t xml:space="preserve">also affect the way individuals respond to </w:t>
      </w:r>
      <w:r w:rsidR="00BE3407">
        <w:rPr>
          <w:rFonts w:eastAsia="Times New Roman" w:cs="Arial"/>
        </w:rPr>
        <w:t>it</w:t>
      </w:r>
      <w:r>
        <w:rPr>
          <w:rFonts w:eastAsia="Times New Roman" w:cs="Arial"/>
        </w:rPr>
        <w:t xml:space="preserve"> (i.e. using cognitive functions of thinking/logic, rather than feeling/valuing).</w:t>
      </w:r>
      <w:r w:rsidR="00034297">
        <w:rPr>
          <w:rStyle w:val="FootnoteReference"/>
          <w:rFonts w:eastAsia="Times New Roman" w:cs="Arial"/>
        </w:rPr>
        <w:footnoteReference w:id="19"/>
      </w:r>
    </w:p>
    <w:p w:rsidR="00C81B04" w:rsidRDefault="00C81B04" w:rsidP="00BD1B98">
      <w:pPr>
        <w:spacing w:after="0"/>
        <w:jc w:val="both"/>
        <w:rPr>
          <w:rFonts w:eastAsia="Times New Roman" w:cs="Arial"/>
        </w:rPr>
      </w:pPr>
    </w:p>
    <w:p w:rsidR="003C5E42" w:rsidRPr="003C5E42" w:rsidRDefault="00330F4B" w:rsidP="00734A6C">
      <w:pPr>
        <w:pStyle w:val="Style3"/>
        <w:numPr>
          <w:ilvl w:val="0"/>
          <w:numId w:val="4"/>
        </w:numPr>
        <w:ind w:left="567" w:hanging="567"/>
        <w:rPr>
          <w:rFonts w:asciiTheme="minorHAnsi" w:hAnsiTheme="minorHAnsi"/>
          <w:sz w:val="24"/>
          <w:szCs w:val="24"/>
          <w:u w:val="single"/>
        </w:rPr>
      </w:pPr>
      <w:bookmarkStart w:id="6" w:name="_Toc361085296"/>
      <w:r>
        <w:rPr>
          <w:rFonts w:asciiTheme="minorHAnsi" w:hAnsiTheme="minorHAnsi"/>
          <w:sz w:val="24"/>
          <w:szCs w:val="24"/>
          <w:u w:val="single"/>
        </w:rPr>
        <w:t>LTI and the a</w:t>
      </w:r>
      <w:r w:rsidR="003C5E42" w:rsidRPr="003C5E42">
        <w:rPr>
          <w:rFonts w:asciiTheme="minorHAnsi" w:hAnsiTheme="minorHAnsi"/>
          <w:sz w:val="24"/>
          <w:szCs w:val="24"/>
          <w:u w:val="single"/>
        </w:rPr>
        <w:t>ggregation of WRII</w:t>
      </w:r>
      <w:bookmarkEnd w:id="6"/>
    </w:p>
    <w:p w:rsidR="003C5E42" w:rsidRDefault="003C5E42" w:rsidP="00BE3407">
      <w:pPr>
        <w:jc w:val="both"/>
        <w:rPr>
          <w:rFonts w:eastAsia="Times New Roman" w:cs="Arial"/>
        </w:rPr>
      </w:pPr>
      <w:r>
        <w:rPr>
          <w:rFonts w:eastAsia="Times New Roman" w:cs="Arial"/>
        </w:rPr>
        <w:t>Arguably a</w:t>
      </w:r>
      <w:r w:rsidR="000D1925">
        <w:rPr>
          <w:rFonts w:eastAsia="Times New Roman" w:cs="Arial"/>
        </w:rPr>
        <w:t xml:space="preserve"> </w:t>
      </w:r>
      <w:r>
        <w:rPr>
          <w:rFonts w:eastAsia="Times New Roman" w:cs="Arial"/>
        </w:rPr>
        <w:t>second by-product</w:t>
      </w:r>
      <w:r w:rsidRPr="0020288E">
        <w:rPr>
          <w:rFonts w:eastAsia="Times New Roman" w:cs="Arial"/>
        </w:rPr>
        <w:t xml:space="preserve"> of </w:t>
      </w:r>
      <w:r>
        <w:rPr>
          <w:rFonts w:eastAsia="Times New Roman" w:cs="Arial"/>
        </w:rPr>
        <w:t xml:space="preserve">the safety triangle has been the widespread adoption of </w:t>
      </w:r>
      <w:r w:rsidR="00291B15">
        <w:rPr>
          <w:rFonts w:eastAsia="Times New Roman" w:cs="Arial"/>
        </w:rPr>
        <w:t xml:space="preserve">its broad classifications of </w:t>
      </w:r>
      <w:r>
        <w:rPr>
          <w:rFonts w:eastAsia="Times New Roman" w:cs="Arial"/>
        </w:rPr>
        <w:t xml:space="preserve">fatality, </w:t>
      </w:r>
      <w:r w:rsidR="00C147B0">
        <w:rPr>
          <w:rFonts w:eastAsia="Times New Roman" w:cs="Arial"/>
        </w:rPr>
        <w:t>major injury (</w:t>
      </w:r>
      <w:r w:rsidR="00373CA2">
        <w:rPr>
          <w:rFonts w:eastAsia="Times New Roman" w:cs="Arial"/>
        </w:rPr>
        <w:t xml:space="preserve">or </w:t>
      </w:r>
      <w:r w:rsidR="00C147B0">
        <w:rPr>
          <w:rFonts w:eastAsia="Times New Roman" w:cs="Arial"/>
        </w:rPr>
        <w:t>LTI)</w:t>
      </w:r>
      <w:r>
        <w:rPr>
          <w:rFonts w:eastAsia="Times New Roman" w:cs="Arial"/>
        </w:rPr>
        <w:t xml:space="preserve">, </w:t>
      </w:r>
      <w:r w:rsidR="00C147B0">
        <w:rPr>
          <w:rFonts w:eastAsia="Times New Roman" w:cs="Arial"/>
        </w:rPr>
        <w:t>minor injury (</w:t>
      </w:r>
      <w:r>
        <w:rPr>
          <w:rFonts w:eastAsia="Times New Roman" w:cs="Arial"/>
        </w:rPr>
        <w:t xml:space="preserve">medical </w:t>
      </w:r>
      <w:r w:rsidR="00C147B0">
        <w:rPr>
          <w:rFonts w:eastAsia="Times New Roman" w:cs="Arial"/>
        </w:rPr>
        <w:t xml:space="preserve">and first aid </w:t>
      </w:r>
      <w:r>
        <w:rPr>
          <w:rFonts w:eastAsia="Times New Roman" w:cs="Arial"/>
        </w:rPr>
        <w:t>treatment</w:t>
      </w:r>
      <w:r w:rsidR="00C147B0">
        <w:rPr>
          <w:rFonts w:eastAsia="Times New Roman" w:cs="Arial"/>
        </w:rPr>
        <w:t>)</w:t>
      </w:r>
      <w:r>
        <w:rPr>
          <w:rFonts w:eastAsia="Times New Roman" w:cs="Arial"/>
        </w:rPr>
        <w:t xml:space="preserve"> and near-miss (or near-hit) as </w:t>
      </w:r>
      <w:r w:rsidR="003008B0">
        <w:rPr>
          <w:rFonts w:eastAsia="Times New Roman" w:cs="Arial"/>
        </w:rPr>
        <w:t xml:space="preserve">accepted </w:t>
      </w:r>
      <w:r w:rsidR="00C147B0">
        <w:rPr>
          <w:rFonts w:eastAsia="Times New Roman" w:cs="Arial"/>
        </w:rPr>
        <w:t>categories</w:t>
      </w:r>
      <w:r>
        <w:rPr>
          <w:rFonts w:eastAsia="Times New Roman" w:cs="Arial"/>
        </w:rPr>
        <w:t xml:space="preserve"> for </w:t>
      </w:r>
      <w:r w:rsidR="00373CA2">
        <w:rPr>
          <w:rFonts w:eastAsia="Times New Roman" w:cs="Arial"/>
        </w:rPr>
        <w:t xml:space="preserve">the </w:t>
      </w:r>
      <w:r>
        <w:rPr>
          <w:rFonts w:eastAsia="Times New Roman" w:cs="Arial"/>
        </w:rPr>
        <w:t>evaluati</w:t>
      </w:r>
      <w:r w:rsidR="00373CA2">
        <w:rPr>
          <w:rFonts w:eastAsia="Times New Roman" w:cs="Arial"/>
        </w:rPr>
        <w:t>o</w:t>
      </w:r>
      <w:r>
        <w:rPr>
          <w:rFonts w:eastAsia="Times New Roman" w:cs="Arial"/>
        </w:rPr>
        <w:t xml:space="preserve">n </w:t>
      </w:r>
      <w:r w:rsidR="00373CA2">
        <w:rPr>
          <w:rFonts w:eastAsia="Times New Roman" w:cs="Arial"/>
        </w:rPr>
        <w:t xml:space="preserve">of </w:t>
      </w:r>
      <w:r>
        <w:rPr>
          <w:rFonts w:eastAsia="Times New Roman" w:cs="Arial"/>
        </w:rPr>
        <w:t xml:space="preserve">WRII. These </w:t>
      </w:r>
      <w:r w:rsidR="00373CA2">
        <w:rPr>
          <w:rFonts w:eastAsia="Times New Roman" w:cs="Arial"/>
        </w:rPr>
        <w:t xml:space="preserve">terms </w:t>
      </w:r>
      <w:r>
        <w:rPr>
          <w:rFonts w:eastAsia="Times New Roman" w:cs="Arial"/>
        </w:rPr>
        <w:t xml:space="preserve">are now so </w:t>
      </w:r>
      <w:r>
        <w:rPr>
          <w:rFonts w:eastAsia="Times New Roman" w:cs="Arial"/>
        </w:rPr>
        <w:lastRenderedPageBreak/>
        <w:t>entrenched in practice</w:t>
      </w:r>
      <w:r w:rsidR="003008B0">
        <w:rPr>
          <w:rFonts w:eastAsia="Times New Roman" w:cs="Arial"/>
        </w:rPr>
        <w:t xml:space="preserve"> that safety</w:t>
      </w:r>
      <w:r>
        <w:rPr>
          <w:rFonts w:eastAsia="Times New Roman" w:cs="Arial"/>
        </w:rPr>
        <w:t xml:space="preserve"> scholars </w:t>
      </w:r>
      <w:r w:rsidR="00373CA2">
        <w:rPr>
          <w:rFonts w:eastAsia="Times New Roman" w:cs="Arial"/>
        </w:rPr>
        <w:t>cite</w:t>
      </w:r>
      <w:r>
        <w:rPr>
          <w:rFonts w:eastAsia="Times New Roman" w:cs="Arial"/>
        </w:rPr>
        <w:t xml:space="preserve"> lost time injury and recordable</w:t>
      </w:r>
      <w:r>
        <w:rPr>
          <w:rStyle w:val="FootnoteReference"/>
          <w:rFonts w:eastAsia="Times New Roman" w:cs="Arial"/>
        </w:rPr>
        <w:footnoteReference w:id="20"/>
      </w:r>
      <w:r>
        <w:rPr>
          <w:rFonts w:eastAsia="Times New Roman" w:cs="Arial"/>
        </w:rPr>
        <w:t xml:space="preserve"> injury data</w:t>
      </w:r>
      <w:r w:rsidR="003008B0">
        <w:rPr>
          <w:rFonts w:eastAsia="Times New Roman" w:cs="Arial"/>
        </w:rPr>
        <w:t>, in particular,</w:t>
      </w:r>
      <w:r>
        <w:rPr>
          <w:rFonts w:eastAsia="Times New Roman" w:cs="Arial"/>
        </w:rPr>
        <w:t xml:space="preserve"> as the ‘cornerstone’ of organisational health and safety reporting.</w:t>
      </w:r>
      <w:r w:rsidR="00034297">
        <w:rPr>
          <w:rStyle w:val="FootnoteReference"/>
          <w:rFonts w:eastAsia="Times New Roman" w:cs="Arial"/>
        </w:rPr>
        <w:footnoteReference w:id="21"/>
      </w:r>
      <w:r>
        <w:rPr>
          <w:rFonts w:eastAsia="Times New Roman" w:cs="Arial"/>
        </w:rPr>
        <w:t xml:space="preserve"> </w:t>
      </w:r>
    </w:p>
    <w:p w:rsidR="003C5E42" w:rsidRDefault="00BD1B98" w:rsidP="00BD1B98">
      <w:pPr>
        <w:spacing w:after="0"/>
        <w:jc w:val="both"/>
        <w:rPr>
          <w:rFonts w:eastAsia="Times New Roman" w:cs="Arial"/>
        </w:rPr>
      </w:pPr>
      <w:r>
        <w:rPr>
          <w:rFonts w:eastAsia="Times New Roman" w:cs="Arial"/>
        </w:rPr>
        <w:t xml:space="preserve">However, </w:t>
      </w:r>
      <w:r w:rsidR="00373CA2">
        <w:rPr>
          <w:rFonts w:eastAsia="Times New Roman" w:cs="Arial"/>
        </w:rPr>
        <w:t>use of these</w:t>
      </w:r>
      <w:r w:rsidR="000D1925">
        <w:rPr>
          <w:rFonts w:eastAsia="Times New Roman" w:cs="Arial"/>
        </w:rPr>
        <w:t xml:space="preserve"> </w:t>
      </w:r>
      <w:r w:rsidR="003008B0">
        <w:rPr>
          <w:rFonts w:eastAsia="Times New Roman" w:cs="Arial"/>
        </w:rPr>
        <w:t>categories</w:t>
      </w:r>
      <w:r w:rsidR="000D1925">
        <w:rPr>
          <w:rFonts w:eastAsia="Times New Roman" w:cs="Arial"/>
        </w:rPr>
        <w:t xml:space="preserve"> </w:t>
      </w:r>
      <w:r w:rsidR="003008B0">
        <w:rPr>
          <w:rFonts w:eastAsia="Times New Roman" w:cs="Arial"/>
        </w:rPr>
        <w:t xml:space="preserve">is </w:t>
      </w:r>
      <w:r w:rsidR="00373CA2">
        <w:rPr>
          <w:rFonts w:eastAsia="Times New Roman" w:cs="Arial"/>
        </w:rPr>
        <w:t xml:space="preserve">problematic </w:t>
      </w:r>
      <w:r w:rsidR="00741DB4">
        <w:rPr>
          <w:rFonts w:eastAsia="Times New Roman" w:cs="Arial"/>
        </w:rPr>
        <w:t xml:space="preserve">because </w:t>
      </w:r>
      <w:r w:rsidR="00C02688">
        <w:rPr>
          <w:rFonts w:eastAsia="Times New Roman" w:cs="Arial"/>
        </w:rPr>
        <w:t>a diverse range</w:t>
      </w:r>
      <w:r w:rsidR="000D1925">
        <w:rPr>
          <w:rFonts w:eastAsia="Times New Roman" w:cs="Arial"/>
        </w:rPr>
        <w:t xml:space="preserve"> </w:t>
      </w:r>
      <w:r w:rsidR="003C5E42">
        <w:rPr>
          <w:rFonts w:eastAsia="Times New Roman" w:cs="Arial"/>
        </w:rPr>
        <w:t xml:space="preserve">of WRII outcomes </w:t>
      </w:r>
      <w:r w:rsidR="00C02688">
        <w:rPr>
          <w:rFonts w:eastAsia="Times New Roman" w:cs="Arial"/>
        </w:rPr>
        <w:t xml:space="preserve">are </w:t>
      </w:r>
      <w:r w:rsidR="003008B0">
        <w:rPr>
          <w:rFonts w:eastAsia="Times New Roman" w:cs="Arial"/>
        </w:rPr>
        <w:t xml:space="preserve">aggregated within the </w:t>
      </w:r>
      <w:r w:rsidR="00373CA2">
        <w:rPr>
          <w:rFonts w:eastAsia="Times New Roman" w:cs="Arial"/>
        </w:rPr>
        <w:t>LTI</w:t>
      </w:r>
      <w:r w:rsidR="003008B0">
        <w:rPr>
          <w:rFonts w:eastAsia="Times New Roman" w:cs="Arial"/>
        </w:rPr>
        <w:t xml:space="preserve"> category</w:t>
      </w:r>
      <w:r w:rsidR="00741DB4">
        <w:rPr>
          <w:rFonts w:eastAsia="Times New Roman" w:cs="Arial"/>
        </w:rPr>
        <w:t xml:space="preserve">. As illustrated in Figures 4, 5 and 8, this dilutes the </w:t>
      </w:r>
      <w:r w:rsidR="00373CA2">
        <w:rPr>
          <w:rFonts w:eastAsia="Times New Roman" w:cs="Arial"/>
        </w:rPr>
        <w:t xml:space="preserve">usefulness </w:t>
      </w:r>
      <w:r w:rsidR="00741DB4">
        <w:rPr>
          <w:rFonts w:eastAsia="Times New Roman" w:cs="Arial"/>
        </w:rPr>
        <w:t>of LTI data because</w:t>
      </w:r>
      <w:r w:rsidR="003008B0">
        <w:rPr>
          <w:rFonts w:eastAsia="Times New Roman" w:cs="Arial"/>
        </w:rPr>
        <w:t xml:space="preserve"> </w:t>
      </w:r>
      <w:r w:rsidR="00373CA2">
        <w:rPr>
          <w:rFonts w:eastAsia="Times New Roman" w:cs="Arial"/>
        </w:rPr>
        <w:t>LTIs</w:t>
      </w:r>
      <w:r w:rsidR="000D1925">
        <w:rPr>
          <w:rFonts w:eastAsia="Times New Roman" w:cs="Arial"/>
        </w:rPr>
        <w:t xml:space="preserve"> </w:t>
      </w:r>
      <w:r w:rsidR="003008B0">
        <w:rPr>
          <w:rFonts w:eastAsia="Times New Roman" w:cs="Arial"/>
        </w:rPr>
        <w:t xml:space="preserve">can </w:t>
      </w:r>
      <w:r w:rsidR="003C5E42">
        <w:rPr>
          <w:rFonts w:eastAsia="Times New Roman" w:cs="Arial"/>
        </w:rPr>
        <w:t>differ significantly in both occurrence and severity</w:t>
      </w:r>
      <w:r w:rsidR="003008B0">
        <w:rPr>
          <w:rFonts w:eastAsia="Times New Roman" w:cs="Arial"/>
        </w:rPr>
        <w:t>.</w:t>
      </w:r>
      <w:r w:rsidR="003C5E42">
        <w:rPr>
          <w:rFonts w:eastAsia="Times New Roman" w:cs="Arial"/>
        </w:rPr>
        <w:t xml:space="preserve"> Figure </w:t>
      </w:r>
      <w:r w:rsidR="00373CA2">
        <w:rPr>
          <w:rFonts w:eastAsia="Times New Roman" w:cs="Arial"/>
        </w:rPr>
        <w:t>4</w:t>
      </w:r>
      <w:r w:rsidR="003C5E42">
        <w:rPr>
          <w:rFonts w:eastAsia="Times New Roman" w:cs="Arial"/>
        </w:rPr>
        <w:t xml:space="preserve"> presents a summary of the 323</w:t>
      </w:r>
      <w:r w:rsidR="00C81B04">
        <w:rPr>
          <w:rFonts w:eastAsia="Times New Roman" w:cs="Arial"/>
        </w:rPr>
        <w:t xml:space="preserve"> </w:t>
      </w:r>
      <w:r w:rsidR="003C5E42">
        <w:rPr>
          <w:rFonts w:eastAsia="Times New Roman" w:cs="Arial"/>
        </w:rPr>
        <w:t xml:space="preserve">500 compensated </w:t>
      </w:r>
      <w:r w:rsidR="00373CA2">
        <w:rPr>
          <w:rFonts w:eastAsia="Times New Roman" w:cs="Arial"/>
        </w:rPr>
        <w:t>LTIs</w:t>
      </w:r>
      <w:r w:rsidR="003C5E42">
        <w:rPr>
          <w:rFonts w:eastAsia="Times New Roman" w:cs="Arial"/>
        </w:rPr>
        <w:t xml:space="preserve"> recorded in Australia for the 2008/9 financial year.</w:t>
      </w:r>
      <w:r w:rsidR="00034297">
        <w:rPr>
          <w:rStyle w:val="FootnoteReference"/>
          <w:rFonts w:eastAsia="Times New Roman" w:cs="Arial"/>
        </w:rPr>
        <w:footnoteReference w:id="22"/>
      </w:r>
      <w:r w:rsidR="003C5E42">
        <w:rPr>
          <w:rFonts w:eastAsia="Times New Roman" w:cs="Arial"/>
        </w:rPr>
        <w:t xml:space="preserve"> Arranged by severity, this data </w:t>
      </w:r>
      <w:r w:rsidR="003008B0">
        <w:rPr>
          <w:rFonts w:eastAsia="Times New Roman" w:cs="Arial"/>
        </w:rPr>
        <w:t>confirms</w:t>
      </w:r>
      <w:r w:rsidR="003C5E42">
        <w:rPr>
          <w:rFonts w:eastAsia="Times New Roman" w:cs="Arial"/>
        </w:rPr>
        <w:t xml:space="preserve"> the traditional safety pyramid </w:t>
      </w:r>
      <w:r w:rsidR="00373CA2">
        <w:rPr>
          <w:rFonts w:eastAsia="Times New Roman" w:cs="Arial"/>
        </w:rPr>
        <w:t>principle</w:t>
      </w:r>
      <w:r w:rsidR="003C5E42">
        <w:rPr>
          <w:rFonts w:eastAsia="Times New Roman" w:cs="Arial"/>
        </w:rPr>
        <w:t xml:space="preserve"> of an inverse relationship between WRII frequency and severity.</w:t>
      </w:r>
    </w:p>
    <w:p w:rsidR="003C5E42" w:rsidRDefault="003C5E42" w:rsidP="003C5E42">
      <w:pPr>
        <w:keepNext/>
        <w:spacing w:after="0" w:line="360" w:lineRule="auto"/>
        <w:jc w:val="center"/>
      </w:pPr>
      <w:r w:rsidRPr="00300A8B">
        <w:rPr>
          <w:noProof/>
        </w:rPr>
        <w:drawing>
          <wp:inline distT="0" distB="0" distL="0" distR="0" wp14:anchorId="5F28B6BC" wp14:editId="37F73C43">
            <wp:extent cx="5783283" cy="1983179"/>
            <wp:effectExtent l="0" t="0" r="8255" b="0"/>
            <wp:docPr id="24" name="Picture 24" descr="As illustrated in Figures 4, 5 and 8, this dilutes the usefulness of LTI data because LTIs can differ significantly in both occurrence and severity. Figure 4 presents a summary of the 323 500 compensated LTIs recorded in Australia for the 2008/9 financial year.  Arranged by severity, this data confirms the traditional safety pyramid principle of an inverse relationship between WRII frequency and severity." title="Figure 4: Compensated lost time injury frequency, by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78975" cy="1981702"/>
                    </a:xfrm>
                    <a:prstGeom prst="rect">
                      <a:avLst/>
                    </a:prstGeom>
                    <a:noFill/>
                    <a:ln>
                      <a:noFill/>
                    </a:ln>
                  </pic:spPr>
                </pic:pic>
              </a:graphicData>
            </a:graphic>
          </wp:inline>
        </w:drawing>
      </w:r>
    </w:p>
    <w:p w:rsidR="003C5E42" w:rsidRPr="00B47C1D" w:rsidRDefault="003C5E42" w:rsidP="00B47C1D">
      <w:pPr>
        <w:pStyle w:val="Caption"/>
        <w:jc w:val="center"/>
      </w:pPr>
      <w:r w:rsidRPr="00B47C1D">
        <w:t xml:space="preserve">Figure </w:t>
      </w:r>
      <w:r w:rsidR="00D515BB" w:rsidRPr="00B47C1D">
        <w:fldChar w:fldCharType="begin"/>
      </w:r>
      <w:r w:rsidR="00F93AA1" w:rsidRPr="00B47C1D">
        <w:instrText xml:space="preserve"> SEQ Figure \* ARABIC </w:instrText>
      </w:r>
      <w:r w:rsidR="00D515BB" w:rsidRPr="00B47C1D">
        <w:fldChar w:fldCharType="separate"/>
      </w:r>
      <w:r w:rsidR="00B47C1D" w:rsidRPr="00B47C1D">
        <w:t>4</w:t>
      </w:r>
      <w:r w:rsidR="00D515BB" w:rsidRPr="00B47C1D">
        <w:fldChar w:fldCharType="end"/>
      </w:r>
      <w:r w:rsidRPr="00B47C1D">
        <w:t>: Compensated lost time injury frequency, by category</w:t>
      </w:r>
    </w:p>
    <w:p w:rsidR="003C5E42" w:rsidRPr="00F56B83" w:rsidRDefault="003C5E42" w:rsidP="00BD1B98">
      <w:pPr>
        <w:spacing w:before="240" w:after="0"/>
        <w:jc w:val="both"/>
        <w:rPr>
          <w:rFonts w:eastAsia="Times New Roman" w:cs="Arial"/>
        </w:rPr>
      </w:pPr>
      <w:r w:rsidRPr="00F56B83">
        <w:rPr>
          <w:rFonts w:eastAsia="Times New Roman" w:cs="Arial"/>
        </w:rPr>
        <w:t xml:space="preserve">In contrast, Figure </w:t>
      </w:r>
      <w:r w:rsidR="00D44A64">
        <w:rPr>
          <w:rFonts w:eastAsia="Times New Roman" w:cs="Arial"/>
        </w:rPr>
        <w:t>5</w:t>
      </w:r>
      <w:r w:rsidRPr="00F56B83">
        <w:rPr>
          <w:rFonts w:eastAsia="Times New Roman" w:cs="Arial"/>
        </w:rPr>
        <w:t xml:space="preserve"> summarises the total weeks lost (absence from employment) as a result of those 323</w:t>
      </w:r>
      <w:r w:rsidR="00C81B04">
        <w:rPr>
          <w:rFonts w:eastAsia="Times New Roman" w:cs="Arial"/>
        </w:rPr>
        <w:t xml:space="preserve"> </w:t>
      </w:r>
      <w:r w:rsidRPr="00F56B83">
        <w:rPr>
          <w:rFonts w:eastAsia="Times New Roman" w:cs="Arial"/>
        </w:rPr>
        <w:t xml:space="preserve">500 WRIIs. </w:t>
      </w:r>
      <w:r w:rsidR="00D44A64">
        <w:rPr>
          <w:rFonts w:eastAsia="Times New Roman" w:cs="Arial"/>
        </w:rPr>
        <w:t>Once a</w:t>
      </w:r>
      <w:r w:rsidRPr="00F56B83">
        <w:rPr>
          <w:rFonts w:eastAsia="Times New Roman" w:cs="Arial"/>
        </w:rPr>
        <w:t>gain organised by severity</w:t>
      </w:r>
      <w:r w:rsidR="00D44A64">
        <w:rPr>
          <w:rFonts w:eastAsia="Times New Roman" w:cs="Arial"/>
        </w:rPr>
        <w:t>,</w:t>
      </w:r>
      <w:r w:rsidRPr="00F56B83">
        <w:rPr>
          <w:rFonts w:eastAsia="Times New Roman" w:cs="Arial"/>
        </w:rPr>
        <w:t xml:space="preserve"> the analysis reveals that the consequences of work-related</w:t>
      </w:r>
      <w:r w:rsidR="003E4262">
        <w:rPr>
          <w:rFonts w:eastAsia="Times New Roman" w:cs="Arial"/>
        </w:rPr>
        <w:t>,</w:t>
      </w:r>
      <w:r w:rsidR="000D1925">
        <w:rPr>
          <w:rFonts w:eastAsia="Times New Roman" w:cs="Arial"/>
        </w:rPr>
        <w:t xml:space="preserve"> </w:t>
      </w:r>
      <w:r w:rsidR="003008B0">
        <w:rPr>
          <w:rFonts w:eastAsia="Times New Roman" w:cs="Arial"/>
        </w:rPr>
        <w:t xml:space="preserve">non-fatal </w:t>
      </w:r>
      <w:r w:rsidRPr="00F56B83">
        <w:rPr>
          <w:rFonts w:eastAsia="Times New Roman" w:cs="Arial"/>
        </w:rPr>
        <w:t xml:space="preserve">disability, </w:t>
      </w:r>
      <w:r w:rsidR="00D44A64">
        <w:rPr>
          <w:rFonts w:eastAsia="Times New Roman" w:cs="Arial"/>
        </w:rPr>
        <w:t xml:space="preserve">for </w:t>
      </w:r>
      <w:r w:rsidR="003008B0" w:rsidRPr="00F56B83">
        <w:rPr>
          <w:rFonts w:eastAsia="Times New Roman" w:cs="Arial"/>
        </w:rPr>
        <w:t xml:space="preserve">both </w:t>
      </w:r>
      <w:r w:rsidRPr="00F56B83">
        <w:rPr>
          <w:rFonts w:eastAsia="Times New Roman" w:cs="Arial"/>
        </w:rPr>
        <w:t xml:space="preserve">for workers and employers, far exceeds the consequences of all short absences and long absences combined. </w:t>
      </w:r>
      <w:r w:rsidR="006604F3">
        <w:rPr>
          <w:rFonts w:eastAsia="Times New Roman" w:cs="Arial"/>
        </w:rPr>
        <w:t xml:space="preserve">This is mirrored in the financial cost with </w:t>
      </w:r>
      <w:r w:rsidR="003E4262">
        <w:rPr>
          <w:rFonts w:eastAsia="Times New Roman" w:cs="Arial"/>
        </w:rPr>
        <w:t xml:space="preserve">the </w:t>
      </w:r>
      <w:r w:rsidR="006604F3">
        <w:rPr>
          <w:rFonts w:eastAsia="Times New Roman" w:cs="Arial"/>
        </w:rPr>
        <w:t>average employer costs per disability ($16</w:t>
      </w:r>
      <w:r w:rsidR="00C81B04">
        <w:rPr>
          <w:rFonts w:eastAsia="Times New Roman" w:cs="Arial"/>
        </w:rPr>
        <w:t xml:space="preserve"> </w:t>
      </w:r>
      <w:r w:rsidR="006604F3">
        <w:rPr>
          <w:rFonts w:eastAsia="Times New Roman" w:cs="Arial"/>
        </w:rPr>
        <w:t xml:space="preserve">970) </w:t>
      </w:r>
      <w:r w:rsidR="003E4262">
        <w:rPr>
          <w:rFonts w:eastAsia="Times New Roman" w:cs="Arial"/>
        </w:rPr>
        <w:t xml:space="preserve">being </w:t>
      </w:r>
      <w:r w:rsidR="006604F3">
        <w:rPr>
          <w:rFonts w:eastAsia="Times New Roman" w:cs="Arial"/>
        </w:rPr>
        <w:t xml:space="preserve">almost 27 times </w:t>
      </w:r>
      <w:r w:rsidR="003E4262">
        <w:rPr>
          <w:rFonts w:eastAsia="Times New Roman" w:cs="Arial"/>
        </w:rPr>
        <w:t>that</w:t>
      </w:r>
      <w:r w:rsidR="006604F3">
        <w:rPr>
          <w:rFonts w:eastAsia="Times New Roman" w:cs="Arial"/>
        </w:rPr>
        <w:t xml:space="preserve"> of an injury resulting in a short absence ($630)</w:t>
      </w:r>
      <w:r w:rsidR="000D1925">
        <w:rPr>
          <w:rFonts w:eastAsia="Times New Roman" w:cs="Arial"/>
        </w:rPr>
        <w:t>.</w:t>
      </w:r>
      <w:r w:rsidR="00BD1B98">
        <w:rPr>
          <w:rStyle w:val="FootnoteReference"/>
          <w:rFonts w:eastAsia="Times New Roman" w:cs="Arial"/>
        </w:rPr>
        <w:footnoteReference w:id="23"/>
      </w:r>
      <w:r w:rsidR="006604F3">
        <w:rPr>
          <w:rFonts w:eastAsia="Times New Roman" w:cs="Arial"/>
        </w:rPr>
        <w:t xml:space="preserve"> </w:t>
      </w:r>
      <w:r w:rsidRPr="00F56B83">
        <w:rPr>
          <w:rFonts w:eastAsia="Times New Roman" w:cs="Arial"/>
        </w:rPr>
        <w:t xml:space="preserve">Yet traditional LTI data </w:t>
      </w:r>
      <w:r w:rsidR="00123FAD">
        <w:rPr>
          <w:rFonts w:eastAsia="Times New Roman" w:cs="Arial"/>
        </w:rPr>
        <w:t xml:space="preserve">does not provide valid or reliable </w:t>
      </w:r>
      <w:r w:rsidRPr="00F56B83">
        <w:rPr>
          <w:rFonts w:eastAsia="Times New Roman" w:cs="Arial"/>
        </w:rPr>
        <w:t>insight into the occurrence</w:t>
      </w:r>
      <w:r w:rsidR="000D1925">
        <w:rPr>
          <w:rFonts w:eastAsia="Times New Roman" w:cs="Arial"/>
        </w:rPr>
        <w:t xml:space="preserve"> </w:t>
      </w:r>
      <w:r w:rsidRPr="00F56B83">
        <w:rPr>
          <w:rFonts w:eastAsia="Times New Roman" w:cs="Arial"/>
        </w:rPr>
        <w:t>of</w:t>
      </w:r>
      <w:r w:rsidR="00741DB4">
        <w:rPr>
          <w:rFonts w:eastAsia="Times New Roman" w:cs="Arial"/>
        </w:rPr>
        <w:t>, or changes in,</w:t>
      </w:r>
      <w:r w:rsidRPr="00F56B83">
        <w:rPr>
          <w:rFonts w:eastAsia="Times New Roman" w:cs="Arial"/>
        </w:rPr>
        <w:t xml:space="preserve"> work-related</w:t>
      </w:r>
      <w:r w:rsidR="003008B0">
        <w:rPr>
          <w:rFonts w:eastAsia="Times New Roman" w:cs="Arial"/>
        </w:rPr>
        <w:t xml:space="preserve"> non-fatal </w:t>
      </w:r>
      <w:r w:rsidRPr="00F56B83">
        <w:rPr>
          <w:rFonts w:eastAsia="Times New Roman" w:cs="Arial"/>
        </w:rPr>
        <w:t>disability.</w:t>
      </w:r>
    </w:p>
    <w:p w:rsidR="003C5E42" w:rsidRPr="008B398A" w:rsidRDefault="003C5E42" w:rsidP="003C5E42">
      <w:pPr>
        <w:spacing w:after="0"/>
        <w:ind w:left="-284"/>
        <w:jc w:val="center"/>
      </w:pPr>
      <w:r w:rsidRPr="003B1D9C">
        <w:rPr>
          <w:noProof/>
        </w:rPr>
        <w:drawing>
          <wp:inline distT="0" distB="0" distL="0" distR="0" wp14:anchorId="22CFBABF" wp14:editId="163BF427">
            <wp:extent cx="6159500" cy="1778000"/>
            <wp:effectExtent l="0" t="0" r="0" b="0"/>
            <wp:docPr id="25" name="Picture 25" descr="Figure 5 summarises the total weeks lost (absence from employment) as a result of those 323 500 WRIIs. Once again organised by severity, the analysis reveals that the consequences of work-related, non-fatal disability, for both for workers and employers, far exceeds the consequences of all short absences and long absences combined. This is mirrored in the financial cost with the average employer costs per disability ($16 970) being almost 27 times that of an injury resulting in a short absence ($630)." title="Figure 5: Total compensated lost time (in weeks), by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58187" cy="1777621"/>
                    </a:xfrm>
                    <a:prstGeom prst="rect">
                      <a:avLst/>
                    </a:prstGeom>
                    <a:noFill/>
                    <a:ln>
                      <a:noFill/>
                    </a:ln>
                  </pic:spPr>
                </pic:pic>
              </a:graphicData>
            </a:graphic>
          </wp:inline>
        </w:drawing>
      </w:r>
    </w:p>
    <w:p w:rsidR="003C5E42" w:rsidRPr="00233C07" w:rsidRDefault="003C5E42" w:rsidP="00233C07">
      <w:pPr>
        <w:pStyle w:val="Caption"/>
        <w:jc w:val="center"/>
      </w:pPr>
      <w:r w:rsidRPr="00233C07">
        <w:t xml:space="preserve">Figure </w:t>
      </w:r>
      <w:r w:rsidR="00D515BB" w:rsidRPr="00233C07">
        <w:fldChar w:fldCharType="begin"/>
      </w:r>
      <w:r w:rsidR="00F93AA1" w:rsidRPr="00233C07">
        <w:instrText xml:space="preserve"> SEQ Figure \* ARABIC </w:instrText>
      </w:r>
      <w:r w:rsidR="00D515BB" w:rsidRPr="00233C07">
        <w:fldChar w:fldCharType="separate"/>
      </w:r>
      <w:r w:rsidR="00B47C1D" w:rsidRPr="00233C07">
        <w:t>5</w:t>
      </w:r>
      <w:r w:rsidR="00D515BB" w:rsidRPr="00233C07">
        <w:fldChar w:fldCharType="end"/>
      </w:r>
      <w:r w:rsidRPr="00233C07">
        <w:t>: Total compensated lost time (in weeks), by category</w:t>
      </w:r>
    </w:p>
    <w:p w:rsidR="003C5E42" w:rsidRDefault="003C5E42" w:rsidP="003008B0">
      <w:pPr>
        <w:tabs>
          <w:tab w:val="left" w:pos="709"/>
        </w:tabs>
        <w:spacing w:before="360" w:after="120"/>
        <w:jc w:val="both"/>
        <w:rPr>
          <w:rFonts w:eastAsia="Times New Roman" w:cs="Arial"/>
        </w:rPr>
      </w:pPr>
      <w:r>
        <w:rPr>
          <w:rFonts w:eastAsia="Times New Roman" w:cs="Arial"/>
        </w:rPr>
        <w:t>T</w:t>
      </w:r>
      <w:r w:rsidR="003008B0">
        <w:rPr>
          <w:rFonts w:eastAsia="Times New Roman" w:cs="Arial"/>
        </w:rPr>
        <w:t xml:space="preserve">his suggests </w:t>
      </w:r>
      <w:r w:rsidR="00BD1B98">
        <w:rPr>
          <w:rFonts w:eastAsia="Times New Roman" w:cs="Arial"/>
        </w:rPr>
        <w:t>WRII</w:t>
      </w:r>
      <w:r w:rsidR="003008B0">
        <w:rPr>
          <w:rFonts w:eastAsia="Times New Roman" w:cs="Arial"/>
        </w:rPr>
        <w:t xml:space="preserve"> analys</w:t>
      </w:r>
      <w:r w:rsidR="00BD1B98">
        <w:rPr>
          <w:rFonts w:eastAsia="Times New Roman" w:cs="Arial"/>
        </w:rPr>
        <w:t>e</w:t>
      </w:r>
      <w:r w:rsidR="003008B0">
        <w:rPr>
          <w:rFonts w:eastAsia="Times New Roman" w:cs="Arial"/>
        </w:rPr>
        <w:t xml:space="preserve">s </w:t>
      </w:r>
      <w:r w:rsidR="00D04485">
        <w:rPr>
          <w:rFonts w:eastAsia="Times New Roman" w:cs="Arial"/>
        </w:rPr>
        <w:t xml:space="preserve">that are </w:t>
      </w:r>
      <w:r w:rsidR="00123FAD">
        <w:rPr>
          <w:rFonts w:eastAsia="Times New Roman" w:cs="Arial"/>
        </w:rPr>
        <w:t>guided by</w:t>
      </w:r>
      <w:r w:rsidR="003008B0">
        <w:rPr>
          <w:rFonts w:eastAsia="Times New Roman" w:cs="Arial"/>
        </w:rPr>
        <w:t xml:space="preserve"> the traditional safety triangle </w:t>
      </w:r>
      <w:r w:rsidR="00BD1B98">
        <w:rPr>
          <w:rFonts w:eastAsia="Times New Roman" w:cs="Arial"/>
        </w:rPr>
        <w:t>are</w:t>
      </w:r>
      <w:r w:rsidR="00123FAD">
        <w:rPr>
          <w:rFonts w:eastAsia="Times New Roman" w:cs="Arial"/>
        </w:rPr>
        <w:t xml:space="preserve"> likely to</w:t>
      </w:r>
      <w:r w:rsidR="000D1925">
        <w:rPr>
          <w:rFonts w:eastAsia="Times New Roman" w:cs="Arial"/>
        </w:rPr>
        <w:t xml:space="preserve"> </w:t>
      </w:r>
      <w:r w:rsidR="00741DB4">
        <w:rPr>
          <w:rFonts w:eastAsia="Times New Roman" w:cs="Arial"/>
        </w:rPr>
        <w:t xml:space="preserve">reflect </w:t>
      </w:r>
      <w:r w:rsidR="003008B0">
        <w:rPr>
          <w:rFonts w:eastAsia="Times New Roman" w:cs="Arial"/>
        </w:rPr>
        <w:t xml:space="preserve">those </w:t>
      </w:r>
      <w:r w:rsidR="00295731">
        <w:rPr>
          <w:rFonts w:eastAsia="Times New Roman" w:cs="Arial"/>
        </w:rPr>
        <w:t>WRII</w:t>
      </w:r>
      <w:r>
        <w:rPr>
          <w:rFonts w:eastAsia="Times New Roman" w:cs="Arial"/>
        </w:rPr>
        <w:t xml:space="preserve"> outcomes that are highly correlated with </w:t>
      </w:r>
      <w:r w:rsidR="00295731">
        <w:rPr>
          <w:rFonts w:eastAsia="Times New Roman" w:cs="Arial"/>
        </w:rPr>
        <w:t>LTI</w:t>
      </w:r>
      <w:r w:rsidR="00034297">
        <w:rPr>
          <w:rFonts w:eastAsia="Times New Roman" w:cs="Arial"/>
        </w:rPr>
        <w:t xml:space="preserve"> </w:t>
      </w:r>
      <w:r w:rsidR="00123FAD" w:rsidRPr="00BD1B98">
        <w:rPr>
          <w:rFonts w:eastAsia="Times New Roman" w:cs="Arial"/>
          <w:i/>
        </w:rPr>
        <w:t>occurrences</w:t>
      </w:r>
      <w:r w:rsidR="00034297">
        <w:rPr>
          <w:rFonts w:eastAsia="Times New Roman" w:cs="Arial"/>
          <w:i/>
        </w:rPr>
        <w:t xml:space="preserve"> </w:t>
      </w:r>
      <w:r>
        <w:rPr>
          <w:rFonts w:eastAsia="Times New Roman" w:cs="Arial"/>
        </w:rPr>
        <w:t>(</w:t>
      </w:r>
      <w:r w:rsidR="00BD1B98">
        <w:rPr>
          <w:rFonts w:eastAsia="Times New Roman" w:cs="Arial"/>
        </w:rPr>
        <w:t>e.g.</w:t>
      </w:r>
      <w:r>
        <w:rPr>
          <w:rFonts w:eastAsia="Times New Roman" w:cs="Arial"/>
        </w:rPr>
        <w:t xml:space="preserve"> number of </w:t>
      </w:r>
      <w:r w:rsidR="00123FAD">
        <w:rPr>
          <w:rFonts w:eastAsia="Times New Roman" w:cs="Arial"/>
        </w:rPr>
        <w:t>workers’ compensation claim</w:t>
      </w:r>
      <w:r w:rsidR="00BD1B98">
        <w:rPr>
          <w:rFonts w:eastAsia="Times New Roman" w:cs="Arial"/>
        </w:rPr>
        <w:t xml:space="preserve">s or cost of claims </w:t>
      </w:r>
      <w:r>
        <w:rPr>
          <w:rFonts w:eastAsia="Times New Roman" w:cs="Arial"/>
        </w:rPr>
        <w:t>excess payments)</w:t>
      </w:r>
      <w:r w:rsidR="00295731">
        <w:rPr>
          <w:rFonts w:eastAsia="Times New Roman" w:cs="Arial"/>
        </w:rPr>
        <w:t xml:space="preserve">. However, </w:t>
      </w:r>
      <w:r w:rsidR="002661B1">
        <w:rPr>
          <w:rFonts w:eastAsia="Times New Roman" w:cs="Arial"/>
        </w:rPr>
        <w:t>such</w:t>
      </w:r>
      <w:r w:rsidR="00034297">
        <w:rPr>
          <w:rFonts w:eastAsia="Times New Roman" w:cs="Arial"/>
        </w:rPr>
        <w:t xml:space="preserve"> </w:t>
      </w:r>
      <w:r w:rsidR="00BD1B98">
        <w:rPr>
          <w:rFonts w:eastAsia="Times New Roman" w:cs="Arial"/>
        </w:rPr>
        <w:t>data is</w:t>
      </w:r>
      <w:r w:rsidR="003008B0">
        <w:rPr>
          <w:rFonts w:eastAsia="Times New Roman" w:cs="Arial"/>
        </w:rPr>
        <w:t xml:space="preserve"> unlikely to provide</w:t>
      </w:r>
      <w:r w:rsidR="00034297">
        <w:rPr>
          <w:rFonts w:eastAsia="Times New Roman" w:cs="Arial"/>
        </w:rPr>
        <w:t xml:space="preserve"> </w:t>
      </w:r>
      <w:r w:rsidR="00123FAD">
        <w:rPr>
          <w:rFonts w:eastAsia="Times New Roman" w:cs="Arial"/>
        </w:rPr>
        <w:t>a valid</w:t>
      </w:r>
      <w:r w:rsidR="00034297">
        <w:rPr>
          <w:rFonts w:eastAsia="Times New Roman" w:cs="Arial"/>
        </w:rPr>
        <w:t xml:space="preserve"> </w:t>
      </w:r>
      <w:r w:rsidR="002661B1">
        <w:rPr>
          <w:rFonts w:eastAsia="Times New Roman" w:cs="Arial"/>
        </w:rPr>
        <w:t>indicator</w:t>
      </w:r>
      <w:r w:rsidR="00034297">
        <w:rPr>
          <w:rFonts w:eastAsia="Times New Roman" w:cs="Arial"/>
        </w:rPr>
        <w:t xml:space="preserve"> </w:t>
      </w:r>
      <w:r w:rsidR="002661B1">
        <w:rPr>
          <w:rFonts w:eastAsia="Times New Roman" w:cs="Arial"/>
        </w:rPr>
        <w:t>for</w:t>
      </w:r>
      <w:r w:rsidR="00034297">
        <w:rPr>
          <w:rFonts w:eastAsia="Times New Roman" w:cs="Arial"/>
        </w:rPr>
        <w:t xml:space="preserve"> </w:t>
      </w:r>
      <w:r w:rsidR="00123FAD">
        <w:rPr>
          <w:rFonts w:eastAsia="Times New Roman" w:cs="Arial"/>
        </w:rPr>
        <w:t xml:space="preserve">either </w:t>
      </w:r>
      <w:r>
        <w:rPr>
          <w:rFonts w:eastAsia="Times New Roman" w:cs="Arial"/>
        </w:rPr>
        <w:t>the</w:t>
      </w:r>
      <w:r w:rsidR="00295731">
        <w:rPr>
          <w:rFonts w:eastAsia="Times New Roman" w:cs="Arial"/>
        </w:rPr>
        <w:t xml:space="preserve"> severity or cost o</w:t>
      </w:r>
      <w:r>
        <w:rPr>
          <w:rFonts w:eastAsia="Times New Roman" w:cs="Arial"/>
        </w:rPr>
        <w:t xml:space="preserve">f </w:t>
      </w:r>
      <w:r w:rsidR="00741DB4">
        <w:rPr>
          <w:rFonts w:eastAsia="Times New Roman" w:cs="Arial"/>
        </w:rPr>
        <w:t xml:space="preserve">those </w:t>
      </w:r>
      <w:r w:rsidR="00242BAA">
        <w:rPr>
          <w:rFonts w:eastAsia="Times New Roman" w:cs="Arial"/>
        </w:rPr>
        <w:t>work health and safety</w:t>
      </w:r>
      <w:r>
        <w:rPr>
          <w:rFonts w:eastAsia="Times New Roman" w:cs="Arial"/>
        </w:rPr>
        <w:t xml:space="preserve"> failures that result in lost time.</w:t>
      </w:r>
    </w:p>
    <w:p w:rsidR="003C5E42" w:rsidRDefault="002661B1" w:rsidP="003008B0">
      <w:pPr>
        <w:tabs>
          <w:tab w:val="left" w:pos="709"/>
        </w:tabs>
        <w:spacing w:after="0"/>
        <w:jc w:val="both"/>
        <w:rPr>
          <w:rFonts w:eastAsia="Times New Roman" w:cs="Arial"/>
        </w:rPr>
      </w:pPr>
      <w:r>
        <w:rPr>
          <w:rFonts w:eastAsia="Times New Roman" w:cs="Arial"/>
        </w:rPr>
        <w:lastRenderedPageBreak/>
        <w:t>In turn, t</w:t>
      </w:r>
      <w:r w:rsidR="003C5E42">
        <w:rPr>
          <w:rFonts w:eastAsia="Times New Roman" w:cs="Arial"/>
        </w:rPr>
        <w:t xml:space="preserve">his highlights </w:t>
      </w:r>
      <w:r w:rsidR="00295731">
        <w:rPr>
          <w:rFonts w:eastAsia="Times New Roman" w:cs="Arial"/>
        </w:rPr>
        <w:t>a</w:t>
      </w:r>
      <w:r w:rsidR="003C5E42">
        <w:rPr>
          <w:rFonts w:eastAsia="Times New Roman" w:cs="Arial"/>
        </w:rPr>
        <w:t xml:space="preserve"> danger of focusing on highly aggregated </w:t>
      </w:r>
      <w:r w:rsidR="00295731">
        <w:rPr>
          <w:rFonts w:eastAsia="Times New Roman" w:cs="Arial"/>
        </w:rPr>
        <w:t>LTI</w:t>
      </w:r>
      <w:r w:rsidR="003C5E42">
        <w:rPr>
          <w:rFonts w:eastAsia="Times New Roman" w:cs="Arial"/>
        </w:rPr>
        <w:t xml:space="preserve"> or recordable injury rates when monitor</w:t>
      </w:r>
      <w:r w:rsidR="00123FAD">
        <w:rPr>
          <w:rFonts w:eastAsia="Times New Roman" w:cs="Arial"/>
        </w:rPr>
        <w:t>ing</w:t>
      </w:r>
      <w:r w:rsidR="003C5E42">
        <w:rPr>
          <w:rFonts w:eastAsia="Times New Roman" w:cs="Arial"/>
        </w:rPr>
        <w:t xml:space="preserve"> WRII</w:t>
      </w:r>
      <w:r w:rsidR="00123FAD">
        <w:rPr>
          <w:rFonts w:eastAsia="Times New Roman" w:cs="Arial"/>
        </w:rPr>
        <w:t xml:space="preserve"> performance</w:t>
      </w:r>
      <w:r w:rsidR="003C5E42">
        <w:rPr>
          <w:rFonts w:eastAsia="Times New Roman" w:cs="Arial"/>
        </w:rPr>
        <w:t xml:space="preserve">. </w:t>
      </w:r>
      <w:r>
        <w:rPr>
          <w:rFonts w:eastAsia="Times New Roman" w:cs="Arial"/>
        </w:rPr>
        <w:t>As the</w:t>
      </w:r>
      <w:r w:rsidR="00034297">
        <w:rPr>
          <w:rFonts w:eastAsia="Times New Roman" w:cs="Arial"/>
        </w:rPr>
        <w:t xml:space="preserve"> </w:t>
      </w:r>
      <w:r w:rsidR="00295731">
        <w:rPr>
          <w:rFonts w:eastAsia="Times New Roman" w:cs="Arial"/>
        </w:rPr>
        <w:t>number</w:t>
      </w:r>
      <w:r w:rsidR="003C5E42">
        <w:rPr>
          <w:rFonts w:eastAsia="Times New Roman" w:cs="Arial"/>
        </w:rPr>
        <w:t xml:space="preserve"> of </w:t>
      </w:r>
      <w:r w:rsidR="00123FAD">
        <w:rPr>
          <w:rFonts w:eastAsia="Times New Roman" w:cs="Arial"/>
        </w:rPr>
        <w:t>low consequence</w:t>
      </w:r>
      <w:r w:rsidR="00034297">
        <w:rPr>
          <w:rFonts w:eastAsia="Times New Roman" w:cs="Arial"/>
        </w:rPr>
        <w:t xml:space="preserve"> </w:t>
      </w:r>
      <w:r w:rsidR="00295731">
        <w:rPr>
          <w:rFonts w:eastAsia="Times New Roman" w:cs="Arial"/>
        </w:rPr>
        <w:t>injuries</w:t>
      </w:r>
      <w:r w:rsidR="00034297">
        <w:rPr>
          <w:rFonts w:eastAsia="Times New Roman" w:cs="Arial"/>
        </w:rPr>
        <w:t xml:space="preserve"> </w:t>
      </w:r>
      <w:r w:rsidR="00123FAD">
        <w:rPr>
          <w:rFonts w:eastAsia="Times New Roman" w:cs="Arial"/>
        </w:rPr>
        <w:t xml:space="preserve">tends to </w:t>
      </w:r>
      <w:r w:rsidR="003C5E42">
        <w:rPr>
          <w:rFonts w:eastAsia="Times New Roman" w:cs="Arial"/>
        </w:rPr>
        <w:t xml:space="preserve">far exceed the </w:t>
      </w:r>
      <w:r w:rsidR="00295731">
        <w:rPr>
          <w:rFonts w:eastAsia="Times New Roman" w:cs="Arial"/>
        </w:rPr>
        <w:t>number</w:t>
      </w:r>
      <w:r w:rsidR="003C5E42">
        <w:rPr>
          <w:rFonts w:eastAsia="Times New Roman" w:cs="Arial"/>
        </w:rPr>
        <w:t xml:space="preserve"> of </w:t>
      </w:r>
      <w:r w:rsidR="00123FAD">
        <w:rPr>
          <w:rFonts w:eastAsia="Times New Roman" w:cs="Arial"/>
        </w:rPr>
        <w:t>high consequence</w:t>
      </w:r>
      <w:r w:rsidR="0065428A">
        <w:rPr>
          <w:rFonts w:eastAsia="Times New Roman" w:cs="Arial"/>
        </w:rPr>
        <w:t xml:space="preserve"> </w:t>
      </w:r>
      <w:r w:rsidR="00295731">
        <w:rPr>
          <w:rFonts w:eastAsia="Times New Roman" w:cs="Arial"/>
        </w:rPr>
        <w:t>injuries</w:t>
      </w:r>
      <w:r w:rsidR="000D1925">
        <w:rPr>
          <w:rFonts w:eastAsia="Times New Roman" w:cs="Arial"/>
        </w:rPr>
        <w:t>,</w:t>
      </w:r>
      <w:r w:rsidR="003C5E42">
        <w:rPr>
          <w:rStyle w:val="FootnoteReference"/>
          <w:rFonts w:eastAsia="Times New Roman" w:cs="Arial"/>
        </w:rPr>
        <w:footnoteReference w:id="24"/>
      </w:r>
      <w:r w:rsidR="003C5E42">
        <w:rPr>
          <w:rFonts w:eastAsia="Times New Roman" w:cs="Arial"/>
        </w:rPr>
        <w:t xml:space="preserve"> changes in </w:t>
      </w:r>
      <w:r w:rsidR="00BD1B98">
        <w:rPr>
          <w:rFonts w:eastAsia="Times New Roman" w:cs="Arial"/>
        </w:rPr>
        <w:t>fatal and permanently disabling</w:t>
      </w:r>
      <w:r w:rsidR="0065428A">
        <w:rPr>
          <w:rFonts w:eastAsia="Times New Roman" w:cs="Arial"/>
        </w:rPr>
        <w:t xml:space="preserve"> </w:t>
      </w:r>
      <w:r w:rsidR="00123FAD">
        <w:rPr>
          <w:rFonts w:eastAsia="Times New Roman" w:cs="Arial"/>
        </w:rPr>
        <w:t xml:space="preserve">outcomes </w:t>
      </w:r>
      <w:r w:rsidR="00295731">
        <w:rPr>
          <w:rFonts w:eastAsia="Times New Roman" w:cs="Arial"/>
        </w:rPr>
        <w:t xml:space="preserve">are </w:t>
      </w:r>
      <w:r w:rsidR="00123FAD">
        <w:rPr>
          <w:rFonts w:eastAsia="Times New Roman" w:cs="Arial"/>
        </w:rPr>
        <w:t>relatively</w:t>
      </w:r>
      <w:r w:rsidR="00295731">
        <w:rPr>
          <w:rFonts w:eastAsia="Times New Roman" w:cs="Arial"/>
        </w:rPr>
        <w:t xml:space="preserve"> insignificant components of LTI and are therefore </w:t>
      </w:r>
      <w:r w:rsidR="003C5E42">
        <w:rPr>
          <w:rFonts w:eastAsia="Times New Roman" w:cs="Arial"/>
        </w:rPr>
        <w:t xml:space="preserve">rendered </w:t>
      </w:r>
      <w:r w:rsidR="00295731">
        <w:rPr>
          <w:rFonts w:eastAsia="Times New Roman" w:cs="Arial"/>
        </w:rPr>
        <w:t xml:space="preserve">statistically </w:t>
      </w:r>
      <w:r w:rsidR="003C5E42">
        <w:rPr>
          <w:rFonts w:eastAsia="Times New Roman" w:cs="Arial"/>
        </w:rPr>
        <w:t xml:space="preserve">invisible.  This phenomenon has been illustrated </w:t>
      </w:r>
      <w:r w:rsidR="00295731">
        <w:rPr>
          <w:rFonts w:eastAsia="Times New Roman" w:cs="Arial"/>
        </w:rPr>
        <w:t xml:space="preserve">empirically </w:t>
      </w:r>
      <w:r w:rsidR="003C5E42">
        <w:rPr>
          <w:rFonts w:eastAsia="Times New Roman" w:cs="Arial"/>
        </w:rPr>
        <w:t xml:space="preserve">in an analysis of </w:t>
      </w:r>
      <w:r>
        <w:rPr>
          <w:rFonts w:eastAsia="Times New Roman" w:cs="Arial"/>
        </w:rPr>
        <w:t>s</w:t>
      </w:r>
      <w:r w:rsidR="003C5E42">
        <w:rPr>
          <w:rFonts w:eastAsia="Times New Roman" w:cs="Arial"/>
        </w:rPr>
        <w:t xml:space="preserve">tate-based workers’ compensation data for the </w:t>
      </w:r>
      <w:r>
        <w:rPr>
          <w:rFonts w:eastAsia="Times New Roman" w:cs="Arial"/>
        </w:rPr>
        <w:t>10</w:t>
      </w:r>
      <w:r w:rsidR="0065428A">
        <w:rPr>
          <w:rFonts w:eastAsia="Times New Roman" w:cs="Arial"/>
        </w:rPr>
        <w:t>-</w:t>
      </w:r>
      <w:r w:rsidR="003C5E42">
        <w:rPr>
          <w:rFonts w:eastAsia="Times New Roman" w:cs="Arial"/>
        </w:rPr>
        <w:t>year period</w:t>
      </w:r>
      <w:r w:rsidR="0065428A">
        <w:rPr>
          <w:rFonts w:eastAsia="Times New Roman" w:cs="Arial"/>
        </w:rPr>
        <w:t xml:space="preserve"> </w:t>
      </w:r>
      <w:r w:rsidR="003C5E42">
        <w:rPr>
          <w:rFonts w:eastAsia="Times New Roman" w:cs="Arial"/>
        </w:rPr>
        <w:t>1992–2001</w:t>
      </w:r>
      <w:r w:rsidR="00295731">
        <w:rPr>
          <w:rFonts w:eastAsia="Times New Roman" w:cs="Arial"/>
        </w:rPr>
        <w:t xml:space="preserve">. </w:t>
      </w:r>
      <w:r w:rsidR="00741DB4">
        <w:rPr>
          <w:rFonts w:eastAsia="Times New Roman" w:cs="Arial"/>
        </w:rPr>
        <w:t>Analysis of approximately 408</w:t>
      </w:r>
      <w:r w:rsidR="00242BAA">
        <w:rPr>
          <w:rFonts w:eastAsia="Times New Roman" w:cs="Arial"/>
        </w:rPr>
        <w:t xml:space="preserve"> </w:t>
      </w:r>
      <w:r w:rsidR="00741DB4">
        <w:rPr>
          <w:rFonts w:eastAsia="Times New Roman" w:cs="Arial"/>
        </w:rPr>
        <w:t xml:space="preserve">500 workplace injuries </w:t>
      </w:r>
      <w:r w:rsidR="004A3448">
        <w:rPr>
          <w:rFonts w:eastAsia="Times New Roman" w:cs="Arial"/>
        </w:rPr>
        <w:t xml:space="preserve"> </w:t>
      </w:r>
      <w:r w:rsidR="003C5E42">
        <w:rPr>
          <w:rFonts w:eastAsia="Times New Roman" w:cs="Arial"/>
        </w:rPr>
        <w:t xml:space="preserve">revealed </w:t>
      </w:r>
      <w:r w:rsidR="00F92709">
        <w:rPr>
          <w:rFonts w:eastAsia="Times New Roman" w:cs="Arial"/>
        </w:rPr>
        <w:t xml:space="preserve">a downward (improving) trend in total </w:t>
      </w:r>
      <w:r w:rsidR="00295731">
        <w:rPr>
          <w:rFonts w:eastAsia="Times New Roman" w:cs="Arial"/>
        </w:rPr>
        <w:t>LTI</w:t>
      </w:r>
      <w:r w:rsidR="003C5E42">
        <w:rPr>
          <w:rFonts w:eastAsia="Times New Roman" w:cs="Arial"/>
        </w:rPr>
        <w:t xml:space="preserve"> rates despite </w:t>
      </w:r>
      <w:r w:rsidR="00F92709">
        <w:rPr>
          <w:rFonts w:eastAsia="Times New Roman" w:cs="Arial"/>
        </w:rPr>
        <w:t>a rising</w:t>
      </w:r>
      <w:r w:rsidR="003C5E42">
        <w:rPr>
          <w:rFonts w:eastAsia="Times New Roman" w:cs="Arial"/>
        </w:rPr>
        <w:t xml:space="preserve"> incidence of perman</w:t>
      </w:r>
      <w:r>
        <w:rPr>
          <w:rFonts w:eastAsia="Times New Roman" w:cs="Arial"/>
        </w:rPr>
        <w:t>ently disabling injuries</w:t>
      </w:r>
      <w:r w:rsidR="003C5E42">
        <w:rPr>
          <w:rFonts w:eastAsia="Times New Roman" w:cs="Arial"/>
        </w:rPr>
        <w:t xml:space="preserve">. </w:t>
      </w:r>
      <w:r w:rsidR="004A3448">
        <w:rPr>
          <w:rFonts w:eastAsia="Times New Roman" w:cs="Arial"/>
        </w:rPr>
        <w:t xml:space="preserve">Contrasting traditional fatality and LTIFR rates against </w:t>
      </w:r>
      <w:r w:rsidR="00F92709">
        <w:rPr>
          <w:rFonts w:eastAsia="Times New Roman" w:cs="Arial"/>
        </w:rPr>
        <w:t xml:space="preserve">trends in </w:t>
      </w:r>
      <w:r w:rsidR="004A3448">
        <w:rPr>
          <w:rFonts w:eastAsia="Times New Roman" w:cs="Arial"/>
        </w:rPr>
        <w:t>permanent (fatal and non-fatal) and temporary impairment, t</w:t>
      </w:r>
      <w:r w:rsidR="003C5E42">
        <w:rPr>
          <w:rFonts w:eastAsia="Times New Roman" w:cs="Arial"/>
        </w:rPr>
        <w:t xml:space="preserve">he study’s key findings are </w:t>
      </w:r>
      <w:r w:rsidR="00123FAD">
        <w:rPr>
          <w:rFonts w:eastAsia="Times New Roman" w:cs="Arial"/>
        </w:rPr>
        <w:t>summarised in Figure 6</w:t>
      </w:r>
      <w:r w:rsidR="003C5E42">
        <w:rPr>
          <w:rFonts w:eastAsia="Times New Roman" w:cs="Arial"/>
        </w:rPr>
        <w:t>.</w:t>
      </w:r>
      <w:r w:rsidR="0065428A">
        <w:rPr>
          <w:rStyle w:val="FootnoteReference"/>
          <w:rFonts w:eastAsia="Times New Roman" w:cs="Arial"/>
        </w:rPr>
        <w:footnoteReference w:id="25"/>
      </w:r>
      <w:r w:rsidR="003C5E42">
        <w:rPr>
          <w:rFonts w:eastAsia="Times New Roman" w:cs="Arial"/>
        </w:rPr>
        <w:t xml:space="preserve"> </w:t>
      </w:r>
    </w:p>
    <w:p w:rsidR="003C5E42" w:rsidRDefault="003C5E42" w:rsidP="00712843">
      <w:pPr>
        <w:keepNext/>
        <w:tabs>
          <w:tab w:val="left" w:pos="0"/>
          <w:tab w:val="left" w:pos="709"/>
        </w:tabs>
        <w:spacing w:before="360" w:after="0" w:line="360" w:lineRule="auto"/>
        <w:ind w:right="-166"/>
        <w:rPr>
          <w:rFonts w:eastAsia="Times New Roman" w:cs="Arial"/>
        </w:rPr>
      </w:pPr>
      <w:r>
        <w:rPr>
          <w:rFonts w:eastAsia="Times New Roman" w:cs="Arial"/>
          <w:noProof/>
        </w:rPr>
        <w:drawing>
          <wp:inline distT="0" distB="0" distL="0" distR="0" wp14:anchorId="15122994" wp14:editId="74D1C916">
            <wp:extent cx="2665645" cy="2024743"/>
            <wp:effectExtent l="0" t="0" r="1905" b="0"/>
            <wp:docPr id="26" name="Picture 26" descr="This graph shows trends in lost time analysis between 1992 and 2001.  Lost time and fatalities have fallen in the time period. Lost time has fallen from 19 per 1,000 workers to 16  per 1,000 workers. While fatalities have fallen from 3.5  per 1,000 workers to under 2  per 1,000 workers." title="Figure 6: Comparing lost time versus severity trends in a set of WRII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62533" cy="2022379"/>
                    </a:xfrm>
                    <a:prstGeom prst="rect">
                      <a:avLst/>
                    </a:prstGeom>
                    <a:noFill/>
                  </pic:spPr>
                </pic:pic>
              </a:graphicData>
            </a:graphic>
          </wp:inline>
        </w:drawing>
      </w:r>
      <w:r w:rsidR="00712843">
        <w:rPr>
          <w:rFonts w:eastAsia="Times New Roman" w:cs="Arial"/>
        </w:rPr>
        <w:t xml:space="preserve">      </w:t>
      </w:r>
      <w:r>
        <w:rPr>
          <w:rFonts w:eastAsia="Times New Roman" w:cs="Arial"/>
          <w:noProof/>
        </w:rPr>
        <w:drawing>
          <wp:inline distT="0" distB="0" distL="0" distR="0" wp14:anchorId="2F1C4548" wp14:editId="6A9AB165">
            <wp:extent cx="2816094" cy="2024743"/>
            <wp:effectExtent l="0" t="0" r="3810" b="0"/>
            <wp:docPr id="27" name="Picture 27" descr="This graph shows the severity trends from 1992 to 2001. Temporary disabilities (Class 2) have fallen 16 per 1,000 workers to les than 12  per 1,000 workers  over the period. While permanant disabilities have increased from less than 2  per 1,000 workers to 8  per 1,000 workers over the period." title="Figure 6: Comparing lost time versus severity trends in a set of WRII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20490" cy="2027904"/>
                    </a:xfrm>
                    <a:prstGeom prst="rect">
                      <a:avLst/>
                    </a:prstGeom>
                    <a:noFill/>
                  </pic:spPr>
                </pic:pic>
              </a:graphicData>
            </a:graphic>
          </wp:inline>
        </w:drawing>
      </w:r>
    </w:p>
    <w:p w:rsidR="003C5E42" w:rsidRPr="00233C07" w:rsidRDefault="003C5E42" w:rsidP="00233C07">
      <w:pPr>
        <w:pStyle w:val="Caption"/>
        <w:jc w:val="center"/>
      </w:pPr>
      <w:r w:rsidRPr="00233C07">
        <w:t xml:space="preserve">Figure </w:t>
      </w:r>
      <w:r w:rsidR="00D515BB" w:rsidRPr="00233C07">
        <w:fldChar w:fldCharType="begin"/>
      </w:r>
      <w:r w:rsidR="00F93AA1" w:rsidRPr="00233C07">
        <w:instrText xml:space="preserve"> SEQ Figure \* ARABIC </w:instrText>
      </w:r>
      <w:r w:rsidR="00D515BB" w:rsidRPr="00233C07">
        <w:fldChar w:fldCharType="separate"/>
      </w:r>
      <w:r w:rsidR="00B47C1D" w:rsidRPr="00233C07">
        <w:t>6</w:t>
      </w:r>
      <w:r w:rsidR="00D515BB" w:rsidRPr="00233C07">
        <w:fldChar w:fldCharType="end"/>
      </w:r>
      <w:r w:rsidRPr="00233C07">
        <w:t xml:space="preserve">: Comparing lost time versus severity </w:t>
      </w:r>
      <w:r w:rsidR="002C3D27" w:rsidRPr="00233C07">
        <w:t xml:space="preserve">trends in a set of WRII </w:t>
      </w:r>
      <w:r w:rsidRPr="00233C07">
        <w:t>data</w:t>
      </w:r>
    </w:p>
    <w:p w:rsidR="003C5E42" w:rsidRPr="003C5E42" w:rsidRDefault="00330F4B" w:rsidP="00734A6C">
      <w:pPr>
        <w:pStyle w:val="Style3"/>
        <w:numPr>
          <w:ilvl w:val="0"/>
          <w:numId w:val="4"/>
        </w:numPr>
        <w:ind w:left="567" w:hanging="567"/>
        <w:rPr>
          <w:rFonts w:asciiTheme="minorHAnsi" w:hAnsiTheme="minorHAnsi"/>
          <w:sz w:val="24"/>
          <w:szCs w:val="24"/>
          <w:u w:val="single"/>
        </w:rPr>
      </w:pPr>
      <w:bookmarkStart w:id="7" w:name="_Toc361085297"/>
      <w:r>
        <w:rPr>
          <w:rFonts w:asciiTheme="minorHAnsi" w:hAnsiTheme="minorHAnsi"/>
          <w:sz w:val="24"/>
          <w:szCs w:val="24"/>
          <w:u w:val="single"/>
        </w:rPr>
        <w:t xml:space="preserve">Assumed </w:t>
      </w:r>
      <w:r w:rsidR="00A00B9E">
        <w:rPr>
          <w:rFonts w:asciiTheme="minorHAnsi" w:hAnsiTheme="minorHAnsi"/>
          <w:sz w:val="24"/>
          <w:szCs w:val="24"/>
          <w:u w:val="single"/>
        </w:rPr>
        <w:t>drivers of high consequence i</w:t>
      </w:r>
      <w:r w:rsidR="003C5E42" w:rsidRPr="003C5E42">
        <w:rPr>
          <w:rFonts w:asciiTheme="minorHAnsi" w:hAnsiTheme="minorHAnsi"/>
          <w:sz w:val="24"/>
          <w:szCs w:val="24"/>
          <w:u w:val="single"/>
        </w:rPr>
        <w:t>njury</w:t>
      </w:r>
      <w:bookmarkEnd w:id="7"/>
    </w:p>
    <w:p w:rsidR="00616761" w:rsidRPr="00616761" w:rsidRDefault="00616761" w:rsidP="00616761">
      <w:pPr>
        <w:spacing w:after="60"/>
        <w:jc w:val="both"/>
        <w:rPr>
          <w:rFonts w:eastAsia="Times New Roman" w:cs="Arial"/>
        </w:rPr>
      </w:pPr>
      <w:r w:rsidRPr="00616761">
        <w:rPr>
          <w:rFonts w:eastAsia="Times New Roman" w:cs="Arial"/>
        </w:rPr>
        <w:t>An erroneous generalisation that appears to be attribut</w:t>
      </w:r>
      <w:r w:rsidR="00F92709">
        <w:rPr>
          <w:rFonts w:eastAsia="Times New Roman" w:cs="Arial"/>
        </w:rPr>
        <w:t>ed</w:t>
      </w:r>
      <w:r w:rsidRPr="00616761">
        <w:rPr>
          <w:rFonts w:eastAsia="Times New Roman" w:cs="Arial"/>
        </w:rPr>
        <w:t xml:space="preserve"> to the safety triangle is that near miss and minor incidents (necessarily) share the same essential factors as high consequence incidents such as fatalities. This view perhaps also stems from observations that many injuries share similar essential and contributing factors. The following </w:t>
      </w:r>
      <w:r w:rsidR="00F92709">
        <w:rPr>
          <w:rFonts w:eastAsia="Times New Roman" w:cs="Arial"/>
        </w:rPr>
        <w:t>quotation</w:t>
      </w:r>
      <w:r w:rsidR="00F92709" w:rsidRPr="00616761">
        <w:rPr>
          <w:rFonts w:eastAsia="Times New Roman" w:cs="Arial"/>
        </w:rPr>
        <w:t xml:space="preserve"> </w:t>
      </w:r>
      <w:r w:rsidRPr="00616761">
        <w:rPr>
          <w:rFonts w:eastAsia="Times New Roman" w:cs="Arial"/>
        </w:rPr>
        <w:t>is indicative of this view:</w:t>
      </w:r>
    </w:p>
    <w:p w:rsidR="00171633" w:rsidRPr="00373CBD" w:rsidRDefault="00171633" w:rsidP="00F92709">
      <w:pPr>
        <w:spacing w:after="60" w:line="240" w:lineRule="auto"/>
        <w:ind w:left="284" w:right="543"/>
        <w:jc w:val="both"/>
        <w:rPr>
          <w:rFonts w:cs="Arial"/>
          <w:sz w:val="19"/>
          <w:szCs w:val="19"/>
          <w:lang w:val="en-US"/>
        </w:rPr>
      </w:pPr>
      <w:r w:rsidRPr="00373CBD">
        <w:rPr>
          <w:rFonts w:cs="Arial"/>
          <w:sz w:val="19"/>
          <w:szCs w:val="19"/>
          <w:lang w:val="en-US"/>
        </w:rPr>
        <w:t>The 1-10-30-600 relationships in [Bird’s]  ratio indicate clearly how foolish it is to direct our major effort only at the relatively few events resulting in serious or disabling injury when there are so many significant opportunities that provide a much larger basis for more effective control of total accident losses…</w:t>
      </w:r>
    </w:p>
    <w:p w:rsidR="00171633" w:rsidRPr="00373CBD" w:rsidRDefault="00171633" w:rsidP="00F92709">
      <w:pPr>
        <w:spacing w:line="240" w:lineRule="auto"/>
        <w:ind w:left="284" w:right="543"/>
        <w:jc w:val="both"/>
        <w:rPr>
          <w:rFonts w:cs="Arial"/>
          <w:sz w:val="19"/>
          <w:szCs w:val="19"/>
          <w:lang w:val="en-US"/>
        </w:rPr>
      </w:pPr>
      <w:r w:rsidRPr="00373CBD">
        <w:rPr>
          <w:rFonts w:cs="Arial"/>
          <w:sz w:val="19"/>
          <w:szCs w:val="19"/>
          <w:lang w:val="en-US"/>
        </w:rPr>
        <w:t>The study found that for every single fatality there are at least 300,000 at-risk behaviors, defined as activities that are not consistent with safety programs, training and components on machinery… With effective machine safeguarding and training, at-risk behaviors and near misses can be diminished. This also reduces the chance of the fatality occurring, since there is a lower frequency of at-risk behaviors.</w:t>
      </w:r>
      <w:r w:rsidR="0080400D" w:rsidRPr="00373CBD">
        <w:rPr>
          <w:rStyle w:val="FootnoteReference"/>
          <w:rFonts w:cs="Arial"/>
          <w:sz w:val="19"/>
          <w:szCs w:val="19"/>
          <w:lang w:val="en-US"/>
        </w:rPr>
        <w:footnoteReference w:id="26"/>
      </w:r>
    </w:p>
    <w:p w:rsidR="00171633" w:rsidRDefault="00616761" w:rsidP="00171633">
      <w:pPr>
        <w:spacing w:after="0"/>
        <w:jc w:val="both"/>
        <w:rPr>
          <w:rFonts w:eastAsia="Times New Roman" w:cs="Arial"/>
        </w:rPr>
      </w:pPr>
      <w:r>
        <w:rPr>
          <w:rFonts w:eastAsia="Times New Roman" w:cs="Arial"/>
        </w:rPr>
        <w:t>However, t</w:t>
      </w:r>
      <w:r w:rsidR="00171633" w:rsidRPr="008E514F">
        <w:rPr>
          <w:rFonts w:eastAsia="Times New Roman" w:cs="Arial"/>
        </w:rPr>
        <w:t xml:space="preserve">he problem is that </w:t>
      </w:r>
      <w:r w:rsidR="00920820">
        <w:rPr>
          <w:rFonts w:eastAsia="Times New Roman" w:cs="Arial"/>
        </w:rPr>
        <w:t>many at risk behaviours have no causal relationship to fatal and other high-consequence outcomes</w:t>
      </w:r>
      <w:r>
        <w:rPr>
          <w:rFonts w:eastAsia="Times New Roman" w:cs="Arial"/>
        </w:rPr>
        <w:t>. Correspondingly</w:t>
      </w:r>
      <w:r w:rsidR="00920820">
        <w:rPr>
          <w:rFonts w:eastAsia="Times New Roman" w:cs="Arial"/>
        </w:rPr>
        <w:t xml:space="preserve">, </w:t>
      </w:r>
      <w:r w:rsidR="00171633">
        <w:rPr>
          <w:rFonts w:eastAsia="Times New Roman" w:cs="Arial"/>
        </w:rPr>
        <w:t>analyses of near</w:t>
      </w:r>
      <w:r>
        <w:rPr>
          <w:rFonts w:eastAsia="Times New Roman" w:cs="Arial"/>
        </w:rPr>
        <w:t>-</w:t>
      </w:r>
      <w:r w:rsidR="00171633">
        <w:rPr>
          <w:rFonts w:eastAsia="Times New Roman" w:cs="Arial"/>
        </w:rPr>
        <w:t>miss</w:t>
      </w:r>
      <w:r>
        <w:rPr>
          <w:rFonts w:eastAsia="Times New Roman" w:cs="Arial"/>
        </w:rPr>
        <w:t>es</w:t>
      </w:r>
      <w:r w:rsidR="00171633">
        <w:rPr>
          <w:rFonts w:eastAsia="Times New Roman" w:cs="Arial"/>
        </w:rPr>
        <w:t xml:space="preserve"> and low consequence WRII events will not necessarily identify those hazards and factors </w:t>
      </w:r>
      <w:r w:rsidR="008D68D6">
        <w:rPr>
          <w:rFonts w:eastAsia="Times New Roman" w:cs="Arial"/>
        </w:rPr>
        <w:t>that contribute to</w:t>
      </w:r>
      <w:r w:rsidR="00171633">
        <w:rPr>
          <w:rFonts w:eastAsia="Times New Roman" w:cs="Arial"/>
        </w:rPr>
        <w:t xml:space="preserve"> high consequence WRII. This was demonstrated in the early 1980s in a study of 1</w:t>
      </w:r>
      <w:r w:rsidR="00242BAA">
        <w:rPr>
          <w:rFonts w:eastAsia="Times New Roman" w:cs="Arial"/>
        </w:rPr>
        <w:t xml:space="preserve"> </w:t>
      </w:r>
      <w:r w:rsidR="00171633">
        <w:rPr>
          <w:rFonts w:eastAsia="Times New Roman" w:cs="Arial"/>
        </w:rPr>
        <w:t>037 mining incidents.</w:t>
      </w:r>
      <w:r w:rsidR="0080400D">
        <w:rPr>
          <w:rStyle w:val="FootnoteReference"/>
          <w:rFonts w:eastAsia="Times New Roman" w:cs="Arial"/>
        </w:rPr>
        <w:footnoteReference w:id="27"/>
      </w:r>
      <w:r w:rsidR="00171633">
        <w:rPr>
          <w:rFonts w:eastAsia="Times New Roman" w:cs="Arial"/>
        </w:rPr>
        <w:t xml:space="preserve"> In total, 1</w:t>
      </w:r>
      <w:r w:rsidR="00242BAA">
        <w:rPr>
          <w:rFonts w:eastAsia="Times New Roman" w:cs="Arial"/>
        </w:rPr>
        <w:t xml:space="preserve"> </w:t>
      </w:r>
      <w:r w:rsidR="00171633">
        <w:rPr>
          <w:rFonts w:eastAsia="Times New Roman" w:cs="Arial"/>
        </w:rPr>
        <w:t>037 recordable injuries accounted for 9</w:t>
      </w:r>
      <w:r w:rsidR="00242BAA">
        <w:rPr>
          <w:rFonts w:eastAsia="Times New Roman" w:cs="Arial"/>
        </w:rPr>
        <w:t xml:space="preserve"> </w:t>
      </w:r>
      <w:r w:rsidR="00171633">
        <w:rPr>
          <w:rFonts w:eastAsia="Times New Roman" w:cs="Arial"/>
        </w:rPr>
        <w:t>919 days lost, although two cases accounted for 9</w:t>
      </w:r>
      <w:r w:rsidR="00242BAA">
        <w:rPr>
          <w:rFonts w:eastAsia="Times New Roman" w:cs="Arial"/>
        </w:rPr>
        <w:t xml:space="preserve"> </w:t>
      </w:r>
      <w:r w:rsidR="00171633">
        <w:rPr>
          <w:rFonts w:eastAsia="Times New Roman" w:cs="Arial"/>
        </w:rPr>
        <w:t>000 of the total 9</w:t>
      </w:r>
      <w:r w:rsidR="00242BAA">
        <w:rPr>
          <w:rFonts w:eastAsia="Times New Roman" w:cs="Arial"/>
        </w:rPr>
        <w:t xml:space="preserve"> </w:t>
      </w:r>
      <w:r w:rsidR="00171633">
        <w:rPr>
          <w:rFonts w:eastAsia="Times New Roman" w:cs="Arial"/>
        </w:rPr>
        <w:t xml:space="preserve">919 lost days. The research concluded had these two cases been removed from the analysis, the remaining incident reports would not have been of assistance in detecting the potential for fatality or </w:t>
      </w:r>
      <w:r w:rsidR="00171633">
        <w:rPr>
          <w:rFonts w:eastAsia="Times New Roman" w:cs="Arial"/>
        </w:rPr>
        <w:lastRenderedPageBreak/>
        <w:t xml:space="preserve">permanent damage. Instead, the analysis would have redirected attention to the drivers of high frequency </w:t>
      </w:r>
      <w:r w:rsidR="00920820">
        <w:rPr>
          <w:rFonts w:eastAsia="Times New Roman" w:cs="Arial"/>
        </w:rPr>
        <w:t xml:space="preserve">but </w:t>
      </w:r>
      <w:r w:rsidR="00171633">
        <w:rPr>
          <w:rFonts w:eastAsia="Times New Roman" w:cs="Arial"/>
        </w:rPr>
        <w:t>low consequence injuries.</w:t>
      </w:r>
      <w:r w:rsidR="0080400D">
        <w:rPr>
          <w:rStyle w:val="FootnoteReference"/>
          <w:rFonts w:eastAsia="Times New Roman" w:cs="Arial"/>
        </w:rPr>
        <w:footnoteReference w:id="28"/>
      </w:r>
    </w:p>
    <w:p w:rsidR="00A00B9E" w:rsidRPr="00356FAA" w:rsidRDefault="00A00B9E" w:rsidP="004E3E28">
      <w:pPr>
        <w:pStyle w:val="Style1"/>
        <w:numPr>
          <w:ilvl w:val="0"/>
          <w:numId w:val="3"/>
        </w:numPr>
        <w:spacing w:after="120"/>
        <w:ind w:left="567" w:hanging="567"/>
        <w:rPr>
          <w:rFonts w:asciiTheme="minorHAnsi" w:hAnsiTheme="minorHAnsi"/>
          <w:color w:val="365F91" w:themeColor="accent1" w:themeShade="BF"/>
          <w:sz w:val="26"/>
          <w:szCs w:val="26"/>
        </w:rPr>
      </w:pPr>
      <w:bookmarkStart w:id="8" w:name="_Toc361085298"/>
      <w:r>
        <w:rPr>
          <w:rFonts w:asciiTheme="minorHAnsi" w:hAnsiTheme="minorHAnsi"/>
          <w:color w:val="365F91" w:themeColor="accent1" w:themeShade="BF"/>
          <w:sz w:val="26"/>
          <w:szCs w:val="26"/>
        </w:rPr>
        <w:t>Validity</w:t>
      </w:r>
      <w:r w:rsidRPr="00356FAA">
        <w:rPr>
          <w:rFonts w:asciiTheme="minorHAnsi" w:hAnsiTheme="minorHAnsi"/>
          <w:color w:val="365F91" w:themeColor="accent1" w:themeShade="BF"/>
          <w:sz w:val="26"/>
          <w:szCs w:val="26"/>
        </w:rPr>
        <w:t xml:space="preserve"> of W</w:t>
      </w:r>
      <w:r>
        <w:rPr>
          <w:rFonts w:asciiTheme="minorHAnsi" w:hAnsiTheme="minorHAnsi"/>
          <w:color w:val="365F91" w:themeColor="accent1" w:themeShade="BF"/>
          <w:sz w:val="26"/>
          <w:szCs w:val="26"/>
        </w:rPr>
        <w:t>RII</w:t>
      </w:r>
      <w:r w:rsidRPr="00356FAA">
        <w:rPr>
          <w:rFonts w:asciiTheme="minorHAnsi" w:hAnsiTheme="minorHAnsi"/>
          <w:color w:val="365F91" w:themeColor="accent1" w:themeShade="BF"/>
          <w:sz w:val="26"/>
          <w:szCs w:val="26"/>
        </w:rPr>
        <w:t xml:space="preserve"> data</w:t>
      </w:r>
      <w:bookmarkEnd w:id="8"/>
    </w:p>
    <w:p w:rsidR="00FF256E" w:rsidRDefault="00FF256E" w:rsidP="00A00B9E">
      <w:pPr>
        <w:jc w:val="both"/>
        <w:rPr>
          <w:rFonts w:eastAsia="Times New Roman" w:cs="Arial"/>
        </w:rPr>
      </w:pPr>
      <w:r w:rsidRPr="00FF256E">
        <w:rPr>
          <w:rFonts w:eastAsia="Times New Roman" w:cs="Arial"/>
        </w:rPr>
        <w:t xml:space="preserve">The validity of </w:t>
      </w:r>
      <w:r w:rsidR="00AE4F43">
        <w:rPr>
          <w:rFonts w:eastAsia="Times New Roman" w:cs="Arial"/>
        </w:rPr>
        <w:t xml:space="preserve">a </w:t>
      </w:r>
      <w:r w:rsidRPr="00FF256E">
        <w:rPr>
          <w:rFonts w:eastAsia="Times New Roman" w:cs="Arial"/>
        </w:rPr>
        <w:t xml:space="preserve">performance measure is </w:t>
      </w:r>
      <w:r w:rsidR="00616761">
        <w:rPr>
          <w:rFonts w:eastAsia="Times New Roman" w:cs="Arial"/>
        </w:rPr>
        <w:t>related to</w:t>
      </w:r>
      <w:r w:rsidR="000D1925">
        <w:rPr>
          <w:rFonts w:eastAsia="Times New Roman" w:cs="Arial"/>
        </w:rPr>
        <w:t xml:space="preserve"> </w:t>
      </w:r>
      <w:r w:rsidR="00AE4F43">
        <w:rPr>
          <w:rFonts w:eastAsia="Times New Roman" w:cs="Arial"/>
        </w:rPr>
        <w:t xml:space="preserve">its ability to measure what </w:t>
      </w:r>
      <w:r w:rsidR="00616761">
        <w:rPr>
          <w:rFonts w:eastAsia="Times New Roman" w:cs="Arial"/>
        </w:rPr>
        <w:t>is</w:t>
      </w:r>
      <w:r w:rsidR="00AE4F43">
        <w:rPr>
          <w:rFonts w:eastAsia="Times New Roman" w:cs="Arial"/>
        </w:rPr>
        <w:t xml:space="preserve"> purport</w:t>
      </w:r>
      <w:r w:rsidR="00616761">
        <w:rPr>
          <w:rFonts w:eastAsia="Times New Roman" w:cs="Arial"/>
        </w:rPr>
        <w:t>ed</w:t>
      </w:r>
      <w:r w:rsidR="00AE4F43">
        <w:rPr>
          <w:rFonts w:eastAsia="Times New Roman" w:cs="Arial"/>
        </w:rPr>
        <w:t xml:space="preserve"> to</w:t>
      </w:r>
      <w:r w:rsidR="00616761">
        <w:rPr>
          <w:rFonts w:eastAsia="Times New Roman" w:cs="Arial"/>
        </w:rPr>
        <w:t xml:space="preserve"> be</w:t>
      </w:r>
      <w:r w:rsidR="00AE4F43">
        <w:rPr>
          <w:rFonts w:eastAsia="Times New Roman" w:cs="Arial"/>
        </w:rPr>
        <w:t xml:space="preserve"> measure</w:t>
      </w:r>
      <w:r w:rsidR="00616761">
        <w:rPr>
          <w:rFonts w:eastAsia="Times New Roman" w:cs="Arial"/>
        </w:rPr>
        <w:t>d</w:t>
      </w:r>
      <w:r w:rsidR="00AE4F43">
        <w:rPr>
          <w:rFonts w:eastAsia="Times New Roman" w:cs="Arial"/>
        </w:rPr>
        <w:t>. The assessment of validity considers a number of viewpoints as indicated in Table 1.</w:t>
      </w:r>
    </w:p>
    <w:tbl>
      <w:tblPr>
        <w:tblStyle w:val="TableGrid"/>
        <w:tblW w:w="9322" w:type="dxa"/>
        <w:tblLook w:val="04A0" w:firstRow="1" w:lastRow="0" w:firstColumn="1" w:lastColumn="0" w:noHBand="0" w:noVBand="1"/>
        <w:tblCaption w:val="Table 1: Validity assessment approaches"/>
        <w:tblDescription w:val="The validity of a performance measure is related to its ability to measure what is purported to be measured. The assessment of validity considers a number of viewpoints as indicated in Table 1."/>
      </w:tblPr>
      <w:tblGrid>
        <w:gridCol w:w="1809"/>
        <w:gridCol w:w="4111"/>
        <w:gridCol w:w="3402"/>
      </w:tblGrid>
      <w:tr w:rsidR="00AE4F43" w:rsidTr="00D418A4">
        <w:trPr>
          <w:trHeight w:val="405"/>
          <w:tblHeader/>
        </w:trPr>
        <w:tc>
          <w:tcPr>
            <w:tcW w:w="1809" w:type="dxa"/>
            <w:shd w:val="clear" w:color="auto" w:fill="8DB3E2" w:themeFill="text2" w:themeFillTint="66"/>
            <w:vAlign w:val="center"/>
          </w:tcPr>
          <w:p w:rsidR="00AE4F43" w:rsidRDefault="00AE4F43" w:rsidP="00914F30">
            <w:pPr>
              <w:jc w:val="center"/>
              <w:rPr>
                <w:rFonts w:eastAsia="Times New Roman" w:cs="Arial"/>
              </w:rPr>
            </w:pPr>
            <w:r>
              <w:rPr>
                <w:rFonts w:eastAsia="Times New Roman" w:cs="Arial"/>
              </w:rPr>
              <w:t>Approach</w:t>
            </w:r>
          </w:p>
        </w:tc>
        <w:tc>
          <w:tcPr>
            <w:tcW w:w="4111" w:type="dxa"/>
            <w:shd w:val="clear" w:color="auto" w:fill="8DB3E2" w:themeFill="text2" w:themeFillTint="66"/>
            <w:vAlign w:val="center"/>
          </w:tcPr>
          <w:p w:rsidR="00AE4F43" w:rsidRDefault="00AE4F43" w:rsidP="00914F30">
            <w:pPr>
              <w:jc w:val="center"/>
              <w:rPr>
                <w:rFonts w:eastAsia="Times New Roman" w:cs="Arial"/>
              </w:rPr>
            </w:pPr>
            <w:r>
              <w:rPr>
                <w:rFonts w:eastAsia="Times New Roman" w:cs="Arial"/>
              </w:rPr>
              <w:t>Description</w:t>
            </w:r>
          </w:p>
        </w:tc>
        <w:tc>
          <w:tcPr>
            <w:tcW w:w="3402" w:type="dxa"/>
            <w:shd w:val="clear" w:color="auto" w:fill="8DB3E2" w:themeFill="text2" w:themeFillTint="66"/>
            <w:vAlign w:val="center"/>
          </w:tcPr>
          <w:p w:rsidR="00AE4F43" w:rsidRDefault="00616761" w:rsidP="00616761">
            <w:pPr>
              <w:jc w:val="center"/>
              <w:rPr>
                <w:rFonts w:eastAsia="Times New Roman" w:cs="Arial"/>
              </w:rPr>
            </w:pPr>
            <w:r>
              <w:rPr>
                <w:rFonts w:eastAsia="Times New Roman" w:cs="Arial"/>
              </w:rPr>
              <w:t>Assessment p</w:t>
            </w:r>
            <w:r w:rsidR="00AE4F43">
              <w:rPr>
                <w:rFonts w:eastAsia="Times New Roman" w:cs="Arial"/>
              </w:rPr>
              <w:t>rocedure</w:t>
            </w:r>
          </w:p>
        </w:tc>
      </w:tr>
      <w:tr w:rsidR="00AE4F43" w:rsidRPr="00914F30" w:rsidTr="004E3E28">
        <w:tc>
          <w:tcPr>
            <w:tcW w:w="1809" w:type="dxa"/>
            <w:shd w:val="clear" w:color="auto" w:fill="C6D9F1" w:themeFill="text2" w:themeFillTint="33"/>
          </w:tcPr>
          <w:p w:rsidR="00AE4F43" w:rsidRPr="00914F30" w:rsidRDefault="00AE4F43" w:rsidP="00734A6C">
            <w:pPr>
              <w:pStyle w:val="ListParagraph"/>
              <w:numPr>
                <w:ilvl w:val="0"/>
                <w:numId w:val="19"/>
              </w:numPr>
              <w:ind w:left="284" w:hanging="218"/>
              <w:jc w:val="both"/>
              <w:rPr>
                <w:rFonts w:eastAsia="Times New Roman" w:cs="Arial"/>
                <w:sz w:val="18"/>
                <w:szCs w:val="18"/>
              </w:rPr>
            </w:pPr>
            <w:r w:rsidRPr="00914F30">
              <w:rPr>
                <w:rFonts w:eastAsia="Times New Roman" w:cs="Arial"/>
                <w:sz w:val="18"/>
                <w:szCs w:val="18"/>
              </w:rPr>
              <w:t>Content validity</w:t>
            </w:r>
          </w:p>
        </w:tc>
        <w:tc>
          <w:tcPr>
            <w:tcW w:w="4111" w:type="dxa"/>
          </w:tcPr>
          <w:p w:rsidR="00AE4F43" w:rsidRPr="00914F30" w:rsidRDefault="00AE4F43" w:rsidP="00F75ACD">
            <w:pPr>
              <w:jc w:val="both"/>
              <w:rPr>
                <w:rFonts w:eastAsia="Times New Roman" w:cs="Arial"/>
                <w:sz w:val="18"/>
                <w:szCs w:val="18"/>
              </w:rPr>
            </w:pPr>
            <w:r w:rsidRPr="00914F30">
              <w:rPr>
                <w:rFonts w:eastAsia="Times New Roman" w:cs="Arial"/>
                <w:sz w:val="18"/>
                <w:szCs w:val="18"/>
              </w:rPr>
              <w:t>The extent to which a measure appears to measure the characteristic it is supposed to measure</w:t>
            </w:r>
          </w:p>
        </w:tc>
        <w:tc>
          <w:tcPr>
            <w:tcW w:w="3402" w:type="dxa"/>
          </w:tcPr>
          <w:p w:rsidR="00AE4F43" w:rsidRPr="00914F30" w:rsidRDefault="00914F30" w:rsidP="00F75ACD">
            <w:pPr>
              <w:jc w:val="both"/>
              <w:rPr>
                <w:rFonts w:eastAsia="Times New Roman" w:cs="Arial"/>
                <w:sz w:val="18"/>
                <w:szCs w:val="18"/>
              </w:rPr>
            </w:pPr>
            <w:r w:rsidRPr="00914F30">
              <w:rPr>
                <w:rFonts w:eastAsia="Times New Roman" w:cs="Arial"/>
                <w:sz w:val="18"/>
                <w:szCs w:val="18"/>
              </w:rPr>
              <w:t>Assessment of the appropriateness of a measure for the task at hand</w:t>
            </w:r>
          </w:p>
        </w:tc>
      </w:tr>
      <w:tr w:rsidR="00AE4F43" w:rsidRPr="00914F30" w:rsidTr="004E3E28">
        <w:tc>
          <w:tcPr>
            <w:tcW w:w="1809" w:type="dxa"/>
            <w:shd w:val="clear" w:color="auto" w:fill="C6D9F1" w:themeFill="text2" w:themeFillTint="33"/>
          </w:tcPr>
          <w:p w:rsidR="00AE4F43" w:rsidRPr="00914F30" w:rsidRDefault="00914F30" w:rsidP="00734A6C">
            <w:pPr>
              <w:pStyle w:val="ListParagraph"/>
              <w:numPr>
                <w:ilvl w:val="0"/>
                <w:numId w:val="19"/>
              </w:numPr>
              <w:ind w:left="284" w:hanging="218"/>
              <w:jc w:val="both"/>
              <w:rPr>
                <w:rFonts w:eastAsia="Times New Roman" w:cs="Arial"/>
                <w:sz w:val="18"/>
                <w:szCs w:val="18"/>
              </w:rPr>
            </w:pPr>
            <w:r>
              <w:rPr>
                <w:rFonts w:eastAsia="Times New Roman" w:cs="Arial"/>
                <w:sz w:val="18"/>
                <w:szCs w:val="18"/>
              </w:rPr>
              <w:t>Criterion validity</w:t>
            </w:r>
          </w:p>
        </w:tc>
        <w:tc>
          <w:tcPr>
            <w:tcW w:w="4111" w:type="dxa"/>
          </w:tcPr>
          <w:p w:rsidR="00AE4F43" w:rsidRPr="00914F30" w:rsidRDefault="00914F30" w:rsidP="00E650D3">
            <w:pPr>
              <w:jc w:val="both"/>
              <w:rPr>
                <w:rFonts w:eastAsia="Times New Roman" w:cs="Arial"/>
                <w:sz w:val="18"/>
                <w:szCs w:val="18"/>
              </w:rPr>
            </w:pPr>
            <w:r>
              <w:rPr>
                <w:rFonts w:eastAsia="Times New Roman" w:cs="Arial"/>
                <w:sz w:val="18"/>
                <w:szCs w:val="18"/>
              </w:rPr>
              <w:t xml:space="preserve">The extent to which a measure </w:t>
            </w:r>
            <w:r w:rsidR="00E650D3">
              <w:rPr>
                <w:rFonts w:eastAsia="Times New Roman" w:cs="Arial"/>
                <w:sz w:val="18"/>
                <w:szCs w:val="18"/>
              </w:rPr>
              <w:t>is correlated with some other predictor or criterion (external measure)</w:t>
            </w:r>
          </w:p>
        </w:tc>
        <w:tc>
          <w:tcPr>
            <w:tcW w:w="3402" w:type="dxa"/>
          </w:tcPr>
          <w:p w:rsidR="00AE4F43" w:rsidRPr="00914F30" w:rsidRDefault="00914F30" w:rsidP="00F75ACD">
            <w:pPr>
              <w:jc w:val="both"/>
              <w:rPr>
                <w:rFonts w:eastAsia="Times New Roman" w:cs="Arial"/>
                <w:sz w:val="18"/>
                <w:szCs w:val="18"/>
              </w:rPr>
            </w:pPr>
            <w:r>
              <w:rPr>
                <w:rFonts w:eastAsia="Times New Roman" w:cs="Arial"/>
                <w:sz w:val="18"/>
                <w:szCs w:val="18"/>
              </w:rPr>
              <w:t>Examination of the relationship between the measure and criterion</w:t>
            </w:r>
          </w:p>
        </w:tc>
      </w:tr>
      <w:tr w:rsidR="00914F30" w:rsidRPr="00914F30" w:rsidTr="004E3E28">
        <w:tc>
          <w:tcPr>
            <w:tcW w:w="1809" w:type="dxa"/>
            <w:shd w:val="clear" w:color="auto" w:fill="C6D9F1" w:themeFill="text2" w:themeFillTint="33"/>
          </w:tcPr>
          <w:p w:rsidR="00914F30" w:rsidRPr="00914F30" w:rsidRDefault="00914F30" w:rsidP="00734A6C">
            <w:pPr>
              <w:pStyle w:val="ListParagraph"/>
              <w:numPr>
                <w:ilvl w:val="0"/>
                <w:numId w:val="19"/>
              </w:numPr>
              <w:ind w:left="284" w:hanging="218"/>
              <w:jc w:val="both"/>
              <w:rPr>
                <w:rFonts w:eastAsia="Times New Roman" w:cs="Arial"/>
                <w:sz w:val="18"/>
                <w:szCs w:val="18"/>
              </w:rPr>
            </w:pPr>
            <w:r>
              <w:rPr>
                <w:rFonts w:eastAsia="Times New Roman" w:cs="Arial"/>
                <w:sz w:val="18"/>
                <w:szCs w:val="18"/>
              </w:rPr>
              <w:t>Construct validity</w:t>
            </w:r>
          </w:p>
        </w:tc>
        <w:tc>
          <w:tcPr>
            <w:tcW w:w="4111" w:type="dxa"/>
          </w:tcPr>
          <w:p w:rsidR="00914F30" w:rsidRPr="00914F30" w:rsidRDefault="00914F30" w:rsidP="00F75ACD">
            <w:pPr>
              <w:jc w:val="both"/>
              <w:rPr>
                <w:rFonts w:eastAsia="Times New Roman" w:cs="Arial"/>
                <w:sz w:val="18"/>
                <w:szCs w:val="18"/>
              </w:rPr>
            </w:pPr>
            <w:r>
              <w:rPr>
                <w:rFonts w:eastAsia="Times New Roman" w:cs="Arial"/>
                <w:sz w:val="18"/>
                <w:szCs w:val="18"/>
              </w:rPr>
              <w:t>The extent to which a measure behaves in a theoretically sound manner</w:t>
            </w:r>
          </w:p>
        </w:tc>
        <w:tc>
          <w:tcPr>
            <w:tcW w:w="3402" w:type="dxa"/>
          </w:tcPr>
          <w:p w:rsidR="00914F30" w:rsidRPr="00914F30" w:rsidRDefault="00914F30" w:rsidP="00F75ACD">
            <w:pPr>
              <w:keepNext/>
              <w:jc w:val="both"/>
              <w:rPr>
                <w:rFonts w:eastAsia="Times New Roman" w:cs="Arial"/>
                <w:sz w:val="18"/>
                <w:szCs w:val="18"/>
              </w:rPr>
            </w:pPr>
            <w:r>
              <w:rPr>
                <w:rFonts w:eastAsia="Times New Roman" w:cs="Arial"/>
                <w:sz w:val="18"/>
                <w:szCs w:val="18"/>
              </w:rPr>
              <w:t>Investigation of the relationships between the measure concerned and measures of other concepts or characteristics within a theoretical framework</w:t>
            </w:r>
          </w:p>
        </w:tc>
      </w:tr>
    </w:tbl>
    <w:p w:rsidR="00AE4F43" w:rsidRPr="00233C07" w:rsidRDefault="00914F30" w:rsidP="00233C07">
      <w:pPr>
        <w:pStyle w:val="Caption"/>
        <w:jc w:val="center"/>
      </w:pPr>
      <w:r w:rsidRPr="00233C07">
        <w:t xml:space="preserve">Table </w:t>
      </w:r>
      <w:r w:rsidR="00D515BB" w:rsidRPr="00233C07">
        <w:fldChar w:fldCharType="begin"/>
      </w:r>
      <w:r w:rsidR="00F93AA1" w:rsidRPr="00233C07">
        <w:instrText xml:space="preserve"> SEQ Table \* ARABIC </w:instrText>
      </w:r>
      <w:r w:rsidR="00D515BB" w:rsidRPr="00233C07">
        <w:fldChar w:fldCharType="separate"/>
      </w:r>
      <w:r w:rsidR="00E6242C" w:rsidRPr="00233C07">
        <w:t>1</w:t>
      </w:r>
      <w:r w:rsidR="00D515BB" w:rsidRPr="00233C07">
        <w:fldChar w:fldCharType="end"/>
      </w:r>
      <w:r w:rsidRPr="00233C07">
        <w:t>: Validity assessment approaches</w:t>
      </w:r>
    </w:p>
    <w:p w:rsidR="00914F30" w:rsidRPr="00914F30" w:rsidRDefault="00914F30" w:rsidP="004E3E28">
      <w:pPr>
        <w:spacing w:after="120"/>
        <w:jc w:val="center"/>
        <w:rPr>
          <w:sz w:val="18"/>
          <w:szCs w:val="18"/>
        </w:rPr>
      </w:pPr>
      <w:r w:rsidRPr="00914F30">
        <w:rPr>
          <w:sz w:val="18"/>
          <w:szCs w:val="18"/>
        </w:rPr>
        <w:t>(Source: adapted from Diamantopoulos and Schlegelmilch (2000))</w:t>
      </w:r>
    </w:p>
    <w:p w:rsidR="00637B01" w:rsidRPr="00637B01" w:rsidRDefault="00616761" w:rsidP="004E3E28">
      <w:pPr>
        <w:jc w:val="both"/>
        <w:rPr>
          <w:rFonts w:eastAsia="Times New Roman" w:cs="Arial"/>
        </w:rPr>
      </w:pPr>
      <w:r>
        <w:rPr>
          <w:rFonts w:eastAsia="Times New Roman" w:cs="Arial"/>
        </w:rPr>
        <w:t>Considerations of v</w:t>
      </w:r>
      <w:r w:rsidRPr="00637B01">
        <w:rPr>
          <w:rFonts w:eastAsia="Times New Roman" w:cs="Arial"/>
        </w:rPr>
        <w:t xml:space="preserve">alidity </w:t>
      </w:r>
      <w:r>
        <w:rPr>
          <w:rFonts w:eastAsia="Times New Roman" w:cs="Arial"/>
        </w:rPr>
        <w:t xml:space="preserve">are </w:t>
      </w:r>
      <w:r w:rsidRPr="00637B01">
        <w:rPr>
          <w:rFonts w:eastAsia="Times New Roman" w:cs="Arial"/>
        </w:rPr>
        <w:t xml:space="preserve">critical </w:t>
      </w:r>
      <w:r>
        <w:rPr>
          <w:rFonts w:eastAsia="Times New Roman" w:cs="Arial"/>
        </w:rPr>
        <w:t>to</w:t>
      </w:r>
      <w:r w:rsidR="0080400D">
        <w:rPr>
          <w:rFonts w:eastAsia="Times New Roman" w:cs="Arial"/>
        </w:rPr>
        <w:t xml:space="preserve"> </w:t>
      </w:r>
      <w:r>
        <w:rPr>
          <w:rFonts w:eastAsia="Times New Roman" w:cs="Arial"/>
        </w:rPr>
        <w:t xml:space="preserve">WRII </w:t>
      </w:r>
      <w:r w:rsidRPr="00637B01">
        <w:rPr>
          <w:rFonts w:eastAsia="Times New Roman" w:cs="Arial"/>
        </w:rPr>
        <w:t>measur</w:t>
      </w:r>
      <w:r>
        <w:rPr>
          <w:rFonts w:eastAsia="Times New Roman" w:cs="Arial"/>
        </w:rPr>
        <w:t xml:space="preserve">ement, as injuries and illnesses have a diverse </w:t>
      </w:r>
      <w:r w:rsidRPr="009A6A20">
        <w:rPr>
          <w:rFonts w:eastAsia="Times New Roman" w:cs="Arial"/>
        </w:rPr>
        <w:t>range of attributes and outcomes</w:t>
      </w:r>
      <w:r w:rsidR="00CB6D91" w:rsidRPr="009A6A20">
        <w:rPr>
          <w:rFonts w:eastAsia="Times New Roman" w:cs="Arial"/>
        </w:rPr>
        <w:t xml:space="preserve">. Efforts to classify and aggregate information about WRIIs must therefore </w:t>
      </w:r>
      <w:r w:rsidRPr="009A6A20">
        <w:rPr>
          <w:rFonts w:eastAsia="Times New Roman" w:cs="Arial"/>
        </w:rPr>
        <w:t xml:space="preserve">ensure the resulting </w:t>
      </w:r>
      <w:r w:rsidR="00CB6D91" w:rsidRPr="009A6A20">
        <w:rPr>
          <w:rFonts w:eastAsia="Times New Roman" w:cs="Arial"/>
        </w:rPr>
        <w:t>performance measures and indicators</w:t>
      </w:r>
      <w:r w:rsidR="00CB6D91" w:rsidRPr="009A6A20">
        <w:rPr>
          <w:rStyle w:val="FootnoteReference"/>
          <w:rFonts w:eastAsia="Times New Roman" w:cs="Arial"/>
        </w:rPr>
        <w:footnoteReference w:id="29"/>
      </w:r>
      <w:r w:rsidR="00CB6D91" w:rsidRPr="009A6A20">
        <w:rPr>
          <w:rFonts w:eastAsia="Times New Roman" w:cs="Arial"/>
        </w:rPr>
        <w:t xml:space="preserve"> measure what they purport to measure. </w:t>
      </w:r>
      <w:r w:rsidRPr="009A6A20">
        <w:rPr>
          <w:rFonts w:eastAsia="Times New Roman" w:cs="Arial"/>
        </w:rPr>
        <w:t xml:space="preserve">Unless </w:t>
      </w:r>
      <w:r w:rsidR="009A6A20" w:rsidRPr="009A6A20">
        <w:rPr>
          <w:rFonts w:eastAsia="Times New Roman" w:cs="Arial"/>
        </w:rPr>
        <w:t>valid interpretations of WRII data are made by users</w:t>
      </w:r>
      <w:r w:rsidR="00CB6D91" w:rsidRPr="009A6A20">
        <w:rPr>
          <w:rFonts w:eastAsia="Times New Roman" w:cs="Arial"/>
        </w:rPr>
        <w:t xml:space="preserve">, </w:t>
      </w:r>
      <w:r w:rsidR="009A6A20" w:rsidRPr="009A6A20">
        <w:rPr>
          <w:rFonts w:eastAsia="Times New Roman" w:cs="Arial"/>
        </w:rPr>
        <w:t xml:space="preserve">the </w:t>
      </w:r>
      <w:r w:rsidR="00CB6D91" w:rsidRPr="009A6A20">
        <w:rPr>
          <w:rFonts w:eastAsia="Times New Roman" w:cs="Arial"/>
        </w:rPr>
        <w:t xml:space="preserve">subsequent decisions </w:t>
      </w:r>
      <w:r w:rsidR="009A6A20" w:rsidRPr="009A6A20">
        <w:rPr>
          <w:rFonts w:eastAsia="Times New Roman" w:cs="Arial"/>
        </w:rPr>
        <w:t>based upon that data are likely to</w:t>
      </w:r>
      <w:r w:rsidR="00CB6D91" w:rsidRPr="009A6A20">
        <w:rPr>
          <w:rFonts w:eastAsia="Times New Roman" w:cs="Arial"/>
        </w:rPr>
        <w:t xml:space="preserve"> be flawed.</w:t>
      </w:r>
    </w:p>
    <w:p w:rsidR="00CB6D91" w:rsidRDefault="00A00B9E" w:rsidP="00A00B9E">
      <w:pPr>
        <w:spacing w:after="120"/>
        <w:jc w:val="both"/>
        <w:rPr>
          <w:rFonts w:eastAsia="Times New Roman" w:cs="Arial"/>
        </w:rPr>
      </w:pPr>
      <w:r>
        <w:rPr>
          <w:rFonts w:eastAsia="Times New Roman" w:cs="Arial"/>
        </w:rPr>
        <w:t xml:space="preserve">Of the various performance data employed across </w:t>
      </w:r>
      <w:r w:rsidR="009A6A20">
        <w:rPr>
          <w:rFonts w:eastAsia="Times New Roman" w:cs="Arial"/>
        </w:rPr>
        <w:t xml:space="preserve">the </w:t>
      </w:r>
      <w:r>
        <w:rPr>
          <w:rFonts w:eastAsia="Times New Roman" w:cs="Arial"/>
        </w:rPr>
        <w:t>business, Government and not-for profit sectors, it is increasingly clear that</w:t>
      </w:r>
      <w:r w:rsidR="008D68D6">
        <w:rPr>
          <w:rFonts w:eastAsia="Times New Roman" w:cs="Arial"/>
        </w:rPr>
        <w:t xml:space="preserve"> the use of </w:t>
      </w:r>
      <w:r>
        <w:rPr>
          <w:rFonts w:eastAsia="Times New Roman" w:cs="Arial"/>
        </w:rPr>
        <w:t>LTI rates</w:t>
      </w:r>
      <w:r w:rsidR="009A6A20">
        <w:rPr>
          <w:rFonts w:eastAsia="Times New Roman" w:cs="Arial"/>
        </w:rPr>
        <w:t xml:space="preserve"> is</w:t>
      </w:r>
      <w:r w:rsidR="00CB6D91">
        <w:rPr>
          <w:rFonts w:eastAsia="Times New Roman" w:cs="Arial"/>
        </w:rPr>
        <w:t xml:space="preserve"> particular</w:t>
      </w:r>
      <w:r>
        <w:rPr>
          <w:rFonts w:eastAsia="Times New Roman" w:cs="Arial"/>
        </w:rPr>
        <w:t>ly problematic and deserve</w:t>
      </w:r>
      <w:r w:rsidR="008D68D6">
        <w:rPr>
          <w:rFonts w:eastAsia="Times New Roman" w:cs="Arial"/>
        </w:rPr>
        <w:t>s</w:t>
      </w:r>
      <w:r>
        <w:rPr>
          <w:rFonts w:eastAsia="Times New Roman" w:cs="Arial"/>
        </w:rPr>
        <w:t xml:space="preserve"> special attention. </w:t>
      </w:r>
      <w:r w:rsidR="00F92709">
        <w:rPr>
          <w:rFonts w:eastAsia="Times New Roman" w:cs="Arial"/>
        </w:rPr>
        <w:t>The current focus on</w:t>
      </w:r>
      <w:r>
        <w:rPr>
          <w:rFonts w:eastAsia="Times New Roman" w:cs="Arial"/>
        </w:rPr>
        <w:t xml:space="preserve"> LTI data </w:t>
      </w:r>
      <w:r w:rsidR="00F92709">
        <w:rPr>
          <w:rFonts w:eastAsia="Times New Roman" w:cs="Arial"/>
        </w:rPr>
        <w:t>has been a response to the</w:t>
      </w:r>
      <w:r w:rsidR="008D68D6">
        <w:rPr>
          <w:rFonts w:eastAsia="Times New Roman" w:cs="Arial"/>
        </w:rPr>
        <w:t xml:space="preserve"> </w:t>
      </w:r>
      <w:r w:rsidR="00F92709">
        <w:rPr>
          <w:rFonts w:eastAsia="Times New Roman" w:cs="Arial"/>
        </w:rPr>
        <w:t xml:space="preserve">institutional shift in practice from inherently technical to more systematic approaches to managing </w:t>
      </w:r>
      <w:r w:rsidR="00C058ED">
        <w:rPr>
          <w:rFonts w:eastAsia="Times New Roman" w:cs="Arial"/>
        </w:rPr>
        <w:t>work health and safety</w:t>
      </w:r>
      <w:r w:rsidR="00F92709">
        <w:rPr>
          <w:rFonts w:eastAsia="Times New Roman" w:cs="Arial"/>
        </w:rPr>
        <w:t xml:space="preserve"> and the subsequent </w:t>
      </w:r>
      <w:r w:rsidR="008D68D6">
        <w:rPr>
          <w:rFonts w:eastAsia="Times New Roman" w:cs="Arial"/>
        </w:rPr>
        <w:t xml:space="preserve">need for performance indicators </w:t>
      </w:r>
      <w:r w:rsidR="00F92709">
        <w:rPr>
          <w:rFonts w:eastAsia="Times New Roman" w:cs="Arial"/>
        </w:rPr>
        <w:t>to</w:t>
      </w:r>
      <w:r w:rsidR="008D68D6">
        <w:rPr>
          <w:rFonts w:eastAsia="Times New Roman" w:cs="Arial"/>
        </w:rPr>
        <w:t xml:space="preserve"> inform continuous improvement efforts</w:t>
      </w:r>
      <w:r w:rsidR="00883825">
        <w:rPr>
          <w:rFonts w:eastAsia="Times New Roman" w:cs="Arial"/>
        </w:rPr>
        <w:t>.</w:t>
      </w:r>
      <w:r>
        <w:rPr>
          <w:rStyle w:val="FootnoteReference"/>
          <w:rFonts w:eastAsia="Times New Roman" w:cs="Arial"/>
        </w:rPr>
        <w:footnoteReference w:id="30"/>
      </w:r>
      <w:r w:rsidR="00CB6D91">
        <w:rPr>
          <w:rFonts w:eastAsia="Times New Roman" w:cs="Arial"/>
        </w:rPr>
        <w:t xml:space="preserve"> </w:t>
      </w:r>
      <w:r>
        <w:rPr>
          <w:rFonts w:eastAsia="Times New Roman" w:cs="Arial"/>
        </w:rPr>
        <w:t xml:space="preserve">Of the many available measures, </w:t>
      </w:r>
      <w:r w:rsidR="00A671D2">
        <w:rPr>
          <w:rFonts w:eastAsia="Times New Roman" w:cs="Arial"/>
        </w:rPr>
        <w:t xml:space="preserve">research indicates </w:t>
      </w:r>
      <w:r>
        <w:rPr>
          <w:rFonts w:eastAsia="Times New Roman" w:cs="Arial"/>
        </w:rPr>
        <w:t xml:space="preserve">LTI and LTI frequency rates (LTIFRs) have been most </w:t>
      </w:r>
      <w:r w:rsidR="009A6A20">
        <w:rPr>
          <w:rFonts w:eastAsia="Times New Roman" w:cs="Arial"/>
        </w:rPr>
        <w:t>widely</w:t>
      </w:r>
      <w:r>
        <w:rPr>
          <w:rFonts w:eastAsia="Times New Roman" w:cs="Arial"/>
        </w:rPr>
        <w:t xml:space="preserve"> adopted by industry as key performance indicators </w:t>
      </w:r>
      <w:r w:rsidR="009A6A20">
        <w:rPr>
          <w:rFonts w:eastAsia="Times New Roman" w:cs="Arial"/>
        </w:rPr>
        <w:t>(KPIs) to</w:t>
      </w:r>
      <w:r>
        <w:rPr>
          <w:rFonts w:eastAsia="Times New Roman" w:cs="Arial"/>
        </w:rPr>
        <w:t xml:space="preserve"> guid</w:t>
      </w:r>
      <w:r w:rsidR="009A6A20">
        <w:rPr>
          <w:rFonts w:eastAsia="Times New Roman" w:cs="Arial"/>
        </w:rPr>
        <w:t>e</w:t>
      </w:r>
      <w:r w:rsidR="00883825">
        <w:rPr>
          <w:rFonts w:eastAsia="Times New Roman" w:cs="Arial"/>
        </w:rPr>
        <w:t xml:space="preserve"> </w:t>
      </w:r>
      <w:r w:rsidR="00C058ED">
        <w:rPr>
          <w:rFonts w:eastAsia="Times New Roman" w:cs="Arial"/>
        </w:rPr>
        <w:t>work health and safety</w:t>
      </w:r>
      <w:r w:rsidR="008D68D6">
        <w:rPr>
          <w:rFonts w:eastAsia="Times New Roman" w:cs="Arial"/>
        </w:rPr>
        <w:t xml:space="preserve"> </w:t>
      </w:r>
      <w:r>
        <w:rPr>
          <w:rFonts w:eastAsia="Times New Roman" w:cs="Arial"/>
        </w:rPr>
        <w:t>strategy and communicat</w:t>
      </w:r>
      <w:r w:rsidR="009A6A20">
        <w:rPr>
          <w:rFonts w:eastAsia="Times New Roman" w:cs="Arial"/>
        </w:rPr>
        <w:t>e</w:t>
      </w:r>
      <w:r>
        <w:rPr>
          <w:rFonts w:eastAsia="Times New Roman" w:cs="Arial"/>
        </w:rPr>
        <w:t xml:space="preserve"> performance in corporate reports to managers, boards and external stakeholders. </w:t>
      </w:r>
    </w:p>
    <w:p w:rsidR="00A00B9E" w:rsidRDefault="009A6A20" w:rsidP="004E3E28">
      <w:pPr>
        <w:spacing w:after="120"/>
        <w:jc w:val="both"/>
        <w:rPr>
          <w:rFonts w:eastAsia="Times New Roman" w:cs="Arial"/>
        </w:rPr>
      </w:pPr>
      <w:r>
        <w:rPr>
          <w:rFonts w:eastAsia="Times New Roman" w:cs="Arial"/>
        </w:rPr>
        <w:t>T</w:t>
      </w:r>
      <w:r w:rsidR="00A00B9E">
        <w:rPr>
          <w:rFonts w:eastAsia="Times New Roman" w:cs="Arial"/>
        </w:rPr>
        <w:t xml:space="preserve">he appeal of LTI </w:t>
      </w:r>
      <w:r>
        <w:rPr>
          <w:rFonts w:eastAsia="Times New Roman" w:cs="Arial"/>
        </w:rPr>
        <w:t>data</w:t>
      </w:r>
      <w:r w:rsidR="00A00B9E">
        <w:rPr>
          <w:rFonts w:eastAsia="Times New Roman" w:cs="Arial"/>
        </w:rPr>
        <w:t xml:space="preserve"> to managers is understandable given </w:t>
      </w:r>
      <w:r w:rsidR="00A00B9E" w:rsidRPr="00864872">
        <w:rPr>
          <w:rFonts w:eastAsia="Times New Roman" w:cs="Arial"/>
          <w:b/>
        </w:rPr>
        <w:t>LTIFR is essentially a</w:t>
      </w:r>
      <w:r w:rsidR="00A00B9E">
        <w:rPr>
          <w:rFonts w:eastAsia="Times New Roman" w:cs="Arial"/>
          <w:b/>
        </w:rPr>
        <w:t>n organisational</w:t>
      </w:r>
      <w:r w:rsidR="00A00B9E" w:rsidRPr="00864872">
        <w:rPr>
          <w:rFonts w:eastAsia="Times New Roman" w:cs="Arial"/>
          <w:b/>
        </w:rPr>
        <w:t xml:space="preserve"> productivity </w:t>
      </w:r>
      <w:r w:rsidR="00A00B9E">
        <w:rPr>
          <w:rFonts w:eastAsia="Times New Roman" w:cs="Arial"/>
          <w:b/>
        </w:rPr>
        <w:t>indicator</w:t>
      </w:r>
      <w:r w:rsidR="00A00B9E">
        <w:rPr>
          <w:rFonts w:eastAsia="Times New Roman" w:cs="Arial"/>
        </w:rPr>
        <w:t xml:space="preserve">. </w:t>
      </w:r>
      <w:r>
        <w:rPr>
          <w:rFonts w:eastAsia="Times New Roman" w:cs="Arial"/>
        </w:rPr>
        <w:t>I</w:t>
      </w:r>
      <w:r w:rsidR="00A00B9E">
        <w:rPr>
          <w:rFonts w:eastAsia="Times New Roman" w:cs="Arial"/>
        </w:rPr>
        <w:t>t reflects the number of incidents</w:t>
      </w:r>
      <w:r>
        <w:rPr>
          <w:rFonts w:eastAsia="Times New Roman" w:cs="Arial"/>
        </w:rPr>
        <w:t xml:space="preserve"> or events</w:t>
      </w:r>
      <w:r w:rsidR="00A00B9E">
        <w:rPr>
          <w:rFonts w:eastAsia="Times New Roman" w:cs="Arial"/>
        </w:rPr>
        <w:t xml:space="preserve"> that resulted in lost productivity (workdays) due to </w:t>
      </w:r>
      <w:r w:rsidR="00C058ED">
        <w:rPr>
          <w:rFonts w:eastAsia="Times New Roman" w:cs="Arial"/>
        </w:rPr>
        <w:t>work health and safety</w:t>
      </w:r>
      <w:r w:rsidR="00A00B9E">
        <w:rPr>
          <w:rFonts w:eastAsia="Times New Roman" w:cs="Arial"/>
        </w:rPr>
        <w:t xml:space="preserve"> </w:t>
      </w:r>
      <w:r w:rsidR="00A671D2">
        <w:rPr>
          <w:rFonts w:eastAsia="Times New Roman" w:cs="Arial"/>
        </w:rPr>
        <w:t xml:space="preserve">system </w:t>
      </w:r>
      <w:r w:rsidR="00A00B9E">
        <w:rPr>
          <w:rFonts w:eastAsia="Times New Roman" w:cs="Arial"/>
        </w:rPr>
        <w:t>failure. An LTI is defined in the Australian Standard on Workplace Injury Recording (AS1885) as follows,</w:t>
      </w:r>
    </w:p>
    <w:p w:rsidR="00A00B9E" w:rsidRPr="00A70A17" w:rsidRDefault="00A00B9E" w:rsidP="000D1925">
      <w:pPr>
        <w:autoSpaceDE w:val="0"/>
        <w:autoSpaceDN w:val="0"/>
        <w:adjustRightInd w:val="0"/>
        <w:spacing w:after="120"/>
        <w:ind w:left="567" w:right="1110"/>
        <w:jc w:val="both"/>
        <w:rPr>
          <w:rFonts w:eastAsia="Times New Roman" w:cs="Arial"/>
        </w:rPr>
      </w:pPr>
      <w:r w:rsidRPr="00A70A17">
        <w:rPr>
          <w:rFonts w:eastAsiaTheme="minorHAnsi" w:cs="Times New Roman"/>
          <w:i/>
          <w:iCs/>
          <w:lang w:eastAsia="en-US"/>
        </w:rPr>
        <w:t>Lost-time injuries/diseases</w:t>
      </w:r>
      <w:r w:rsidRPr="00A70A17">
        <w:rPr>
          <w:rFonts w:eastAsiaTheme="minorHAnsi" w:cs="Times New Roman"/>
          <w:lang w:eastAsia="en-US"/>
        </w:rPr>
        <w:t>—those occurrences that resulted in a fatality, permanent disability or time lost from work of one day/shift or more.</w:t>
      </w:r>
      <w:r w:rsidRPr="00A70A17">
        <w:rPr>
          <w:rStyle w:val="FootnoteReference"/>
          <w:rFonts w:eastAsiaTheme="minorHAnsi" w:cs="Times New Roman"/>
          <w:lang w:eastAsia="en-US"/>
        </w:rPr>
        <w:footnoteReference w:id="31"/>
      </w:r>
    </w:p>
    <w:p w:rsidR="00A00B9E" w:rsidRDefault="00A00B9E" w:rsidP="00A00B9E">
      <w:pPr>
        <w:jc w:val="both"/>
        <w:rPr>
          <w:rFonts w:eastAsia="Times New Roman" w:cs="Arial"/>
        </w:rPr>
      </w:pPr>
      <w:r>
        <w:rPr>
          <w:rFonts w:eastAsia="Times New Roman" w:cs="Arial"/>
        </w:rPr>
        <w:t xml:space="preserve">However, since LTI and LTIFR </w:t>
      </w:r>
      <w:r w:rsidR="00A671D2">
        <w:rPr>
          <w:rFonts w:eastAsia="Times New Roman" w:cs="Arial"/>
        </w:rPr>
        <w:t>data are likely to</w:t>
      </w:r>
      <w:r>
        <w:rPr>
          <w:rFonts w:eastAsia="Times New Roman" w:cs="Arial"/>
        </w:rPr>
        <w:t xml:space="preserve"> include injuries that vary substantially in severity, </w:t>
      </w:r>
      <w:r w:rsidR="00F75ACD">
        <w:rPr>
          <w:rFonts w:eastAsia="Times New Roman" w:cs="Arial"/>
        </w:rPr>
        <w:t xml:space="preserve">measures of </w:t>
      </w:r>
      <w:r>
        <w:rPr>
          <w:rFonts w:eastAsia="Times New Roman" w:cs="Arial"/>
        </w:rPr>
        <w:t xml:space="preserve">lost workdays (LWD) and lost workday frequency rates (LWFR) </w:t>
      </w:r>
      <w:r w:rsidR="009A6A20">
        <w:rPr>
          <w:rFonts w:eastAsia="Times New Roman" w:cs="Arial"/>
        </w:rPr>
        <w:t>arguably</w:t>
      </w:r>
      <w:r>
        <w:rPr>
          <w:rFonts w:eastAsia="Times New Roman" w:cs="Arial"/>
        </w:rPr>
        <w:t xml:space="preserve"> provide more </w:t>
      </w:r>
      <w:r w:rsidR="00A671D2">
        <w:rPr>
          <w:rFonts w:eastAsia="Times New Roman" w:cs="Arial"/>
        </w:rPr>
        <w:t>valid</w:t>
      </w:r>
      <w:r>
        <w:rPr>
          <w:rFonts w:eastAsia="Times New Roman" w:cs="Arial"/>
        </w:rPr>
        <w:t xml:space="preserve"> indicators of</w:t>
      </w:r>
      <w:r w:rsidR="00F92709">
        <w:rPr>
          <w:rFonts w:eastAsia="Times New Roman" w:cs="Arial"/>
        </w:rPr>
        <w:t xml:space="preserve"> lost</w:t>
      </w:r>
      <w:r>
        <w:rPr>
          <w:rFonts w:eastAsia="Times New Roman" w:cs="Arial"/>
        </w:rPr>
        <w:t xml:space="preserve"> productivity</w:t>
      </w:r>
      <w:r w:rsidR="00F75ACD">
        <w:rPr>
          <w:rFonts w:eastAsia="Times New Roman" w:cs="Arial"/>
        </w:rPr>
        <w:t xml:space="preserve"> than LTIs</w:t>
      </w:r>
      <w:r>
        <w:rPr>
          <w:rFonts w:eastAsia="Times New Roman" w:cs="Arial"/>
        </w:rPr>
        <w:t xml:space="preserve">. </w:t>
      </w:r>
      <w:r w:rsidR="00F75ACD">
        <w:rPr>
          <w:rFonts w:eastAsia="Times New Roman" w:cs="Arial"/>
        </w:rPr>
        <w:t xml:space="preserve">This is because lost </w:t>
      </w:r>
      <w:r w:rsidR="00F75ACD" w:rsidRPr="009D1A17">
        <w:rPr>
          <w:rFonts w:eastAsia="Times New Roman" w:cs="Arial"/>
          <w:i/>
        </w:rPr>
        <w:t>workda</w:t>
      </w:r>
      <w:r w:rsidR="00A671D2">
        <w:rPr>
          <w:rFonts w:eastAsia="Times New Roman" w:cs="Arial"/>
          <w:i/>
        </w:rPr>
        <w:t>ys</w:t>
      </w:r>
      <w:r w:rsidR="00F75ACD">
        <w:rPr>
          <w:rFonts w:eastAsia="Times New Roman" w:cs="Arial"/>
        </w:rPr>
        <w:t xml:space="preserve"> target the actual number of productive days lost r</w:t>
      </w:r>
      <w:r>
        <w:rPr>
          <w:rFonts w:eastAsia="Times New Roman" w:cs="Arial"/>
        </w:rPr>
        <w:t xml:space="preserve">ather than </w:t>
      </w:r>
      <w:r w:rsidR="00A671D2">
        <w:rPr>
          <w:rFonts w:eastAsia="Times New Roman" w:cs="Arial"/>
        </w:rPr>
        <w:t xml:space="preserve">simply </w:t>
      </w:r>
      <w:r>
        <w:rPr>
          <w:rFonts w:eastAsia="Times New Roman" w:cs="Arial"/>
        </w:rPr>
        <w:t>counting the number of</w:t>
      </w:r>
      <w:r w:rsidR="00F75ACD">
        <w:rPr>
          <w:rFonts w:eastAsia="Times New Roman" w:cs="Arial"/>
        </w:rPr>
        <w:t xml:space="preserve"> WRII</w:t>
      </w:r>
      <w:r w:rsidR="00A671D2">
        <w:rPr>
          <w:rFonts w:eastAsia="Times New Roman" w:cs="Arial"/>
        </w:rPr>
        <w:t>s</w:t>
      </w:r>
      <w:r w:rsidR="00F75ACD">
        <w:rPr>
          <w:rFonts w:eastAsia="Times New Roman" w:cs="Arial"/>
        </w:rPr>
        <w:t xml:space="preserve"> that resulted in </w:t>
      </w:r>
      <w:r w:rsidR="00A671D2">
        <w:rPr>
          <w:rFonts w:eastAsia="Times New Roman" w:cs="Arial"/>
        </w:rPr>
        <w:t xml:space="preserve">an </w:t>
      </w:r>
      <w:r w:rsidR="00F75ACD">
        <w:rPr>
          <w:rFonts w:eastAsia="Times New Roman" w:cs="Arial"/>
        </w:rPr>
        <w:t>absence</w:t>
      </w:r>
      <w:r>
        <w:rPr>
          <w:rFonts w:eastAsia="Times New Roman" w:cs="Arial"/>
        </w:rPr>
        <w:t xml:space="preserve">. </w:t>
      </w:r>
    </w:p>
    <w:p w:rsidR="00A00B9E" w:rsidRDefault="00726B84" w:rsidP="00A00B9E">
      <w:pPr>
        <w:jc w:val="both"/>
        <w:rPr>
          <w:rFonts w:eastAsia="Times New Roman" w:cs="Arial"/>
        </w:rPr>
      </w:pPr>
      <w:r>
        <w:rPr>
          <w:rFonts w:eastAsia="Times New Roman" w:cs="Arial"/>
        </w:rPr>
        <w:lastRenderedPageBreak/>
        <w:t xml:space="preserve">Further, </w:t>
      </w:r>
      <w:r w:rsidR="009A6A20">
        <w:rPr>
          <w:rFonts w:eastAsia="Times New Roman" w:cs="Arial"/>
        </w:rPr>
        <w:t xml:space="preserve">as discussed in </w:t>
      </w:r>
      <w:r w:rsidR="00F75ACD">
        <w:rPr>
          <w:rFonts w:eastAsia="Times New Roman" w:cs="Arial"/>
        </w:rPr>
        <w:t>Section 3.1</w:t>
      </w:r>
      <w:r w:rsidR="0080400D">
        <w:rPr>
          <w:rFonts w:eastAsia="Times New Roman" w:cs="Arial"/>
        </w:rPr>
        <w:t>,</w:t>
      </w:r>
      <w:r w:rsidR="00F75ACD">
        <w:rPr>
          <w:rFonts w:eastAsia="Times New Roman" w:cs="Arial"/>
        </w:rPr>
        <w:t xml:space="preserve"> LTI measures </w:t>
      </w:r>
      <w:r w:rsidR="009A6A20">
        <w:rPr>
          <w:rFonts w:eastAsia="Times New Roman" w:cs="Arial"/>
        </w:rPr>
        <w:t>do not</w:t>
      </w:r>
      <w:r w:rsidR="00F75ACD">
        <w:rPr>
          <w:rFonts w:eastAsia="Times New Roman" w:cs="Arial"/>
        </w:rPr>
        <w:t xml:space="preserve"> provide valid and reliable measures of injury severity </w:t>
      </w:r>
      <w:r w:rsidR="00F75ACD" w:rsidRPr="00373CBD">
        <w:rPr>
          <w:rFonts w:eastAsia="Times New Roman" w:cs="Arial"/>
        </w:rPr>
        <w:t xml:space="preserve">because they </w:t>
      </w:r>
      <w:r w:rsidR="006A2D8C" w:rsidRPr="00373CBD">
        <w:rPr>
          <w:rFonts w:eastAsia="Times New Roman" w:cs="Arial"/>
        </w:rPr>
        <w:t>include</w:t>
      </w:r>
      <w:r w:rsidR="00F75ACD" w:rsidRPr="00373CBD">
        <w:rPr>
          <w:rFonts w:eastAsia="Times New Roman" w:cs="Arial"/>
        </w:rPr>
        <w:t xml:space="preserve"> a disproportionately </w:t>
      </w:r>
      <w:r w:rsidR="00153023" w:rsidRPr="00373CBD">
        <w:rPr>
          <w:rFonts w:eastAsia="Times New Roman" w:cs="Arial"/>
        </w:rPr>
        <w:t xml:space="preserve">large number </w:t>
      </w:r>
      <w:r w:rsidR="00F75ACD" w:rsidRPr="00373CBD">
        <w:rPr>
          <w:rFonts w:eastAsia="Times New Roman" w:cs="Arial"/>
        </w:rPr>
        <w:t>of low</w:t>
      </w:r>
      <w:r w:rsidR="001C7E5D" w:rsidRPr="00373CBD">
        <w:rPr>
          <w:rFonts w:eastAsia="Times New Roman" w:cs="Arial"/>
        </w:rPr>
        <w:t>-</w:t>
      </w:r>
      <w:r w:rsidR="00F75ACD" w:rsidRPr="00373CBD">
        <w:rPr>
          <w:rFonts w:eastAsia="Times New Roman" w:cs="Arial"/>
        </w:rPr>
        <w:t>consequence WRII</w:t>
      </w:r>
      <w:r w:rsidR="00F92709">
        <w:rPr>
          <w:rFonts w:eastAsia="Times New Roman" w:cs="Arial"/>
        </w:rPr>
        <w:t xml:space="preserve"> and exclude certain types of legitimate WRII</w:t>
      </w:r>
      <w:r w:rsidR="00F75ACD" w:rsidRPr="00373CBD">
        <w:rPr>
          <w:rFonts w:eastAsia="Times New Roman" w:cs="Arial"/>
        </w:rPr>
        <w:t>.</w:t>
      </w:r>
      <w:r w:rsidR="00A00B9E">
        <w:rPr>
          <w:rFonts w:eastAsia="Times New Roman" w:cs="Arial"/>
        </w:rPr>
        <w:t xml:space="preserve"> </w:t>
      </w:r>
      <w:r w:rsidR="009A6A20">
        <w:rPr>
          <w:rFonts w:eastAsia="Times New Roman" w:cs="Arial"/>
        </w:rPr>
        <w:t>The validity and relevance of WRII measures are therefore i</w:t>
      </w:r>
      <w:r>
        <w:rPr>
          <w:rFonts w:eastAsia="Times New Roman" w:cs="Arial"/>
        </w:rPr>
        <w:t>mportant considerations</w:t>
      </w:r>
      <w:r w:rsidR="009A6A20">
        <w:rPr>
          <w:rFonts w:eastAsia="Times New Roman" w:cs="Arial"/>
        </w:rPr>
        <w:t xml:space="preserve"> in light of anecdotal evidence claiming </w:t>
      </w:r>
      <w:r w:rsidR="00A00B9E">
        <w:rPr>
          <w:rFonts w:eastAsia="Times New Roman" w:cs="Arial"/>
        </w:rPr>
        <w:t xml:space="preserve">Australian organisations </w:t>
      </w:r>
      <w:r w:rsidR="009A6A20">
        <w:rPr>
          <w:rFonts w:eastAsia="Times New Roman" w:cs="Arial"/>
        </w:rPr>
        <w:t xml:space="preserve">increasingly rely </w:t>
      </w:r>
      <w:r w:rsidR="00A00B9E">
        <w:rPr>
          <w:rFonts w:eastAsia="Times New Roman" w:cs="Arial"/>
        </w:rPr>
        <w:t xml:space="preserve">on LTI data to inform an ever-broadening range of organisational </w:t>
      </w:r>
      <w:r w:rsidR="00C058ED">
        <w:rPr>
          <w:rFonts w:eastAsia="Times New Roman" w:cs="Arial"/>
        </w:rPr>
        <w:t>work health and safety</w:t>
      </w:r>
      <w:r w:rsidR="00A00B9E">
        <w:rPr>
          <w:rFonts w:eastAsia="Times New Roman" w:cs="Arial"/>
        </w:rPr>
        <w:t xml:space="preserve"> decisions</w:t>
      </w:r>
      <w:r w:rsidR="00883825">
        <w:rPr>
          <w:rFonts w:eastAsia="Times New Roman" w:cs="Arial"/>
        </w:rPr>
        <w:t>.</w:t>
      </w:r>
      <w:r w:rsidR="00A00B9E">
        <w:rPr>
          <w:rStyle w:val="FootnoteReference"/>
          <w:rFonts w:eastAsia="Times New Roman" w:cs="Arial"/>
        </w:rPr>
        <w:footnoteReference w:id="32"/>
      </w:r>
      <w:r w:rsidR="00A00B9E">
        <w:rPr>
          <w:rFonts w:eastAsia="Times New Roman" w:cs="Arial"/>
        </w:rPr>
        <w:t xml:space="preserve"> </w:t>
      </w:r>
    </w:p>
    <w:p w:rsidR="00A00B9E" w:rsidRPr="003F2CA0" w:rsidRDefault="00A00B9E" w:rsidP="00734A6C">
      <w:pPr>
        <w:pStyle w:val="Style3"/>
        <w:numPr>
          <w:ilvl w:val="0"/>
          <w:numId w:val="17"/>
        </w:numPr>
        <w:ind w:left="426" w:hanging="426"/>
        <w:rPr>
          <w:rFonts w:asciiTheme="minorHAnsi" w:hAnsiTheme="minorHAnsi"/>
          <w:sz w:val="24"/>
          <w:szCs w:val="24"/>
          <w:u w:val="single"/>
        </w:rPr>
      </w:pPr>
      <w:bookmarkStart w:id="9" w:name="_Toc361085299"/>
      <w:r w:rsidRPr="003F2CA0">
        <w:rPr>
          <w:rFonts w:asciiTheme="minorHAnsi" w:hAnsiTheme="minorHAnsi"/>
          <w:sz w:val="24"/>
          <w:szCs w:val="24"/>
          <w:u w:val="single"/>
        </w:rPr>
        <w:t>LTI</w:t>
      </w:r>
      <w:r w:rsidR="00FF256E">
        <w:rPr>
          <w:rFonts w:asciiTheme="minorHAnsi" w:hAnsiTheme="minorHAnsi"/>
          <w:sz w:val="24"/>
          <w:szCs w:val="24"/>
          <w:u w:val="single"/>
        </w:rPr>
        <w:t>(FR)</w:t>
      </w:r>
      <w:r w:rsidRPr="003F2CA0">
        <w:rPr>
          <w:rFonts w:asciiTheme="minorHAnsi" w:hAnsiTheme="minorHAnsi"/>
          <w:sz w:val="24"/>
          <w:szCs w:val="24"/>
          <w:u w:val="single"/>
        </w:rPr>
        <w:t xml:space="preserve"> is not a measure of injury</w:t>
      </w:r>
      <w:bookmarkEnd w:id="9"/>
    </w:p>
    <w:p w:rsidR="00A00B9E" w:rsidRDefault="00A00B9E" w:rsidP="00A00B9E">
      <w:pPr>
        <w:jc w:val="both"/>
        <w:rPr>
          <w:rFonts w:eastAsia="Times New Roman" w:cs="Arial"/>
        </w:rPr>
      </w:pPr>
      <w:r>
        <w:rPr>
          <w:rFonts w:eastAsia="Times New Roman" w:cs="Arial"/>
        </w:rPr>
        <w:t>LTI</w:t>
      </w:r>
      <w:r w:rsidR="00726B84">
        <w:rPr>
          <w:rFonts w:eastAsia="Times New Roman" w:cs="Arial"/>
        </w:rPr>
        <w:t xml:space="preserve"> measures</w:t>
      </w:r>
      <w:r w:rsidR="00883825">
        <w:rPr>
          <w:rFonts w:eastAsia="Times New Roman" w:cs="Arial"/>
        </w:rPr>
        <w:t xml:space="preserve"> </w:t>
      </w:r>
      <w:r w:rsidR="001C7E5D">
        <w:rPr>
          <w:rFonts w:eastAsia="Times New Roman" w:cs="Arial"/>
        </w:rPr>
        <w:t xml:space="preserve">do not </w:t>
      </w:r>
      <w:r w:rsidR="00726B84">
        <w:rPr>
          <w:rFonts w:eastAsia="Times New Roman" w:cs="Arial"/>
        </w:rPr>
        <w:t>capture</w:t>
      </w:r>
      <w:r w:rsidR="001C7E5D">
        <w:rPr>
          <w:rFonts w:eastAsia="Times New Roman" w:cs="Arial"/>
        </w:rPr>
        <w:t xml:space="preserve"> all WRII outcomes, but rather </w:t>
      </w:r>
      <w:r w:rsidR="009A6A20">
        <w:rPr>
          <w:rFonts w:eastAsia="Times New Roman" w:cs="Arial"/>
        </w:rPr>
        <w:t xml:space="preserve">only </w:t>
      </w:r>
      <w:r>
        <w:rPr>
          <w:rFonts w:eastAsia="Times New Roman" w:cs="Arial"/>
        </w:rPr>
        <w:t xml:space="preserve">a subset of WRII. </w:t>
      </w:r>
      <w:r w:rsidR="001C7E5D">
        <w:rPr>
          <w:rFonts w:eastAsia="Times New Roman" w:cs="Arial"/>
        </w:rPr>
        <w:t>LTI data</w:t>
      </w:r>
      <w:r w:rsidR="00883825">
        <w:rPr>
          <w:rFonts w:eastAsia="Times New Roman" w:cs="Arial"/>
        </w:rPr>
        <w:t xml:space="preserve"> </w:t>
      </w:r>
      <w:r w:rsidR="001C7E5D">
        <w:rPr>
          <w:rFonts w:eastAsia="Times New Roman" w:cs="Arial"/>
        </w:rPr>
        <w:t xml:space="preserve">will </w:t>
      </w:r>
      <w:r w:rsidR="001C7E5D" w:rsidRPr="00322754">
        <w:rPr>
          <w:rFonts w:eastAsia="Times New Roman" w:cs="Arial"/>
        </w:rPr>
        <w:t xml:space="preserve">exclude </w:t>
      </w:r>
      <w:r w:rsidR="001C7E5D">
        <w:rPr>
          <w:rFonts w:eastAsia="Times New Roman" w:cs="Arial"/>
        </w:rPr>
        <w:t>any injur</w:t>
      </w:r>
      <w:r w:rsidR="00726B84">
        <w:rPr>
          <w:rFonts w:eastAsia="Times New Roman" w:cs="Arial"/>
        </w:rPr>
        <w:t>ies that do</w:t>
      </w:r>
      <w:r w:rsidR="001C7E5D">
        <w:rPr>
          <w:rFonts w:eastAsia="Times New Roman" w:cs="Arial"/>
        </w:rPr>
        <w:t xml:space="preserve"> not</w:t>
      </w:r>
      <w:r w:rsidR="001C7E5D" w:rsidRPr="00322754">
        <w:rPr>
          <w:rFonts w:eastAsia="Times New Roman" w:cs="Arial"/>
        </w:rPr>
        <w:t xml:space="preserve"> impair an individual’s ability to perform their normal dutie</w:t>
      </w:r>
      <w:r w:rsidR="001C7E5D">
        <w:rPr>
          <w:rFonts w:eastAsia="Times New Roman" w:cs="Arial"/>
        </w:rPr>
        <w:t xml:space="preserve">s for a full shift. These may include, for example </w:t>
      </w:r>
      <w:r w:rsidR="001C7E5D" w:rsidRPr="00322754">
        <w:rPr>
          <w:rFonts w:eastAsia="Times New Roman" w:cs="Arial"/>
        </w:rPr>
        <w:t xml:space="preserve">low consequence WRIIs </w:t>
      </w:r>
      <w:r w:rsidR="001C7E5D">
        <w:rPr>
          <w:rFonts w:eastAsia="Times New Roman" w:cs="Arial"/>
        </w:rPr>
        <w:t xml:space="preserve">such as injuries that require </w:t>
      </w:r>
      <w:r w:rsidR="00F92709">
        <w:rPr>
          <w:rFonts w:eastAsia="Times New Roman" w:cs="Arial"/>
        </w:rPr>
        <w:t xml:space="preserve">relatively </w:t>
      </w:r>
      <w:r w:rsidR="001C7E5D">
        <w:rPr>
          <w:rFonts w:eastAsia="Times New Roman" w:cs="Arial"/>
        </w:rPr>
        <w:t xml:space="preserve">superficial </w:t>
      </w:r>
      <w:r w:rsidR="00F92709">
        <w:rPr>
          <w:rFonts w:eastAsia="Times New Roman" w:cs="Arial"/>
        </w:rPr>
        <w:t xml:space="preserve">medical </w:t>
      </w:r>
      <w:r w:rsidR="001C7E5D">
        <w:rPr>
          <w:rFonts w:eastAsia="Times New Roman" w:cs="Arial"/>
        </w:rPr>
        <w:t>treatment</w:t>
      </w:r>
      <w:r w:rsidR="001C7E5D" w:rsidRPr="00322754">
        <w:rPr>
          <w:rFonts w:eastAsia="Times New Roman" w:cs="Arial"/>
        </w:rPr>
        <w:t xml:space="preserve">. </w:t>
      </w:r>
      <w:r w:rsidR="001C7E5D">
        <w:rPr>
          <w:rFonts w:eastAsia="Times New Roman" w:cs="Arial"/>
        </w:rPr>
        <w:t xml:space="preserve">Importantly, </w:t>
      </w:r>
      <w:r w:rsidR="00726B84">
        <w:rPr>
          <w:rFonts w:eastAsia="Times New Roman" w:cs="Arial"/>
        </w:rPr>
        <w:t xml:space="preserve">the essential requirement for one full shift absence from work means </w:t>
      </w:r>
      <w:r w:rsidR="001C7E5D">
        <w:rPr>
          <w:rFonts w:eastAsia="Times New Roman" w:cs="Arial"/>
        </w:rPr>
        <w:t>LTIs may also exclude</w:t>
      </w:r>
      <w:r w:rsidR="00883825">
        <w:rPr>
          <w:rFonts w:eastAsia="Times New Roman" w:cs="Arial"/>
        </w:rPr>
        <w:t xml:space="preserve"> </w:t>
      </w:r>
      <w:r w:rsidR="00726B84">
        <w:rPr>
          <w:rFonts w:eastAsia="Times New Roman" w:cs="Arial"/>
        </w:rPr>
        <w:t xml:space="preserve">some </w:t>
      </w:r>
      <w:r>
        <w:rPr>
          <w:rFonts w:eastAsia="Times New Roman" w:cs="Arial"/>
        </w:rPr>
        <w:t>costly cases of permanent damage or long term impairment such as hearing loss, damage</w:t>
      </w:r>
      <w:r w:rsidR="009A6A20">
        <w:rPr>
          <w:rFonts w:eastAsia="Times New Roman" w:cs="Arial"/>
        </w:rPr>
        <w:t xml:space="preserve"> to</w:t>
      </w:r>
      <w:r>
        <w:rPr>
          <w:rFonts w:eastAsia="Times New Roman" w:cs="Arial"/>
        </w:rPr>
        <w:t xml:space="preserve"> ligaments and some musculoskeletal disorders. </w:t>
      </w:r>
      <w:r w:rsidRPr="00322754">
        <w:rPr>
          <w:rFonts w:eastAsia="Times New Roman" w:cs="Arial"/>
        </w:rPr>
        <w:t>This contradicts models, such as Bird’s safety triangle, which imply</w:t>
      </w:r>
      <w:r w:rsidR="001C7E5D">
        <w:rPr>
          <w:rFonts w:eastAsia="Times New Roman" w:cs="Arial"/>
        </w:rPr>
        <w:t xml:space="preserve"> that</w:t>
      </w:r>
      <w:r w:rsidRPr="00322754">
        <w:rPr>
          <w:rFonts w:eastAsia="Times New Roman" w:cs="Arial"/>
        </w:rPr>
        <w:t xml:space="preserve"> LTI measures</w:t>
      </w:r>
      <w:r w:rsidR="00883825">
        <w:rPr>
          <w:rFonts w:eastAsia="Times New Roman" w:cs="Arial"/>
        </w:rPr>
        <w:t xml:space="preserve"> </w:t>
      </w:r>
      <w:r w:rsidRPr="00322754">
        <w:rPr>
          <w:rFonts w:eastAsia="Times New Roman" w:cs="Arial"/>
        </w:rPr>
        <w:t xml:space="preserve">capture </w:t>
      </w:r>
      <w:r>
        <w:rPr>
          <w:rFonts w:eastAsia="Times New Roman" w:cs="Arial"/>
        </w:rPr>
        <w:t>a</w:t>
      </w:r>
      <w:r w:rsidR="009A6A20">
        <w:rPr>
          <w:rFonts w:eastAsia="Times New Roman" w:cs="Arial"/>
        </w:rPr>
        <w:t>n organisation’s</w:t>
      </w:r>
      <w:r w:rsidR="00883825">
        <w:rPr>
          <w:rFonts w:eastAsia="Times New Roman" w:cs="Arial"/>
        </w:rPr>
        <w:t xml:space="preserve"> </w:t>
      </w:r>
      <w:r w:rsidRPr="00322754">
        <w:rPr>
          <w:rFonts w:eastAsia="Times New Roman" w:cs="Arial"/>
        </w:rPr>
        <w:t xml:space="preserve">most ‘serious’, or damaging, </w:t>
      </w:r>
      <w:r>
        <w:rPr>
          <w:rFonts w:eastAsia="Times New Roman" w:cs="Arial"/>
        </w:rPr>
        <w:t>WRII</w:t>
      </w:r>
      <w:r w:rsidRPr="00322754">
        <w:rPr>
          <w:rFonts w:eastAsia="Times New Roman" w:cs="Arial"/>
        </w:rPr>
        <w:t xml:space="preserve"> outcomes</w:t>
      </w:r>
      <w:r w:rsidR="009A6A20">
        <w:rPr>
          <w:rFonts w:eastAsia="Times New Roman" w:cs="Arial"/>
        </w:rPr>
        <w:t xml:space="preserve"> by default</w:t>
      </w:r>
      <w:r>
        <w:rPr>
          <w:rFonts w:eastAsia="Times New Roman" w:cs="Arial"/>
        </w:rPr>
        <w:t>.</w:t>
      </w:r>
      <w:r w:rsidR="00883825">
        <w:rPr>
          <w:rFonts w:eastAsia="Times New Roman" w:cs="Arial"/>
        </w:rPr>
        <w:t xml:space="preserve"> </w:t>
      </w:r>
      <w:r w:rsidR="009A6A20">
        <w:rPr>
          <w:rFonts w:eastAsia="Times New Roman" w:cs="Arial"/>
        </w:rPr>
        <w:t>U</w:t>
      </w:r>
      <w:r w:rsidR="001C7E5D">
        <w:rPr>
          <w:rFonts w:eastAsia="Times New Roman" w:cs="Arial"/>
        </w:rPr>
        <w:t>nless LTIs are the only injuries sustained by individuals in an organisation, LTI data does not and cannot provide a valid measure of ‘injury’.</w:t>
      </w:r>
    </w:p>
    <w:p w:rsidR="00A00B9E" w:rsidRDefault="00246185" w:rsidP="000D1925">
      <w:pPr>
        <w:spacing w:after="120"/>
        <w:jc w:val="both"/>
        <w:rPr>
          <w:rFonts w:eastAsia="Times New Roman" w:cs="Arial"/>
        </w:rPr>
      </w:pPr>
      <w:r>
        <w:rPr>
          <w:rFonts w:eastAsia="Times New Roman" w:cs="Arial"/>
        </w:rPr>
        <w:t>Moreover</w:t>
      </w:r>
      <w:r w:rsidR="00A00B9E">
        <w:rPr>
          <w:rFonts w:eastAsia="Times New Roman" w:cs="Arial"/>
        </w:rPr>
        <w:t xml:space="preserve">, </w:t>
      </w:r>
      <w:r w:rsidR="00726B84">
        <w:rPr>
          <w:rFonts w:eastAsia="Times New Roman" w:cs="Arial"/>
        </w:rPr>
        <w:t>a</w:t>
      </w:r>
      <w:r w:rsidR="00A00B9E">
        <w:rPr>
          <w:rFonts w:eastAsia="Times New Roman" w:cs="Arial"/>
        </w:rPr>
        <w:t xml:space="preserve"> poor correlation </w:t>
      </w:r>
      <w:r w:rsidR="00726B84">
        <w:rPr>
          <w:rFonts w:eastAsia="Times New Roman" w:cs="Arial"/>
        </w:rPr>
        <w:t xml:space="preserve">has been </w:t>
      </w:r>
      <w:r w:rsidR="00A00B9E">
        <w:rPr>
          <w:rFonts w:eastAsia="Times New Roman" w:cs="Arial"/>
        </w:rPr>
        <w:t xml:space="preserve">demonstrated </w:t>
      </w:r>
      <w:r>
        <w:rPr>
          <w:rFonts w:eastAsia="Times New Roman" w:cs="Arial"/>
        </w:rPr>
        <w:t>time</w:t>
      </w:r>
      <w:r w:rsidR="00A00B9E">
        <w:rPr>
          <w:rFonts w:eastAsia="Times New Roman" w:cs="Arial"/>
        </w:rPr>
        <w:t xml:space="preserve"> and again between the frequency of </w:t>
      </w:r>
      <w:r>
        <w:rPr>
          <w:rFonts w:eastAsia="Times New Roman" w:cs="Arial"/>
        </w:rPr>
        <w:t xml:space="preserve">aggregated </w:t>
      </w:r>
      <w:r w:rsidR="00A00B9E">
        <w:rPr>
          <w:rFonts w:eastAsia="Times New Roman" w:cs="Arial"/>
        </w:rPr>
        <w:t>injur</w:t>
      </w:r>
      <w:r>
        <w:rPr>
          <w:rFonts w:eastAsia="Times New Roman" w:cs="Arial"/>
        </w:rPr>
        <w:t>y outcomes</w:t>
      </w:r>
      <w:r w:rsidR="00A00B9E">
        <w:rPr>
          <w:rFonts w:eastAsia="Times New Roman" w:cs="Arial"/>
        </w:rPr>
        <w:t xml:space="preserve"> and </w:t>
      </w:r>
      <w:r>
        <w:rPr>
          <w:rFonts w:eastAsia="Times New Roman" w:cs="Arial"/>
        </w:rPr>
        <w:t>their</w:t>
      </w:r>
      <w:r w:rsidR="00A00B9E">
        <w:rPr>
          <w:rFonts w:eastAsia="Times New Roman" w:cs="Arial"/>
        </w:rPr>
        <w:t xml:space="preserve"> physical and financial consequences </w:t>
      </w:r>
      <w:r w:rsidR="001C7E5D">
        <w:rPr>
          <w:rFonts w:eastAsia="Times New Roman" w:cs="Arial"/>
        </w:rPr>
        <w:t xml:space="preserve">(see </w:t>
      </w:r>
      <w:r>
        <w:rPr>
          <w:rFonts w:eastAsia="Times New Roman" w:cs="Arial"/>
        </w:rPr>
        <w:t>s</w:t>
      </w:r>
      <w:r w:rsidR="001C7E5D">
        <w:rPr>
          <w:rFonts w:eastAsia="Times New Roman" w:cs="Arial"/>
        </w:rPr>
        <w:t>ection 3.1)</w:t>
      </w:r>
      <w:r w:rsidR="00726B84">
        <w:rPr>
          <w:rFonts w:eastAsia="Times New Roman" w:cs="Arial"/>
        </w:rPr>
        <w:t>. Therefore</w:t>
      </w:r>
      <w:r w:rsidR="00A00B9E">
        <w:rPr>
          <w:rFonts w:eastAsia="Times New Roman" w:cs="Arial"/>
        </w:rPr>
        <w:t xml:space="preserve"> LTI and LTIFR data are not valid measures of the consequence</w:t>
      </w:r>
      <w:r>
        <w:rPr>
          <w:rFonts w:eastAsia="Times New Roman" w:cs="Arial"/>
        </w:rPr>
        <w:t>s</w:t>
      </w:r>
      <w:r w:rsidR="00883825">
        <w:rPr>
          <w:rFonts w:eastAsia="Times New Roman" w:cs="Arial"/>
        </w:rPr>
        <w:t xml:space="preserve"> </w:t>
      </w:r>
      <w:r w:rsidR="00726B84">
        <w:rPr>
          <w:rFonts w:eastAsia="Times New Roman" w:cs="Arial"/>
        </w:rPr>
        <w:t xml:space="preserve">(extent of damage) </w:t>
      </w:r>
      <w:r>
        <w:rPr>
          <w:rFonts w:eastAsia="Times New Roman" w:cs="Arial"/>
        </w:rPr>
        <w:t xml:space="preserve">arising </w:t>
      </w:r>
      <w:r w:rsidR="00F92709">
        <w:rPr>
          <w:rFonts w:eastAsia="Times New Roman" w:cs="Arial"/>
        </w:rPr>
        <w:t>from</w:t>
      </w:r>
      <w:r w:rsidR="00A00B9E">
        <w:rPr>
          <w:rFonts w:eastAsia="Times New Roman" w:cs="Arial"/>
        </w:rPr>
        <w:t xml:space="preserve"> injur</w:t>
      </w:r>
      <w:r w:rsidR="00F92709">
        <w:rPr>
          <w:rFonts w:eastAsia="Times New Roman" w:cs="Arial"/>
        </w:rPr>
        <w:t>y</w:t>
      </w:r>
      <w:r w:rsidR="00A00B9E">
        <w:rPr>
          <w:rFonts w:eastAsia="Times New Roman" w:cs="Arial"/>
        </w:rPr>
        <w:t xml:space="preserve"> either. </w:t>
      </w:r>
      <w:r w:rsidR="001C7E5D">
        <w:rPr>
          <w:rFonts w:eastAsia="Times New Roman" w:cs="Arial"/>
        </w:rPr>
        <w:t>Together this</w:t>
      </w:r>
      <w:r w:rsidR="00A00B9E">
        <w:rPr>
          <w:rFonts w:eastAsia="Times New Roman" w:cs="Arial"/>
        </w:rPr>
        <w:t xml:space="preserve"> demonstrates that LTI data is not a valid measure of injury </w:t>
      </w:r>
      <w:r>
        <w:rPr>
          <w:rFonts w:eastAsia="Times New Roman" w:cs="Arial"/>
        </w:rPr>
        <w:t>as</w:t>
      </w:r>
      <w:r w:rsidR="00A00B9E">
        <w:rPr>
          <w:rFonts w:eastAsia="Times New Roman" w:cs="Arial"/>
        </w:rPr>
        <w:t>:</w:t>
      </w:r>
    </w:p>
    <w:p w:rsidR="00A00B9E" w:rsidRPr="00445FDF" w:rsidRDefault="00A00B9E" w:rsidP="00883825">
      <w:pPr>
        <w:pStyle w:val="ListParagraph"/>
        <w:numPr>
          <w:ilvl w:val="0"/>
          <w:numId w:val="26"/>
        </w:numPr>
        <w:spacing w:after="0"/>
        <w:ind w:left="709" w:right="543" w:hanging="283"/>
        <w:jc w:val="both"/>
        <w:rPr>
          <w:rFonts w:eastAsia="Times New Roman" w:cs="Arial"/>
        </w:rPr>
      </w:pPr>
      <w:r w:rsidRPr="00445FDF">
        <w:rPr>
          <w:rFonts w:eastAsia="Times New Roman" w:cs="Arial"/>
        </w:rPr>
        <w:t>LTI</w:t>
      </w:r>
      <w:r>
        <w:rPr>
          <w:rFonts w:eastAsia="Times New Roman" w:cs="Arial"/>
        </w:rPr>
        <w:t xml:space="preserve"> data fails to</w:t>
      </w:r>
      <w:r w:rsidRPr="00445FDF">
        <w:rPr>
          <w:rFonts w:eastAsia="Times New Roman" w:cs="Arial"/>
        </w:rPr>
        <w:t xml:space="preserve"> measure injury </w:t>
      </w:r>
      <w:r w:rsidRPr="00292D08">
        <w:rPr>
          <w:rFonts w:eastAsia="Times New Roman" w:cs="Arial"/>
          <w:i/>
        </w:rPr>
        <w:t>frequency</w:t>
      </w:r>
      <w:r w:rsidRPr="00445FDF">
        <w:rPr>
          <w:rFonts w:eastAsia="Times New Roman" w:cs="Arial"/>
        </w:rPr>
        <w:t xml:space="preserve"> (</w:t>
      </w:r>
      <w:r>
        <w:rPr>
          <w:rFonts w:eastAsia="Times New Roman" w:cs="Arial"/>
        </w:rPr>
        <w:t>LTI/LTIFR</w:t>
      </w:r>
      <w:r w:rsidRPr="00445FDF">
        <w:rPr>
          <w:rFonts w:eastAsia="Times New Roman" w:cs="Arial"/>
        </w:rPr>
        <w:t xml:space="preserve"> only measure</w:t>
      </w:r>
      <w:r w:rsidR="00F92709">
        <w:rPr>
          <w:rFonts w:eastAsia="Times New Roman" w:cs="Arial"/>
        </w:rPr>
        <w:t>s</w:t>
      </w:r>
      <w:r w:rsidRPr="00445FDF">
        <w:rPr>
          <w:rFonts w:eastAsia="Times New Roman" w:cs="Arial"/>
        </w:rPr>
        <w:t xml:space="preserve"> a </w:t>
      </w:r>
      <w:r w:rsidRPr="00445FDF">
        <w:rPr>
          <w:rFonts w:eastAsia="Times New Roman" w:cs="Arial"/>
          <w:i/>
        </w:rPr>
        <w:t>subset</w:t>
      </w:r>
      <w:r w:rsidRPr="00445FDF">
        <w:rPr>
          <w:rFonts w:eastAsia="Times New Roman" w:cs="Arial"/>
        </w:rPr>
        <w:t xml:space="preserve"> of injury)</w:t>
      </w:r>
      <w:r>
        <w:rPr>
          <w:rFonts w:eastAsia="Times New Roman" w:cs="Arial"/>
        </w:rPr>
        <w:t>,</w:t>
      </w:r>
      <w:r w:rsidR="00C058ED">
        <w:rPr>
          <w:rFonts w:eastAsia="Times New Roman" w:cs="Arial"/>
        </w:rPr>
        <w:t xml:space="preserve"> and</w:t>
      </w:r>
    </w:p>
    <w:p w:rsidR="00A00B9E" w:rsidRDefault="00A00B9E" w:rsidP="00292D08">
      <w:pPr>
        <w:pStyle w:val="ListParagraph"/>
        <w:numPr>
          <w:ilvl w:val="0"/>
          <w:numId w:val="26"/>
        </w:numPr>
        <w:ind w:left="709" w:right="-24" w:hanging="283"/>
        <w:jc w:val="both"/>
        <w:rPr>
          <w:rFonts w:eastAsia="Times New Roman" w:cs="Arial"/>
        </w:rPr>
      </w:pPr>
      <w:r w:rsidRPr="00445FDF">
        <w:rPr>
          <w:rFonts w:eastAsia="Times New Roman" w:cs="Arial"/>
        </w:rPr>
        <w:t>LTI</w:t>
      </w:r>
      <w:r>
        <w:rPr>
          <w:rFonts w:eastAsia="Times New Roman" w:cs="Arial"/>
        </w:rPr>
        <w:t xml:space="preserve"> data</w:t>
      </w:r>
      <w:r w:rsidR="0080400D">
        <w:rPr>
          <w:rFonts w:eastAsia="Times New Roman" w:cs="Arial"/>
        </w:rPr>
        <w:t xml:space="preserve"> </w:t>
      </w:r>
      <w:r>
        <w:rPr>
          <w:rFonts w:eastAsia="Times New Roman" w:cs="Arial"/>
        </w:rPr>
        <w:t>fails to</w:t>
      </w:r>
      <w:r w:rsidRPr="00445FDF">
        <w:rPr>
          <w:rFonts w:eastAsia="Times New Roman" w:cs="Arial"/>
        </w:rPr>
        <w:t xml:space="preserve"> measure injury </w:t>
      </w:r>
      <w:r w:rsidRPr="00292D08">
        <w:rPr>
          <w:rFonts w:eastAsia="Times New Roman" w:cs="Arial"/>
          <w:i/>
        </w:rPr>
        <w:t>consequence</w:t>
      </w:r>
      <w:r w:rsidRPr="00445FDF">
        <w:rPr>
          <w:rFonts w:eastAsia="Times New Roman" w:cs="Arial"/>
        </w:rPr>
        <w:t xml:space="preserve"> (</w:t>
      </w:r>
      <w:r>
        <w:rPr>
          <w:rFonts w:eastAsia="Times New Roman" w:cs="Arial"/>
        </w:rPr>
        <w:t>LTI/LTIFR</w:t>
      </w:r>
      <w:r w:rsidR="00883825">
        <w:rPr>
          <w:rFonts w:eastAsia="Times New Roman" w:cs="Arial"/>
        </w:rPr>
        <w:t xml:space="preserve"> </w:t>
      </w:r>
      <w:r w:rsidRPr="00373CBD">
        <w:rPr>
          <w:rFonts w:eastAsia="Times New Roman" w:cs="Arial"/>
          <w:i/>
        </w:rPr>
        <w:t>correlate</w:t>
      </w:r>
      <w:r w:rsidR="00883825" w:rsidRPr="00373CBD">
        <w:rPr>
          <w:rFonts w:eastAsia="Times New Roman" w:cs="Arial"/>
          <w:i/>
        </w:rPr>
        <w:t xml:space="preserve"> </w:t>
      </w:r>
      <w:r w:rsidRPr="00373CBD">
        <w:rPr>
          <w:rFonts w:eastAsia="Times New Roman" w:cs="Arial"/>
          <w:i/>
        </w:rPr>
        <w:t>poorly</w:t>
      </w:r>
      <w:r w:rsidRPr="00445FDF">
        <w:rPr>
          <w:rFonts w:eastAsia="Times New Roman" w:cs="Arial"/>
          <w:i/>
        </w:rPr>
        <w:t xml:space="preserve"> </w:t>
      </w:r>
      <w:r>
        <w:rPr>
          <w:rFonts w:eastAsia="Times New Roman" w:cs="Arial"/>
        </w:rPr>
        <w:t>with</w:t>
      </w:r>
      <w:r w:rsidR="00883825">
        <w:rPr>
          <w:rFonts w:eastAsia="Times New Roman" w:cs="Arial"/>
        </w:rPr>
        <w:t xml:space="preserve"> damage</w:t>
      </w:r>
      <w:r w:rsidR="00F92709">
        <w:rPr>
          <w:rFonts w:eastAsia="Times New Roman" w:cs="Arial"/>
        </w:rPr>
        <w:t>/costs</w:t>
      </w:r>
      <w:r w:rsidRPr="00445FDF">
        <w:rPr>
          <w:rFonts w:eastAsia="Times New Roman" w:cs="Arial"/>
        </w:rPr>
        <w:t>)</w:t>
      </w:r>
      <w:r>
        <w:rPr>
          <w:rFonts w:eastAsia="Times New Roman" w:cs="Arial"/>
        </w:rPr>
        <w:t>.</w:t>
      </w:r>
    </w:p>
    <w:p w:rsidR="00A00B9E" w:rsidRPr="00826ABD" w:rsidRDefault="00D44BAE" w:rsidP="00A00B9E">
      <w:pPr>
        <w:ind w:left="66"/>
        <w:jc w:val="both"/>
        <w:rPr>
          <w:rFonts w:eastAsia="Times New Roman" w:cs="Arial"/>
        </w:rPr>
      </w:pPr>
      <w:r>
        <w:rPr>
          <w:rFonts w:eastAsia="Times New Roman" w:cs="Arial"/>
        </w:rPr>
        <w:t>M</w:t>
      </w:r>
      <w:r w:rsidR="00A00B9E">
        <w:rPr>
          <w:rFonts w:eastAsia="Times New Roman" w:cs="Arial"/>
        </w:rPr>
        <w:t xml:space="preserve">onitoring injury outcomes by focusing on LTIFR essentially limits attention to high frequency but low consequence WRII outcomes and </w:t>
      </w:r>
      <w:r w:rsidR="004E3E28">
        <w:rPr>
          <w:rFonts w:eastAsia="Times New Roman" w:cs="Arial"/>
        </w:rPr>
        <w:t>causes</w:t>
      </w:r>
      <w:r w:rsidR="00A00B9E">
        <w:rPr>
          <w:rFonts w:eastAsia="Times New Roman" w:cs="Arial"/>
        </w:rPr>
        <w:t xml:space="preserve"> decision-makers to</w:t>
      </w:r>
      <w:r w:rsidR="00883825">
        <w:rPr>
          <w:rFonts w:eastAsia="Times New Roman" w:cs="Arial"/>
        </w:rPr>
        <w:t xml:space="preserve"> </w:t>
      </w:r>
      <w:r w:rsidR="004E3E28">
        <w:rPr>
          <w:rFonts w:eastAsia="Times New Roman" w:cs="Arial"/>
        </w:rPr>
        <w:t xml:space="preserve">overlook </w:t>
      </w:r>
      <w:r w:rsidR="00A00B9E">
        <w:rPr>
          <w:rFonts w:eastAsia="Times New Roman" w:cs="Arial"/>
        </w:rPr>
        <w:t>the occurrence and impact of low frequency but high consequence WRII outcomes.</w:t>
      </w:r>
      <w:r w:rsidR="0080400D">
        <w:rPr>
          <w:rStyle w:val="FootnoteReference"/>
          <w:rFonts w:eastAsia="Times New Roman" w:cs="Arial"/>
        </w:rPr>
        <w:footnoteReference w:id="33"/>
      </w:r>
      <w:r w:rsidR="00A00B9E">
        <w:rPr>
          <w:rFonts w:eastAsia="Times New Roman" w:cs="Arial"/>
        </w:rPr>
        <w:t xml:space="preserve"> </w:t>
      </w:r>
    </w:p>
    <w:p w:rsidR="00A00B9E" w:rsidRPr="003F2CA0" w:rsidRDefault="00A00B9E" w:rsidP="00734A6C">
      <w:pPr>
        <w:pStyle w:val="Style3"/>
        <w:numPr>
          <w:ilvl w:val="0"/>
          <w:numId w:val="17"/>
        </w:numPr>
        <w:ind w:left="426" w:hanging="426"/>
        <w:rPr>
          <w:rFonts w:asciiTheme="minorHAnsi" w:hAnsiTheme="minorHAnsi"/>
          <w:sz w:val="24"/>
          <w:szCs w:val="24"/>
          <w:u w:val="single"/>
        </w:rPr>
      </w:pPr>
      <w:bookmarkStart w:id="10" w:name="_Toc361085300"/>
      <w:r w:rsidRPr="003F2CA0">
        <w:rPr>
          <w:rFonts w:asciiTheme="minorHAnsi" w:hAnsiTheme="minorHAnsi"/>
          <w:sz w:val="24"/>
          <w:szCs w:val="24"/>
          <w:u w:val="single"/>
        </w:rPr>
        <w:t>LTI</w:t>
      </w:r>
      <w:r w:rsidR="00FF256E">
        <w:rPr>
          <w:rFonts w:asciiTheme="minorHAnsi" w:hAnsiTheme="minorHAnsi"/>
          <w:sz w:val="24"/>
          <w:szCs w:val="24"/>
          <w:u w:val="single"/>
        </w:rPr>
        <w:t>(FR)</w:t>
      </w:r>
      <w:r w:rsidRPr="003F2CA0">
        <w:rPr>
          <w:rFonts w:asciiTheme="minorHAnsi" w:hAnsiTheme="minorHAnsi"/>
          <w:sz w:val="24"/>
          <w:szCs w:val="24"/>
          <w:u w:val="single"/>
        </w:rPr>
        <w:t xml:space="preserve"> is not a measure of safety</w:t>
      </w:r>
      <w:bookmarkEnd w:id="10"/>
    </w:p>
    <w:p w:rsidR="00A00B9E" w:rsidRPr="00CE7874" w:rsidRDefault="00A00B9E" w:rsidP="00920820">
      <w:pPr>
        <w:spacing w:after="0"/>
        <w:jc w:val="both"/>
        <w:rPr>
          <w:rFonts w:eastAsia="Times New Roman" w:cs="Arial"/>
        </w:rPr>
      </w:pPr>
      <w:r>
        <w:rPr>
          <w:rFonts w:eastAsia="Times New Roman" w:cs="Arial"/>
        </w:rPr>
        <w:t>Although LTI outcomes are often reported by industry as ‘safety measures’</w:t>
      </w:r>
      <w:r w:rsidR="00F93AA1">
        <w:rPr>
          <w:rFonts w:eastAsia="Times New Roman" w:cs="Arial"/>
        </w:rPr>
        <w:t>,</w:t>
      </w:r>
      <w:r>
        <w:rPr>
          <w:rFonts w:eastAsia="Times New Roman" w:cs="Arial"/>
        </w:rPr>
        <w:t xml:space="preserve"> </w:t>
      </w:r>
      <w:r w:rsidR="004A3448">
        <w:rPr>
          <w:rFonts w:eastAsia="Times New Roman" w:cs="Arial"/>
        </w:rPr>
        <w:t xml:space="preserve">injury </w:t>
      </w:r>
      <w:r w:rsidR="00F93AA1">
        <w:rPr>
          <w:rFonts w:eastAsia="Times New Roman" w:cs="Arial"/>
        </w:rPr>
        <w:t xml:space="preserve">measures </w:t>
      </w:r>
      <w:r>
        <w:rPr>
          <w:rFonts w:eastAsia="Times New Roman" w:cs="Arial"/>
        </w:rPr>
        <w:t xml:space="preserve">do not measure </w:t>
      </w:r>
      <w:r w:rsidRPr="00726B84">
        <w:rPr>
          <w:rFonts w:eastAsia="Times New Roman" w:cs="Arial"/>
          <w:i/>
        </w:rPr>
        <w:t>safety</w:t>
      </w:r>
      <w:r w:rsidRPr="00CE7874">
        <w:rPr>
          <w:rFonts w:eastAsia="Times New Roman" w:cs="Arial"/>
        </w:rPr>
        <w:t>.</w:t>
      </w:r>
      <w:r>
        <w:rPr>
          <w:rFonts w:eastAsia="Times New Roman" w:cs="Arial"/>
        </w:rPr>
        <w:t xml:space="preserve"> Safety is</w:t>
      </w:r>
      <w:r w:rsidR="00CF3557">
        <w:rPr>
          <w:rFonts w:eastAsia="Times New Roman" w:cs="Arial"/>
        </w:rPr>
        <w:t xml:space="preserve"> defined as </w:t>
      </w:r>
      <w:r>
        <w:rPr>
          <w:rFonts w:eastAsia="Times New Roman" w:cs="Arial"/>
        </w:rPr>
        <w:t>‘freedom from the</w:t>
      </w:r>
      <w:r w:rsidR="0080400D">
        <w:rPr>
          <w:rFonts w:eastAsia="Times New Roman" w:cs="Arial"/>
        </w:rPr>
        <w:t xml:space="preserve"> </w:t>
      </w:r>
      <w:r w:rsidRPr="004D2CFD">
        <w:rPr>
          <w:rFonts w:eastAsia="Times New Roman" w:cs="Arial"/>
          <w:b/>
          <w:i/>
        </w:rPr>
        <w:t>risk</w:t>
      </w:r>
      <w:r>
        <w:rPr>
          <w:rFonts w:eastAsia="Times New Roman" w:cs="Arial"/>
        </w:rPr>
        <w:t xml:space="preserve"> of injury’.</w:t>
      </w:r>
      <w:r w:rsidR="005C1F88">
        <w:rPr>
          <w:rStyle w:val="FootnoteReference"/>
          <w:rFonts w:eastAsia="Times New Roman" w:cs="Arial"/>
        </w:rPr>
        <w:footnoteReference w:id="34"/>
      </w:r>
      <w:r w:rsidR="0080400D">
        <w:rPr>
          <w:rFonts w:eastAsia="Times New Roman" w:cs="Arial"/>
        </w:rPr>
        <w:t xml:space="preserve"> </w:t>
      </w:r>
      <w:r w:rsidR="00F93AA1">
        <w:rPr>
          <w:rFonts w:eastAsia="Times New Roman" w:cs="Arial"/>
        </w:rPr>
        <w:t>Injury</w:t>
      </w:r>
      <w:r w:rsidR="00883825">
        <w:rPr>
          <w:rFonts w:eastAsia="Times New Roman" w:cs="Arial"/>
        </w:rPr>
        <w:t xml:space="preserve"> </w:t>
      </w:r>
      <w:r w:rsidR="00E63771">
        <w:rPr>
          <w:rFonts w:eastAsia="Times New Roman" w:cs="Arial"/>
        </w:rPr>
        <w:t>rates</w:t>
      </w:r>
      <w:r>
        <w:rPr>
          <w:rFonts w:eastAsia="Times New Roman" w:cs="Arial"/>
        </w:rPr>
        <w:t xml:space="preserve"> do not measure </w:t>
      </w:r>
      <w:r w:rsidRPr="00E63771">
        <w:rPr>
          <w:rFonts w:eastAsia="Times New Roman" w:cs="Arial"/>
        </w:rPr>
        <w:t>th</w:t>
      </w:r>
      <w:r w:rsidR="00E63771" w:rsidRPr="00E63771">
        <w:rPr>
          <w:rFonts w:eastAsia="Times New Roman" w:cs="Arial"/>
        </w:rPr>
        <w:t>at</w:t>
      </w:r>
      <w:r w:rsidR="00883825">
        <w:rPr>
          <w:rFonts w:eastAsia="Times New Roman" w:cs="Arial"/>
        </w:rPr>
        <w:t xml:space="preserve"> </w:t>
      </w:r>
      <w:r w:rsidRPr="00E63771">
        <w:rPr>
          <w:rFonts w:eastAsia="Times New Roman" w:cs="Arial"/>
        </w:rPr>
        <w:t>risk</w:t>
      </w:r>
      <w:r w:rsidR="00F92709">
        <w:rPr>
          <w:rFonts w:eastAsia="Times New Roman" w:cs="Arial"/>
        </w:rPr>
        <w:t>,</w:t>
      </w:r>
      <w:r w:rsidR="004A3448">
        <w:rPr>
          <w:rFonts w:eastAsia="Times New Roman" w:cs="Arial"/>
        </w:rPr>
        <w:t xml:space="preserve"> nor </w:t>
      </w:r>
      <w:r w:rsidR="00F92709">
        <w:rPr>
          <w:rFonts w:eastAsia="Times New Roman" w:cs="Arial"/>
        </w:rPr>
        <w:t xml:space="preserve">do </w:t>
      </w:r>
      <w:r w:rsidR="004A3448">
        <w:rPr>
          <w:rFonts w:eastAsia="Times New Roman" w:cs="Arial"/>
        </w:rPr>
        <w:t xml:space="preserve">they objectively evaluate </w:t>
      </w:r>
      <w:r w:rsidR="00F92709">
        <w:rPr>
          <w:rFonts w:eastAsia="Times New Roman" w:cs="Arial"/>
        </w:rPr>
        <w:t>risk drivers (</w:t>
      </w:r>
      <w:r>
        <w:rPr>
          <w:rFonts w:eastAsia="Times New Roman" w:cs="Arial"/>
        </w:rPr>
        <w:t xml:space="preserve">latent </w:t>
      </w:r>
      <w:r w:rsidR="00B24BDB">
        <w:rPr>
          <w:rFonts w:eastAsia="Times New Roman" w:cs="Arial"/>
        </w:rPr>
        <w:t>conditions or hazards</w:t>
      </w:r>
      <w:r w:rsidR="00F92709">
        <w:rPr>
          <w:rFonts w:eastAsia="Times New Roman" w:cs="Arial"/>
        </w:rPr>
        <w:t xml:space="preserve">) </w:t>
      </w:r>
      <w:r w:rsidR="004A3448">
        <w:rPr>
          <w:rFonts w:eastAsia="Times New Roman" w:cs="Arial"/>
        </w:rPr>
        <w:t xml:space="preserve">or </w:t>
      </w:r>
      <w:r>
        <w:rPr>
          <w:rFonts w:eastAsia="Times New Roman" w:cs="Arial"/>
        </w:rPr>
        <w:t>the effectiveness of controls</w:t>
      </w:r>
      <w:r w:rsidR="00CF3557">
        <w:rPr>
          <w:rFonts w:eastAsia="Times New Roman" w:cs="Arial"/>
        </w:rPr>
        <w:t xml:space="preserve"> over those hazards</w:t>
      </w:r>
      <w:r>
        <w:rPr>
          <w:rFonts w:eastAsia="Times New Roman" w:cs="Arial"/>
        </w:rPr>
        <w:t>.</w:t>
      </w:r>
      <w:r w:rsidR="005C1F88">
        <w:rPr>
          <w:rStyle w:val="FootnoteReference"/>
          <w:rFonts w:eastAsia="Times New Roman" w:cs="Arial"/>
        </w:rPr>
        <w:footnoteReference w:id="35"/>
      </w:r>
      <w:r w:rsidR="00E63771">
        <w:rPr>
          <w:rFonts w:eastAsia="Times New Roman" w:cs="Arial"/>
        </w:rPr>
        <w:t xml:space="preserve"> LTIs can confirm</w:t>
      </w:r>
      <w:r w:rsidR="004A3448">
        <w:rPr>
          <w:rFonts w:eastAsia="Times New Roman" w:cs="Arial"/>
        </w:rPr>
        <w:t>,</w:t>
      </w:r>
      <w:r w:rsidR="00E63771">
        <w:rPr>
          <w:rFonts w:eastAsia="Times New Roman" w:cs="Arial"/>
        </w:rPr>
        <w:t xml:space="preserve"> </w:t>
      </w:r>
      <w:r w:rsidR="004A3448">
        <w:rPr>
          <w:rFonts w:eastAsia="Times New Roman" w:cs="Arial"/>
        </w:rPr>
        <w:t xml:space="preserve">in </w:t>
      </w:r>
      <w:r w:rsidR="00D46170">
        <w:rPr>
          <w:rFonts w:eastAsia="Times New Roman" w:cs="Arial"/>
        </w:rPr>
        <w:t>hindsight</w:t>
      </w:r>
      <w:r w:rsidR="004A3448">
        <w:rPr>
          <w:rFonts w:eastAsia="Times New Roman" w:cs="Arial"/>
        </w:rPr>
        <w:t>,</w:t>
      </w:r>
      <w:r w:rsidR="00D46170">
        <w:rPr>
          <w:rFonts w:eastAsia="Times New Roman" w:cs="Arial"/>
        </w:rPr>
        <w:t xml:space="preserve"> that a </w:t>
      </w:r>
      <w:r w:rsidR="00E63771">
        <w:rPr>
          <w:rFonts w:eastAsia="Times New Roman" w:cs="Arial"/>
        </w:rPr>
        <w:t xml:space="preserve">risk </w:t>
      </w:r>
      <w:r w:rsidR="00A06643">
        <w:rPr>
          <w:rFonts w:eastAsia="Times New Roman" w:cs="Arial"/>
        </w:rPr>
        <w:t xml:space="preserve">had been </w:t>
      </w:r>
      <w:r w:rsidR="00E63771">
        <w:rPr>
          <w:rFonts w:eastAsia="Times New Roman" w:cs="Arial"/>
        </w:rPr>
        <w:t xml:space="preserve">present at the time of an </w:t>
      </w:r>
      <w:r w:rsidR="004A3448">
        <w:rPr>
          <w:rFonts w:eastAsia="Times New Roman" w:cs="Arial"/>
        </w:rPr>
        <w:t>injury;</w:t>
      </w:r>
      <w:r w:rsidR="0080400D">
        <w:rPr>
          <w:rFonts w:eastAsia="Times New Roman" w:cs="Arial"/>
        </w:rPr>
        <w:t xml:space="preserve"> </w:t>
      </w:r>
      <w:r w:rsidR="00D46170">
        <w:rPr>
          <w:rFonts w:eastAsia="Times New Roman" w:cs="Arial"/>
        </w:rPr>
        <w:t>however</w:t>
      </w:r>
      <w:r w:rsidR="00E63771">
        <w:rPr>
          <w:rFonts w:eastAsia="Times New Roman" w:cs="Arial"/>
        </w:rPr>
        <w:t xml:space="preserve"> the absence of injury does not confirm the absence of </w:t>
      </w:r>
      <w:r w:rsidR="00D46170">
        <w:rPr>
          <w:rFonts w:eastAsia="Times New Roman" w:cs="Arial"/>
        </w:rPr>
        <w:t xml:space="preserve">uncontrolled </w:t>
      </w:r>
      <w:r w:rsidR="00E63771">
        <w:rPr>
          <w:rFonts w:eastAsia="Times New Roman" w:cs="Arial"/>
        </w:rPr>
        <w:t xml:space="preserve">risk. This is illustrated time and again by cases </w:t>
      </w:r>
      <w:r w:rsidR="00A06643">
        <w:rPr>
          <w:rFonts w:eastAsia="Times New Roman" w:cs="Arial"/>
        </w:rPr>
        <w:t xml:space="preserve">in which </w:t>
      </w:r>
      <w:r w:rsidR="00C058ED">
        <w:rPr>
          <w:rFonts w:eastAsia="Times New Roman" w:cs="Arial"/>
        </w:rPr>
        <w:t>work health and safety</w:t>
      </w:r>
      <w:r w:rsidR="00E63771">
        <w:rPr>
          <w:rFonts w:eastAsia="Times New Roman" w:cs="Arial"/>
        </w:rPr>
        <w:t xml:space="preserve"> disasters were preceded by impressive injury free periods</w:t>
      </w:r>
      <w:r w:rsidR="0080400D">
        <w:rPr>
          <w:rFonts w:eastAsia="Times New Roman" w:cs="Arial"/>
        </w:rPr>
        <w:t>.</w:t>
      </w:r>
      <w:r w:rsidR="00E63771">
        <w:rPr>
          <w:rStyle w:val="FootnoteReference"/>
          <w:rFonts w:eastAsia="Times New Roman" w:cs="Arial"/>
        </w:rPr>
        <w:footnoteReference w:id="36"/>
      </w:r>
      <w:r w:rsidR="00E63771">
        <w:rPr>
          <w:rFonts w:eastAsia="Times New Roman" w:cs="Arial"/>
        </w:rPr>
        <w:t xml:space="preserve"> </w:t>
      </w:r>
      <w:r w:rsidR="00D46170">
        <w:rPr>
          <w:rFonts w:eastAsia="Times New Roman" w:cs="Arial"/>
        </w:rPr>
        <w:t xml:space="preserve">Accordingly, </w:t>
      </w:r>
      <w:r>
        <w:rPr>
          <w:rFonts w:eastAsia="Times New Roman" w:cs="Arial"/>
        </w:rPr>
        <w:t>LTIs do not</w:t>
      </w:r>
      <w:r w:rsidR="00726B84">
        <w:rPr>
          <w:rFonts w:eastAsia="Times New Roman" w:cs="Arial"/>
        </w:rPr>
        <w:t xml:space="preserve"> and cannot</w:t>
      </w:r>
      <w:r>
        <w:rPr>
          <w:rFonts w:eastAsia="Times New Roman" w:cs="Arial"/>
        </w:rPr>
        <w:t xml:space="preserve"> provide a valid measure of safety.</w:t>
      </w:r>
    </w:p>
    <w:p w:rsidR="008E307E" w:rsidRPr="009E4FE9" w:rsidRDefault="00356FAA" w:rsidP="00F64ACF">
      <w:pPr>
        <w:pStyle w:val="Style1"/>
        <w:numPr>
          <w:ilvl w:val="0"/>
          <w:numId w:val="3"/>
        </w:numPr>
        <w:spacing w:after="120"/>
        <w:ind w:left="567" w:hanging="567"/>
        <w:rPr>
          <w:rFonts w:asciiTheme="minorHAnsi" w:hAnsiTheme="minorHAnsi"/>
          <w:color w:val="365F91" w:themeColor="accent1" w:themeShade="BF"/>
          <w:sz w:val="26"/>
          <w:szCs w:val="26"/>
        </w:rPr>
      </w:pPr>
      <w:bookmarkStart w:id="11" w:name="_Toc361085301"/>
      <w:r>
        <w:rPr>
          <w:rFonts w:asciiTheme="minorHAnsi" w:hAnsiTheme="minorHAnsi"/>
          <w:color w:val="365F91" w:themeColor="accent1" w:themeShade="BF"/>
          <w:sz w:val="26"/>
          <w:szCs w:val="26"/>
        </w:rPr>
        <w:t>Relevance</w:t>
      </w:r>
      <w:r w:rsidR="005C5300">
        <w:rPr>
          <w:rFonts w:asciiTheme="minorHAnsi" w:hAnsiTheme="minorHAnsi"/>
          <w:color w:val="365F91" w:themeColor="accent1" w:themeShade="BF"/>
          <w:sz w:val="26"/>
          <w:szCs w:val="26"/>
        </w:rPr>
        <w:t xml:space="preserve"> of WRII data</w:t>
      </w:r>
      <w:bookmarkEnd w:id="11"/>
    </w:p>
    <w:p w:rsidR="00631BA5" w:rsidRDefault="0006032E" w:rsidP="00631BA5">
      <w:pPr>
        <w:jc w:val="both"/>
        <w:rPr>
          <w:rFonts w:eastAsia="Times New Roman" w:cs="Arial"/>
        </w:rPr>
      </w:pPr>
      <w:r>
        <w:rPr>
          <w:rFonts w:eastAsia="Times New Roman" w:cs="Arial"/>
        </w:rPr>
        <w:t xml:space="preserve">The </w:t>
      </w:r>
      <w:r w:rsidR="00E650D3">
        <w:rPr>
          <w:rFonts w:eastAsia="Times New Roman" w:cs="Arial"/>
        </w:rPr>
        <w:t xml:space="preserve">concept of relevance </w:t>
      </w:r>
      <w:r w:rsidR="00BE4EF3">
        <w:rPr>
          <w:rFonts w:eastAsia="Times New Roman" w:cs="Arial"/>
        </w:rPr>
        <w:t>focuses on</w:t>
      </w:r>
      <w:r w:rsidR="00883825">
        <w:rPr>
          <w:rFonts w:eastAsia="Times New Roman" w:cs="Arial"/>
        </w:rPr>
        <w:t xml:space="preserve"> </w:t>
      </w:r>
      <w:r w:rsidR="00BE4EF3">
        <w:rPr>
          <w:rFonts w:eastAsia="Times New Roman" w:cs="Arial"/>
        </w:rPr>
        <w:t xml:space="preserve">the </w:t>
      </w:r>
      <w:r w:rsidR="00E650D3">
        <w:rPr>
          <w:rFonts w:eastAsia="Times New Roman" w:cs="Arial"/>
        </w:rPr>
        <w:t xml:space="preserve">alignment </w:t>
      </w:r>
      <w:r w:rsidR="00A06643">
        <w:rPr>
          <w:rFonts w:eastAsia="Times New Roman" w:cs="Arial"/>
        </w:rPr>
        <w:t xml:space="preserve">between </w:t>
      </w:r>
      <w:r w:rsidR="00E650D3">
        <w:rPr>
          <w:rFonts w:eastAsia="Times New Roman" w:cs="Arial"/>
        </w:rPr>
        <w:t>performance measures (</w:t>
      </w:r>
      <w:r w:rsidR="00BE4EF3">
        <w:rPr>
          <w:rFonts w:eastAsia="Times New Roman" w:cs="Arial"/>
        </w:rPr>
        <w:t>or</w:t>
      </w:r>
      <w:r w:rsidR="003E265A">
        <w:rPr>
          <w:rFonts w:eastAsia="Times New Roman" w:cs="Arial"/>
        </w:rPr>
        <w:t xml:space="preserve"> performance</w:t>
      </w:r>
      <w:r w:rsidR="00E650D3">
        <w:rPr>
          <w:rFonts w:eastAsia="Times New Roman" w:cs="Arial"/>
        </w:rPr>
        <w:t xml:space="preserve"> indicators) </w:t>
      </w:r>
      <w:r w:rsidR="00A06643">
        <w:rPr>
          <w:rFonts w:eastAsia="Times New Roman" w:cs="Arial"/>
        </w:rPr>
        <w:t xml:space="preserve">and the required </w:t>
      </w:r>
      <w:r w:rsidR="00CC06D2">
        <w:rPr>
          <w:rFonts w:eastAsia="Times New Roman" w:cs="Arial"/>
        </w:rPr>
        <w:t>work health and safety</w:t>
      </w:r>
      <w:r w:rsidR="00A06643">
        <w:rPr>
          <w:rFonts w:eastAsia="Times New Roman" w:cs="Arial"/>
        </w:rPr>
        <w:t xml:space="preserve"> </w:t>
      </w:r>
      <w:r w:rsidR="00E650D3">
        <w:rPr>
          <w:rFonts w:eastAsia="Times New Roman" w:cs="Arial"/>
        </w:rPr>
        <w:t xml:space="preserve">decisions. </w:t>
      </w:r>
      <w:r w:rsidR="00631BA5">
        <w:rPr>
          <w:rFonts w:eastAsia="Times New Roman" w:cs="Arial"/>
        </w:rPr>
        <w:t>For example, incident analyses seek to identify patterns or trends in injur</w:t>
      </w:r>
      <w:r w:rsidR="00117420">
        <w:rPr>
          <w:rFonts w:eastAsia="Times New Roman" w:cs="Arial"/>
        </w:rPr>
        <w:t>y outcomes</w:t>
      </w:r>
      <w:r w:rsidR="00883825">
        <w:rPr>
          <w:rFonts w:eastAsia="Times New Roman" w:cs="Arial"/>
        </w:rPr>
        <w:t xml:space="preserve"> </w:t>
      </w:r>
      <w:r w:rsidR="00BE4EF3">
        <w:rPr>
          <w:rFonts w:eastAsia="Times New Roman" w:cs="Arial"/>
        </w:rPr>
        <w:t>through examining</w:t>
      </w:r>
      <w:r w:rsidR="00B20302">
        <w:rPr>
          <w:rFonts w:eastAsia="Times New Roman" w:cs="Arial"/>
        </w:rPr>
        <w:t xml:space="preserve"> attributes such</w:t>
      </w:r>
      <w:r w:rsidR="00631BA5">
        <w:rPr>
          <w:rFonts w:eastAsia="Times New Roman" w:cs="Arial"/>
        </w:rPr>
        <w:t xml:space="preserve"> as the </w:t>
      </w:r>
      <w:r w:rsidR="00B20302">
        <w:rPr>
          <w:rFonts w:eastAsia="Times New Roman" w:cs="Arial"/>
        </w:rPr>
        <w:t>occurrence</w:t>
      </w:r>
      <w:r w:rsidR="00BE4EF3">
        <w:rPr>
          <w:rFonts w:eastAsia="Times New Roman" w:cs="Arial"/>
        </w:rPr>
        <w:t xml:space="preserve">, frequency (occurrence per hours worked), </w:t>
      </w:r>
      <w:r w:rsidR="00B20302">
        <w:rPr>
          <w:rFonts w:eastAsia="Times New Roman" w:cs="Arial"/>
        </w:rPr>
        <w:t>incidence</w:t>
      </w:r>
      <w:r w:rsidR="00BE4EF3">
        <w:rPr>
          <w:rFonts w:eastAsia="Times New Roman" w:cs="Arial"/>
        </w:rPr>
        <w:t xml:space="preserve"> (occurrence per employee)</w:t>
      </w:r>
      <w:r w:rsidR="00B20302">
        <w:rPr>
          <w:rFonts w:eastAsia="Times New Roman" w:cs="Arial"/>
        </w:rPr>
        <w:t xml:space="preserve">, </w:t>
      </w:r>
      <w:r w:rsidR="00631BA5">
        <w:rPr>
          <w:rFonts w:eastAsia="Times New Roman" w:cs="Arial"/>
        </w:rPr>
        <w:t xml:space="preserve">mechanism, agency, </w:t>
      </w:r>
      <w:r w:rsidR="00BE4EF3">
        <w:rPr>
          <w:rFonts w:eastAsia="Times New Roman" w:cs="Arial"/>
        </w:rPr>
        <w:t xml:space="preserve">affected </w:t>
      </w:r>
      <w:r w:rsidR="00631BA5">
        <w:rPr>
          <w:rFonts w:eastAsia="Times New Roman" w:cs="Arial"/>
        </w:rPr>
        <w:t>bodily location and nature of</w:t>
      </w:r>
      <w:r w:rsidR="00BE4EF3">
        <w:rPr>
          <w:rFonts w:eastAsia="Times New Roman" w:cs="Arial"/>
        </w:rPr>
        <w:t xml:space="preserve"> the</w:t>
      </w:r>
      <w:r w:rsidR="00631BA5">
        <w:rPr>
          <w:rFonts w:eastAsia="Times New Roman" w:cs="Arial"/>
        </w:rPr>
        <w:t xml:space="preserve"> WRII</w:t>
      </w:r>
      <w:r w:rsidR="00A06643">
        <w:rPr>
          <w:rFonts w:eastAsia="Times New Roman" w:cs="Arial"/>
        </w:rPr>
        <w:t xml:space="preserve"> (see section 3.3.1)</w:t>
      </w:r>
      <w:r w:rsidR="00631BA5">
        <w:rPr>
          <w:rFonts w:eastAsia="Times New Roman" w:cs="Arial"/>
        </w:rPr>
        <w:t xml:space="preserve">. </w:t>
      </w:r>
      <w:r w:rsidR="00B20302">
        <w:rPr>
          <w:rFonts w:eastAsia="Times New Roman" w:cs="Arial"/>
        </w:rPr>
        <w:t>Th</w:t>
      </w:r>
      <w:r w:rsidR="003E265A">
        <w:rPr>
          <w:rFonts w:eastAsia="Times New Roman" w:cs="Arial"/>
        </w:rPr>
        <w:t>is process</w:t>
      </w:r>
      <w:r w:rsidR="00631BA5">
        <w:rPr>
          <w:rFonts w:eastAsia="Times New Roman" w:cs="Arial"/>
        </w:rPr>
        <w:t xml:space="preserve"> seek</w:t>
      </w:r>
      <w:r w:rsidR="003E265A">
        <w:rPr>
          <w:rFonts w:eastAsia="Times New Roman" w:cs="Arial"/>
        </w:rPr>
        <w:t>s</w:t>
      </w:r>
      <w:r w:rsidR="00631BA5">
        <w:rPr>
          <w:rFonts w:eastAsia="Times New Roman" w:cs="Arial"/>
        </w:rPr>
        <w:t xml:space="preserve"> to </w:t>
      </w:r>
      <w:r w:rsidR="00B20302">
        <w:rPr>
          <w:rFonts w:eastAsia="Times New Roman" w:cs="Arial"/>
        </w:rPr>
        <w:t xml:space="preserve">increase the visibility of </w:t>
      </w:r>
      <w:r w:rsidR="00631BA5">
        <w:rPr>
          <w:rFonts w:eastAsia="Times New Roman" w:cs="Arial"/>
        </w:rPr>
        <w:t xml:space="preserve">contributing factors </w:t>
      </w:r>
      <w:r w:rsidR="00B20302">
        <w:rPr>
          <w:rFonts w:eastAsia="Times New Roman" w:cs="Arial"/>
        </w:rPr>
        <w:t xml:space="preserve">in order to inform future control initiatives </w:t>
      </w:r>
      <w:r w:rsidR="00631BA5">
        <w:rPr>
          <w:rFonts w:eastAsia="Times New Roman" w:cs="Arial"/>
        </w:rPr>
        <w:t xml:space="preserve">and monitor the effectiveness of </w:t>
      </w:r>
      <w:r w:rsidR="00B20302">
        <w:rPr>
          <w:rFonts w:eastAsia="Times New Roman" w:cs="Arial"/>
        </w:rPr>
        <w:t>past</w:t>
      </w:r>
      <w:r w:rsidR="00631BA5">
        <w:rPr>
          <w:rFonts w:eastAsia="Times New Roman" w:cs="Arial"/>
        </w:rPr>
        <w:t xml:space="preserve"> </w:t>
      </w:r>
      <w:r w:rsidR="00CC06D2">
        <w:rPr>
          <w:rFonts w:eastAsia="Times New Roman" w:cs="Arial"/>
        </w:rPr>
        <w:t>work health and safety</w:t>
      </w:r>
      <w:r w:rsidR="00631BA5">
        <w:rPr>
          <w:rFonts w:eastAsia="Times New Roman" w:cs="Arial"/>
        </w:rPr>
        <w:t xml:space="preserve"> interventions. </w:t>
      </w:r>
    </w:p>
    <w:p w:rsidR="001C1B49" w:rsidRPr="00D87B5B" w:rsidRDefault="001C1B49" w:rsidP="00373CBD">
      <w:pPr>
        <w:pStyle w:val="Style3"/>
        <w:numPr>
          <w:ilvl w:val="0"/>
          <w:numId w:val="8"/>
        </w:numPr>
        <w:spacing w:after="120"/>
        <w:ind w:left="425" w:hanging="425"/>
        <w:rPr>
          <w:rFonts w:asciiTheme="minorHAnsi" w:hAnsiTheme="minorHAnsi"/>
          <w:sz w:val="24"/>
          <w:szCs w:val="24"/>
          <w:u w:val="single"/>
        </w:rPr>
      </w:pPr>
      <w:bookmarkStart w:id="12" w:name="_Toc361085302"/>
      <w:r>
        <w:rPr>
          <w:rFonts w:asciiTheme="minorHAnsi" w:hAnsiTheme="minorHAnsi"/>
          <w:sz w:val="24"/>
          <w:szCs w:val="24"/>
          <w:u w:val="single"/>
        </w:rPr>
        <w:lastRenderedPageBreak/>
        <w:t>Classifying</w:t>
      </w:r>
      <w:r w:rsidR="00883825">
        <w:rPr>
          <w:rFonts w:asciiTheme="minorHAnsi" w:hAnsiTheme="minorHAnsi"/>
          <w:sz w:val="24"/>
          <w:szCs w:val="24"/>
          <w:u w:val="single"/>
        </w:rPr>
        <w:t xml:space="preserve"> </w:t>
      </w:r>
      <w:r>
        <w:rPr>
          <w:rFonts w:asciiTheme="minorHAnsi" w:hAnsiTheme="minorHAnsi"/>
          <w:sz w:val="24"/>
          <w:szCs w:val="24"/>
          <w:u w:val="single"/>
        </w:rPr>
        <w:t>qualitative attributes</w:t>
      </w:r>
      <w:r w:rsidR="00A00B9E">
        <w:rPr>
          <w:rFonts w:asciiTheme="minorHAnsi" w:hAnsiTheme="minorHAnsi"/>
          <w:sz w:val="24"/>
          <w:szCs w:val="24"/>
          <w:u w:val="single"/>
        </w:rPr>
        <w:t xml:space="preserve"> of WRII</w:t>
      </w:r>
      <w:bookmarkEnd w:id="12"/>
    </w:p>
    <w:p w:rsidR="001C1B49" w:rsidRPr="001C1B49" w:rsidRDefault="001C1B49" w:rsidP="001C1B49">
      <w:pPr>
        <w:spacing w:after="0" w:line="360" w:lineRule="auto"/>
        <w:jc w:val="both"/>
        <w:rPr>
          <w:rFonts w:eastAsia="Times New Roman" w:cs="Arial"/>
          <w:i/>
          <w:color w:val="365F91" w:themeColor="accent1" w:themeShade="BF"/>
        </w:rPr>
      </w:pPr>
      <w:r w:rsidRPr="001C1B49">
        <w:rPr>
          <w:rFonts w:eastAsia="Times New Roman" w:cs="Arial"/>
          <w:i/>
          <w:color w:val="365F91" w:themeColor="accent1" w:themeShade="BF"/>
        </w:rPr>
        <w:t>Classifying the mechanism and agency of WRII</w:t>
      </w:r>
    </w:p>
    <w:p w:rsidR="008752EA" w:rsidRPr="007E5640" w:rsidRDefault="008752EA" w:rsidP="00631BA5">
      <w:pPr>
        <w:autoSpaceDE w:val="0"/>
        <w:autoSpaceDN w:val="0"/>
        <w:adjustRightInd w:val="0"/>
        <w:jc w:val="both"/>
        <w:rPr>
          <w:rFonts w:eastAsia="Times New Roman" w:cs="Arial"/>
        </w:rPr>
      </w:pPr>
      <w:r>
        <w:rPr>
          <w:rFonts w:eastAsia="Times New Roman" w:cs="Arial"/>
        </w:rPr>
        <w:t xml:space="preserve">Classifying WRIIs according to their attributes </w:t>
      </w:r>
      <w:r w:rsidR="003E265A">
        <w:rPr>
          <w:rFonts w:eastAsia="Times New Roman" w:cs="Arial"/>
        </w:rPr>
        <w:t>aims to</w:t>
      </w:r>
      <w:r>
        <w:rPr>
          <w:rFonts w:eastAsia="Times New Roman" w:cs="Arial"/>
        </w:rPr>
        <w:t xml:space="preserve"> provide </w:t>
      </w:r>
      <w:r w:rsidR="003E265A">
        <w:rPr>
          <w:rFonts w:eastAsia="Times New Roman" w:cs="Arial"/>
        </w:rPr>
        <w:t xml:space="preserve">important </w:t>
      </w:r>
      <w:r>
        <w:rPr>
          <w:rFonts w:eastAsia="Times New Roman" w:cs="Arial"/>
        </w:rPr>
        <w:t>insight into the causes and contributing factors</w:t>
      </w:r>
      <w:r w:rsidR="00883825">
        <w:rPr>
          <w:rFonts w:eastAsia="Times New Roman" w:cs="Arial"/>
        </w:rPr>
        <w:t xml:space="preserve"> </w:t>
      </w:r>
      <w:r w:rsidR="00BE4EF3">
        <w:rPr>
          <w:rFonts w:eastAsia="Times New Roman" w:cs="Arial"/>
        </w:rPr>
        <w:t>for</w:t>
      </w:r>
      <w:r w:rsidR="003E265A">
        <w:rPr>
          <w:rFonts w:eastAsia="Times New Roman" w:cs="Arial"/>
        </w:rPr>
        <w:t xml:space="preserve"> </w:t>
      </w:r>
      <w:r w:rsidR="00CC06D2">
        <w:rPr>
          <w:rFonts w:eastAsia="Times New Roman" w:cs="Arial"/>
        </w:rPr>
        <w:t>work health and safety</w:t>
      </w:r>
      <w:r w:rsidR="003E265A">
        <w:rPr>
          <w:rFonts w:eastAsia="Times New Roman" w:cs="Arial"/>
        </w:rPr>
        <w:t xml:space="preserve"> failure</w:t>
      </w:r>
      <w:r>
        <w:rPr>
          <w:rFonts w:eastAsia="Times New Roman" w:cs="Arial"/>
        </w:rPr>
        <w:t xml:space="preserve">. </w:t>
      </w:r>
      <w:r w:rsidR="00BE4EF3">
        <w:rPr>
          <w:rFonts w:eastAsia="Times New Roman" w:cs="Arial"/>
        </w:rPr>
        <w:t>Although</w:t>
      </w:r>
      <w:r>
        <w:rPr>
          <w:rFonts w:eastAsia="Times New Roman" w:cs="Arial"/>
        </w:rPr>
        <w:t xml:space="preserve"> classifications </w:t>
      </w:r>
      <w:r w:rsidR="00631BA5">
        <w:rPr>
          <w:rFonts w:eastAsia="Times New Roman" w:cs="Arial"/>
        </w:rPr>
        <w:t>are (again)</w:t>
      </w:r>
      <w:r>
        <w:rPr>
          <w:rFonts w:eastAsia="Times New Roman" w:cs="Arial"/>
        </w:rPr>
        <w:t xml:space="preserve"> subjective, some guidance for Australian organisations is provided by the Australian Standard on Workplace Injury and Disease Recording (AS1885.1). </w:t>
      </w:r>
      <w:r w:rsidR="003E265A">
        <w:rPr>
          <w:rFonts w:eastAsia="Times New Roman" w:cs="Arial"/>
        </w:rPr>
        <w:t xml:space="preserve">For example, </w:t>
      </w:r>
      <w:r w:rsidR="00A06643">
        <w:rPr>
          <w:rFonts w:eastAsia="Times New Roman" w:cs="Arial"/>
        </w:rPr>
        <w:t>AS1885</w:t>
      </w:r>
      <w:r w:rsidR="003E265A">
        <w:rPr>
          <w:rFonts w:eastAsia="Times New Roman" w:cs="Arial"/>
        </w:rPr>
        <w:t xml:space="preserve"> advocates the following categories for analysing the circumstances surrounding WRII</w:t>
      </w:r>
      <w:r>
        <w:rPr>
          <w:rFonts w:eastAsia="Times New Roman" w:cs="Arial"/>
        </w:rPr>
        <w:t>:</w:t>
      </w:r>
    </w:p>
    <w:p w:rsidR="008752EA" w:rsidRPr="008752EA"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567" w:right="543" w:firstLine="284"/>
        <w:rPr>
          <w:rFonts w:eastAsia="Times New Roman" w:cs="Arial"/>
          <w:b/>
          <w:sz w:val="8"/>
          <w:szCs w:val="8"/>
        </w:rPr>
      </w:pPr>
    </w:p>
    <w:p w:rsidR="008752EA" w:rsidRPr="00B865D3" w:rsidRDefault="008752EA" w:rsidP="00F60ED5">
      <w:pPr>
        <w:pBdr>
          <w:top w:val="single" w:sz="4" w:space="1" w:color="auto"/>
          <w:left w:val="single" w:sz="4" w:space="4" w:color="auto"/>
          <w:bottom w:val="single" w:sz="4" w:space="1" w:color="auto"/>
          <w:right w:val="single" w:sz="4" w:space="4" w:color="auto"/>
        </w:pBdr>
        <w:autoSpaceDE w:val="0"/>
        <w:autoSpaceDN w:val="0"/>
        <w:adjustRightInd w:val="0"/>
        <w:spacing w:after="0"/>
        <w:ind w:left="567" w:right="543" w:firstLine="284"/>
        <w:rPr>
          <w:rFonts w:eastAsia="Times New Roman" w:cs="Arial"/>
          <w:b/>
          <w:szCs w:val="20"/>
        </w:rPr>
      </w:pPr>
      <w:r w:rsidRPr="00B865D3">
        <w:rPr>
          <w:rFonts w:eastAsia="Times New Roman" w:cs="Arial"/>
          <w:b/>
          <w:szCs w:val="20"/>
        </w:rPr>
        <w:t>MECHANISM OF INJURY/DISEASE</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01 Falls from a height</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02 Falls on the same level (including trips and slips)</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03 Hitting objects with a part of the body</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04 Exposure to mechanical vibration</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05 Being hit by moving objects</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06 Exposure to sharp, sudden sound</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07 Long term exposure to sounds</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08 Exposure to variations in pressure (other than sound)</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09 Repetitive movement with low muscle loading</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10 Other muscular stress</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11 Contact with electricity</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12 Contact or exposure to heat and cold</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13 Exposure to radiation</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14 Single contact with chemical or substance (excludes insect / spider bites and stings)</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15 Long term contact with chemical or substance</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16 Other contact with chemical or substance (includes insect / spider bites and stings)</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17 Contact with, or exposure to, biological factors</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18 Exposure to mental stress factors</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19 Slide or cave-in</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20 Vehicle accident</w:t>
      </w:r>
    </w:p>
    <w:p w:rsidR="008752EA" w:rsidRPr="00B865D3" w:rsidRDefault="008752EA" w:rsidP="008752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98 Other and multiple mechanisms of injury</w:t>
      </w:r>
    </w:p>
    <w:p w:rsidR="008752EA" w:rsidRPr="00B865D3" w:rsidRDefault="008752EA" w:rsidP="00F60ED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543" w:firstLine="284"/>
        <w:rPr>
          <w:rFonts w:eastAsia="Times New Roman" w:cs="Arial"/>
          <w:sz w:val="18"/>
          <w:szCs w:val="18"/>
        </w:rPr>
      </w:pPr>
      <w:r w:rsidRPr="00B865D3">
        <w:rPr>
          <w:rFonts w:eastAsia="Times New Roman" w:cs="Arial"/>
          <w:sz w:val="18"/>
          <w:szCs w:val="18"/>
        </w:rPr>
        <w:t>99 Unspecified mechanisms of injury</w:t>
      </w:r>
    </w:p>
    <w:p w:rsidR="00331D20" w:rsidRPr="00F60ED5" w:rsidRDefault="00331D20" w:rsidP="00F60ED5">
      <w:pPr>
        <w:pStyle w:val="Caption"/>
        <w:spacing w:before="120" w:after="0"/>
        <w:jc w:val="center"/>
        <w:rPr>
          <w:rFonts w:eastAsia="Times New Roman" w:cs="Arial"/>
          <w:b w:val="0"/>
          <w:color w:val="auto"/>
        </w:rPr>
      </w:pPr>
      <w:r w:rsidRPr="00233C07">
        <w:t>Table 2: Guidance on WHII classification by mechanism</w:t>
      </w:r>
      <w:r>
        <w:t xml:space="preserve"> </w:t>
      </w:r>
      <w:r w:rsidRPr="00F60ED5">
        <w:rPr>
          <w:b w:val="0"/>
          <w:color w:val="auto"/>
        </w:rPr>
        <w:t>(Source: AS1885.1)</w:t>
      </w:r>
    </w:p>
    <w:p w:rsidR="008752EA" w:rsidRPr="007E5640" w:rsidRDefault="00410BC0" w:rsidP="008752EA">
      <w:pPr>
        <w:autoSpaceDE w:val="0"/>
        <w:autoSpaceDN w:val="0"/>
        <w:adjustRightInd w:val="0"/>
        <w:spacing w:after="0" w:line="240" w:lineRule="auto"/>
        <w:ind w:left="1134"/>
        <w:rPr>
          <w:rFonts w:eastAsia="Times New Roman" w:cs="Arial"/>
        </w:rPr>
      </w:pPr>
      <w:r>
        <w:rPr>
          <w:rFonts w:eastAsia="Times New Roman" w:cs="Arial"/>
          <w:b/>
          <w:noProof/>
          <w:szCs w:val="20"/>
        </w:rPr>
        <mc:AlternateContent>
          <mc:Choice Requires="wps">
            <w:drawing>
              <wp:anchor distT="0" distB="0" distL="114300" distR="114300" simplePos="0" relativeHeight="251637760" behindDoc="0" locked="0" layoutInCell="1" allowOverlap="1" wp14:anchorId="4B947284" wp14:editId="18FA1157">
                <wp:simplePos x="0" y="0"/>
                <wp:positionH relativeFrom="column">
                  <wp:posOffset>248056</wp:posOffset>
                </wp:positionH>
                <wp:positionV relativeFrom="paragraph">
                  <wp:posOffset>87960</wp:posOffset>
                </wp:positionV>
                <wp:extent cx="5226050" cy="1755648"/>
                <wp:effectExtent l="0" t="0" r="12700" b="16510"/>
                <wp:wrapNone/>
                <wp:docPr id="28" name="Rectangle 2" descr="BREAKDOWN AGENCY/AND AGENCY OF INJURY/DISEASE&#10; &#10;01 Machinery and fixed plant&#10;02 Mobile plant&#10;03 Road transport&#10;04 Other transport&#10;05 Powered equipment, tools and appliances&#10;06 Non-powered hand tools&#10;07 Non-powered equipment&#10;08 Chemicals&#10;09 Non-metallic substances&#10;10 Other materials, substances or objects&#10;11 Outdoor environment&#10;12 Indoor environment&#10;13 Underground environment&#10;14 Live animals&#10;15 Non-living animals&#10;16 Human agencies&#10;17 Biological agencies&#10;18 Non-physical agencies&#10;98 Other agencies&#10;99 Unspecified agencies&#10;" title="Table 3: Guidance on WHII classification by agency (Source: AS18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6050" cy="1755648"/>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alt="Title: Table 3: Guidance on WHII classification by agency (Source: AS1885.1) - Description: BREAKDOWN AGENCY/AND AGENCY OF INJURY/DISEASE&#10; &#10;01 Machinery and fixed plant&#10;02 Mobile plant&#10;03 Road transport&#10;04 Other transport&#10;05 Powered equipment, tools and appliances&#10;06 Non-powered hand tools&#10;07 Non-powered equipment&#10;08 Chemicals&#10;09 Non-metallic substances&#10;10 Other materials, substances or objects&#10;11 Outdoor environment&#10;12 Indoor environment&#10;13 Underground environment&#10;14 Live animals&#10;15 Non-living animals&#10;16 Human agencies&#10;17 Biological agencies&#10;18 Non-physical agencies&#10;98 Other agencies&#10;99 Unspecified agencies&#10;" style="position:absolute;margin-left:19.55pt;margin-top:6.95pt;width:411.5pt;height:138.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" filled="f" strokecolor="#243f60 [1604]" strokeweight=".25pt">
                <v:path arrowok="t"/>
              </v:rect>
            </w:pict>
          </mc:Fallback>
        </mc:AlternateContent>
      </w:r>
    </w:p>
    <w:p w:rsidR="008752EA" w:rsidRPr="00B865D3" w:rsidRDefault="008752EA" w:rsidP="00F60ED5">
      <w:pPr>
        <w:autoSpaceDE w:val="0"/>
        <w:autoSpaceDN w:val="0"/>
        <w:adjustRightInd w:val="0"/>
        <w:spacing w:after="0"/>
        <w:ind w:left="567" w:right="401" w:firstLine="284"/>
        <w:jc w:val="center"/>
        <w:rPr>
          <w:rFonts w:eastAsia="Times New Roman" w:cs="Arial"/>
          <w:b/>
          <w:szCs w:val="20"/>
        </w:rPr>
      </w:pPr>
      <w:r w:rsidRPr="00B865D3">
        <w:rPr>
          <w:rFonts w:eastAsia="Times New Roman" w:cs="Arial"/>
          <w:b/>
          <w:szCs w:val="20"/>
        </w:rPr>
        <w:t>BREAKDOWN AGENCY/AND AGENCY OF INJURY/DISEASE</w:t>
      </w:r>
    </w:p>
    <w:p w:rsidR="00B865D3" w:rsidRDefault="00B865D3" w:rsidP="00F60ED5">
      <w:pPr>
        <w:autoSpaceDE w:val="0"/>
        <w:autoSpaceDN w:val="0"/>
        <w:adjustRightInd w:val="0"/>
        <w:spacing w:after="0"/>
        <w:ind w:left="567" w:right="401" w:firstLine="284"/>
        <w:jc w:val="center"/>
        <w:rPr>
          <w:rFonts w:eastAsia="Times New Roman" w:cs="Arial"/>
          <w:sz w:val="18"/>
          <w:szCs w:val="18"/>
        </w:rPr>
        <w:sectPr w:rsidR="00B865D3" w:rsidSect="00933FB7">
          <w:pgSz w:w="11906" w:h="16838"/>
          <w:pgMar w:top="1134" w:right="1440" w:bottom="1440" w:left="1418" w:header="708" w:footer="708" w:gutter="0"/>
          <w:cols w:space="708"/>
          <w:docGrid w:linePitch="360"/>
        </w:sectPr>
      </w:pPr>
    </w:p>
    <w:p w:rsidR="008752EA" w:rsidRPr="00B865D3" w:rsidRDefault="008752EA" w:rsidP="00134680">
      <w:pPr>
        <w:autoSpaceDE w:val="0"/>
        <w:autoSpaceDN w:val="0"/>
        <w:adjustRightInd w:val="0"/>
        <w:spacing w:after="0" w:line="240" w:lineRule="auto"/>
        <w:ind w:left="567" w:right="684" w:firstLine="284"/>
        <w:rPr>
          <w:rFonts w:eastAsia="Times New Roman" w:cs="Arial"/>
          <w:sz w:val="18"/>
          <w:szCs w:val="18"/>
        </w:rPr>
      </w:pPr>
      <w:r w:rsidRPr="00B865D3">
        <w:rPr>
          <w:rFonts w:eastAsia="Times New Roman" w:cs="Arial"/>
          <w:sz w:val="18"/>
          <w:szCs w:val="18"/>
        </w:rPr>
        <w:lastRenderedPageBreak/>
        <w:t>01 Machinery and fixed plant</w:t>
      </w:r>
    </w:p>
    <w:p w:rsidR="008752EA" w:rsidRPr="00B865D3" w:rsidRDefault="008752EA" w:rsidP="00134680">
      <w:pPr>
        <w:autoSpaceDE w:val="0"/>
        <w:autoSpaceDN w:val="0"/>
        <w:adjustRightInd w:val="0"/>
        <w:spacing w:after="0" w:line="240" w:lineRule="auto"/>
        <w:ind w:left="567" w:right="684" w:firstLine="284"/>
        <w:rPr>
          <w:rFonts w:eastAsia="Times New Roman" w:cs="Arial"/>
          <w:sz w:val="18"/>
          <w:szCs w:val="18"/>
        </w:rPr>
      </w:pPr>
      <w:r w:rsidRPr="00B865D3">
        <w:rPr>
          <w:rFonts w:eastAsia="Times New Roman" w:cs="Arial"/>
          <w:sz w:val="18"/>
          <w:szCs w:val="18"/>
        </w:rPr>
        <w:t>02 Mobile plant</w:t>
      </w:r>
    </w:p>
    <w:p w:rsidR="008752EA" w:rsidRPr="00B865D3" w:rsidRDefault="008752EA" w:rsidP="00134680">
      <w:pPr>
        <w:autoSpaceDE w:val="0"/>
        <w:autoSpaceDN w:val="0"/>
        <w:adjustRightInd w:val="0"/>
        <w:spacing w:after="0" w:line="240" w:lineRule="auto"/>
        <w:ind w:left="567" w:right="141" w:firstLine="284"/>
        <w:rPr>
          <w:rFonts w:eastAsia="Times New Roman" w:cs="Arial"/>
          <w:sz w:val="18"/>
          <w:szCs w:val="18"/>
        </w:rPr>
      </w:pPr>
      <w:r w:rsidRPr="00B865D3">
        <w:rPr>
          <w:rFonts w:eastAsia="Times New Roman" w:cs="Arial"/>
          <w:sz w:val="18"/>
          <w:szCs w:val="18"/>
        </w:rPr>
        <w:t>03 Road transport</w:t>
      </w:r>
    </w:p>
    <w:p w:rsidR="008752EA" w:rsidRPr="00B865D3" w:rsidRDefault="008752EA" w:rsidP="00134680">
      <w:pPr>
        <w:autoSpaceDE w:val="0"/>
        <w:autoSpaceDN w:val="0"/>
        <w:adjustRightInd w:val="0"/>
        <w:spacing w:after="0" w:line="240" w:lineRule="auto"/>
        <w:ind w:left="567" w:right="141" w:firstLine="284"/>
        <w:rPr>
          <w:rFonts w:eastAsia="Times New Roman" w:cs="Arial"/>
          <w:sz w:val="18"/>
          <w:szCs w:val="18"/>
        </w:rPr>
      </w:pPr>
      <w:r w:rsidRPr="00B865D3">
        <w:rPr>
          <w:rFonts w:eastAsia="Times New Roman" w:cs="Arial"/>
          <w:sz w:val="18"/>
          <w:szCs w:val="18"/>
        </w:rPr>
        <w:t>04 Other transport</w:t>
      </w:r>
    </w:p>
    <w:p w:rsidR="008752EA" w:rsidRPr="00B865D3" w:rsidRDefault="008752EA" w:rsidP="00134680">
      <w:pPr>
        <w:autoSpaceDE w:val="0"/>
        <w:autoSpaceDN w:val="0"/>
        <w:adjustRightInd w:val="0"/>
        <w:spacing w:after="0" w:line="240" w:lineRule="auto"/>
        <w:ind w:left="567" w:right="141" w:firstLine="284"/>
        <w:rPr>
          <w:rFonts w:eastAsia="Times New Roman" w:cs="Arial"/>
          <w:sz w:val="18"/>
          <w:szCs w:val="18"/>
        </w:rPr>
      </w:pPr>
      <w:r w:rsidRPr="00B865D3">
        <w:rPr>
          <w:rFonts w:eastAsia="Times New Roman" w:cs="Arial"/>
          <w:sz w:val="18"/>
          <w:szCs w:val="18"/>
        </w:rPr>
        <w:t>05 Powered equipment, tools and appliances</w:t>
      </w:r>
    </w:p>
    <w:p w:rsidR="008752EA" w:rsidRPr="00B865D3" w:rsidRDefault="008752EA" w:rsidP="00134680">
      <w:pPr>
        <w:autoSpaceDE w:val="0"/>
        <w:autoSpaceDN w:val="0"/>
        <w:adjustRightInd w:val="0"/>
        <w:spacing w:after="0" w:line="240" w:lineRule="auto"/>
        <w:ind w:left="567" w:right="141" w:firstLine="284"/>
        <w:rPr>
          <w:rFonts w:eastAsia="Times New Roman" w:cs="Arial"/>
          <w:sz w:val="18"/>
          <w:szCs w:val="18"/>
        </w:rPr>
      </w:pPr>
      <w:r w:rsidRPr="00B865D3">
        <w:rPr>
          <w:rFonts w:eastAsia="Times New Roman" w:cs="Arial"/>
          <w:sz w:val="18"/>
          <w:szCs w:val="18"/>
        </w:rPr>
        <w:t>06 Non-powered hand tools</w:t>
      </w:r>
    </w:p>
    <w:p w:rsidR="008752EA" w:rsidRPr="00B865D3" w:rsidRDefault="008752EA" w:rsidP="00134680">
      <w:pPr>
        <w:autoSpaceDE w:val="0"/>
        <w:autoSpaceDN w:val="0"/>
        <w:adjustRightInd w:val="0"/>
        <w:spacing w:after="0" w:line="240" w:lineRule="auto"/>
        <w:ind w:left="567" w:right="141" w:firstLine="284"/>
        <w:rPr>
          <w:rFonts w:eastAsia="Times New Roman" w:cs="Arial"/>
          <w:sz w:val="18"/>
          <w:szCs w:val="18"/>
        </w:rPr>
      </w:pPr>
      <w:r w:rsidRPr="00B865D3">
        <w:rPr>
          <w:rFonts w:eastAsia="Times New Roman" w:cs="Arial"/>
          <w:sz w:val="18"/>
          <w:szCs w:val="18"/>
        </w:rPr>
        <w:t>07 Non-powered equipment</w:t>
      </w:r>
    </w:p>
    <w:p w:rsidR="008752EA" w:rsidRPr="00B865D3" w:rsidRDefault="008752EA" w:rsidP="00134680">
      <w:pPr>
        <w:autoSpaceDE w:val="0"/>
        <w:autoSpaceDN w:val="0"/>
        <w:adjustRightInd w:val="0"/>
        <w:spacing w:after="0" w:line="240" w:lineRule="auto"/>
        <w:ind w:left="567" w:right="141" w:firstLine="284"/>
        <w:rPr>
          <w:rFonts w:eastAsia="Times New Roman" w:cs="Arial"/>
          <w:sz w:val="18"/>
          <w:szCs w:val="18"/>
        </w:rPr>
      </w:pPr>
      <w:r w:rsidRPr="00B865D3">
        <w:rPr>
          <w:rFonts w:eastAsia="Times New Roman" w:cs="Arial"/>
          <w:sz w:val="18"/>
          <w:szCs w:val="18"/>
        </w:rPr>
        <w:t>08 Chemicals</w:t>
      </w:r>
    </w:p>
    <w:p w:rsidR="008752EA" w:rsidRPr="00B865D3" w:rsidRDefault="008752EA" w:rsidP="00134680">
      <w:pPr>
        <w:autoSpaceDE w:val="0"/>
        <w:autoSpaceDN w:val="0"/>
        <w:adjustRightInd w:val="0"/>
        <w:spacing w:after="0" w:line="240" w:lineRule="auto"/>
        <w:ind w:left="567" w:right="141" w:firstLine="284"/>
        <w:rPr>
          <w:rFonts w:eastAsia="Times New Roman" w:cs="Arial"/>
          <w:sz w:val="18"/>
          <w:szCs w:val="18"/>
        </w:rPr>
      </w:pPr>
      <w:r w:rsidRPr="00B865D3">
        <w:rPr>
          <w:rFonts w:eastAsia="Times New Roman" w:cs="Arial"/>
          <w:sz w:val="18"/>
          <w:szCs w:val="18"/>
        </w:rPr>
        <w:t>09 Non-metallic substances</w:t>
      </w:r>
    </w:p>
    <w:p w:rsidR="008752EA" w:rsidRPr="00B865D3" w:rsidRDefault="008752EA" w:rsidP="00134680">
      <w:pPr>
        <w:autoSpaceDE w:val="0"/>
        <w:autoSpaceDN w:val="0"/>
        <w:adjustRightInd w:val="0"/>
        <w:spacing w:after="0" w:line="240" w:lineRule="auto"/>
        <w:ind w:left="567" w:right="141" w:firstLine="284"/>
        <w:rPr>
          <w:rFonts w:eastAsia="Times New Roman" w:cs="Arial"/>
          <w:sz w:val="18"/>
          <w:szCs w:val="18"/>
        </w:rPr>
      </w:pPr>
      <w:r w:rsidRPr="00B865D3">
        <w:rPr>
          <w:rFonts w:eastAsia="Times New Roman" w:cs="Arial"/>
          <w:sz w:val="18"/>
          <w:szCs w:val="18"/>
        </w:rPr>
        <w:t>10 Other materials, substances or objects</w:t>
      </w:r>
    </w:p>
    <w:p w:rsidR="008752EA" w:rsidRPr="00B865D3" w:rsidRDefault="008752EA" w:rsidP="00134680">
      <w:pPr>
        <w:autoSpaceDE w:val="0"/>
        <w:autoSpaceDN w:val="0"/>
        <w:adjustRightInd w:val="0"/>
        <w:spacing w:after="0" w:line="240" w:lineRule="auto"/>
        <w:ind w:right="684" w:firstLine="284"/>
        <w:rPr>
          <w:rFonts w:eastAsia="Times New Roman" w:cs="Arial"/>
          <w:sz w:val="18"/>
          <w:szCs w:val="18"/>
        </w:rPr>
      </w:pPr>
      <w:r w:rsidRPr="00B865D3">
        <w:rPr>
          <w:rFonts w:eastAsia="Times New Roman" w:cs="Arial"/>
          <w:sz w:val="18"/>
          <w:szCs w:val="18"/>
        </w:rPr>
        <w:lastRenderedPageBreak/>
        <w:t>11 Outdoor environment</w:t>
      </w:r>
    </w:p>
    <w:p w:rsidR="008752EA" w:rsidRPr="00B865D3" w:rsidRDefault="008752EA" w:rsidP="00134680">
      <w:pPr>
        <w:autoSpaceDE w:val="0"/>
        <w:autoSpaceDN w:val="0"/>
        <w:adjustRightInd w:val="0"/>
        <w:spacing w:after="0" w:line="240" w:lineRule="auto"/>
        <w:ind w:right="684" w:firstLine="284"/>
        <w:rPr>
          <w:rFonts w:eastAsia="Times New Roman" w:cs="Arial"/>
          <w:sz w:val="18"/>
          <w:szCs w:val="18"/>
        </w:rPr>
      </w:pPr>
      <w:r w:rsidRPr="00B865D3">
        <w:rPr>
          <w:rFonts w:eastAsia="Times New Roman" w:cs="Arial"/>
          <w:sz w:val="18"/>
          <w:szCs w:val="18"/>
        </w:rPr>
        <w:t>12 Indoor environment</w:t>
      </w:r>
    </w:p>
    <w:p w:rsidR="008752EA" w:rsidRPr="00B865D3" w:rsidRDefault="008752EA" w:rsidP="00134680">
      <w:pPr>
        <w:autoSpaceDE w:val="0"/>
        <w:autoSpaceDN w:val="0"/>
        <w:adjustRightInd w:val="0"/>
        <w:spacing w:after="0" w:line="240" w:lineRule="auto"/>
        <w:ind w:right="684" w:firstLine="284"/>
        <w:rPr>
          <w:rFonts w:eastAsia="Times New Roman" w:cs="Arial"/>
          <w:sz w:val="18"/>
          <w:szCs w:val="18"/>
        </w:rPr>
      </w:pPr>
      <w:r w:rsidRPr="00B865D3">
        <w:rPr>
          <w:rFonts w:eastAsia="Times New Roman" w:cs="Arial"/>
          <w:sz w:val="18"/>
          <w:szCs w:val="18"/>
        </w:rPr>
        <w:t>13 Underground environment</w:t>
      </w:r>
    </w:p>
    <w:p w:rsidR="008752EA" w:rsidRPr="00B865D3" w:rsidRDefault="008752EA" w:rsidP="00134680">
      <w:pPr>
        <w:autoSpaceDE w:val="0"/>
        <w:autoSpaceDN w:val="0"/>
        <w:adjustRightInd w:val="0"/>
        <w:spacing w:after="0" w:line="240" w:lineRule="auto"/>
        <w:ind w:right="684" w:firstLine="284"/>
        <w:rPr>
          <w:rFonts w:eastAsia="Times New Roman" w:cs="Arial"/>
          <w:sz w:val="18"/>
          <w:szCs w:val="18"/>
        </w:rPr>
      </w:pPr>
      <w:r w:rsidRPr="00B865D3">
        <w:rPr>
          <w:rFonts w:eastAsia="Times New Roman" w:cs="Arial"/>
          <w:sz w:val="18"/>
          <w:szCs w:val="18"/>
        </w:rPr>
        <w:t>14 Live animals</w:t>
      </w:r>
    </w:p>
    <w:p w:rsidR="008752EA" w:rsidRPr="00B865D3" w:rsidRDefault="008752EA" w:rsidP="00134680">
      <w:pPr>
        <w:autoSpaceDE w:val="0"/>
        <w:autoSpaceDN w:val="0"/>
        <w:adjustRightInd w:val="0"/>
        <w:spacing w:after="0" w:line="240" w:lineRule="auto"/>
        <w:ind w:right="684" w:firstLine="284"/>
        <w:rPr>
          <w:rFonts w:eastAsia="Times New Roman" w:cs="Arial"/>
          <w:sz w:val="18"/>
          <w:szCs w:val="18"/>
        </w:rPr>
      </w:pPr>
      <w:r w:rsidRPr="00B865D3">
        <w:rPr>
          <w:rFonts w:eastAsia="Times New Roman" w:cs="Arial"/>
          <w:sz w:val="18"/>
          <w:szCs w:val="18"/>
        </w:rPr>
        <w:t>15 Non-living animals</w:t>
      </w:r>
    </w:p>
    <w:p w:rsidR="008752EA" w:rsidRPr="00B865D3" w:rsidRDefault="008752EA" w:rsidP="00134680">
      <w:pPr>
        <w:autoSpaceDE w:val="0"/>
        <w:autoSpaceDN w:val="0"/>
        <w:adjustRightInd w:val="0"/>
        <w:spacing w:after="0" w:line="240" w:lineRule="auto"/>
        <w:ind w:right="684" w:firstLine="284"/>
        <w:rPr>
          <w:rFonts w:eastAsia="Times New Roman" w:cs="Arial"/>
          <w:sz w:val="18"/>
          <w:szCs w:val="18"/>
        </w:rPr>
      </w:pPr>
      <w:r w:rsidRPr="00B865D3">
        <w:rPr>
          <w:rFonts w:eastAsia="Times New Roman" w:cs="Arial"/>
          <w:sz w:val="18"/>
          <w:szCs w:val="18"/>
        </w:rPr>
        <w:t>16 Human agencies</w:t>
      </w:r>
    </w:p>
    <w:p w:rsidR="008752EA" w:rsidRPr="00B865D3" w:rsidRDefault="008752EA" w:rsidP="00134680">
      <w:pPr>
        <w:autoSpaceDE w:val="0"/>
        <w:autoSpaceDN w:val="0"/>
        <w:adjustRightInd w:val="0"/>
        <w:spacing w:after="0" w:line="240" w:lineRule="auto"/>
        <w:ind w:right="684" w:firstLine="284"/>
        <w:rPr>
          <w:rFonts w:eastAsia="Times New Roman" w:cs="Arial"/>
          <w:sz w:val="18"/>
          <w:szCs w:val="18"/>
        </w:rPr>
      </w:pPr>
      <w:r w:rsidRPr="00B865D3">
        <w:rPr>
          <w:rFonts w:eastAsia="Times New Roman" w:cs="Arial"/>
          <w:sz w:val="18"/>
          <w:szCs w:val="18"/>
        </w:rPr>
        <w:t>17 Biological agencies</w:t>
      </w:r>
    </w:p>
    <w:p w:rsidR="008752EA" w:rsidRPr="00B865D3" w:rsidRDefault="008752EA" w:rsidP="00134680">
      <w:pPr>
        <w:autoSpaceDE w:val="0"/>
        <w:autoSpaceDN w:val="0"/>
        <w:adjustRightInd w:val="0"/>
        <w:spacing w:after="0" w:line="240" w:lineRule="auto"/>
        <w:ind w:right="684" w:firstLine="284"/>
        <w:rPr>
          <w:rFonts w:eastAsia="Times New Roman" w:cs="Arial"/>
          <w:sz w:val="18"/>
          <w:szCs w:val="18"/>
        </w:rPr>
      </w:pPr>
      <w:r w:rsidRPr="00B865D3">
        <w:rPr>
          <w:rFonts w:eastAsia="Times New Roman" w:cs="Arial"/>
          <w:sz w:val="18"/>
          <w:szCs w:val="18"/>
        </w:rPr>
        <w:t>18 Non-physical agencies</w:t>
      </w:r>
    </w:p>
    <w:p w:rsidR="008752EA" w:rsidRPr="00B865D3" w:rsidRDefault="008752EA" w:rsidP="00134680">
      <w:pPr>
        <w:autoSpaceDE w:val="0"/>
        <w:autoSpaceDN w:val="0"/>
        <w:adjustRightInd w:val="0"/>
        <w:spacing w:after="0" w:line="240" w:lineRule="auto"/>
        <w:ind w:right="684" w:firstLine="284"/>
        <w:rPr>
          <w:rFonts w:eastAsia="Times New Roman" w:cs="Arial"/>
          <w:sz w:val="18"/>
          <w:szCs w:val="18"/>
        </w:rPr>
      </w:pPr>
      <w:r w:rsidRPr="00B865D3">
        <w:rPr>
          <w:rFonts w:eastAsia="Times New Roman" w:cs="Arial"/>
          <w:sz w:val="18"/>
          <w:szCs w:val="18"/>
        </w:rPr>
        <w:t>98 Other agencies</w:t>
      </w:r>
    </w:p>
    <w:p w:rsidR="00B865D3" w:rsidRDefault="003E265A" w:rsidP="003E265A">
      <w:pPr>
        <w:autoSpaceDE w:val="0"/>
        <w:autoSpaceDN w:val="0"/>
        <w:adjustRightInd w:val="0"/>
        <w:spacing w:line="240" w:lineRule="auto"/>
        <w:ind w:right="684" w:firstLine="284"/>
        <w:rPr>
          <w:rFonts w:eastAsia="Times New Roman" w:cs="Arial"/>
          <w:sz w:val="18"/>
          <w:szCs w:val="18"/>
        </w:rPr>
      </w:pPr>
      <w:r>
        <w:rPr>
          <w:rFonts w:eastAsia="Times New Roman" w:cs="Arial"/>
          <w:sz w:val="18"/>
          <w:szCs w:val="18"/>
        </w:rPr>
        <w:t>99 Unspecified agencies</w:t>
      </w:r>
    </w:p>
    <w:p w:rsidR="00331D20" w:rsidRPr="003E265A" w:rsidRDefault="00331D20" w:rsidP="003E265A">
      <w:pPr>
        <w:autoSpaceDE w:val="0"/>
        <w:autoSpaceDN w:val="0"/>
        <w:adjustRightInd w:val="0"/>
        <w:spacing w:line="240" w:lineRule="auto"/>
        <w:ind w:right="684" w:firstLine="284"/>
        <w:rPr>
          <w:rFonts w:eastAsia="Times New Roman" w:cs="Arial"/>
          <w:sz w:val="18"/>
          <w:szCs w:val="18"/>
        </w:rPr>
        <w:sectPr w:rsidR="00331D20" w:rsidRPr="003E265A" w:rsidSect="00B865D3">
          <w:type w:val="continuous"/>
          <w:pgSz w:w="11906" w:h="16838"/>
          <w:pgMar w:top="1134" w:right="1440" w:bottom="1440" w:left="1418" w:header="708" w:footer="708" w:gutter="0"/>
          <w:cols w:num="2" w:space="260"/>
          <w:docGrid w:linePitch="360"/>
        </w:sectPr>
      </w:pPr>
    </w:p>
    <w:p w:rsidR="00233C07" w:rsidRDefault="00233C07" w:rsidP="00F60ED5">
      <w:pPr>
        <w:pStyle w:val="Caption"/>
        <w:spacing w:before="120" w:after="0"/>
        <w:jc w:val="center"/>
      </w:pPr>
    </w:p>
    <w:p w:rsidR="00331D20" w:rsidRDefault="00331D20" w:rsidP="00F60ED5">
      <w:pPr>
        <w:pStyle w:val="Caption"/>
        <w:spacing w:before="120" w:after="0"/>
        <w:jc w:val="center"/>
      </w:pPr>
      <w:r w:rsidRPr="00233C07">
        <w:t>Table 3: Guidance on WHII classification by agency</w:t>
      </w:r>
      <w:r>
        <w:t xml:space="preserve"> </w:t>
      </w:r>
      <w:r w:rsidRPr="00F60ED5">
        <w:rPr>
          <w:b w:val="0"/>
          <w:color w:val="auto"/>
        </w:rPr>
        <w:t>(Source: AS1885.1)</w:t>
      </w:r>
    </w:p>
    <w:p w:rsidR="007E5640" w:rsidRPr="001C1B49" w:rsidRDefault="007E5640" w:rsidP="00F60ED5">
      <w:pPr>
        <w:spacing w:after="120"/>
        <w:jc w:val="both"/>
        <w:rPr>
          <w:rFonts w:eastAsia="Times New Roman" w:cs="Arial"/>
          <w:i/>
          <w:color w:val="365F91" w:themeColor="accent1" w:themeShade="BF"/>
        </w:rPr>
      </w:pPr>
      <w:r w:rsidRPr="001C1B49">
        <w:rPr>
          <w:rFonts w:eastAsia="Times New Roman" w:cs="Arial"/>
          <w:i/>
          <w:color w:val="365F91" w:themeColor="accent1" w:themeShade="BF"/>
        </w:rPr>
        <w:t>Classifying the subject (</w:t>
      </w:r>
      <w:r w:rsidR="008752EA" w:rsidRPr="001C1B49">
        <w:rPr>
          <w:rFonts w:eastAsia="Times New Roman" w:cs="Arial"/>
          <w:i/>
          <w:color w:val="365F91" w:themeColor="accent1" w:themeShade="BF"/>
        </w:rPr>
        <w:t xml:space="preserve">bodily location and </w:t>
      </w:r>
      <w:r w:rsidRPr="001C1B49">
        <w:rPr>
          <w:rFonts w:eastAsia="Times New Roman" w:cs="Arial"/>
          <w:i/>
          <w:color w:val="365F91" w:themeColor="accent1" w:themeShade="BF"/>
        </w:rPr>
        <w:t xml:space="preserve">nature) of </w:t>
      </w:r>
      <w:r w:rsidR="008752EA" w:rsidRPr="001C1B49">
        <w:rPr>
          <w:rFonts w:eastAsia="Times New Roman" w:cs="Arial"/>
          <w:i/>
          <w:color w:val="365F91" w:themeColor="accent1" w:themeShade="BF"/>
        </w:rPr>
        <w:t>WRII</w:t>
      </w:r>
    </w:p>
    <w:p w:rsidR="00233C07" w:rsidRDefault="00631BA5" w:rsidP="00F60ED5">
      <w:pPr>
        <w:spacing w:after="0"/>
        <w:jc w:val="both"/>
        <w:rPr>
          <w:rFonts w:eastAsia="Times New Roman" w:cs="Arial"/>
        </w:rPr>
      </w:pPr>
      <w:r>
        <w:rPr>
          <w:rFonts w:eastAsia="Times New Roman" w:cs="Arial"/>
        </w:rPr>
        <w:t>T</w:t>
      </w:r>
      <w:r w:rsidR="007E5640">
        <w:rPr>
          <w:rFonts w:eastAsia="Times New Roman" w:cs="Arial"/>
        </w:rPr>
        <w:t>he Australian Standard on Workplace Injury and Disease Recording (AS1885.1)</w:t>
      </w:r>
      <w:r>
        <w:rPr>
          <w:rFonts w:eastAsia="Times New Roman" w:cs="Arial"/>
        </w:rPr>
        <w:t xml:space="preserve"> also advocates the following categories for </w:t>
      </w:r>
      <w:r w:rsidR="00342F15">
        <w:rPr>
          <w:rFonts w:eastAsia="Times New Roman" w:cs="Arial"/>
        </w:rPr>
        <w:t xml:space="preserve">investigating incidents and </w:t>
      </w:r>
      <w:r>
        <w:rPr>
          <w:rFonts w:eastAsia="Times New Roman" w:cs="Arial"/>
        </w:rPr>
        <w:t>monitoring trends in the Body Location and Nature of WRII</w:t>
      </w:r>
      <w:r w:rsidR="00331D20">
        <w:rPr>
          <w:rFonts w:eastAsia="Times New Roman" w:cs="Arial"/>
        </w:rPr>
        <w:t xml:space="preserve"> (see tables 4 and 5).</w:t>
      </w:r>
      <w:r w:rsidR="00331D20" w:rsidRPr="00331D20">
        <w:rPr>
          <w:rFonts w:eastAsia="Times New Roman" w:cs="Arial"/>
        </w:rPr>
        <w:t xml:space="preserve"> </w:t>
      </w:r>
      <w:r w:rsidR="00331D20">
        <w:rPr>
          <w:rFonts w:eastAsia="Times New Roman" w:cs="Arial"/>
        </w:rPr>
        <w:t>Further insight may be gained from tabulating pairs of factors or attributes as shown in Appendix 1.</w:t>
      </w:r>
    </w:p>
    <w:p w:rsidR="00233C07" w:rsidRDefault="00233C07">
      <w:pPr>
        <w:rPr>
          <w:rFonts w:eastAsia="Times New Roman" w:cs="Arial"/>
        </w:rPr>
      </w:pPr>
      <w:r>
        <w:rPr>
          <w:rFonts w:eastAsia="Times New Roman" w:cs="Arial"/>
        </w:rPr>
        <w:br w:type="page"/>
      </w:r>
    </w:p>
    <w:p w:rsidR="007E5640" w:rsidRDefault="007E5640" w:rsidP="00F60ED5">
      <w:pPr>
        <w:spacing w:after="0"/>
        <w:jc w:val="both"/>
        <w:rPr>
          <w:rFonts w:eastAsia="Times New Roman" w:cs="Arial"/>
        </w:rPr>
      </w:pPr>
    </w:p>
    <w:p w:rsidR="008752EA" w:rsidRPr="00134680" w:rsidRDefault="008752EA" w:rsidP="00B60BAC">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1985" w:right="2385" w:firstLine="284"/>
        <w:rPr>
          <w:rFonts w:eastAsia="Times New Roman" w:cs="Arial"/>
          <w:b/>
          <w:szCs w:val="20"/>
        </w:rPr>
      </w:pPr>
      <w:r w:rsidRPr="00134680">
        <w:rPr>
          <w:rFonts w:eastAsia="Times New Roman" w:cs="Arial"/>
          <w:b/>
          <w:szCs w:val="20"/>
        </w:rPr>
        <w:t>BODILY LOCATION OF INJURY/DISEASE</w:t>
      </w:r>
    </w:p>
    <w:p w:rsidR="008752EA" w:rsidRPr="00134680"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01 Eye</w:t>
      </w:r>
    </w:p>
    <w:p w:rsidR="008752EA" w:rsidRPr="00134680"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02 Ear</w:t>
      </w:r>
    </w:p>
    <w:p w:rsidR="008752EA" w:rsidRPr="00134680"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03 Face</w:t>
      </w:r>
    </w:p>
    <w:p w:rsidR="008752EA" w:rsidRPr="00134680"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04 Head (other than eye, ear and face)</w:t>
      </w:r>
    </w:p>
    <w:p w:rsidR="008752EA" w:rsidRPr="00134680"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05 Neck</w:t>
      </w:r>
    </w:p>
    <w:p w:rsidR="008752EA" w:rsidRPr="00134680"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06 Back</w:t>
      </w:r>
    </w:p>
    <w:p w:rsidR="008752EA" w:rsidRPr="00134680"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07 Trunk (other than back and excluding internal organs)</w:t>
      </w:r>
    </w:p>
    <w:p w:rsidR="008752EA" w:rsidRPr="00134680"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08 Shoulders and arms</w:t>
      </w:r>
    </w:p>
    <w:p w:rsidR="008752EA" w:rsidRPr="00134680"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09 Hands and fingers</w:t>
      </w:r>
    </w:p>
    <w:p w:rsidR="008752EA" w:rsidRPr="00134680"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10 Hips and legs</w:t>
      </w:r>
    </w:p>
    <w:p w:rsidR="008752EA" w:rsidRPr="00134680"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11 Feet and toes</w:t>
      </w:r>
    </w:p>
    <w:p w:rsidR="008752EA" w:rsidRPr="00134680"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12 Internal organs (located in the trunk)</w:t>
      </w:r>
    </w:p>
    <w:p w:rsidR="008752EA" w:rsidRPr="00134680"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98 Multiple locations (more than one of the above)</w:t>
      </w:r>
    </w:p>
    <w:p w:rsidR="008752EA" w:rsidRDefault="008752EA" w:rsidP="00631BA5">
      <w:pPr>
        <w:pBdr>
          <w:top w:val="single" w:sz="4" w:space="1" w:color="auto"/>
          <w:left w:val="single" w:sz="4" w:space="4" w:color="auto"/>
          <w:bottom w:val="single" w:sz="4" w:space="1" w:color="auto"/>
          <w:right w:val="single" w:sz="4" w:space="4" w:color="auto"/>
        </w:pBdr>
        <w:tabs>
          <w:tab w:val="left" w:pos="2694"/>
        </w:tabs>
        <w:autoSpaceDE w:val="0"/>
        <w:autoSpaceDN w:val="0"/>
        <w:adjustRightInd w:val="0"/>
        <w:spacing w:after="0" w:line="240" w:lineRule="auto"/>
        <w:ind w:left="1985" w:right="2385" w:firstLine="284"/>
        <w:rPr>
          <w:rFonts w:eastAsia="Times New Roman" w:cs="Arial"/>
          <w:sz w:val="18"/>
          <w:szCs w:val="18"/>
        </w:rPr>
      </w:pPr>
      <w:r w:rsidRPr="00134680">
        <w:rPr>
          <w:rFonts w:eastAsia="Times New Roman" w:cs="Arial"/>
          <w:sz w:val="18"/>
          <w:szCs w:val="18"/>
        </w:rPr>
        <w:t>99 General and unspecified locations</w:t>
      </w:r>
    </w:p>
    <w:p w:rsidR="00134680" w:rsidRPr="00134680" w:rsidRDefault="00134680" w:rsidP="00B60BAC">
      <w:pPr>
        <w:pBdr>
          <w:top w:val="single" w:sz="4" w:space="1" w:color="auto"/>
          <w:left w:val="single" w:sz="4" w:space="4" w:color="auto"/>
          <w:bottom w:val="single" w:sz="4" w:space="1" w:color="auto"/>
          <w:right w:val="single" w:sz="4" w:space="4" w:color="auto"/>
        </w:pBdr>
        <w:tabs>
          <w:tab w:val="left" w:pos="1360"/>
        </w:tabs>
        <w:autoSpaceDE w:val="0"/>
        <w:autoSpaceDN w:val="0"/>
        <w:adjustRightInd w:val="0"/>
        <w:spacing w:after="0" w:line="240" w:lineRule="auto"/>
        <w:ind w:left="1985" w:right="2385" w:firstLine="284"/>
        <w:rPr>
          <w:rFonts w:eastAsia="Times New Roman" w:cs="Arial"/>
          <w:sz w:val="8"/>
          <w:szCs w:val="8"/>
        </w:rPr>
      </w:pPr>
    </w:p>
    <w:p w:rsidR="00CC06D2" w:rsidRPr="00233C07" w:rsidRDefault="00331D20" w:rsidP="00233C07">
      <w:pPr>
        <w:pStyle w:val="Caption"/>
        <w:spacing w:before="80" w:after="0"/>
        <w:jc w:val="center"/>
        <w:rPr>
          <w:b w:val="0"/>
          <w:color w:val="auto"/>
        </w:rPr>
      </w:pPr>
      <w:r w:rsidRPr="00F60ED5">
        <w:rPr>
          <w:sz w:val="20"/>
          <w:szCs w:val="20"/>
        </w:rPr>
        <w:t xml:space="preserve">Table 4: Guidance on WHII classification by </w:t>
      </w:r>
      <w:r>
        <w:rPr>
          <w:sz w:val="20"/>
          <w:szCs w:val="20"/>
        </w:rPr>
        <w:t>bodily location</w:t>
      </w:r>
      <w:r>
        <w:t xml:space="preserve"> </w:t>
      </w:r>
      <w:r w:rsidRPr="00DF6C28">
        <w:rPr>
          <w:b w:val="0"/>
          <w:color w:val="auto"/>
        </w:rPr>
        <w:t>(Source: AS1885.1)</w:t>
      </w:r>
    </w:p>
    <w:p w:rsidR="00B60BAC" w:rsidRDefault="00410BC0" w:rsidP="008752EA">
      <w:pPr>
        <w:spacing w:after="0" w:line="240" w:lineRule="auto"/>
        <w:jc w:val="both"/>
        <w:rPr>
          <w:rFonts w:eastAsia="Times New Roman" w:cs="Arial"/>
          <w:sz w:val="18"/>
          <w:szCs w:val="18"/>
        </w:rPr>
      </w:pPr>
      <w:r>
        <w:rPr>
          <w:rFonts w:eastAsia="Times New Roman" w:cs="Arial"/>
          <w:noProof/>
          <w:sz w:val="18"/>
          <w:szCs w:val="18"/>
        </w:rPr>
        <mc:AlternateContent>
          <mc:Choice Requires="wps">
            <w:drawing>
              <wp:anchor distT="0" distB="0" distL="114300" distR="114300" simplePos="0" relativeHeight="251639808" behindDoc="0" locked="0" layoutInCell="1" allowOverlap="1" wp14:anchorId="1EEBA1C6" wp14:editId="50A9EA44">
                <wp:simplePos x="0" y="0"/>
                <wp:positionH relativeFrom="column">
                  <wp:posOffset>-168910</wp:posOffset>
                </wp:positionH>
                <wp:positionV relativeFrom="paragraph">
                  <wp:posOffset>79400</wp:posOffset>
                </wp:positionV>
                <wp:extent cx="6210300" cy="3474720"/>
                <wp:effectExtent l="0" t="0" r="19050" b="11430"/>
                <wp:wrapNone/>
                <wp:docPr id="18" name="Rectangle 3" descr="NATURE OF INJURY&#10;01 Fractures (excluding of vertebral column)&#10;02 Fracture of vertebral column*&#10;03 Dislocations&#10;04 Sprains and strains of joints and adjacent muscles*&#10;05 Intracranial injury, including concussion&#10;06 Internal injury of chest, abdomen and pelvis&#10;07 Traumatic amputation, including loss of eyeball&#10;08 Open wound not involving traumatic amputation&#10;09 Superficial injury&#10;10 Contusion with intact skin surface and crushing injury*&#10;11 Foreign body on external eye, in ear or nose or respiratory, digestive or reproductive systems*&#10;12 Burns&#10;13 Injuries to nerves and spinal cord &#10;14 Poisoning and toxic effects of substances&#10;15 Effects of weather, exposure, air pressure and other external causes*&#10;16 Multiple injuries (only to be used where no principal injury can be identified)&#10;17 Damage to artificial aids&#10;19 Other and unspecified injuries&#10;* (various inclusions and exclusions omitted)&#10;NATURE OF DISEASE&#10;21 Deafness&#10;22 Eye disorders (non-traumatic)&#10;28 Other diseases of the nervous system and sense organs&#10;31 Disorders of muscle, tendons and other soft tissues (includes synovitis, tenosynovitis, bursitis)&#10;38 Other diseases of the musculoskeletal system and connective tissue&#10;41 Dermatitis and other eczema&#10;48 Other diseases of the skin and subcutaneous tissue &#10;51 Hernia&#10;58 Other diseases of the digestive system&#10;61 Infectious and parasitic diseases&#10;71 Diseases of the respiratory system (including asthma, legionnaires disease, asbestosis, pneumoconiosis)&#10;81 Disease of the circulatory system (including heart disease, hypertension, hypotension, varicose veins)&#10;91 Cancers and other neoplasms&#10;95 Mental disorders&#10;98 Other diseases&#10;&#10;" title="Table 5: Guidance on WHII claasification by nature (Source: AS18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347472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alt="Title: Table 5: Guidance on WHII claasification by nature (Source: AS1885.1 - Description: NATURE OF INJURY&#10;01 Fractures (excluding of vertebral column)&#10;02 Fracture of vertebral column*&#10;03 Dislocations&#10;04 Sprains and strains of joints and adjacent muscles*&#10;05 Intracranial injury, including concussion&#10;06 Internal injury of chest, abdomen and pelvis&#10;07 Traumatic amputation, including loss of eyeball&#10;08 Open wound not involving traumatic amputation&#10;09 Superficial injury&#10;10 Contusion with intact skin surface and crushing injury*&#10;11 Foreign body on external eye, in ear or nose or respiratory, digestive or reproductive systems*&#10;12 Burns&#10;13 Injuries to nerves and spinal cord &#10;14 Poisoning and toxic effects of substances&#10;15 Effects of weather, exposure, air pressure and other external causes*&#10;16 Multiple injuries (only to be used where no principal injury can be identified)&#10;17 Damage to artificial aids&#10;19 Other and unspecified injuries&#10;* (various inclusions and exclusions omitted)&#10;NATURE OF DISEASE&#10;21 Deafness&#10;22 Eye disorders (non-traumatic)&#10;28 Other diseases of the nervous system and sense organs&#10;31 Disorders of muscle, tendons and other soft tissues (includes synovitis, tenosynovitis, bursitis)&#10;38 Other diseases of the musculoskeletal system and connective tissue&#10;41 Dermatitis and other eczema&#10;48 Other diseases of the skin and subcutaneous tissue &#10;51 Hernia&#10;58 Other diseases of the digestive system&#10;61 Infectious and parasitic diseases&#10;71 Diseases of the respiratory system (including asthma, legionnaires disease, asbestosis, pneumoconiosis)&#10;81 Disease of the circulatory system (including heart disease, hypertension, hypotension, varicose veins)&#10;91 Cancers and other neoplasms&#10;95 Mental disorders&#10;98 Other diseases&#10;&#10;" style="position:absolute;margin-left:-13.3pt;margin-top:6.25pt;width:489pt;height:27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" filled="f" strokecolor="#243f60 [1604]" strokeweight=".25pt">
                <v:path arrowok="t"/>
              </v:rect>
            </w:pict>
          </mc:Fallback>
        </mc:AlternateContent>
      </w:r>
    </w:p>
    <w:p w:rsidR="00B60BAC" w:rsidRDefault="00B60BAC" w:rsidP="008752EA">
      <w:pPr>
        <w:spacing w:after="0" w:line="240" w:lineRule="auto"/>
        <w:jc w:val="both"/>
        <w:rPr>
          <w:rFonts w:eastAsia="Times New Roman" w:cs="Arial"/>
          <w:sz w:val="18"/>
          <w:szCs w:val="18"/>
        </w:rPr>
        <w:sectPr w:rsidR="00B60BAC" w:rsidSect="00B60BAC">
          <w:type w:val="continuous"/>
          <w:pgSz w:w="11906" w:h="16838"/>
          <w:pgMar w:top="1134" w:right="1440" w:bottom="1440" w:left="1418" w:header="709" w:footer="709" w:gutter="0"/>
          <w:cols w:space="708"/>
          <w:docGrid w:linePitch="360"/>
        </w:sectPr>
      </w:pPr>
    </w:p>
    <w:p w:rsidR="008752EA" w:rsidRPr="00B60BAC" w:rsidRDefault="008752EA" w:rsidP="00B60BAC">
      <w:pPr>
        <w:spacing w:after="0" w:line="240" w:lineRule="auto"/>
        <w:jc w:val="both"/>
        <w:rPr>
          <w:rFonts w:eastAsia="Times New Roman" w:cs="Arial"/>
          <w:b/>
          <w:szCs w:val="20"/>
        </w:rPr>
      </w:pPr>
      <w:r w:rsidRPr="00B60BAC">
        <w:rPr>
          <w:rFonts w:eastAsia="Times New Roman" w:cs="Arial"/>
          <w:b/>
          <w:szCs w:val="20"/>
        </w:rPr>
        <w:t>NATURE OF INJURY</w:t>
      </w:r>
    </w:p>
    <w:p w:rsidR="007E5640"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01 Fractures (excluding of vertebral column)</w:t>
      </w:r>
    </w:p>
    <w:p w:rsidR="00B60BAC"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02 Fracture of vertebral column</w:t>
      </w:r>
      <w:r w:rsidR="00B60BAC" w:rsidRPr="00B60BAC">
        <w:rPr>
          <w:rFonts w:eastAsia="Times New Roman" w:cs="Arial"/>
          <w:sz w:val="18"/>
          <w:szCs w:val="18"/>
        </w:rPr>
        <w:t>*</w:t>
      </w:r>
    </w:p>
    <w:p w:rsidR="007E5640"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03 Dislocations</w:t>
      </w:r>
    </w:p>
    <w:p w:rsidR="00B60BAC"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04 Sprains and strains of joints and adjacent muscles</w:t>
      </w:r>
      <w:r w:rsidR="00B60BAC" w:rsidRPr="00B60BAC">
        <w:rPr>
          <w:rFonts w:eastAsia="Times New Roman" w:cs="Arial"/>
          <w:sz w:val="18"/>
          <w:szCs w:val="18"/>
        </w:rPr>
        <w:t>*</w:t>
      </w:r>
    </w:p>
    <w:p w:rsidR="007E5640"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05 Intracranial injury, including concussion</w:t>
      </w:r>
    </w:p>
    <w:p w:rsidR="007E5640"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06 Internal injury of chest, abdomen and pelvis</w:t>
      </w:r>
    </w:p>
    <w:p w:rsidR="007E5640"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 xml:space="preserve">07 Traumatic amputation, including </w:t>
      </w:r>
      <w:r w:rsidR="00B60BAC" w:rsidRPr="00B60BAC">
        <w:rPr>
          <w:rFonts w:eastAsia="Times New Roman" w:cs="Arial"/>
          <w:sz w:val="18"/>
          <w:szCs w:val="18"/>
        </w:rPr>
        <w:t>loss</w:t>
      </w:r>
      <w:r w:rsidRPr="00B60BAC">
        <w:rPr>
          <w:rFonts w:eastAsia="Times New Roman" w:cs="Arial"/>
          <w:sz w:val="18"/>
          <w:szCs w:val="18"/>
        </w:rPr>
        <w:t xml:space="preserve"> of eye</w:t>
      </w:r>
      <w:r w:rsidR="00B60BAC" w:rsidRPr="00B60BAC">
        <w:rPr>
          <w:rFonts w:eastAsia="Times New Roman" w:cs="Arial"/>
          <w:sz w:val="18"/>
          <w:szCs w:val="18"/>
        </w:rPr>
        <w:t>ball</w:t>
      </w:r>
    </w:p>
    <w:p w:rsidR="007E5640"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08 Open wound not involving traumatic amputation</w:t>
      </w:r>
    </w:p>
    <w:p w:rsidR="007E5640"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09 Superficial injury</w:t>
      </w:r>
    </w:p>
    <w:p w:rsidR="007E5640"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 xml:space="preserve">10 Contusion with intact skin surface and crushing </w:t>
      </w:r>
      <w:r w:rsidR="00B60BAC" w:rsidRPr="00B60BAC">
        <w:rPr>
          <w:rFonts w:eastAsia="Times New Roman" w:cs="Arial"/>
          <w:sz w:val="18"/>
          <w:szCs w:val="18"/>
        </w:rPr>
        <w:t>injury*</w:t>
      </w:r>
    </w:p>
    <w:p w:rsidR="00B60BAC" w:rsidRPr="00B60BAC" w:rsidRDefault="007E5640" w:rsidP="00B60BAC">
      <w:pPr>
        <w:spacing w:after="0" w:line="240" w:lineRule="auto"/>
        <w:ind w:left="284" w:right="-142" w:hanging="284"/>
        <w:jc w:val="both"/>
        <w:rPr>
          <w:rFonts w:eastAsia="Times New Roman" w:cs="Arial"/>
          <w:sz w:val="18"/>
          <w:szCs w:val="18"/>
        </w:rPr>
      </w:pPr>
      <w:r w:rsidRPr="00B60BAC">
        <w:rPr>
          <w:rFonts w:eastAsia="Times New Roman" w:cs="Arial"/>
          <w:sz w:val="18"/>
          <w:szCs w:val="18"/>
        </w:rPr>
        <w:t xml:space="preserve">11 Foreign body on external eye, in ear or nose </w:t>
      </w:r>
      <w:r w:rsidR="00B60BAC">
        <w:rPr>
          <w:rFonts w:eastAsia="Times New Roman" w:cs="Arial"/>
          <w:sz w:val="18"/>
          <w:szCs w:val="18"/>
        </w:rPr>
        <w:t>or</w:t>
      </w:r>
      <w:r w:rsidRPr="00B60BAC">
        <w:rPr>
          <w:rFonts w:eastAsia="Times New Roman" w:cs="Arial"/>
          <w:sz w:val="18"/>
          <w:szCs w:val="18"/>
        </w:rPr>
        <w:t xml:space="preserve"> respiratory, digestive or reproductive systems</w:t>
      </w:r>
      <w:r w:rsidR="00B60BAC" w:rsidRPr="00B60BAC">
        <w:rPr>
          <w:rFonts w:eastAsia="Times New Roman" w:cs="Arial"/>
          <w:sz w:val="18"/>
          <w:szCs w:val="18"/>
        </w:rPr>
        <w:t>*</w:t>
      </w:r>
    </w:p>
    <w:p w:rsidR="007E5640"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12 Burns</w:t>
      </w:r>
    </w:p>
    <w:p w:rsidR="00B60BAC"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 xml:space="preserve">13 Injuries to nerves and spinal cord </w:t>
      </w:r>
    </w:p>
    <w:p w:rsidR="007E5640"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14 Poisoning and toxic effects of substances</w:t>
      </w:r>
    </w:p>
    <w:p w:rsidR="00B60BAC"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 xml:space="preserve">15 Effects of weather, exposure, air pressure and </w:t>
      </w:r>
      <w:r w:rsidR="00B60BAC" w:rsidRPr="00B60BAC">
        <w:rPr>
          <w:rFonts w:eastAsia="Times New Roman" w:cs="Arial"/>
          <w:sz w:val="18"/>
          <w:szCs w:val="18"/>
        </w:rPr>
        <w:t>other external causes*</w:t>
      </w:r>
    </w:p>
    <w:p w:rsidR="007E5640"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16 Multiple injuries (only to be used where no principal injury can be identified)</w:t>
      </w:r>
    </w:p>
    <w:p w:rsidR="007E5640" w:rsidRPr="00B60BAC" w:rsidRDefault="007E5640" w:rsidP="00B60BAC">
      <w:pPr>
        <w:spacing w:after="0" w:line="240" w:lineRule="auto"/>
        <w:ind w:left="284" w:hanging="284"/>
        <w:jc w:val="both"/>
        <w:rPr>
          <w:rFonts w:eastAsia="Times New Roman" w:cs="Arial"/>
          <w:sz w:val="18"/>
          <w:szCs w:val="18"/>
        </w:rPr>
      </w:pPr>
      <w:r w:rsidRPr="00B60BAC">
        <w:rPr>
          <w:rFonts w:eastAsia="Times New Roman" w:cs="Arial"/>
          <w:sz w:val="18"/>
          <w:szCs w:val="18"/>
        </w:rPr>
        <w:t>17 Damage to artificial aids</w:t>
      </w:r>
    </w:p>
    <w:p w:rsidR="007E5640" w:rsidRPr="00B60BAC" w:rsidRDefault="007E5640" w:rsidP="00B60BAC">
      <w:pPr>
        <w:spacing w:after="80" w:line="240" w:lineRule="auto"/>
        <w:ind w:left="284" w:hanging="284"/>
        <w:jc w:val="both"/>
        <w:rPr>
          <w:rFonts w:eastAsia="Times New Roman" w:cs="Arial"/>
          <w:sz w:val="18"/>
          <w:szCs w:val="18"/>
        </w:rPr>
      </w:pPr>
      <w:r w:rsidRPr="00B60BAC">
        <w:rPr>
          <w:rFonts w:eastAsia="Times New Roman" w:cs="Arial"/>
          <w:sz w:val="18"/>
          <w:szCs w:val="18"/>
        </w:rPr>
        <w:t>19 Other and unspecified injuries</w:t>
      </w:r>
    </w:p>
    <w:p w:rsidR="00B60BAC" w:rsidRPr="00B60BAC" w:rsidRDefault="00B60BAC" w:rsidP="00B60BAC">
      <w:pPr>
        <w:spacing w:after="0" w:line="240" w:lineRule="auto"/>
        <w:jc w:val="both"/>
        <w:rPr>
          <w:rFonts w:eastAsia="Times New Roman" w:cs="Arial"/>
          <w:i/>
          <w:sz w:val="16"/>
          <w:szCs w:val="16"/>
        </w:rPr>
      </w:pPr>
      <w:r w:rsidRPr="00B60BAC">
        <w:rPr>
          <w:rFonts w:eastAsia="Times New Roman" w:cs="Arial"/>
          <w:i/>
          <w:sz w:val="16"/>
          <w:szCs w:val="16"/>
        </w:rPr>
        <w:t>* (various inclusions and exclusions omitted)</w:t>
      </w:r>
    </w:p>
    <w:p w:rsidR="00B60BAC" w:rsidRPr="00B60BAC" w:rsidRDefault="00B60BAC" w:rsidP="00B60BAC">
      <w:pPr>
        <w:spacing w:after="0" w:line="240" w:lineRule="auto"/>
        <w:jc w:val="both"/>
        <w:rPr>
          <w:rFonts w:eastAsia="Times New Roman" w:cs="Arial"/>
          <w:b/>
          <w:szCs w:val="20"/>
        </w:rPr>
      </w:pPr>
      <w:r w:rsidRPr="00B60BAC">
        <w:rPr>
          <w:rFonts w:eastAsia="Times New Roman" w:cs="Arial"/>
          <w:b/>
          <w:szCs w:val="20"/>
        </w:rPr>
        <w:t>NATURE OF DISEASE</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21 Deafness</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22 Eye disorders (non-traumatic)</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28 Other diseases of the nervous system and sense organs</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31 Disorders of muscle, tendons and other soft tissues (includes synovitis, tenosynovitis, bursitis)</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38 Other diseases of the musculoskeletal system and connective tissue</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41 Dermatitis and other eczema</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 xml:space="preserve">48 Other diseases of the skin and subcutaneous tissue </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51 Hernia</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58 Other diseases of the digestive system</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61 Infectious and parasitic diseases</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71 Diseases of the respiratory system (including asthma, legionnaires disease, asbestosis, pneumoconiosis)</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81 Disease of the circulatory system (including heart disease, hypertension, hypotension, varicose veins)</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91 Cancers and other neoplasms</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95 Mental disorders</w:t>
      </w:r>
    </w:p>
    <w:p w:rsidR="00B60BAC" w:rsidRPr="00B60BAC" w:rsidRDefault="00B60BAC" w:rsidP="00B60BAC">
      <w:pPr>
        <w:spacing w:after="0" w:line="240" w:lineRule="auto"/>
        <w:ind w:left="284" w:hanging="284"/>
        <w:rPr>
          <w:rFonts w:eastAsia="Times New Roman" w:cs="Arial"/>
          <w:sz w:val="18"/>
          <w:szCs w:val="18"/>
        </w:rPr>
      </w:pPr>
      <w:r w:rsidRPr="00B60BAC">
        <w:rPr>
          <w:rFonts w:eastAsia="Times New Roman" w:cs="Arial"/>
          <w:sz w:val="18"/>
          <w:szCs w:val="18"/>
        </w:rPr>
        <w:t>98 Other diseases</w:t>
      </w:r>
    </w:p>
    <w:p w:rsidR="00B60BAC" w:rsidRDefault="00B60BAC" w:rsidP="00B60BAC">
      <w:pPr>
        <w:spacing w:after="0" w:line="240" w:lineRule="auto"/>
        <w:rPr>
          <w:rFonts w:eastAsia="Times New Roman" w:cs="Arial"/>
          <w:sz w:val="18"/>
          <w:szCs w:val="18"/>
        </w:rPr>
      </w:pPr>
    </w:p>
    <w:p w:rsidR="00B60BAC" w:rsidRPr="00B60BAC" w:rsidRDefault="00B60BAC" w:rsidP="00B60BAC">
      <w:pPr>
        <w:spacing w:after="0" w:line="240" w:lineRule="auto"/>
        <w:rPr>
          <w:rFonts w:eastAsia="Times New Roman" w:cs="Arial"/>
          <w:sz w:val="18"/>
          <w:szCs w:val="18"/>
        </w:rPr>
      </w:pPr>
    </w:p>
    <w:p w:rsidR="00B60BAC" w:rsidRPr="00B60BAC" w:rsidRDefault="00B60BAC" w:rsidP="00B60BAC">
      <w:pPr>
        <w:spacing w:after="0" w:line="240" w:lineRule="auto"/>
        <w:jc w:val="both"/>
        <w:rPr>
          <w:rFonts w:eastAsia="Times New Roman" w:cs="Arial"/>
          <w:sz w:val="18"/>
          <w:szCs w:val="18"/>
        </w:rPr>
      </w:pPr>
    </w:p>
    <w:p w:rsidR="00B60BAC" w:rsidRPr="00B60BAC" w:rsidRDefault="00B60BAC" w:rsidP="00B60BAC">
      <w:pPr>
        <w:spacing w:after="0" w:line="240" w:lineRule="auto"/>
        <w:jc w:val="both"/>
        <w:rPr>
          <w:rFonts w:eastAsia="Times New Roman" w:cs="Arial"/>
          <w:sz w:val="18"/>
          <w:szCs w:val="18"/>
        </w:rPr>
        <w:sectPr w:rsidR="00B60BAC" w:rsidRPr="00B60BAC" w:rsidSect="00B60BAC">
          <w:type w:val="continuous"/>
          <w:pgSz w:w="11906" w:h="16838"/>
          <w:pgMar w:top="1134" w:right="1440" w:bottom="1440" w:left="1418" w:header="708" w:footer="708" w:gutter="0"/>
          <w:cols w:num="2" w:space="260"/>
          <w:docGrid w:linePitch="360"/>
        </w:sectPr>
      </w:pPr>
    </w:p>
    <w:p w:rsidR="00331D20" w:rsidRDefault="00331D20" w:rsidP="00331D20">
      <w:pPr>
        <w:pStyle w:val="Caption"/>
        <w:spacing w:before="120" w:after="0"/>
        <w:jc w:val="center"/>
      </w:pPr>
      <w:r w:rsidRPr="00F60ED5">
        <w:rPr>
          <w:sz w:val="20"/>
          <w:szCs w:val="20"/>
        </w:rPr>
        <w:t xml:space="preserve">Table 5: Guidance on WHII classification by </w:t>
      </w:r>
      <w:r>
        <w:rPr>
          <w:sz w:val="20"/>
          <w:szCs w:val="20"/>
        </w:rPr>
        <w:t>nature</w:t>
      </w:r>
      <w:r>
        <w:t xml:space="preserve"> </w:t>
      </w:r>
      <w:r w:rsidRPr="00DF6C28">
        <w:rPr>
          <w:b w:val="0"/>
          <w:color w:val="auto"/>
        </w:rPr>
        <w:t>(Source: AS1885.1)</w:t>
      </w:r>
    </w:p>
    <w:p w:rsidR="00FD29A0" w:rsidRPr="00D87B5B" w:rsidRDefault="00FD29A0" w:rsidP="00F60ED5">
      <w:pPr>
        <w:pStyle w:val="Style3"/>
        <w:numPr>
          <w:ilvl w:val="0"/>
          <w:numId w:val="8"/>
        </w:numPr>
        <w:spacing w:before="240" w:after="120"/>
        <w:ind w:left="425" w:hanging="425"/>
        <w:rPr>
          <w:rFonts w:asciiTheme="minorHAnsi" w:hAnsiTheme="minorHAnsi"/>
          <w:sz w:val="24"/>
          <w:szCs w:val="24"/>
          <w:u w:val="single"/>
        </w:rPr>
      </w:pPr>
      <w:bookmarkStart w:id="13" w:name="_Toc361085303"/>
      <w:r w:rsidRPr="00D87B5B">
        <w:rPr>
          <w:rFonts w:asciiTheme="minorHAnsi" w:hAnsiTheme="minorHAnsi"/>
          <w:sz w:val="24"/>
          <w:szCs w:val="24"/>
          <w:u w:val="single"/>
        </w:rPr>
        <w:t xml:space="preserve">Classifying </w:t>
      </w:r>
      <w:r>
        <w:rPr>
          <w:rFonts w:asciiTheme="minorHAnsi" w:hAnsiTheme="minorHAnsi"/>
          <w:sz w:val="24"/>
          <w:szCs w:val="24"/>
          <w:u w:val="single"/>
        </w:rPr>
        <w:t>WRII</w:t>
      </w:r>
      <w:r w:rsidRPr="00D87B5B">
        <w:rPr>
          <w:rFonts w:asciiTheme="minorHAnsi" w:hAnsiTheme="minorHAnsi"/>
          <w:sz w:val="24"/>
          <w:szCs w:val="24"/>
          <w:u w:val="single"/>
        </w:rPr>
        <w:t xml:space="preserve"> severity</w:t>
      </w:r>
      <w:bookmarkEnd w:id="13"/>
    </w:p>
    <w:p w:rsidR="00B20302" w:rsidRDefault="00321C0F" w:rsidP="00F60ED5">
      <w:pPr>
        <w:spacing w:after="0"/>
        <w:jc w:val="both"/>
        <w:rPr>
          <w:rFonts w:eastAsia="Times New Roman" w:cs="Arial"/>
        </w:rPr>
      </w:pPr>
      <w:r>
        <w:rPr>
          <w:rFonts w:eastAsia="Times New Roman" w:cs="Arial"/>
        </w:rPr>
        <w:t>Classification of</w:t>
      </w:r>
      <w:r w:rsidR="00342F15" w:rsidRPr="00342F15">
        <w:rPr>
          <w:rFonts w:eastAsia="Times New Roman" w:cs="Arial"/>
        </w:rPr>
        <w:t xml:space="preserve"> the severity of WRII</w:t>
      </w:r>
      <w:r>
        <w:rPr>
          <w:rFonts w:eastAsia="Times New Roman" w:cs="Arial"/>
        </w:rPr>
        <w:t>s is performed for the purpose of u</w:t>
      </w:r>
      <w:r w:rsidR="00FD29A0" w:rsidRPr="00342F15">
        <w:rPr>
          <w:rFonts w:eastAsia="Times New Roman" w:cs="Arial"/>
        </w:rPr>
        <w:t>nderstand</w:t>
      </w:r>
      <w:r>
        <w:rPr>
          <w:rFonts w:eastAsia="Times New Roman" w:cs="Arial"/>
        </w:rPr>
        <w:t>ing</w:t>
      </w:r>
      <w:r w:rsidR="00FD29A0" w:rsidRPr="00342F15">
        <w:rPr>
          <w:rFonts w:eastAsia="Times New Roman" w:cs="Arial"/>
        </w:rPr>
        <w:t xml:space="preserve"> the extent of damage (</w:t>
      </w:r>
      <w:r w:rsidR="00342F15">
        <w:rPr>
          <w:rFonts w:eastAsia="Times New Roman" w:cs="Arial"/>
        </w:rPr>
        <w:t xml:space="preserve">human, organisational and financial) that arises as a consequence of </w:t>
      </w:r>
      <w:r>
        <w:rPr>
          <w:rFonts w:eastAsia="Times New Roman" w:cs="Arial"/>
        </w:rPr>
        <w:t>a</w:t>
      </w:r>
      <w:r w:rsidR="00342F15">
        <w:rPr>
          <w:rFonts w:eastAsia="Times New Roman" w:cs="Arial"/>
        </w:rPr>
        <w:t xml:space="preserve"> failure</w:t>
      </w:r>
      <w:r w:rsidR="00FD29A0">
        <w:rPr>
          <w:rFonts w:eastAsia="Times New Roman" w:cs="Arial"/>
        </w:rPr>
        <w:t xml:space="preserve">. </w:t>
      </w:r>
      <w:r w:rsidR="00342F15">
        <w:rPr>
          <w:rFonts w:eastAsia="Times New Roman" w:cs="Arial"/>
        </w:rPr>
        <w:t xml:space="preserve">As illustrated in </w:t>
      </w:r>
      <w:r>
        <w:rPr>
          <w:rFonts w:eastAsia="Times New Roman" w:cs="Arial"/>
        </w:rPr>
        <w:t>s</w:t>
      </w:r>
      <w:r w:rsidR="00342F15">
        <w:rPr>
          <w:rFonts w:eastAsia="Times New Roman" w:cs="Arial"/>
        </w:rPr>
        <w:t>ection 3.1, traditional organisational analyses of WRII severity tend to follow the classifications identified in Bird’s triangle (see Figure</w:t>
      </w:r>
      <w:r>
        <w:rPr>
          <w:rFonts w:eastAsia="Times New Roman" w:cs="Arial"/>
        </w:rPr>
        <w:t>s 3 and</w:t>
      </w:r>
      <w:r w:rsidR="00342F15">
        <w:rPr>
          <w:rFonts w:eastAsia="Times New Roman" w:cs="Arial"/>
        </w:rPr>
        <w:t xml:space="preserve"> 7)</w:t>
      </w:r>
      <w:r w:rsidR="00B20302">
        <w:rPr>
          <w:rFonts w:eastAsia="Times New Roman" w:cs="Arial"/>
        </w:rPr>
        <w:t xml:space="preserve"> and therefore focus on highly aggregated measures such as ‘all injury’, ‘recordable injury’</w:t>
      </w:r>
      <w:r w:rsidR="0080400D">
        <w:rPr>
          <w:rStyle w:val="FootnoteReference"/>
          <w:rFonts w:eastAsia="Times New Roman" w:cs="Arial"/>
        </w:rPr>
        <w:footnoteReference w:id="37"/>
      </w:r>
      <w:r w:rsidR="00B20302">
        <w:rPr>
          <w:rFonts w:eastAsia="Times New Roman" w:cs="Arial"/>
        </w:rPr>
        <w:t xml:space="preserve"> and ‘lost time injury’</w:t>
      </w:r>
      <w:r w:rsidR="00342F15">
        <w:rPr>
          <w:rFonts w:eastAsia="Times New Roman" w:cs="Arial"/>
        </w:rPr>
        <w:t xml:space="preserve">. </w:t>
      </w:r>
    </w:p>
    <w:p w:rsidR="00342F15" w:rsidRDefault="00631BA5" w:rsidP="00342F15">
      <w:pPr>
        <w:keepNext/>
        <w:spacing w:after="0"/>
        <w:jc w:val="both"/>
      </w:pPr>
      <w:r>
        <w:rPr>
          <w:noProof/>
        </w:rPr>
        <w:drawing>
          <wp:inline distT="0" distB="0" distL="0" distR="0" wp14:anchorId="5BB4FEAB" wp14:editId="499ABDDD">
            <wp:extent cx="5486400" cy="1375575"/>
            <wp:effectExtent l="0" t="0" r="19050" b="0"/>
            <wp:docPr id="30" name="Diagram 30" descr="This graph shows  traditional approach to classifying WRII severity from first aid, to medical treatment to lost time injury and finally fatality." title="Figure 7: A traditional approach to classifying WRII severit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631BA5" w:rsidRPr="00233C07" w:rsidRDefault="00342F15" w:rsidP="00233C07">
      <w:pPr>
        <w:pStyle w:val="Caption"/>
        <w:jc w:val="center"/>
      </w:pPr>
      <w:r w:rsidRPr="00233C07">
        <w:t xml:space="preserve">Figure </w:t>
      </w:r>
      <w:r w:rsidR="00D515BB" w:rsidRPr="00233C07">
        <w:fldChar w:fldCharType="begin"/>
      </w:r>
      <w:r w:rsidR="00F93AA1" w:rsidRPr="00233C07">
        <w:instrText xml:space="preserve"> SEQ Figure \* ARABIC </w:instrText>
      </w:r>
      <w:r w:rsidR="00D515BB" w:rsidRPr="00233C07">
        <w:fldChar w:fldCharType="separate"/>
      </w:r>
      <w:r w:rsidR="00B47C1D" w:rsidRPr="00233C07">
        <w:t>7</w:t>
      </w:r>
      <w:r w:rsidR="00D515BB" w:rsidRPr="00233C07">
        <w:fldChar w:fldCharType="end"/>
      </w:r>
      <w:r w:rsidRPr="00233C07">
        <w:t xml:space="preserve">: </w:t>
      </w:r>
      <w:r w:rsidR="0009533D" w:rsidRPr="00233C07">
        <w:t>A t</w:t>
      </w:r>
      <w:r w:rsidRPr="00233C07">
        <w:t>raditional approach to classifying WRII severity</w:t>
      </w:r>
    </w:p>
    <w:p w:rsidR="006A1CA2" w:rsidRDefault="006A1CA2" w:rsidP="005D757E">
      <w:pPr>
        <w:spacing w:after="0"/>
        <w:jc w:val="both"/>
        <w:rPr>
          <w:rFonts w:eastAsia="Times New Roman" w:cs="Arial"/>
        </w:rPr>
      </w:pPr>
    </w:p>
    <w:p w:rsidR="006A1CA2" w:rsidRDefault="00654ADC" w:rsidP="005D757E">
      <w:pPr>
        <w:spacing w:after="0"/>
        <w:jc w:val="both"/>
        <w:rPr>
          <w:rFonts w:eastAsia="Times New Roman" w:cs="Arial"/>
        </w:rPr>
      </w:pPr>
      <w:r>
        <w:rPr>
          <w:noProof/>
        </w:rPr>
        <w:drawing>
          <wp:anchor distT="0" distB="0" distL="114300" distR="114300" simplePos="0" relativeHeight="251638784" behindDoc="1" locked="0" layoutInCell="1" allowOverlap="1" wp14:anchorId="098DBF26" wp14:editId="1DEABADF">
            <wp:simplePos x="0" y="0"/>
            <wp:positionH relativeFrom="column">
              <wp:posOffset>53340</wp:posOffset>
            </wp:positionH>
            <wp:positionV relativeFrom="paragraph">
              <wp:posOffset>1175385</wp:posOffset>
            </wp:positionV>
            <wp:extent cx="2941955" cy="2981325"/>
            <wp:effectExtent l="76200" t="76200" r="86995" b="123825"/>
            <wp:wrapSquare wrapText="bothSides"/>
            <wp:docPr id="9" name="Diagram 9" descr="Figure 8 illustrates the general relationship between injury severity and frequency experienced by most organisations. Injuries requiring medical treatment, modified duties or short periods of work absence occur more frequently than those resulting in moderate to long absences or partial disability, whilst incidents resulting in total permanent disability or fatality are rare. However, it can also be seen that LTI and recordable injury measures are unlikely to provide relevant information as to the occurrence, frequency or incidence of long absences and disabling incidents that permanently alter a person’s life." title="Figure 8: Traditional classifications of WRII outcom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H relativeFrom="margin">
              <wp14:pctWidth>0</wp14:pctWidth>
            </wp14:sizeRelH>
            <wp14:sizeRelV relativeFrom="margin">
              <wp14:pctHeight>0</wp14:pctHeight>
            </wp14:sizeRelV>
          </wp:anchor>
        </w:drawing>
      </w:r>
      <w:r w:rsidR="00410BC0">
        <w:rPr>
          <w:rFonts w:eastAsia="Times New Roman" w:cs="Arial"/>
          <w:noProof/>
        </w:rPr>
        <mc:AlternateContent>
          <mc:Choice Requires="wps">
            <w:drawing>
              <wp:anchor distT="0" distB="0" distL="114300" distR="114300" simplePos="0" relativeHeight="251648000" behindDoc="0" locked="0" layoutInCell="1" allowOverlap="1" wp14:anchorId="510FBAFA" wp14:editId="6384EAF9">
                <wp:simplePos x="0" y="0"/>
                <wp:positionH relativeFrom="column">
                  <wp:posOffset>63500</wp:posOffset>
                </wp:positionH>
                <wp:positionV relativeFrom="paragraph">
                  <wp:posOffset>1523365</wp:posOffset>
                </wp:positionV>
                <wp:extent cx="349250" cy="11684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168400"/>
                        </a:xfrm>
                        <a:prstGeom prst="rect">
                          <a:avLst/>
                        </a:prstGeom>
                        <a:solidFill>
                          <a:srgbClr val="FFFFFF"/>
                        </a:solidFill>
                        <a:ln w="9525">
                          <a:noFill/>
                          <a:miter lim="800000"/>
                          <a:headEnd/>
                          <a:tailEnd/>
                        </a:ln>
                      </wps:spPr>
                      <wps:txbx>
                        <w:txbxContent>
                          <w:p w:rsidR="00123706" w:rsidRDefault="00123706" w:rsidP="00740BD3">
                            <w:r>
                              <w:t>Recordable injury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5pt;margin-top:119.95pt;width:27.5pt;height: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" stroked="f">
                <v:textbox style="layout-flow:vertical">
                  <w:txbxContent>
                    <w:p w:rsidR="00123706" w:rsidRDefault="00123706" w:rsidP="00740BD3">
                      <w:r>
                        <w:t>Recordable injury</w:t>
                      </w:r>
                    </w:p>
                  </w:txbxContent>
                </v:textbox>
              </v:shape>
            </w:pict>
          </mc:Fallback>
        </mc:AlternateContent>
      </w:r>
      <w:r w:rsidR="00410BC0">
        <w:rPr>
          <w:rFonts w:eastAsia="Times New Roman" w:cs="Arial"/>
          <w:noProof/>
        </w:rPr>
        <mc:AlternateContent>
          <mc:Choice Requires="wps">
            <w:drawing>
              <wp:anchor distT="0" distB="0" distL="114300" distR="114300" simplePos="0" relativeHeight="251645952" behindDoc="0" locked="0" layoutInCell="1" allowOverlap="1" wp14:anchorId="7D3750B5" wp14:editId="4E20326E">
                <wp:simplePos x="0" y="0"/>
                <wp:positionH relativeFrom="column">
                  <wp:posOffset>2457450</wp:posOffset>
                </wp:positionH>
                <wp:positionV relativeFrom="paragraph">
                  <wp:posOffset>1485265</wp:posOffset>
                </wp:positionV>
                <wp:extent cx="349250" cy="1066800"/>
                <wp:effectExtent l="0" t="0" r="0" b="0"/>
                <wp:wrapNone/>
                <wp:docPr id="290" name="Text Box 2" descr="Lost time injury" title="Lost time inju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066800"/>
                        </a:xfrm>
                        <a:prstGeom prst="rect">
                          <a:avLst/>
                        </a:prstGeom>
                        <a:solidFill>
                          <a:srgbClr val="FFFFFF"/>
                        </a:solidFill>
                        <a:ln w="9525">
                          <a:noFill/>
                          <a:miter lim="800000"/>
                          <a:headEnd/>
                          <a:tailEnd/>
                        </a:ln>
                      </wps:spPr>
                      <wps:txbx>
                        <w:txbxContent>
                          <w:p w:rsidR="00123706" w:rsidRDefault="00123706">
                            <w:r>
                              <w:t>Lost time injury</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alt="Title: Lost time injury - Description: Lost time injury" style="position:absolute;left:0;text-align:left;margin-left:193.5pt;margin-top:116.95pt;width:27.5pt;height: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" stroked="f">
                <v:textbox style="layout-flow:vertical">
                  <w:txbxContent>
                    <w:p w:rsidR="00123706" w:rsidRDefault="00123706">
                      <w:r>
                        <w:t>Lost time injury</w:t>
                      </w:r>
                    </w:p>
                  </w:txbxContent>
                </v:textbox>
              </v:shape>
            </w:pict>
          </mc:Fallback>
        </mc:AlternateContent>
      </w:r>
      <w:r w:rsidR="00076644">
        <w:rPr>
          <w:rFonts w:eastAsia="Times New Roman" w:cs="Arial"/>
        </w:rPr>
        <w:t>By</w:t>
      </w:r>
      <w:r w:rsidR="006A1CA2">
        <w:rPr>
          <w:rFonts w:eastAsia="Times New Roman" w:cs="Arial"/>
        </w:rPr>
        <w:t xml:space="preserve"> </w:t>
      </w:r>
      <w:r w:rsidR="00F84452">
        <w:rPr>
          <w:rFonts w:eastAsia="Times New Roman" w:cs="Arial"/>
        </w:rPr>
        <w:t>aggregat</w:t>
      </w:r>
      <w:r w:rsidR="00076644">
        <w:rPr>
          <w:rFonts w:eastAsia="Times New Roman" w:cs="Arial"/>
        </w:rPr>
        <w:t>ing</w:t>
      </w:r>
      <w:r w:rsidR="00F84452">
        <w:rPr>
          <w:rFonts w:eastAsia="Times New Roman" w:cs="Arial"/>
        </w:rPr>
        <w:t xml:space="preserve"> within the LTI category </w:t>
      </w:r>
      <w:r w:rsidR="00321C0F">
        <w:rPr>
          <w:rFonts w:eastAsia="Times New Roman" w:cs="Arial"/>
        </w:rPr>
        <w:t xml:space="preserve">both i) </w:t>
      </w:r>
      <w:r w:rsidR="00F84452">
        <w:rPr>
          <w:rFonts w:eastAsia="Times New Roman" w:cs="Arial"/>
        </w:rPr>
        <w:t>low frequency, high consequence WRIIs (such as disability and long-term temporary impairment)</w:t>
      </w:r>
      <w:r w:rsidR="00321C0F">
        <w:rPr>
          <w:rFonts w:eastAsia="Times New Roman" w:cs="Arial"/>
        </w:rPr>
        <w:t>;</w:t>
      </w:r>
      <w:r w:rsidR="00883825">
        <w:rPr>
          <w:rFonts w:eastAsia="Times New Roman" w:cs="Arial"/>
        </w:rPr>
        <w:t xml:space="preserve"> </w:t>
      </w:r>
      <w:r w:rsidR="00321C0F">
        <w:rPr>
          <w:rFonts w:eastAsia="Times New Roman" w:cs="Arial"/>
        </w:rPr>
        <w:t>and ii)</w:t>
      </w:r>
      <w:r w:rsidR="00F84452">
        <w:rPr>
          <w:rFonts w:eastAsia="Times New Roman" w:cs="Arial"/>
        </w:rPr>
        <w:t xml:space="preserve"> high frequency, low consequence WRIIs (see Figure 8)</w:t>
      </w:r>
      <w:r w:rsidR="00076644">
        <w:rPr>
          <w:rFonts w:eastAsia="Times New Roman" w:cs="Arial"/>
        </w:rPr>
        <w:t>, t</w:t>
      </w:r>
      <w:r w:rsidR="00342F15">
        <w:rPr>
          <w:rFonts w:eastAsia="Times New Roman" w:cs="Arial"/>
        </w:rPr>
        <w:t xml:space="preserve">his approach has a number of </w:t>
      </w:r>
      <w:r w:rsidR="00076644">
        <w:rPr>
          <w:rFonts w:eastAsia="Times New Roman" w:cs="Arial"/>
        </w:rPr>
        <w:t xml:space="preserve">important </w:t>
      </w:r>
      <w:r w:rsidR="00F84452">
        <w:rPr>
          <w:rFonts w:eastAsia="Times New Roman" w:cs="Arial"/>
        </w:rPr>
        <w:t xml:space="preserve">limitations. First, </w:t>
      </w:r>
      <w:r w:rsidR="00076644">
        <w:rPr>
          <w:rFonts w:eastAsia="Times New Roman" w:cs="Arial"/>
        </w:rPr>
        <w:t xml:space="preserve">LTI rates </w:t>
      </w:r>
      <w:r w:rsidR="00F84452">
        <w:rPr>
          <w:rFonts w:eastAsia="Times New Roman" w:cs="Arial"/>
        </w:rPr>
        <w:t>focus attention on the frequency of occurrence rather th</w:t>
      </w:r>
      <w:r w:rsidR="0009533D">
        <w:rPr>
          <w:rFonts w:eastAsia="Times New Roman" w:cs="Arial"/>
        </w:rPr>
        <w:t>a</w:t>
      </w:r>
      <w:r w:rsidR="00F84452">
        <w:rPr>
          <w:rFonts w:eastAsia="Times New Roman" w:cs="Arial"/>
        </w:rPr>
        <w:t>n the consequences</w:t>
      </w:r>
      <w:r w:rsidR="0009533D">
        <w:rPr>
          <w:rFonts w:eastAsia="Times New Roman" w:cs="Arial"/>
        </w:rPr>
        <w:t xml:space="preserve"> and draws attention to </w:t>
      </w:r>
    </w:p>
    <w:p w:rsidR="006A1CA2" w:rsidRDefault="006A1CA2" w:rsidP="005D757E">
      <w:pPr>
        <w:spacing w:after="0"/>
        <w:jc w:val="both"/>
        <w:rPr>
          <w:rFonts w:eastAsia="Times New Roman" w:cs="Arial"/>
        </w:rPr>
      </w:pPr>
    </w:p>
    <w:p w:rsidR="00342F15" w:rsidRDefault="006A1CA2" w:rsidP="005D757E">
      <w:pPr>
        <w:spacing w:after="0"/>
        <w:jc w:val="both"/>
        <w:rPr>
          <w:rFonts w:eastAsia="Times New Roman" w:cs="Arial"/>
        </w:rPr>
      </w:pPr>
      <w:r>
        <w:rPr>
          <w:rFonts w:eastAsia="Times New Roman" w:cs="Arial"/>
        </w:rPr>
        <w:t>h</w:t>
      </w:r>
      <w:r w:rsidR="0009533D">
        <w:rPr>
          <w:rFonts w:eastAsia="Times New Roman" w:cs="Arial"/>
        </w:rPr>
        <w:t>igh volume incidents rather than those resulting in the greatest damage</w:t>
      </w:r>
      <w:r w:rsidR="00F84452">
        <w:rPr>
          <w:rFonts w:eastAsia="Times New Roman" w:cs="Arial"/>
        </w:rPr>
        <w:t>.</w:t>
      </w:r>
    </w:p>
    <w:p w:rsidR="0009533D" w:rsidRDefault="00410BC0" w:rsidP="005D757E">
      <w:pPr>
        <w:spacing w:before="240"/>
        <w:jc w:val="both"/>
        <w:rPr>
          <w:rFonts w:eastAsia="Times New Roman" w:cs="Arial"/>
        </w:rPr>
      </w:pPr>
      <w:r>
        <w:rPr>
          <w:noProof/>
        </w:rPr>
        <mc:AlternateContent>
          <mc:Choice Requires="wps">
            <w:drawing>
              <wp:anchor distT="0" distB="0" distL="114300" distR="114300" simplePos="0" relativeHeight="251646976" behindDoc="0" locked="0" layoutInCell="1" allowOverlap="1" wp14:anchorId="443B7768" wp14:editId="3860BBA1">
                <wp:simplePos x="0" y="0"/>
                <wp:positionH relativeFrom="column">
                  <wp:posOffset>-1608455</wp:posOffset>
                </wp:positionH>
                <wp:positionV relativeFrom="paragraph">
                  <wp:posOffset>1325880</wp:posOffset>
                </wp:positionV>
                <wp:extent cx="2335530" cy="0"/>
                <wp:effectExtent l="74930" t="15240" r="77470" b="20955"/>
                <wp:wrapNone/>
                <wp:docPr id="10" name="Straight Arrow Connector 289" descr="Arrow from top to bottom"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35530" cy="0"/>
                        </a:xfrm>
                        <a:prstGeom prst="straightConnector1">
                          <a:avLst/>
                        </a:prstGeom>
                        <a:noFill/>
                        <a:ln w="9525">
                          <a:solidFill>
                            <a:schemeClr val="dk1">
                              <a:lumMod val="95000"/>
                              <a:lumOff val="0"/>
                            </a:schemeClr>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100" dir="5400000" algn="t" rotWithShape="0">
                                  <a:srgbClr val="000000">
                                    <a:alpha val="39999"/>
                                  </a:srgbClr>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9" o:spid="_x0000_s1026" type="#_x0000_t32" alt="Title: Arrow - Description: Arrow from top to bottom" style="position:absolute;margin-left:-126.65pt;margin-top:104.4pt;width:183.9pt;height:0;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" strokecolor="black [3040]">
                <v:stroke startarrow="open" endarrow="open"/>
                <v:shadow color="black" opacity="26213f" origin=",-.5" offset="0,3pt"/>
              </v:shape>
            </w:pict>
          </mc:Fallback>
        </mc:AlternateContent>
      </w:r>
      <w:r>
        <w:rPr>
          <w:rFonts w:eastAsia="Times New Roman" w:cs="Arial"/>
          <w:noProof/>
        </w:rPr>
        <mc:AlternateContent>
          <mc:Choice Requires="wps">
            <w:drawing>
              <wp:anchor distT="0" distB="0" distL="114300" distR="114300" simplePos="0" relativeHeight="251649024" behindDoc="0" locked="0" layoutInCell="1" allowOverlap="1" wp14:anchorId="720AEA13" wp14:editId="27C2CBE5">
                <wp:simplePos x="0" y="0"/>
                <wp:positionH relativeFrom="column">
                  <wp:posOffset>-4524375</wp:posOffset>
                </wp:positionH>
                <wp:positionV relativeFrom="paragraph">
                  <wp:posOffset>1549400</wp:posOffset>
                </wp:positionV>
                <wp:extent cx="2783205" cy="635"/>
                <wp:effectExtent l="78105" t="15240" r="73660" b="20955"/>
                <wp:wrapNone/>
                <wp:docPr id="7" name="Straight Arrow Connector 292" descr="Recordable Injury" title="Recordable Injur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83205" cy="635"/>
                        </a:xfrm>
                        <a:prstGeom prst="bentConnector3">
                          <a:avLst>
                            <a:gd name="adj1" fmla="val 49991"/>
                          </a:avLst>
                        </a:prstGeom>
                        <a:noFill/>
                        <a:ln w="9525">
                          <a:solidFill>
                            <a:schemeClr val="dk1">
                              <a:lumMod val="95000"/>
                              <a:lumOff val="0"/>
                            </a:schemeClr>
                          </a:solidFill>
                          <a:miter lim="800000"/>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100" dir="5400000" algn="t" rotWithShape="0">
                                  <a:srgbClr val="000000">
                                    <a:alpha val="39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92" o:spid="_x0000_s1026" type="#_x0000_t34" alt="Title: Recordable Injury - Description: Recordable Injury" style="position:absolute;margin-left:-356.25pt;margin-top:122pt;width:219.15pt;height:.0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" adj="10798" strokecolor="black [3040]">
                <v:stroke startarrow="open" endarrow="open"/>
                <v:shadow color="black" opacity="26213f" origin=",-.5" offset="0,3pt"/>
              </v:shape>
            </w:pict>
          </mc:Fallback>
        </mc:AlternateContent>
      </w:r>
      <w:r w:rsidR="0009533D">
        <w:rPr>
          <w:rFonts w:eastAsia="Times New Roman" w:cs="Arial"/>
        </w:rPr>
        <w:t xml:space="preserve">Second, </w:t>
      </w:r>
      <w:r w:rsidR="00076644">
        <w:rPr>
          <w:rFonts w:eastAsia="Times New Roman" w:cs="Arial"/>
        </w:rPr>
        <w:t xml:space="preserve">LTIs </w:t>
      </w:r>
      <w:r w:rsidR="0009533D">
        <w:rPr>
          <w:rFonts w:eastAsia="Times New Roman" w:cs="Arial"/>
        </w:rPr>
        <w:t>fail to recognise as impairment</w:t>
      </w:r>
      <w:r w:rsidR="00321C0F">
        <w:rPr>
          <w:rFonts w:eastAsia="Times New Roman" w:cs="Arial"/>
        </w:rPr>
        <w:t>s</w:t>
      </w:r>
      <w:r w:rsidR="0009533D">
        <w:rPr>
          <w:rFonts w:eastAsia="Times New Roman" w:cs="Arial"/>
        </w:rPr>
        <w:t xml:space="preserve"> those WRIIs that result in long-term or permanent damage but no lost work time (such as work-related hearing loss). By </w:t>
      </w:r>
      <w:r w:rsidR="00321C0F">
        <w:rPr>
          <w:rFonts w:eastAsia="Times New Roman" w:cs="Arial"/>
        </w:rPr>
        <w:t>treating</w:t>
      </w:r>
      <w:r w:rsidR="0009533D">
        <w:rPr>
          <w:rFonts w:eastAsia="Times New Roman" w:cs="Arial"/>
        </w:rPr>
        <w:t xml:space="preserve"> these as medical treatment</w:t>
      </w:r>
      <w:r w:rsidR="00321C0F">
        <w:rPr>
          <w:rFonts w:eastAsia="Times New Roman" w:cs="Arial"/>
        </w:rPr>
        <w:t>s</w:t>
      </w:r>
      <w:r w:rsidR="0009533D">
        <w:rPr>
          <w:rFonts w:eastAsia="Times New Roman" w:cs="Arial"/>
        </w:rPr>
        <w:t xml:space="preserve">, the significance of their consequences can be </w:t>
      </w:r>
      <w:r w:rsidR="00321C0F">
        <w:rPr>
          <w:rFonts w:eastAsia="Times New Roman" w:cs="Arial"/>
        </w:rPr>
        <w:t xml:space="preserve">grossly </w:t>
      </w:r>
      <w:r w:rsidR="0009533D">
        <w:rPr>
          <w:rFonts w:eastAsia="Times New Roman" w:cs="Arial"/>
        </w:rPr>
        <w:t>understated.</w:t>
      </w:r>
    </w:p>
    <w:p w:rsidR="004531E6" w:rsidRDefault="00233C07" w:rsidP="0009533D">
      <w:pPr>
        <w:jc w:val="both"/>
        <w:rPr>
          <w:rFonts w:eastAsia="Times New Roman" w:cs="Arial"/>
        </w:rPr>
      </w:pPr>
      <w:r>
        <w:rPr>
          <w:rFonts w:eastAsia="Times New Roman" w:cs="Arial"/>
          <w:noProof/>
        </w:rPr>
        <mc:AlternateContent>
          <mc:Choice Requires="wps">
            <w:drawing>
              <wp:anchor distT="0" distB="0" distL="114300" distR="114300" simplePos="0" relativeHeight="251644928" behindDoc="1" locked="0" layoutInCell="1" allowOverlap="1" wp14:anchorId="64203BBC" wp14:editId="43A08DF0">
                <wp:simplePos x="0" y="0"/>
                <wp:positionH relativeFrom="column">
                  <wp:posOffset>-3216910</wp:posOffset>
                </wp:positionH>
                <wp:positionV relativeFrom="paragraph">
                  <wp:posOffset>1819910</wp:posOffset>
                </wp:positionV>
                <wp:extent cx="3202940" cy="621665"/>
                <wp:effectExtent l="0" t="0" r="0" b="6985"/>
                <wp:wrapTight wrapText="bothSides">
                  <wp:wrapPolygon edited="0">
                    <wp:start x="0" y="0"/>
                    <wp:lineTo x="0" y="21181"/>
                    <wp:lineTo x="21454" y="21181"/>
                    <wp:lineTo x="21454" y="0"/>
                    <wp:lineTo x="0" y="0"/>
                  </wp:wrapPolygon>
                </wp:wrapTight>
                <wp:docPr id="307" name="Text Box 2" descr="This graph shows the traditional classifications of WRII outcomes in a triangle, with first aid injury at the base, followed by medical treatment injury only, restricted/modified duty, short term temporary work absence, moderate temporary work absence, long term temporary work absence, partial permanant dissability, total permanant disability and finally fatality." title="Figure 8: Traditional classifications of WRII outco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621665"/>
                        </a:xfrm>
                        <a:prstGeom prst="rect">
                          <a:avLst/>
                        </a:prstGeom>
                        <a:solidFill>
                          <a:srgbClr val="FFFFFF"/>
                        </a:solidFill>
                        <a:ln w="9525">
                          <a:noFill/>
                          <a:miter lim="800000"/>
                          <a:headEnd/>
                          <a:tailEnd/>
                        </a:ln>
                      </wps:spPr>
                      <wps:txbx>
                        <w:txbxContent>
                          <w:p w:rsidR="00123706" w:rsidRPr="00233C07" w:rsidRDefault="00123706" w:rsidP="00233C07">
                            <w:pPr>
                              <w:pStyle w:val="Caption"/>
                            </w:pPr>
                            <w:r w:rsidRPr="00233C07">
                              <w:t xml:space="preserve">Figure </w:t>
                            </w:r>
                            <w:fldSimple w:instr=" SEQ Figure \* ARABIC ">
                              <w:r w:rsidRPr="00233C07">
                                <w:t>8</w:t>
                              </w:r>
                            </w:fldSimple>
                            <w:r w:rsidRPr="00233C07">
                              <w:t>: Traditional classifications of WRII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alt="Title: Figure 8: Traditional classifications of WRII outcomes - Description: This graph shows the traditional classifications of WRII outcomes in a triangle, with first aid injury at the base, followed by medical treatment injury only, restricted/modified duty, short term temporary work absence, moderate temporary work absence, long term temporary work absence, partial permanant dissability, total permanant disability and finally fatality." style="position:absolute;left:0;text-align:left;margin-left:-253.3pt;margin-top:143.3pt;width:252.2pt;height:4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" stroked="f">
                <v:textbox>
                  <w:txbxContent>
                    <w:p w:rsidR="00123706" w:rsidRPr="00233C07" w:rsidRDefault="00123706" w:rsidP="00233C07">
                      <w:pPr>
                        <w:pStyle w:val="Caption"/>
                      </w:pPr>
                      <w:r w:rsidRPr="00233C07">
                        <w:t xml:space="preserve">Figure </w:t>
                      </w:r>
                      <w:r w:rsidR="00A66DAB">
                        <w:fldChar w:fldCharType="begin"/>
                      </w:r>
                      <w:r w:rsidR="00A66DAB">
                        <w:instrText xml:space="preserve"> SEQ Figure \* ARABIC </w:instrText>
                      </w:r>
                      <w:r w:rsidR="00A66DAB">
                        <w:fldChar w:fldCharType="separate"/>
                      </w:r>
                      <w:r w:rsidRPr="00233C07">
                        <w:t>8</w:t>
                      </w:r>
                      <w:r w:rsidR="00A66DAB">
                        <w:fldChar w:fldCharType="end"/>
                      </w:r>
                      <w:r w:rsidRPr="00233C07">
                        <w:t>: Traditional classifications of WRII outcomes</w:t>
                      </w:r>
                    </w:p>
                  </w:txbxContent>
                </v:textbox>
                <w10:wrap type="tight"/>
              </v:shape>
            </w:pict>
          </mc:Fallback>
        </mc:AlternateContent>
      </w:r>
      <w:r w:rsidR="00410BC0">
        <w:rPr>
          <w:rFonts w:eastAsia="Times New Roman" w:cs="Arial"/>
          <w:noProof/>
        </w:rPr>
        <mc:AlternateContent>
          <mc:Choice Requires="wps">
            <w:drawing>
              <wp:anchor distT="4294967295" distB="4294967295" distL="114300" distR="114300" simplePos="0" relativeHeight="251650048" behindDoc="0" locked="0" layoutInCell="1" allowOverlap="1" wp14:anchorId="053A6EAB" wp14:editId="2DB440C2">
                <wp:simplePos x="0" y="0"/>
                <wp:positionH relativeFrom="column">
                  <wp:posOffset>-548640</wp:posOffset>
                </wp:positionH>
                <wp:positionV relativeFrom="paragraph">
                  <wp:posOffset>841374</wp:posOffset>
                </wp:positionV>
                <wp:extent cx="158750" cy="0"/>
                <wp:effectExtent l="0" t="0" r="12700" b="19050"/>
                <wp:wrapNone/>
                <wp:docPr id="293" name="Straight Connector 293" descr="Figure 8" title="Figur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3" o:spid="_x0000_s1026" alt="Title: Figure 8 - Description: Figure 8"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pt,66.25pt" to="-30.7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" strokecolor="#4579b8 [3044]">
                <o:lock v:ext="edit" shapetype="f"/>
              </v:line>
            </w:pict>
          </mc:Fallback>
        </mc:AlternateContent>
      </w:r>
      <w:r w:rsidR="00410BC0">
        <w:rPr>
          <w:rFonts w:eastAsia="Times New Roman" w:cs="Arial"/>
          <w:noProof/>
        </w:rPr>
        <mc:AlternateContent>
          <mc:Choice Requires="wps">
            <w:drawing>
              <wp:anchor distT="4294967295" distB="4294967295" distL="114300" distR="114300" simplePos="0" relativeHeight="251652096" behindDoc="0" locked="0" layoutInCell="1" allowOverlap="1" wp14:anchorId="77251383" wp14:editId="646A7BE7">
                <wp:simplePos x="0" y="0"/>
                <wp:positionH relativeFrom="column">
                  <wp:posOffset>-3211830</wp:posOffset>
                </wp:positionH>
                <wp:positionV relativeFrom="paragraph">
                  <wp:posOffset>1289049</wp:posOffset>
                </wp:positionV>
                <wp:extent cx="190500" cy="0"/>
                <wp:effectExtent l="0" t="0" r="19050" b="19050"/>
                <wp:wrapNone/>
                <wp:docPr id="294" name="Straight Connector 294" descr="Figure 8" title="Figur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94" o:spid="_x0000_s1026" alt="Title: Figure 8 - Description: Figure 8"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2.9pt,101.5pt" to="-237.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" strokecolor="#4579b8 [3044]">
                <o:lock v:ext="edit" shapetype="f"/>
              </v:line>
            </w:pict>
          </mc:Fallback>
        </mc:AlternateContent>
      </w:r>
      <w:r w:rsidR="00740BD3" w:rsidRPr="00B1338F">
        <w:rPr>
          <w:rFonts w:eastAsia="Times New Roman" w:cs="Arial"/>
        </w:rPr>
        <w:t xml:space="preserve"> Figure 8</w:t>
      </w:r>
      <w:r w:rsidR="00321C0F">
        <w:rPr>
          <w:rFonts w:eastAsia="Times New Roman" w:cs="Arial"/>
        </w:rPr>
        <w:t xml:space="preserve"> illustrates</w:t>
      </w:r>
      <w:r w:rsidR="00883825">
        <w:rPr>
          <w:rFonts w:eastAsia="Times New Roman" w:cs="Arial"/>
        </w:rPr>
        <w:t xml:space="preserve"> </w:t>
      </w:r>
      <w:r w:rsidR="00837B34" w:rsidRPr="00B1338F">
        <w:rPr>
          <w:rFonts w:eastAsia="Times New Roman" w:cs="Arial"/>
        </w:rPr>
        <w:t xml:space="preserve">the general relationship between injury severity and frequency experienced by most </w:t>
      </w:r>
      <w:r w:rsidR="00321C0F">
        <w:rPr>
          <w:rFonts w:eastAsia="Times New Roman" w:cs="Arial"/>
        </w:rPr>
        <w:t>organisations</w:t>
      </w:r>
      <w:r w:rsidR="00837B34" w:rsidRPr="00B1338F">
        <w:rPr>
          <w:rFonts w:eastAsia="Times New Roman" w:cs="Arial"/>
        </w:rPr>
        <w:t>. Injuries requiring medical treatment, modified duties or short periods of work absence occur more frequently than those resulting in moderate to long absences or partial disability</w:t>
      </w:r>
      <w:r w:rsidR="00321C0F">
        <w:rPr>
          <w:rFonts w:eastAsia="Times New Roman" w:cs="Arial"/>
        </w:rPr>
        <w:t>, whilst</w:t>
      </w:r>
      <w:r w:rsidR="00837B34" w:rsidRPr="00B1338F">
        <w:rPr>
          <w:rFonts w:eastAsia="Times New Roman" w:cs="Arial"/>
        </w:rPr>
        <w:t xml:space="preserve"> incidents resulting in </w:t>
      </w:r>
      <w:r w:rsidR="00321C0F">
        <w:rPr>
          <w:rFonts w:eastAsia="Times New Roman" w:cs="Arial"/>
        </w:rPr>
        <w:t>total</w:t>
      </w:r>
      <w:r w:rsidR="00837B34" w:rsidRPr="00B1338F">
        <w:rPr>
          <w:rFonts w:eastAsia="Times New Roman" w:cs="Arial"/>
        </w:rPr>
        <w:t xml:space="preserve"> permanent disability or fatality are rare. However, </w:t>
      </w:r>
      <w:r w:rsidR="00B1338F" w:rsidRPr="00B1338F">
        <w:rPr>
          <w:rFonts w:eastAsia="Times New Roman" w:cs="Arial"/>
        </w:rPr>
        <w:t>it can also be seen that</w:t>
      </w:r>
      <w:r w:rsidR="00883825">
        <w:rPr>
          <w:rFonts w:eastAsia="Times New Roman" w:cs="Arial"/>
        </w:rPr>
        <w:t xml:space="preserve"> </w:t>
      </w:r>
      <w:r w:rsidR="00A52B2F">
        <w:rPr>
          <w:rFonts w:eastAsia="Times New Roman" w:cs="Arial"/>
        </w:rPr>
        <w:t>LTI</w:t>
      </w:r>
      <w:r w:rsidR="00740BD3" w:rsidRPr="00B1338F">
        <w:rPr>
          <w:rFonts w:eastAsia="Times New Roman" w:cs="Arial"/>
        </w:rPr>
        <w:t xml:space="preserve"> and recordable injury measures are unlikely to provide relevant information </w:t>
      </w:r>
      <w:r w:rsidR="00A52B2F">
        <w:rPr>
          <w:rFonts w:eastAsia="Times New Roman" w:cs="Arial"/>
        </w:rPr>
        <w:t>as to</w:t>
      </w:r>
      <w:r w:rsidR="00883825">
        <w:rPr>
          <w:rFonts w:eastAsia="Times New Roman" w:cs="Arial"/>
        </w:rPr>
        <w:t xml:space="preserve"> </w:t>
      </w:r>
      <w:r w:rsidR="00837B34">
        <w:rPr>
          <w:rFonts w:eastAsia="Times New Roman" w:cs="Arial"/>
        </w:rPr>
        <w:t xml:space="preserve">the occurrence, frequency or incidence of </w:t>
      </w:r>
      <w:r w:rsidR="00B1338F">
        <w:rPr>
          <w:rFonts w:eastAsia="Times New Roman" w:cs="Arial"/>
        </w:rPr>
        <w:t>long absences and disabling incidents that permanently alter a person’s life.</w:t>
      </w:r>
      <w:r w:rsidR="00C67AA6">
        <w:rPr>
          <w:rStyle w:val="FootnoteReference"/>
          <w:rFonts w:eastAsia="Times New Roman" w:cs="Arial"/>
        </w:rPr>
        <w:footnoteReference w:id="38"/>
      </w:r>
    </w:p>
    <w:p w:rsidR="00837B34" w:rsidRDefault="004531E6" w:rsidP="00FD2FA1">
      <w:pPr>
        <w:spacing w:after="0"/>
        <w:jc w:val="both"/>
        <w:rPr>
          <w:rFonts w:eastAsia="Times New Roman" w:cs="Arial"/>
        </w:rPr>
      </w:pPr>
      <w:r>
        <w:rPr>
          <w:rFonts w:eastAsia="Times New Roman" w:cs="Arial"/>
        </w:rPr>
        <w:t xml:space="preserve">This is particularly problematic in hazardous industries. As Hopkins </w:t>
      </w:r>
      <w:r w:rsidR="003255A6">
        <w:rPr>
          <w:rFonts w:eastAsia="Times New Roman" w:cs="Arial"/>
        </w:rPr>
        <w:t>(2000)</w:t>
      </w:r>
      <w:r w:rsidR="00883825">
        <w:rPr>
          <w:rFonts w:eastAsia="Times New Roman" w:cs="Arial"/>
        </w:rPr>
        <w:t xml:space="preserve"> </w:t>
      </w:r>
      <w:r>
        <w:rPr>
          <w:rFonts w:eastAsia="Times New Roman" w:cs="Arial"/>
        </w:rPr>
        <w:t>observes,</w:t>
      </w:r>
    </w:p>
    <w:p w:rsidR="004531E6" w:rsidRPr="00171633" w:rsidRDefault="004531E6" w:rsidP="00373CBD">
      <w:pPr>
        <w:spacing w:after="0" w:line="240" w:lineRule="auto"/>
        <w:ind w:left="426" w:right="684"/>
        <w:jc w:val="both"/>
        <w:rPr>
          <w:rFonts w:eastAsia="Times New Roman" w:cs="Arial"/>
          <w:szCs w:val="20"/>
        </w:rPr>
      </w:pPr>
      <w:r w:rsidRPr="00171633">
        <w:rPr>
          <w:rFonts w:eastAsia="Times New Roman" w:cs="Arial"/>
          <w:szCs w:val="20"/>
        </w:rPr>
        <w:t>LTI data are thus, at best, a measure of how well a company is managing minor hazards; they tell us nothing about how well major hazards are being managed. Moreover, firms normally attend to what is being measured, at the expense of what is not. Thus a focus on LTIs can lead companies to become complacent about their management of major hazards... concentrating on high frequency/low severity problems [X] managed to halve its LTI frequency rate in the four years preceding the explosion</w:t>
      </w:r>
      <w:r w:rsidR="00C25CF2" w:rsidRPr="00171633">
        <w:rPr>
          <w:rFonts w:eastAsia="Times New Roman" w:cs="Arial"/>
          <w:szCs w:val="20"/>
        </w:rPr>
        <w:t xml:space="preserve"> [from</w:t>
      </w:r>
      <w:r w:rsidRPr="00171633">
        <w:rPr>
          <w:rFonts w:eastAsia="Times New Roman" w:cs="Arial"/>
          <w:szCs w:val="20"/>
        </w:rPr>
        <w:t xml:space="preserve"> 153 injuries </w:t>
      </w:r>
      <w:r w:rsidR="00C25CF2" w:rsidRPr="00171633">
        <w:rPr>
          <w:rFonts w:eastAsia="Times New Roman" w:cs="Arial"/>
          <w:szCs w:val="20"/>
        </w:rPr>
        <w:t>/</w:t>
      </w:r>
      <w:r w:rsidRPr="00171633">
        <w:rPr>
          <w:rFonts w:eastAsia="Times New Roman" w:cs="Arial"/>
          <w:szCs w:val="20"/>
        </w:rPr>
        <w:t xml:space="preserve"> million hours to 71</w:t>
      </w:r>
      <w:r w:rsidR="00C25CF2" w:rsidRPr="00171633">
        <w:rPr>
          <w:rFonts w:eastAsia="Times New Roman" w:cs="Arial"/>
          <w:szCs w:val="20"/>
        </w:rPr>
        <w:t>]</w:t>
      </w:r>
      <w:r w:rsidRPr="00171633">
        <w:rPr>
          <w:rFonts w:eastAsia="Times New Roman" w:cs="Arial"/>
          <w:szCs w:val="20"/>
        </w:rPr>
        <w:t>. By this criterion [X] was safer than many other [operations]. But as a consequence of focusing on relatively minor matters, the need for vigilance in relation to catastrophic events was overlooked.</w:t>
      </w:r>
      <w:r w:rsidR="00FD2FA1" w:rsidRPr="00171633">
        <w:rPr>
          <w:rFonts w:eastAsia="Times New Roman" w:cs="Arial"/>
          <w:szCs w:val="20"/>
        </w:rPr>
        <w:t xml:space="preserve"> Clearly the LTI rate is the wro</w:t>
      </w:r>
      <w:r w:rsidRPr="00171633">
        <w:rPr>
          <w:rFonts w:eastAsia="Times New Roman" w:cs="Arial"/>
          <w:szCs w:val="20"/>
        </w:rPr>
        <w:t>ng measure of safety in any ind</w:t>
      </w:r>
      <w:r w:rsidR="00A52B2F">
        <w:rPr>
          <w:rFonts w:eastAsia="Times New Roman" w:cs="Arial"/>
          <w:szCs w:val="20"/>
        </w:rPr>
        <w:t>ustry which faces major hazards.</w:t>
      </w:r>
      <w:r w:rsidR="00A52B2F">
        <w:rPr>
          <w:rStyle w:val="FootnoteReference"/>
          <w:rFonts w:eastAsia="Times New Roman" w:cs="Arial"/>
          <w:szCs w:val="20"/>
        </w:rPr>
        <w:footnoteReference w:id="39"/>
      </w:r>
    </w:p>
    <w:p w:rsidR="00233C07" w:rsidRDefault="00233C07">
      <w:pPr>
        <w:rPr>
          <w:rFonts w:eastAsia="Times New Roman" w:cs="Arial"/>
          <w:i/>
          <w:color w:val="365F91" w:themeColor="accent1" w:themeShade="BF"/>
        </w:rPr>
      </w:pPr>
      <w:r>
        <w:rPr>
          <w:rFonts w:eastAsia="Times New Roman" w:cs="Arial"/>
          <w:i/>
          <w:color w:val="365F91" w:themeColor="accent1" w:themeShade="BF"/>
        </w:rPr>
        <w:br w:type="page"/>
      </w:r>
    </w:p>
    <w:p w:rsidR="00837B34" w:rsidRPr="00A00B9E" w:rsidRDefault="00837B34" w:rsidP="000D1925">
      <w:pPr>
        <w:spacing w:before="120" w:after="120"/>
        <w:rPr>
          <w:rFonts w:eastAsia="Times New Roman" w:cs="Arial"/>
          <w:i/>
          <w:color w:val="365F91" w:themeColor="accent1" w:themeShade="BF"/>
        </w:rPr>
      </w:pPr>
      <w:r w:rsidRPr="00A00B9E">
        <w:rPr>
          <w:rFonts w:eastAsia="Times New Roman" w:cs="Arial"/>
          <w:i/>
          <w:color w:val="365F91" w:themeColor="accent1" w:themeShade="BF"/>
        </w:rPr>
        <w:t>Reconceptualising WRII severity</w:t>
      </w:r>
    </w:p>
    <w:p w:rsidR="00837B34" w:rsidRPr="00837B34" w:rsidRDefault="0009533D" w:rsidP="00C25CF2">
      <w:pPr>
        <w:spacing w:after="0"/>
        <w:jc w:val="both"/>
        <w:rPr>
          <w:rFonts w:eastAsia="Times New Roman" w:cs="Arial"/>
        </w:rPr>
      </w:pPr>
      <w:r>
        <w:rPr>
          <w:rFonts w:eastAsia="Times New Roman" w:cs="Arial"/>
        </w:rPr>
        <w:t xml:space="preserve">An alternative approach to </w:t>
      </w:r>
      <w:r w:rsidR="005C7560">
        <w:rPr>
          <w:rFonts w:eastAsia="Times New Roman" w:cs="Arial"/>
        </w:rPr>
        <w:t>classif</w:t>
      </w:r>
      <w:r w:rsidR="00076644">
        <w:rPr>
          <w:rFonts w:eastAsia="Times New Roman" w:cs="Arial"/>
        </w:rPr>
        <w:t>ying</w:t>
      </w:r>
      <w:r>
        <w:rPr>
          <w:rFonts w:eastAsia="Times New Roman" w:cs="Arial"/>
        </w:rPr>
        <w:t xml:space="preserve"> WRII </w:t>
      </w:r>
      <w:r w:rsidR="00076644">
        <w:rPr>
          <w:rFonts w:eastAsia="Times New Roman" w:cs="Arial"/>
        </w:rPr>
        <w:t xml:space="preserve">by </w:t>
      </w:r>
      <w:r>
        <w:rPr>
          <w:rFonts w:eastAsia="Times New Roman" w:cs="Arial"/>
        </w:rPr>
        <w:t xml:space="preserve">severity </w:t>
      </w:r>
      <w:r w:rsidR="005C7560">
        <w:rPr>
          <w:rFonts w:eastAsia="Times New Roman" w:cs="Arial"/>
        </w:rPr>
        <w:t xml:space="preserve">provides </w:t>
      </w:r>
      <w:r w:rsidR="00076644">
        <w:rPr>
          <w:rFonts w:eastAsia="Times New Roman" w:cs="Arial"/>
        </w:rPr>
        <w:t xml:space="preserve">far </w:t>
      </w:r>
      <w:r w:rsidR="005C7560">
        <w:rPr>
          <w:rFonts w:eastAsia="Times New Roman" w:cs="Arial"/>
        </w:rPr>
        <w:t>greater</w:t>
      </w:r>
      <w:r w:rsidR="004E6C2F">
        <w:rPr>
          <w:rFonts w:eastAsia="Times New Roman" w:cs="Arial"/>
        </w:rPr>
        <w:t xml:space="preserve"> valid</w:t>
      </w:r>
      <w:r w:rsidR="005C7560">
        <w:rPr>
          <w:rFonts w:eastAsia="Times New Roman" w:cs="Arial"/>
        </w:rPr>
        <w:t>ity</w:t>
      </w:r>
      <w:r w:rsidR="004E6C2F">
        <w:rPr>
          <w:rFonts w:eastAsia="Times New Roman" w:cs="Arial"/>
        </w:rPr>
        <w:t xml:space="preserve"> and reliab</w:t>
      </w:r>
      <w:r w:rsidR="005C7560">
        <w:rPr>
          <w:rFonts w:eastAsia="Times New Roman" w:cs="Arial"/>
        </w:rPr>
        <w:t>ility</w:t>
      </w:r>
      <w:r w:rsidR="00883825">
        <w:rPr>
          <w:rFonts w:eastAsia="Times New Roman" w:cs="Arial"/>
        </w:rPr>
        <w:t xml:space="preserve"> </w:t>
      </w:r>
      <w:r w:rsidR="005C7560">
        <w:rPr>
          <w:rFonts w:eastAsia="Times New Roman" w:cs="Arial"/>
        </w:rPr>
        <w:t>in the measurement of</w:t>
      </w:r>
      <w:r w:rsidR="004E6C2F">
        <w:rPr>
          <w:rFonts w:eastAsia="Times New Roman" w:cs="Arial"/>
        </w:rPr>
        <w:t xml:space="preserve"> both financial and human </w:t>
      </w:r>
      <w:r w:rsidR="00076644">
        <w:rPr>
          <w:rFonts w:eastAsia="Times New Roman" w:cs="Arial"/>
        </w:rPr>
        <w:t xml:space="preserve">WRII </w:t>
      </w:r>
      <w:r w:rsidR="004E6C2F">
        <w:rPr>
          <w:rFonts w:eastAsia="Times New Roman" w:cs="Arial"/>
        </w:rPr>
        <w:t>cost</w:t>
      </w:r>
      <w:r w:rsidR="005C7560">
        <w:rPr>
          <w:rFonts w:eastAsia="Times New Roman" w:cs="Arial"/>
        </w:rPr>
        <w:t>s. In turn, this improves the</w:t>
      </w:r>
      <w:r w:rsidR="004E6C2F">
        <w:rPr>
          <w:rFonts w:eastAsia="Times New Roman" w:cs="Arial"/>
        </w:rPr>
        <w:t xml:space="preserve"> information </w:t>
      </w:r>
      <w:r w:rsidR="00B14064">
        <w:rPr>
          <w:rFonts w:eastAsia="Times New Roman" w:cs="Arial"/>
        </w:rPr>
        <w:t xml:space="preserve">available </w:t>
      </w:r>
      <w:r w:rsidR="005C7560">
        <w:rPr>
          <w:rFonts w:eastAsia="Times New Roman" w:cs="Arial"/>
        </w:rPr>
        <w:t>to</w:t>
      </w:r>
      <w:r w:rsidR="004E6C2F">
        <w:rPr>
          <w:rFonts w:eastAsia="Times New Roman" w:cs="Arial"/>
        </w:rPr>
        <w:t xml:space="preserve"> inform</w:t>
      </w:r>
      <w:r w:rsidR="00883825">
        <w:rPr>
          <w:rFonts w:eastAsia="Times New Roman" w:cs="Arial"/>
        </w:rPr>
        <w:t xml:space="preserve"> </w:t>
      </w:r>
      <w:r w:rsidR="004E6C2F">
        <w:rPr>
          <w:rFonts w:eastAsia="Times New Roman" w:cs="Arial"/>
        </w:rPr>
        <w:t xml:space="preserve">organisational </w:t>
      </w:r>
      <w:r w:rsidR="006A1CA2">
        <w:rPr>
          <w:rFonts w:eastAsia="Times New Roman" w:cs="Arial"/>
        </w:rPr>
        <w:t>work health and safety</w:t>
      </w:r>
      <w:r w:rsidR="004E6C2F">
        <w:rPr>
          <w:rFonts w:eastAsia="Times New Roman" w:cs="Arial"/>
        </w:rPr>
        <w:t xml:space="preserve"> strategy. </w:t>
      </w:r>
      <w:r w:rsidR="00076644">
        <w:rPr>
          <w:rFonts w:eastAsia="Times New Roman" w:cs="Arial"/>
        </w:rPr>
        <w:t>Severity classifications</w:t>
      </w:r>
      <w:r w:rsidR="004E6C2F">
        <w:rPr>
          <w:rFonts w:eastAsia="Times New Roman" w:cs="Arial"/>
        </w:rPr>
        <w:t xml:space="preserve"> focus</w:t>
      </w:r>
      <w:r w:rsidR="00B1338F">
        <w:rPr>
          <w:rFonts w:eastAsia="Times New Roman" w:cs="Arial"/>
        </w:rPr>
        <w:t xml:space="preserve"> on</w:t>
      </w:r>
      <w:r w:rsidR="00837B34">
        <w:rPr>
          <w:rFonts w:eastAsia="Times New Roman" w:cs="Arial"/>
        </w:rPr>
        <w:t xml:space="preserve"> the consequences of WRII </w:t>
      </w:r>
      <w:r w:rsidR="00B1385B">
        <w:rPr>
          <w:rFonts w:eastAsia="Times New Roman" w:cs="Arial"/>
        </w:rPr>
        <w:t>from</w:t>
      </w:r>
      <w:r w:rsidR="00837B34">
        <w:rPr>
          <w:rFonts w:eastAsia="Times New Roman" w:cs="Arial"/>
        </w:rPr>
        <w:t xml:space="preserve"> the perspective of the injured person, rather than the employ</w:t>
      </w:r>
      <w:r w:rsidR="005C7560">
        <w:rPr>
          <w:rFonts w:eastAsia="Times New Roman" w:cs="Arial"/>
        </w:rPr>
        <w:t>er</w:t>
      </w:r>
      <w:r w:rsidR="00837B34">
        <w:rPr>
          <w:rFonts w:eastAsia="Times New Roman" w:cs="Arial"/>
        </w:rPr>
        <w:t xml:space="preserve"> organisation</w:t>
      </w:r>
      <w:r w:rsidR="00E80A4E">
        <w:rPr>
          <w:rFonts w:eastAsia="Times New Roman" w:cs="Arial"/>
        </w:rPr>
        <w:t>.</w:t>
      </w:r>
      <w:r w:rsidR="00837B34">
        <w:rPr>
          <w:rStyle w:val="FootnoteReference"/>
          <w:rFonts w:eastAsia="Times New Roman" w:cs="Arial"/>
        </w:rPr>
        <w:footnoteReference w:id="40"/>
      </w:r>
      <w:r w:rsidR="00E80A4E">
        <w:rPr>
          <w:rFonts w:eastAsia="Times New Roman" w:cs="Arial"/>
        </w:rPr>
        <w:t xml:space="preserve"> </w:t>
      </w:r>
      <w:r w:rsidR="00837B34">
        <w:rPr>
          <w:rFonts w:eastAsia="Times New Roman" w:cs="Arial"/>
        </w:rPr>
        <w:t xml:space="preserve"> </w:t>
      </w:r>
      <w:r w:rsidR="00B1385B">
        <w:rPr>
          <w:rFonts w:eastAsia="Times New Roman" w:cs="Arial"/>
        </w:rPr>
        <w:t xml:space="preserve">Impairment therefore reflects time until a full recovery is </w:t>
      </w:r>
      <w:r w:rsidR="005C7560">
        <w:rPr>
          <w:rFonts w:eastAsia="Times New Roman" w:cs="Arial"/>
        </w:rPr>
        <w:t>achieved</w:t>
      </w:r>
      <w:r w:rsidR="00B1385B">
        <w:rPr>
          <w:rFonts w:eastAsia="Times New Roman" w:cs="Arial"/>
        </w:rPr>
        <w:t xml:space="preserve">, </w:t>
      </w:r>
      <w:r w:rsidR="005C7560">
        <w:rPr>
          <w:rFonts w:eastAsia="Times New Roman" w:cs="Arial"/>
        </w:rPr>
        <w:t>and whether</w:t>
      </w:r>
      <w:r w:rsidR="003E265A">
        <w:rPr>
          <w:rFonts w:eastAsia="Times New Roman" w:cs="Arial"/>
        </w:rPr>
        <w:t xml:space="preserve"> a full recovery is </w:t>
      </w:r>
      <w:r w:rsidR="005C7560">
        <w:rPr>
          <w:rFonts w:eastAsia="Times New Roman" w:cs="Arial"/>
        </w:rPr>
        <w:t>achieved</w:t>
      </w:r>
      <w:r w:rsidR="003E265A">
        <w:rPr>
          <w:rFonts w:eastAsia="Times New Roman" w:cs="Arial"/>
        </w:rPr>
        <w:t xml:space="preserve">, </w:t>
      </w:r>
      <w:r w:rsidR="00B1385B">
        <w:rPr>
          <w:rFonts w:eastAsia="Times New Roman" w:cs="Arial"/>
        </w:rPr>
        <w:t xml:space="preserve">rather than </w:t>
      </w:r>
      <w:r w:rsidR="003E265A">
        <w:rPr>
          <w:rFonts w:eastAsia="Times New Roman" w:cs="Arial"/>
        </w:rPr>
        <w:t xml:space="preserve">simply </w:t>
      </w:r>
      <w:r w:rsidR="00B1385B">
        <w:rPr>
          <w:rFonts w:eastAsia="Times New Roman" w:cs="Arial"/>
        </w:rPr>
        <w:t>time taken to return to work.</w:t>
      </w:r>
    </w:p>
    <w:p w:rsidR="00837B34" w:rsidRDefault="00837B34" w:rsidP="00837B34">
      <w:pPr>
        <w:keepNext/>
        <w:spacing w:after="0"/>
        <w:jc w:val="both"/>
      </w:pPr>
      <w:r>
        <w:rPr>
          <w:noProof/>
        </w:rPr>
        <w:drawing>
          <wp:inline distT="0" distB="0" distL="0" distR="0" wp14:anchorId="1CE7AC70" wp14:editId="7ECEF6D0">
            <wp:extent cx="5486400" cy="1486894"/>
            <wp:effectExtent l="0" t="0" r="19050" b="0"/>
            <wp:docPr id="31" name="Diagram 31" descr="This graph shows examples of severity approaches to classifying WRII subsets, ranging from Insignificant affect on life, to temporary affect on life, to permanent affect on life to loss of life." title="Figure 9: Examples of severity approaches to classifying WRII subse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837B34" w:rsidRPr="00233C07" w:rsidRDefault="00837B34" w:rsidP="00233C07">
      <w:pPr>
        <w:pStyle w:val="Caption"/>
        <w:jc w:val="center"/>
      </w:pPr>
      <w:r w:rsidRPr="00233C07">
        <w:t xml:space="preserve">Figure </w:t>
      </w:r>
      <w:r w:rsidR="00D515BB" w:rsidRPr="00233C07">
        <w:fldChar w:fldCharType="begin"/>
      </w:r>
      <w:r w:rsidR="00F93AA1" w:rsidRPr="00233C07">
        <w:instrText xml:space="preserve"> SEQ Figure \* ARABIC </w:instrText>
      </w:r>
      <w:r w:rsidR="00D515BB" w:rsidRPr="00233C07">
        <w:fldChar w:fldCharType="separate"/>
      </w:r>
      <w:r w:rsidR="00B47C1D" w:rsidRPr="00233C07">
        <w:t>9</w:t>
      </w:r>
      <w:r w:rsidR="00D515BB" w:rsidRPr="00233C07">
        <w:fldChar w:fldCharType="end"/>
      </w:r>
      <w:r w:rsidRPr="00233C07">
        <w:t>: Examples of severity approaches to classifying WRII subsets</w:t>
      </w:r>
    </w:p>
    <w:p w:rsidR="00F84452" w:rsidRDefault="00076644" w:rsidP="00292D08">
      <w:pPr>
        <w:spacing w:before="360" w:after="240"/>
        <w:jc w:val="both"/>
        <w:rPr>
          <w:rFonts w:eastAsia="Times New Roman" w:cs="Arial"/>
        </w:rPr>
      </w:pPr>
      <w:r>
        <w:t>Depicted in an inverted safety pyramid (see Figure 10), the c</w:t>
      </w:r>
      <w:r w:rsidR="00B1385B">
        <w:t xml:space="preserve">ontemporary </w:t>
      </w:r>
      <w:r w:rsidR="00B14064">
        <w:t>Class 1, 2 and 3</w:t>
      </w:r>
      <w:r w:rsidR="00B14064">
        <w:rPr>
          <w:rStyle w:val="FootnoteReference"/>
        </w:rPr>
        <w:footnoteReference w:id="41"/>
      </w:r>
      <w:r w:rsidR="00B14064">
        <w:t xml:space="preserve"> </w:t>
      </w:r>
      <w:r>
        <w:t xml:space="preserve">severity </w:t>
      </w:r>
      <w:r w:rsidR="00B14064">
        <w:t>categories</w:t>
      </w:r>
      <w:r>
        <w:t xml:space="preserve"> </w:t>
      </w:r>
      <w:r w:rsidR="00372A12">
        <w:t xml:space="preserve">address limitations outlined </w:t>
      </w:r>
      <w:r w:rsidR="00A77EFB">
        <w:t xml:space="preserve">in the </w:t>
      </w:r>
      <w:r w:rsidR="00372A12">
        <w:t>previous</w:t>
      </w:r>
      <w:r w:rsidR="00A77EFB">
        <w:t xml:space="preserve"> section</w:t>
      </w:r>
      <w:r w:rsidR="00372A12">
        <w:t xml:space="preserve"> by </w:t>
      </w:r>
      <w:r w:rsidR="00A77EFB">
        <w:t xml:space="preserve">recognising </w:t>
      </w:r>
      <w:r w:rsidR="005C7560">
        <w:t>outcomes</w:t>
      </w:r>
      <w:r w:rsidR="00A77EFB">
        <w:t xml:space="preserve"> associated with injuries that d</w:t>
      </w:r>
      <w:r w:rsidR="005C7560">
        <w:t>o</w:t>
      </w:r>
      <w:r w:rsidR="00A77EFB">
        <w:t xml:space="preserve"> not result in lost time</w:t>
      </w:r>
      <w:r w:rsidR="005C7560">
        <w:t xml:space="preserve">. </w:t>
      </w:r>
      <w:r>
        <w:t xml:space="preserve">Severity </w:t>
      </w:r>
      <w:r w:rsidR="005C7560">
        <w:t xml:space="preserve">categories thereby </w:t>
      </w:r>
      <w:r w:rsidR="00B1338F">
        <w:t>draw attention</w:t>
      </w:r>
      <w:r w:rsidR="00883825">
        <w:t xml:space="preserve"> </w:t>
      </w:r>
      <w:r w:rsidR="00B1338F">
        <w:t xml:space="preserve">to </w:t>
      </w:r>
      <w:r w:rsidR="00837B34">
        <w:t>high-</w:t>
      </w:r>
      <w:r w:rsidR="00B1385B">
        <w:t xml:space="preserve">consequence (Class 1) </w:t>
      </w:r>
      <w:r w:rsidR="00B1338F">
        <w:t>rather than low-</w:t>
      </w:r>
      <w:r w:rsidR="00837B34">
        <w:t xml:space="preserve">consequence </w:t>
      </w:r>
      <w:r w:rsidR="00B1385B">
        <w:t xml:space="preserve">(Class 2 and </w:t>
      </w:r>
      <w:r w:rsidR="00B14064">
        <w:t xml:space="preserve">Class </w:t>
      </w:r>
      <w:r w:rsidR="00B1385B">
        <w:t xml:space="preserve">3) </w:t>
      </w:r>
      <w:r w:rsidR="00837B34">
        <w:t>WRIIs</w:t>
      </w:r>
      <w:r w:rsidR="00B1338F">
        <w:t>.</w:t>
      </w:r>
      <w:r w:rsidR="00883825">
        <w:t xml:space="preserve"> </w:t>
      </w:r>
      <w:r w:rsidR="00A77EFB">
        <w:t xml:space="preserve">This does not mean </w:t>
      </w:r>
      <w:r w:rsidR="00B14064">
        <w:t xml:space="preserve">Class 1 WRII are the sole focus of analysis but </w:t>
      </w:r>
      <w:r w:rsidR="00A77EFB">
        <w:t>rather that efforts to prevent temporary impairment are not at the expense of those to prevent life altering damage.</w:t>
      </w:r>
    </w:p>
    <w:p w:rsidR="00F84452" w:rsidRDefault="00410BC0" w:rsidP="00631BA5">
      <w:pPr>
        <w:spacing w:after="0"/>
        <w:jc w:val="both"/>
        <w:rPr>
          <w:rFonts w:eastAsia="Times New Roman" w:cs="Arial"/>
        </w:rPr>
      </w:pPr>
      <w:r>
        <w:rPr>
          <w:rFonts w:eastAsia="Times New Roman" w:cs="Arial"/>
          <w:noProof/>
        </w:rPr>
        <mc:AlternateContent>
          <mc:Choice Requires="wps">
            <w:drawing>
              <wp:anchor distT="0" distB="0" distL="114300" distR="114300" simplePos="0" relativeHeight="251659264" behindDoc="0" locked="0" layoutInCell="1" allowOverlap="1" wp14:anchorId="64DF7741" wp14:editId="6BEEF5D1">
                <wp:simplePos x="0" y="0"/>
                <wp:positionH relativeFrom="column">
                  <wp:posOffset>420370</wp:posOffset>
                </wp:positionH>
                <wp:positionV relativeFrom="paragraph">
                  <wp:posOffset>120650</wp:posOffset>
                </wp:positionV>
                <wp:extent cx="501650" cy="438150"/>
                <wp:effectExtent l="0" t="0" r="0"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438150"/>
                        </a:xfrm>
                        <a:prstGeom prst="rect">
                          <a:avLst/>
                        </a:prstGeom>
                        <a:solidFill>
                          <a:srgbClr val="FFFFFF"/>
                        </a:solidFill>
                        <a:ln w="9525">
                          <a:noFill/>
                          <a:miter lim="800000"/>
                          <a:headEnd/>
                          <a:tailEnd/>
                        </a:ln>
                      </wps:spPr>
                      <wps:txbx>
                        <w:txbxContent>
                          <w:p w:rsidR="00123706" w:rsidRDefault="00123706" w:rsidP="00F15E75">
                            <w:pPr>
                              <w:spacing w:after="0" w:line="240" w:lineRule="auto"/>
                              <w:jc w:val="center"/>
                            </w:pPr>
                            <w:r>
                              <w:t>Class</w:t>
                            </w:r>
                          </w:p>
                          <w:p w:rsidR="00123706" w:rsidRPr="00C24888" w:rsidRDefault="00123706" w:rsidP="00F15E75">
                            <w:pPr>
                              <w:spacing w:after="0" w:line="240" w:lineRule="auto"/>
                              <w:jc w:val="center"/>
                            </w:pPr>
                            <w:r>
                              <w:t>1A</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1pt;margin-top:9.5pt;width:39.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" stroked="f">
                <v:textbox style="layout-flow:vertical;mso-layout-flow-alt:bottom-to-top">
                  <w:txbxContent>
                    <w:p w:rsidR="00123706" w:rsidRDefault="00123706" w:rsidP="00F15E75">
                      <w:pPr>
                        <w:spacing w:after="0" w:line="240" w:lineRule="auto"/>
                        <w:jc w:val="center"/>
                      </w:pPr>
                      <w:r>
                        <w:t>Class</w:t>
                      </w:r>
                    </w:p>
                    <w:p w:rsidR="00123706" w:rsidRPr="00C24888" w:rsidRDefault="00123706" w:rsidP="00F15E75">
                      <w:pPr>
                        <w:spacing w:after="0" w:line="240" w:lineRule="auto"/>
                        <w:jc w:val="center"/>
                      </w:pPr>
                      <w:r>
                        <w:t>1A</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95940C5" wp14:editId="0016AA59">
                <wp:simplePos x="0" y="0"/>
                <wp:positionH relativeFrom="column">
                  <wp:posOffset>471170</wp:posOffset>
                </wp:positionH>
                <wp:positionV relativeFrom="paragraph">
                  <wp:posOffset>120650</wp:posOffset>
                </wp:positionV>
                <wp:extent cx="0" cy="381000"/>
                <wp:effectExtent l="76200" t="16510" r="76200" b="21590"/>
                <wp:wrapNone/>
                <wp:docPr id="5" name="Straight Arrow Connector 311" descr="Class 1A" title="Class 1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12700" cmpd="sng">
                          <a:solidFill>
                            <a:schemeClr val="accent2">
                              <a:lumMod val="95000"/>
                              <a:lumOff val="0"/>
                            </a:schemeClr>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alpha val="39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11" o:spid="_x0000_s1026" type="#_x0000_t32" alt="Title: Class 1A - Description: Class 1A" style="position:absolute;margin-left:37.1pt;margin-top:9.5pt;width:0;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" strokecolor="#bc4542 [3045]" strokeweight="1pt">
                <v:stroke startarrow="open" endarrow="open"/>
                <v:shadow color="black" opacity="26213f"/>
              </v:shape>
            </w:pict>
          </mc:Fallback>
        </mc:AlternateContent>
      </w:r>
      <w:r>
        <w:rPr>
          <w:noProof/>
        </w:rPr>
        <mc:AlternateContent>
          <mc:Choice Requires="wps">
            <w:drawing>
              <wp:anchor distT="0" distB="0" distL="114299" distR="114299" simplePos="0" relativeHeight="251655168" behindDoc="0" locked="0" layoutInCell="1" allowOverlap="1" wp14:anchorId="0091D793" wp14:editId="7607E191">
                <wp:simplePos x="0" y="0"/>
                <wp:positionH relativeFrom="column">
                  <wp:posOffset>1334769</wp:posOffset>
                </wp:positionH>
                <wp:positionV relativeFrom="paragraph">
                  <wp:posOffset>120650</wp:posOffset>
                </wp:positionV>
                <wp:extent cx="0" cy="1530350"/>
                <wp:effectExtent l="114300" t="38100" r="95250" b="88900"/>
                <wp:wrapNone/>
                <wp:docPr id="296" name="Straight Arrow Connector 296" descr="Class 1" title="Class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6" o:spid="_x0000_s1026" type="#_x0000_t32" alt="Title: Class 1 - Description: Class 1" style="position:absolute;margin-left:105.1pt;margin-top:9.5pt;width:0;height:120.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" strokecolor="black [3200]" strokeweight="2pt">
                <v:stroke startarrow="open" endarrow="open"/>
                <v:shadow on="t" color="black" opacity="24903f" origin=",.5" offset="0,.55556mm"/>
                <o:lock v:ext="edit" shapetype="f"/>
              </v:shape>
            </w:pict>
          </mc:Fallback>
        </mc:AlternateContent>
      </w:r>
      <w:r>
        <w:rPr>
          <w:noProof/>
        </w:rPr>
        <mc:AlternateContent>
          <mc:Choice Requires="wps">
            <w:drawing>
              <wp:anchor distT="4294967295" distB="4294967295" distL="114300" distR="114300" simplePos="0" relativeHeight="251661312" behindDoc="0" locked="0" layoutInCell="1" allowOverlap="1" wp14:anchorId="276563E4" wp14:editId="77B5F91E">
                <wp:simplePos x="0" y="0"/>
                <wp:positionH relativeFrom="column">
                  <wp:posOffset>-127000</wp:posOffset>
                </wp:positionH>
                <wp:positionV relativeFrom="paragraph">
                  <wp:posOffset>120014</wp:posOffset>
                </wp:positionV>
                <wp:extent cx="1555750" cy="0"/>
                <wp:effectExtent l="0" t="0" r="25400" b="19050"/>
                <wp:wrapNone/>
                <wp:docPr id="301" name="Straight Connector 301" descr="Figure 10" title="Figur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1" o:spid="_x0000_s1026" alt="Title: Figure 10 - Description: Figure 10"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pt,9.45pt" to="11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" strokecolor="#4579b8 [3044]">
                <o:lock v:ext="edit" shapetype="f"/>
              </v:line>
            </w:pict>
          </mc:Fallback>
        </mc:AlternateContent>
      </w:r>
      <w:r w:rsidR="00B1385B">
        <w:rPr>
          <w:noProof/>
        </w:rPr>
        <w:drawing>
          <wp:anchor distT="0" distB="0" distL="114300" distR="114300" simplePos="0" relativeHeight="251642880" behindDoc="1" locked="0" layoutInCell="1" allowOverlap="1" wp14:anchorId="1B22E531" wp14:editId="24BF54DB">
            <wp:simplePos x="0" y="0"/>
            <wp:positionH relativeFrom="column">
              <wp:posOffset>0</wp:posOffset>
            </wp:positionH>
            <wp:positionV relativeFrom="paragraph">
              <wp:posOffset>118110</wp:posOffset>
            </wp:positionV>
            <wp:extent cx="3136900" cy="3060700"/>
            <wp:effectExtent l="76200" t="57150" r="101600" b="120650"/>
            <wp:wrapSquare wrapText="bothSides"/>
            <wp:docPr id="288" name="Diagram 288" descr="This graph shows the severity-based classifications of WRII outcomes in an inverted triangle, with medical/first aid (Class 3), no impairment at the base followed by short term temporray impairment (Class 2), moderate temporray impairment (Class 2), long term temporary impairment (greater than 6 months) (Class 1C), partial permanent impairment (Class 1C), total permanent impairment (Class 1B) and finally fatality (Class 1A)." title="Figure 10: Severity-based classifications of WRII outcom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anchor>
        </w:drawing>
      </w:r>
    </w:p>
    <w:p w:rsidR="00342F15" w:rsidRDefault="00410BC0" w:rsidP="00631BA5">
      <w:pPr>
        <w:spacing w:after="0"/>
        <w:jc w:val="both"/>
        <w:rPr>
          <w:rFonts w:eastAsia="Times New Roman" w:cs="Arial"/>
        </w:rPr>
      </w:pPr>
      <w:r>
        <w:rPr>
          <w:rFonts w:eastAsia="Times New Roman" w:cs="Arial"/>
          <w:noProof/>
        </w:rPr>
        <mc:AlternateContent>
          <mc:Choice Requires="wps">
            <w:drawing>
              <wp:anchor distT="0" distB="0" distL="114300" distR="114300" simplePos="0" relativeHeight="251653120" behindDoc="0" locked="0" layoutInCell="1" allowOverlap="1" wp14:anchorId="5B27170B" wp14:editId="05ABF7C3">
                <wp:simplePos x="0" y="0"/>
                <wp:positionH relativeFrom="column">
                  <wp:posOffset>1289050</wp:posOffset>
                </wp:positionH>
                <wp:positionV relativeFrom="paragraph">
                  <wp:posOffset>165100</wp:posOffset>
                </wp:positionV>
                <wp:extent cx="675640" cy="848360"/>
                <wp:effectExtent l="0" t="0" r="0" b="889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848360"/>
                        </a:xfrm>
                        <a:prstGeom prst="rect">
                          <a:avLst/>
                        </a:prstGeom>
                        <a:solidFill>
                          <a:srgbClr val="FFFFFF"/>
                        </a:solidFill>
                        <a:ln w="9525">
                          <a:noFill/>
                          <a:miter lim="800000"/>
                          <a:headEnd/>
                          <a:tailEnd/>
                        </a:ln>
                      </wps:spPr>
                      <wps:txbx>
                        <w:txbxContent>
                          <w:p w:rsidR="00123706" w:rsidRPr="004C07CE" w:rsidRDefault="00123706" w:rsidP="004C07CE">
                            <w:pPr>
                              <w:spacing w:after="0" w:line="240" w:lineRule="auto"/>
                              <w:jc w:val="center"/>
                              <w:rPr>
                                <w:b/>
                              </w:rPr>
                            </w:pPr>
                            <w:r w:rsidRPr="004C07CE">
                              <w:rPr>
                                <w:b/>
                              </w:rPr>
                              <w:t>Class 1:</w:t>
                            </w:r>
                          </w:p>
                          <w:p w:rsidR="00123706" w:rsidRPr="004C07CE" w:rsidRDefault="00123706" w:rsidP="004C07CE">
                            <w:pPr>
                              <w:spacing w:after="0" w:line="240" w:lineRule="auto"/>
                              <w:jc w:val="center"/>
                              <w:rPr>
                                <w:szCs w:val="20"/>
                              </w:rPr>
                            </w:pPr>
                            <w:r w:rsidRPr="004C07CE">
                              <w:rPr>
                                <w:szCs w:val="20"/>
                              </w:rPr>
                              <w:t>Permanently</w:t>
                            </w:r>
                          </w:p>
                          <w:p w:rsidR="00123706" w:rsidRPr="004C07CE" w:rsidRDefault="00123706" w:rsidP="004C07CE">
                            <w:pPr>
                              <w:spacing w:after="0" w:line="240" w:lineRule="auto"/>
                              <w:jc w:val="center"/>
                              <w:rPr>
                                <w:szCs w:val="20"/>
                              </w:rPr>
                            </w:pPr>
                            <w:r w:rsidRPr="004C07CE">
                              <w:rPr>
                                <w:szCs w:val="20"/>
                              </w:rPr>
                              <w:t>life altering</w:t>
                            </w:r>
                          </w:p>
                        </w:txbxContent>
                      </wps:txbx>
                      <wps:bodyPr rot="0" vert="vert270" wrap="square" lIns="91440" tIns="45720" rIns="91440" bIns="45720" anchor="ctr" anchorCtr="0">
                        <a:sp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left:0;text-align:left;margin-left:101.5pt;margin-top:13pt;width:53.2pt;height:66.8pt;z-index:2516531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" stroked="f">
                <v:textbox style="layout-flow:vertical;mso-layout-flow-alt:bottom-to-top;mso-fit-shape-to-text:t">
                  <w:txbxContent>
                    <w:p w:rsidR="00123706" w:rsidRPr="004C07CE" w:rsidRDefault="00123706" w:rsidP="004C07CE">
                      <w:pPr>
                        <w:spacing w:after="0" w:line="240" w:lineRule="auto"/>
                        <w:jc w:val="center"/>
                        <w:rPr>
                          <w:b/>
                        </w:rPr>
                      </w:pPr>
                      <w:r w:rsidRPr="004C07CE">
                        <w:rPr>
                          <w:b/>
                        </w:rPr>
                        <w:t>Class 1:</w:t>
                      </w:r>
                    </w:p>
                    <w:p w:rsidR="00123706" w:rsidRPr="004C07CE" w:rsidRDefault="00123706" w:rsidP="004C07CE">
                      <w:pPr>
                        <w:spacing w:after="0" w:line="240" w:lineRule="auto"/>
                        <w:jc w:val="center"/>
                        <w:rPr>
                          <w:szCs w:val="20"/>
                        </w:rPr>
                      </w:pPr>
                      <w:r w:rsidRPr="004C07CE">
                        <w:rPr>
                          <w:szCs w:val="20"/>
                        </w:rPr>
                        <w:t>Permanently</w:t>
                      </w:r>
                    </w:p>
                    <w:p w:rsidR="00123706" w:rsidRPr="004C07CE" w:rsidRDefault="00123706" w:rsidP="004C07CE">
                      <w:pPr>
                        <w:spacing w:after="0" w:line="240" w:lineRule="auto"/>
                        <w:jc w:val="center"/>
                        <w:rPr>
                          <w:szCs w:val="20"/>
                        </w:rPr>
                      </w:pPr>
                      <w:r w:rsidRPr="004C07CE">
                        <w:rPr>
                          <w:szCs w:val="20"/>
                        </w:rPr>
                        <w:t>life altering</w:t>
                      </w:r>
                    </w:p>
                  </w:txbxContent>
                </v:textbox>
              </v:shape>
            </w:pict>
          </mc:Fallback>
        </mc:AlternateContent>
      </w:r>
    </w:p>
    <w:p w:rsidR="00F84452" w:rsidRDefault="00410BC0" w:rsidP="00F84452">
      <w:pPr>
        <w:keepNext/>
        <w:spacing w:after="0" w:line="360" w:lineRule="auto"/>
        <w:ind w:right="1229"/>
      </w:pPr>
      <w:r>
        <w:rPr>
          <w:rFonts w:eastAsia="Times New Roman" w:cs="Arial"/>
          <w:noProof/>
        </w:rPr>
        <mc:AlternateContent>
          <mc:Choice Requires="wps">
            <w:drawing>
              <wp:anchor distT="0" distB="0" distL="114300" distR="114300" simplePos="0" relativeHeight="251656192" behindDoc="0" locked="0" layoutInCell="1" allowOverlap="1" wp14:anchorId="314CA37F" wp14:editId="642906B1">
                <wp:simplePos x="0" y="0"/>
                <wp:positionH relativeFrom="column">
                  <wp:posOffset>441325</wp:posOffset>
                </wp:positionH>
                <wp:positionV relativeFrom="paragraph">
                  <wp:posOffset>83820</wp:posOffset>
                </wp:positionV>
                <wp:extent cx="501650" cy="501650"/>
                <wp:effectExtent l="0" t="0" r="0" b="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501650"/>
                        </a:xfrm>
                        <a:prstGeom prst="rect">
                          <a:avLst/>
                        </a:prstGeom>
                        <a:solidFill>
                          <a:srgbClr val="FFFFFF"/>
                        </a:solidFill>
                        <a:ln w="9525">
                          <a:noFill/>
                          <a:miter lim="800000"/>
                          <a:headEnd/>
                          <a:tailEnd/>
                        </a:ln>
                      </wps:spPr>
                      <wps:txbx>
                        <w:txbxContent>
                          <w:p w:rsidR="00123706" w:rsidRDefault="00123706" w:rsidP="00F15E75">
                            <w:pPr>
                              <w:spacing w:after="0" w:line="240" w:lineRule="auto"/>
                              <w:jc w:val="center"/>
                            </w:pPr>
                            <w:r>
                              <w:t>Class</w:t>
                            </w:r>
                          </w:p>
                          <w:p w:rsidR="00123706" w:rsidRPr="00C24888" w:rsidRDefault="00123706" w:rsidP="00F15E75">
                            <w:pPr>
                              <w:spacing w:after="0" w:line="240" w:lineRule="auto"/>
                              <w:jc w:val="center"/>
                            </w:pPr>
                            <w:r>
                              <w:t>1B</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4.75pt;margin-top:6.6pt;width:39.5pt;height: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" stroked="f">
                <v:textbox style="layout-flow:vertical;mso-layout-flow-alt:bottom-to-top">
                  <w:txbxContent>
                    <w:p w:rsidR="00123706" w:rsidRDefault="00123706" w:rsidP="00F15E75">
                      <w:pPr>
                        <w:spacing w:after="0" w:line="240" w:lineRule="auto"/>
                        <w:jc w:val="center"/>
                      </w:pPr>
                      <w:r>
                        <w:t>Class</w:t>
                      </w:r>
                    </w:p>
                    <w:p w:rsidR="00123706" w:rsidRPr="00C24888" w:rsidRDefault="00123706" w:rsidP="00F15E75">
                      <w:pPr>
                        <w:spacing w:after="0" w:line="240" w:lineRule="auto"/>
                        <w:jc w:val="center"/>
                      </w:pPr>
                      <w:r>
                        <w:t>1B</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4F2A00D" wp14:editId="3AF2CDD7">
                <wp:simplePos x="0" y="0"/>
                <wp:positionH relativeFrom="column">
                  <wp:posOffset>471170</wp:posOffset>
                </wp:positionH>
                <wp:positionV relativeFrom="paragraph">
                  <wp:posOffset>109220</wp:posOffset>
                </wp:positionV>
                <wp:extent cx="0" cy="381000"/>
                <wp:effectExtent l="76200" t="15875" r="76200" b="22225"/>
                <wp:wrapNone/>
                <wp:docPr id="3" name="Straight Arrow Connector 336" descr="Class 1B" title="Figur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12700" cmpd="sng">
                          <a:solidFill>
                            <a:schemeClr val="accent2">
                              <a:lumMod val="95000"/>
                              <a:lumOff val="0"/>
                            </a:schemeClr>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100" dir="2700000" algn="tl" rotWithShape="0">
                                  <a:srgbClr val="000000">
                                    <a:alpha val="39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36" o:spid="_x0000_s1026" type="#_x0000_t32" alt="Title: Figure 10 - Description: Class 1B" style="position:absolute;margin-left:37.1pt;margin-top:8.6pt;width:0;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" strokecolor="#bc4542 [3045]" strokeweight="1pt">
                <v:stroke startarrow="open" endarrow="open"/>
                <v:shadow color="black" opacity="26213f" origin="-.5,-.5" offset=".74836mm,.74836mm"/>
              </v:shape>
            </w:pict>
          </mc:Fallback>
        </mc:AlternateContent>
      </w:r>
      <w:r>
        <w:rPr>
          <w:noProof/>
        </w:rPr>
        <mc:AlternateContent>
          <mc:Choice Requires="wps">
            <w:drawing>
              <wp:anchor distT="4294967295" distB="4294967295" distL="114300" distR="114300" simplePos="0" relativeHeight="251670528" behindDoc="0" locked="0" layoutInCell="1" allowOverlap="1" wp14:anchorId="0FCF9703" wp14:editId="29E102C4">
                <wp:simplePos x="0" y="0"/>
                <wp:positionH relativeFrom="column">
                  <wp:posOffset>-379730</wp:posOffset>
                </wp:positionH>
                <wp:positionV relativeFrom="paragraph">
                  <wp:posOffset>109219</wp:posOffset>
                </wp:positionV>
                <wp:extent cx="1003300" cy="0"/>
                <wp:effectExtent l="0" t="0" r="25400" b="19050"/>
                <wp:wrapNone/>
                <wp:docPr id="335" name="Straight Connector 335" descr="Figure 10" title="Figur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5" o:spid="_x0000_s1026" alt="Title: Figure 10 - Description: Figure 10"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9pt,8.6pt" to="49.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" strokecolor="#4579b8 [3044]">
                <o:lock v:ext="edit" shapetype="f"/>
              </v:line>
            </w:pict>
          </mc:Fallback>
        </mc:AlternateContent>
      </w:r>
    </w:p>
    <w:bookmarkStart w:id="14" w:name="_Ref359579095"/>
    <w:p w:rsidR="00F84452" w:rsidRDefault="00410BC0" w:rsidP="00F84452">
      <w:pPr>
        <w:pStyle w:val="Caption"/>
      </w:pPr>
      <w:r>
        <w:rPr>
          <w:noProof/>
        </w:rPr>
        <mc:AlternateContent>
          <mc:Choice Requires="wps">
            <w:drawing>
              <wp:anchor distT="0" distB="0" distL="114300" distR="114300" simplePos="0" relativeHeight="251668480" behindDoc="0" locked="0" layoutInCell="1" allowOverlap="1" wp14:anchorId="3833E747" wp14:editId="3A3C72F9">
                <wp:simplePos x="0" y="0"/>
                <wp:positionH relativeFrom="column">
                  <wp:posOffset>471170</wp:posOffset>
                </wp:positionH>
                <wp:positionV relativeFrom="paragraph">
                  <wp:posOffset>247650</wp:posOffset>
                </wp:positionV>
                <wp:extent cx="0" cy="730250"/>
                <wp:effectExtent l="76200" t="19685" r="76200" b="21590"/>
                <wp:wrapNone/>
                <wp:docPr id="2" name="Straight Arrow Connector 312" descr="Class 1C" title="Figur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0"/>
                        </a:xfrm>
                        <a:prstGeom prst="straightConnector1">
                          <a:avLst/>
                        </a:prstGeom>
                        <a:noFill/>
                        <a:ln w="12700" cmpd="sng">
                          <a:solidFill>
                            <a:schemeClr val="accent2">
                              <a:lumMod val="95000"/>
                              <a:lumOff val="0"/>
                            </a:schemeClr>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100" dir="2700000" algn="tl" rotWithShape="0">
                                  <a:srgbClr val="000000">
                                    <a:alpha val="39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312" o:spid="_x0000_s1026" type="#_x0000_t32" alt="Title: Figure 10 - Description: Class 1C" style="position:absolute;margin-left:37.1pt;margin-top:19.5pt;width:0;height: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" strokecolor="#bc4542 [3045]" strokeweight="1pt">
                <v:stroke startarrow="open" endarrow="open"/>
                <v:shadow color="black" opacity="26213f" origin="-.5,-.5" offset=".74836mm,.74836mm"/>
              </v:shape>
            </w:pict>
          </mc:Fallback>
        </mc:AlternateContent>
      </w:r>
      <w:r>
        <w:rPr>
          <w:noProof/>
        </w:rPr>
        <mc:AlternateContent>
          <mc:Choice Requires="wps">
            <w:drawing>
              <wp:anchor distT="4294967295" distB="4294967295" distL="114300" distR="114300" simplePos="0" relativeHeight="251669504" behindDoc="0" locked="0" layoutInCell="1" allowOverlap="1" wp14:anchorId="3C138EAD" wp14:editId="555562FB">
                <wp:simplePos x="0" y="0"/>
                <wp:positionH relativeFrom="column">
                  <wp:posOffset>-576580</wp:posOffset>
                </wp:positionH>
                <wp:positionV relativeFrom="paragraph">
                  <wp:posOffset>247649</wp:posOffset>
                </wp:positionV>
                <wp:extent cx="1168400" cy="0"/>
                <wp:effectExtent l="0" t="0" r="12700" b="19050"/>
                <wp:wrapNone/>
                <wp:docPr id="297" name="Straight Connector 297" descr="Figure 10" title="Figur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7" o:spid="_x0000_s1026" alt="Title: Figure 10 - Description: Figure 10"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pt,19.5pt" to="46.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" strokecolor="#4579b8 [3044]">
                <o:lock v:ext="edit" shapetype="f"/>
              </v:line>
            </w:pict>
          </mc:Fallback>
        </mc:AlternateContent>
      </w:r>
      <w:bookmarkEnd w:id="14"/>
    </w:p>
    <w:p w:rsidR="00F84452" w:rsidRDefault="00410BC0" w:rsidP="00F84452">
      <w:r>
        <w:rPr>
          <w:rFonts w:eastAsia="Times New Roman" w:cs="Arial"/>
          <w:noProof/>
        </w:rPr>
        <mc:AlternateContent>
          <mc:Choice Requires="wps">
            <w:drawing>
              <wp:anchor distT="0" distB="0" distL="114300" distR="114300" simplePos="0" relativeHeight="251666432" behindDoc="0" locked="0" layoutInCell="1" allowOverlap="1" wp14:anchorId="47C312BF" wp14:editId="21B301E1">
                <wp:simplePos x="0" y="0"/>
                <wp:positionH relativeFrom="column">
                  <wp:posOffset>419100</wp:posOffset>
                </wp:positionH>
                <wp:positionV relativeFrom="paragraph">
                  <wp:posOffset>43180</wp:posOffset>
                </wp:positionV>
                <wp:extent cx="532765" cy="590550"/>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590550"/>
                        </a:xfrm>
                        <a:prstGeom prst="rect">
                          <a:avLst/>
                        </a:prstGeom>
                        <a:solidFill>
                          <a:srgbClr val="FFFFFF"/>
                        </a:solidFill>
                        <a:ln w="9525">
                          <a:noFill/>
                          <a:miter lim="800000"/>
                          <a:headEnd/>
                          <a:tailEnd/>
                        </a:ln>
                      </wps:spPr>
                      <wps:txbx>
                        <w:txbxContent>
                          <w:p w:rsidR="00123706" w:rsidRDefault="00123706" w:rsidP="00F15E75">
                            <w:pPr>
                              <w:spacing w:after="0" w:line="240" w:lineRule="auto"/>
                              <w:jc w:val="center"/>
                            </w:pPr>
                            <w:r>
                              <w:t>Class</w:t>
                            </w:r>
                          </w:p>
                          <w:p w:rsidR="00123706" w:rsidRPr="00C24888" w:rsidRDefault="00123706" w:rsidP="00F15E75">
                            <w:pPr>
                              <w:spacing w:after="0" w:line="240" w:lineRule="auto"/>
                              <w:jc w:val="center"/>
                            </w:pPr>
                            <w:r>
                              <w:t>1C</w:t>
                            </w:r>
                          </w:p>
                        </w:txbxContent>
                      </wps:txbx>
                      <wps:bodyPr rot="0" vert="vert270" wrap="square" lIns="91440" tIns="45720" rIns="91440" bIns="45720" anchor="ctr" anchorCtr="0">
                        <a:sp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margin-left:33pt;margin-top:3.4pt;width:41.95pt;height:46.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" stroked="f">
                <v:textbox style="layout-flow:vertical;mso-layout-flow-alt:bottom-to-top;mso-fit-shape-to-text:t">
                  <w:txbxContent>
                    <w:p w:rsidR="00123706" w:rsidRDefault="00123706" w:rsidP="00F15E75">
                      <w:pPr>
                        <w:spacing w:after="0" w:line="240" w:lineRule="auto"/>
                        <w:jc w:val="center"/>
                      </w:pPr>
                      <w:r>
                        <w:t>Class</w:t>
                      </w:r>
                    </w:p>
                    <w:p w:rsidR="00123706" w:rsidRPr="00C24888" w:rsidRDefault="00123706" w:rsidP="00F15E75">
                      <w:pPr>
                        <w:spacing w:after="0" w:line="240" w:lineRule="auto"/>
                        <w:jc w:val="center"/>
                      </w:pPr>
                      <w:r>
                        <w:t>1C</w:t>
                      </w:r>
                    </w:p>
                  </w:txbxContent>
                </v:textbox>
              </v:shape>
            </w:pict>
          </mc:Fallback>
        </mc:AlternateContent>
      </w:r>
    </w:p>
    <w:p w:rsidR="00F84452" w:rsidRDefault="00F84452" w:rsidP="00F84452"/>
    <w:p w:rsidR="00F84452" w:rsidRPr="00F84452" w:rsidRDefault="00410BC0" w:rsidP="00F84452">
      <w:r>
        <w:rPr>
          <w:noProof/>
        </w:rPr>
        <mc:AlternateContent>
          <mc:Choice Requires="wps">
            <w:drawing>
              <wp:anchor distT="4294967295" distB="4294967295" distL="114300" distR="114300" simplePos="0" relativeHeight="251663360" behindDoc="0" locked="0" layoutInCell="1" allowOverlap="1" wp14:anchorId="6B5BDC11" wp14:editId="3E167562">
                <wp:simplePos x="0" y="0"/>
                <wp:positionH relativeFrom="column">
                  <wp:posOffset>-963930</wp:posOffset>
                </wp:positionH>
                <wp:positionV relativeFrom="paragraph">
                  <wp:posOffset>90169</wp:posOffset>
                </wp:positionV>
                <wp:extent cx="2425700" cy="0"/>
                <wp:effectExtent l="0" t="0" r="12700" b="19050"/>
                <wp:wrapNone/>
                <wp:docPr id="298" name="Straight Connector 298" descr="Figure 10" title="Figur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5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8" o:spid="_x0000_s1026" alt="Title: Figure 10 - Description: Figure 10"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9pt,7.1pt" to="115.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" strokecolor="#4579b8 [3044]">
                <o:lock v:ext="edit" shapetype="f"/>
              </v:line>
            </w:pict>
          </mc:Fallback>
        </mc:AlternateContent>
      </w:r>
      <w:r>
        <w:rPr>
          <w:rFonts w:eastAsia="Times New Roman" w:cs="Arial"/>
          <w:noProof/>
        </w:rPr>
        <mc:AlternateContent>
          <mc:Choice Requires="wps">
            <w:drawing>
              <wp:anchor distT="0" distB="0" distL="114300" distR="114300" simplePos="0" relativeHeight="251658240" behindDoc="0" locked="0" layoutInCell="1" allowOverlap="1" wp14:anchorId="7EA1F828" wp14:editId="26BA0248">
                <wp:simplePos x="0" y="0"/>
                <wp:positionH relativeFrom="column">
                  <wp:posOffset>1290320</wp:posOffset>
                </wp:positionH>
                <wp:positionV relativeFrom="paragraph">
                  <wp:posOffset>90170</wp:posOffset>
                </wp:positionV>
                <wp:extent cx="675640" cy="768350"/>
                <wp:effectExtent l="0" t="0" r="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768350"/>
                        </a:xfrm>
                        <a:prstGeom prst="rect">
                          <a:avLst/>
                        </a:prstGeom>
                        <a:solidFill>
                          <a:srgbClr val="FFFFFF"/>
                        </a:solidFill>
                        <a:ln w="9525">
                          <a:noFill/>
                          <a:miter lim="800000"/>
                          <a:headEnd/>
                          <a:tailEnd/>
                        </a:ln>
                      </wps:spPr>
                      <wps:txbx>
                        <w:txbxContent>
                          <w:p w:rsidR="00123706" w:rsidRPr="004C07CE" w:rsidRDefault="00123706" w:rsidP="004C07CE">
                            <w:pPr>
                              <w:spacing w:after="0" w:line="240" w:lineRule="auto"/>
                              <w:jc w:val="center"/>
                              <w:rPr>
                                <w:b/>
                              </w:rPr>
                            </w:pPr>
                            <w:r w:rsidRPr="004C07CE">
                              <w:rPr>
                                <w:b/>
                              </w:rPr>
                              <w:t>Class 2:</w:t>
                            </w:r>
                          </w:p>
                          <w:p w:rsidR="00123706" w:rsidRPr="004C07CE" w:rsidRDefault="00123706" w:rsidP="00C24888">
                            <w:pPr>
                              <w:spacing w:after="0" w:line="240" w:lineRule="auto"/>
                              <w:rPr>
                                <w:szCs w:val="20"/>
                              </w:rPr>
                            </w:pPr>
                            <w:r w:rsidRPr="004C07CE">
                              <w:rPr>
                                <w:szCs w:val="20"/>
                              </w:rPr>
                              <w:t xml:space="preserve">Temporarily </w:t>
                            </w:r>
                          </w:p>
                          <w:p w:rsidR="00123706" w:rsidRPr="004C07CE" w:rsidRDefault="00123706" w:rsidP="00C24888">
                            <w:pPr>
                              <w:spacing w:after="0" w:line="240" w:lineRule="auto"/>
                              <w:rPr>
                                <w:szCs w:val="20"/>
                              </w:rPr>
                            </w:pPr>
                            <w:r w:rsidRPr="004C07CE">
                              <w:rPr>
                                <w:szCs w:val="20"/>
                              </w:rPr>
                              <w:t>life altering</w:t>
                            </w:r>
                          </w:p>
                        </w:txbxContent>
                      </wps:txbx>
                      <wps:bodyPr rot="0" vert="vert270" wrap="square" lIns="91440" tIns="45720" rIns="91440" bIns="45720" anchor="ctr" anchorCtr="0">
                        <a:sp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margin-left:101.6pt;margin-top:7.1pt;width:53.2pt;height:60.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" stroked="f">
                <v:textbox style="layout-flow:vertical;mso-layout-flow-alt:bottom-to-top;mso-fit-shape-to-text:t">
                  <w:txbxContent>
                    <w:p w:rsidR="00123706" w:rsidRPr="004C07CE" w:rsidRDefault="00123706" w:rsidP="004C07CE">
                      <w:pPr>
                        <w:spacing w:after="0" w:line="240" w:lineRule="auto"/>
                        <w:jc w:val="center"/>
                        <w:rPr>
                          <w:b/>
                        </w:rPr>
                      </w:pPr>
                      <w:r w:rsidRPr="004C07CE">
                        <w:rPr>
                          <w:b/>
                        </w:rPr>
                        <w:t>Class 2:</w:t>
                      </w:r>
                    </w:p>
                    <w:p w:rsidR="00123706" w:rsidRPr="004C07CE" w:rsidRDefault="00123706" w:rsidP="00C24888">
                      <w:pPr>
                        <w:spacing w:after="0" w:line="240" w:lineRule="auto"/>
                        <w:rPr>
                          <w:szCs w:val="20"/>
                        </w:rPr>
                      </w:pPr>
                      <w:r w:rsidRPr="004C07CE">
                        <w:rPr>
                          <w:szCs w:val="20"/>
                        </w:rPr>
                        <w:t xml:space="preserve">Temporarily </w:t>
                      </w:r>
                    </w:p>
                    <w:p w:rsidR="00123706" w:rsidRPr="004C07CE" w:rsidRDefault="00123706" w:rsidP="00C24888">
                      <w:pPr>
                        <w:spacing w:after="0" w:line="240" w:lineRule="auto"/>
                        <w:rPr>
                          <w:szCs w:val="20"/>
                        </w:rPr>
                      </w:pPr>
                      <w:r w:rsidRPr="004C07CE">
                        <w:rPr>
                          <w:szCs w:val="20"/>
                        </w:rPr>
                        <w:t>life altering</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8F63F46" wp14:editId="29E64655">
                <wp:simplePos x="0" y="0"/>
                <wp:positionH relativeFrom="column">
                  <wp:posOffset>1341120</wp:posOffset>
                </wp:positionH>
                <wp:positionV relativeFrom="paragraph">
                  <wp:posOffset>90170</wp:posOffset>
                </wp:positionV>
                <wp:extent cx="6350" cy="768350"/>
                <wp:effectExtent l="95250" t="38100" r="88900" b="88900"/>
                <wp:wrapNone/>
                <wp:docPr id="302" name="Straight Arrow Connector 302" descr="Class 2" title="Clas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76835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02" o:spid="_x0000_s1026" type="#_x0000_t32" alt="Title: Class 2 - Description: Class 2" style="position:absolute;margin-left:105.6pt;margin-top:7.1pt;width:.5pt;height:6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" strokecolor="black [3200]" strokeweight="2pt">
                <v:stroke startarrow="open" endarrow="open"/>
                <v:shadow on="t" color="black" opacity="24903f" origin=",.5" offset="0,.55556mm"/>
                <o:lock v:ext="edit" shapetype="f"/>
              </v:shape>
            </w:pict>
          </mc:Fallback>
        </mc:AlternateContent>
      </w:r>
    </w:p>
    <w:p w:rsidR="00F84452" w:rsidRDefault="00F84452" w:rsidP="00F84452">
      <w:pPr>
        <w:rPr>
          <w:rFonts w:eastAsia="Times New Roman" w:cs="Arial"/>
          <w:highlight w:val="yellow"/>
        </w:rPr>
      </w:pPr>
    </w:p>
    <w:p w:rsidR="00A00B9E" w:rsidRDefault="00410BC0" w:rsidP="00837B34">
      <w:pPr>
        <w:spacing w:after="0" w:line="360" w:lineRule="auto"/>
      </w:pPr>
      <w:r>
        <w:rPr>
          <w:rFonts w:eastAsia="Times New Roman" w:cs="Arial"/>
          <w:noProof/>
        </w:rPr>
        <mc:AlternateContent>
          <mc:Choice Requires="wps">
            <w:drawing>
              <wp:anchor distT="0" distB="0" distL="114300" distR="114300" simplePos="0" relativeHeight="251657216" behindDoc="0" locked="0" layoutInCell="1" allowOverlap="1" wp14:anchorId="022505EC" wp14:editId="6160D672">
                <wp:simplePos x="0" y="0"/>
                <wp:positionH relativeFrom="column">
                  <wp:posOffset>1313180</wp:posOffset>
                </wp:positionH>
                <wp:positionV relativeFrom="paragraph">
                  <wp:posOffset>90805</wp:posOffset>
                </wp:positionV>
                <wp:extent cx="675640" cy="988060"/>
                <wp:effectExtent l="0" t="0" r="0" b="254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988060"/>
                        </a:xfrm>
                        <a:prstGeom prst="rect">
                          <a:avLst/>
                        </a:prstGeom>
                        <a:solidFill>
                          <a:srgbClr val="FFFFFF"/>
                        </a:solidFill>
                        <a:ln w="9525">
                          <a:noFill/>
                          <a:miter lim="800000"/>
                          <a:headEnd/>
                          <a:tailEnd/>
                        </a:ln>
                      </wps:spPr>
                      <wps:txbx>
                        <w:txbxContent>
                          <w:p w:rsidR="00123706" w:rsidRPr="004C07CE" w:rsidRDefault="00123706" w:rsidP="004C07CE">
                            <w:pPr>
                              <w:spacing w:after="0" w:line="240" w:lineRule="auto"/>
                              <w:jc w:val="center"/>
                              <w:rPr>
                                <w:b/>
                              </w:rPr>
                            </w:pPr>
                            <w:r w:rsidRPr="004C07CE">
                              <w:rPr>
                                <w:b/>
                              </w:rPr>
                              <w:t>Class 3:</w:t>
                            </w:r>
                          </w:p>
                          <w:p w:rsidR="00123706" w:rsidRDefault="00123706" w:rsidP="004C07CE">
                            <w:pPr>
                              <w:spacing w:after="0" w:line="240" w:lineRule="auto"/>
                              <w:jc w:val="center"/>
                              <w:rPr>
                                <w:szCs w:val="20"/>
                              </w:rPr>
                            </w:pPr>
                            <w:r>
                              <w:rPr>
                                <w:szCs w:val="20"/>
                              </w:rPr>
                              <w:t>N</w:t>
                            </w:r>
                            <w:r w:rsidRPr="004C07CE">
                              <w:rPr>
                                <w:szCs w:val="20"/>
                              </w:rPr>
                              <w:t>o</w:t>
                            </w:r>
                            <w:r>
                              <w:rPr>
                                <w:szCs w:val="20"/>
                              </w:rPr>
                              <w:t xml:space="preserve">t </w:t>
                            </w:r>
                            <w:r w:rsidRPr="004C07CE">
                              <w:rPr>
                                <w:szCs w:val="20"/>
                              </w:rPr>
                              <w:t xml:space="preserve">life </w:t>
                            </w:r>
                          </w:p>
                          <w:p w:rsidR="00123706" w:rsidRPr="004C07CE" w:rsidRDefault="00123706" w:rsidP="004C07CE">
                            <w:pPr>
                              <w:spacing w:after="0" w:line="240" w:lineRule="auto"/>
                              <w:jc w:val="center"/>
                              <w:rPr>
                                <w:szCs w:val="20"/>
                              </w:rPr>
                            </w:pPr>
                            <w:r>
                              <w:rPr>
                                <w:szCs w:val="20"/>
                              </w:rPr>
                              <w:t>altering</w:t>
                            </w:r>
                          </w:p>
                        </w:txbxContent>
                      </wps:txbx>
                      <wps:bodyPr rot="0" vert="vert270" wrap="square" lIns="91440" tIns="45720" rIns="91440" bIns="45720" anchor="ctr" anchorCtr="0">
                        <a:sp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margin-left:103.4pt;margin-top:7.15pt;width:53.2pt;height:77.8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" stroked="f">
                <v:textbox style="layout-flow:vertical;mso-layout-flow-alt:bottom-to-top;mso-fit-shape-to-text:t">
                  <w:txbxContent>
                    <w:p w:rsidR="00123706" w:rsidRPr="004C07CE" w:rsidRDefault="00123706" w:rsidP="004C07CE">
                      <w:pPr>
                        <w:spacing w:after="0" w:line="240" w:lineRule="auto"/>
                        <w:jc w:val="center"/>
                        <w:rPr>
                          <w:b/>
                        </w:rPr>
                      </w:pPr>
                      <w:r w:rsidRPr="004C07CE">
                        <w:rPr>
                          <w:b/>
                        </w:rPr>
                        <w:t>Class 3:</w:t>
                      </w:r>
                    </w:p>
                    <w:p w:rsidR="00123706" w:rsidRDefault="00123706" w:rsidP="004C07CE">
                      <w:pPr>
                        <w:spacing w:after="0" w:line="240" w:lineRule="auto"/>
                        <w:jc w:val="center"/>
                        <w:rPr>
                          <w:szCs w:val="20"/>
                        </w:rPr>
                      </w:pPr>
                      <w:r>
                        <w:rPr>
                          <w:szCs w:val="20"/>
                        </w:rPr>
                        <w:t>N</w:t>
                      </w:r>
                      <w:r w:rsidRPr="004C07CE">
                        <w:rPr>
                          <w:szCs w:val="20"/>
                        </w:rPr>
                        <w:t>o</w:t>
                      </w:r>
                      <w:r>
                        <w:rPr>
                          <w:szCs w:val="20"/>
                        </w:rPr>
                        <w:t xml:space="preserve">t </w:t>
                      </w:r>
                      <w:r w:rsidRPr="004C07CE">
                        <w:rPr>
                          <w:szCs w:val="20"/>
                        </w:rPr>
                        <w:t xml:space="preserve">life </w:t>
                      </w:r>
                    </w:p>
                    <w:p w:rsidR="00123706" w:rsidRPr="004C07CE" w:rsidRDefault="00123706" w:rsidP="004C07CE">
                      <w:pPr>
                        <w:spacing w:after="0" w:line="240" w:lineRule="auto"/>
                        <w:jc w:val="center"/>
                        <w:rPr>
                          <w:szCs w:val="20"/>
                        </w:rPr>
                      </w:pPr>
                      <w:r>
                        <w:rPr>
                          <w:szCs w:val="20"/>
                        </w:rPr>
                        <w:t>altering</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B0FB798" wp14:editId="05032D72">
                <wp:simplePos x="0" y="0"/>
                <wp:positionH relativeFrom="column">
                  <wp:posOffset>1339850</wp:posOffset>
                </wp:positionH>
                <wp:positionV relativeFrom="paragraph">
                  <wp:posOffset>211455</wp:posOffset>
                </wp:positionV>
                <wp:extent cx="6350" cy="806450"/>
                <wp:effectExtent l="95250" t="38100" r="88900" b="88900"/>
                <wp:wrapNone/>
                <wp:docPr id="303" name="Straight Arrow Connector 303" descr="Class 3" title="Clas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806450"/>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03" o:spid="_x0000_s1026" type="#_x0000_t32" alt="Title: Class 3 - Description: Class 3" style="position:absolute;margin-left:105.5pt;margin-top:16.65pt;width:.5pt;height: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" strokecolor="black [3200]" strokeweight="2pt">
                <v:stroke startarrow="open" endarrow="open"/>
                <v:shadow on="t" color="black" opacity="24903f" origin=",.5" offset="0,.55556mm"/>
                <o:lock v:ext="edit" shapetype="f"/>
              </v:shape>
            </w:pict>
          </mc:Fallback>
        </mc:AlternateContent>
      </w:r>
      <w:r>
        <w:rPr>
          <w:noProof/>
        </w:rPr>
        <mc:AlternateContent>
          <mc:Choice Requires="wps">
            <w:drawing>
              <wp:anchor distT="4294967295" distB="4294967295" distL="114300" distR="114300" simplePos="0" relativeHeight="251664384" behindDoc="0" locked="0" layoutInCell="1" allowOverlap="1" wp14:anchorId="65F31F1E" wp14:editId="3AFD9E49">
                <wp:simplePos x="0" y="0"/>
                <wp:positionH relativeFrom="column">
                  <wp:posOffset>-1352550</wp:posOffset>
                </wp:positionH>
                <wp:positionV relativeFrom="paragraph">
                  <wp:posOffset>211454</wp:posOffset>
                </wp:positionV>
                <wp:extent cx="2813050" cy="0"/>
                <wp:effectExtent l="0" t="0" r="25400" b="19050"/>
                <wp:wrapNone/>
                <wp:docPr id="299" name="Straight Connector 299" descr="Figure 10" title="Figur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9" o:spid="_x0000_s1026" alt="Title: Figure 10 - Description: Figure 10"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6.5pt,16.65pt" to="1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" strokecolor="#4579b8 [3044]">
                <o:lock v:ext="edit" shapetype="f"/>
              </v:line>
            </w:pict>
          </mc:Fallback>
        </mc:AlternateContent>
      </w:r>
    </w:p>
    <w:p w:rsidR="0009533D" w:rsidRDefault="0009533D" w:rsidP="00A00B9E">
      <w:pPr>
        <w:spacing w:line="360" w:lineRule="auto"/>
      </w:pPr>
    </w:p>
    <w:p w:rsidR="00B1385B" w:rsidRDefault="00410BC0" w:rsidP="00A00B9E">
      <w:pPr>
        <w:spacing w:line="360" w:lineRule="auto"/>
      </w:pPr>
      <w:r>
        <w:rPr>
          <w:noProof/>
        </w:rPr>
        <mc:AlternateContent>
          <mc:Choice Requires="wps">
            <w:drawing>
              <wp:anchor distT="4294967295" distB="4294967295" distL="114300" distR="114300" simplePos="0" relativeHeight="251660288" behindDoc="0" locked="0" layoutInCell="1" allowOverlap="1" wp14:anchorId="2EAE2EF0" wp14:editId="6B4B6D8C">
                <wp:simplePos x="0" y="0"/>
                <wp:positionH relativeFrom="column">
                  <wp:posOffset>-1758950</wp:posOffset>
                </wp:positionH>
                <wp:positionV relativeFrom="paragraph">
                  <wp:posOffset>379094</wp:posOffset>
                </wp:positionV>
                <wp:extent cx="3219450" cy="0"/>
                <wp:effectExtent l="0" t="0" r="19050" b="19050"/>
                <wp:wrapNone/>
                <wp:docPr id="300" name="Straight Connector 300" descr="Figure 10" title="Figur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9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0" o:spid="_x0000_s1026" alt="Title: Figure 10 - Description: Figure 10"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8.5pt,29.85pt" to="11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" strokecolor="#4579b8 [3044]">
                <o:lock v:ext="edit" shapetype="f"/>
              </v:line>
            </w:pict>
          </mc:Fallback>
        </mc:AlternateContent>
      </w:r>
    </w:p>
    <w:p w:rsidR="00FD2FA1" w:rsidRDefault="00410BC0" w:rsidP="00A77EFB">
      <w:pPr>
        <w:rPr>
          <w:rFonts w:eastAsia="Times New Roman" w:cs="Arial"/>
          <w:i/>
          <w:color w:val="365F91" w:themeColor="accent1" w:themeShade="BF"/>
        </w:rPr>
      </w:pPr>
      <w:r>
        <w:rPr>
          <w:rFonts w:eastAsia="Times New Roman" w:cs="Arial"/>
          <w:noProof/>
        </w:rPr>
        <mc:AlternateContent>
          <mc:Choice Requires="wps">
            <w:drawing>
              <wp:anchor distT="0" distB="0" distL="114300" distR="114300" simplePos="0" relativeHeight="251654144" behindDoc="1" locked="0" layoutInCell="1" allowOverlap="1" wp14:anchorId="47B6952F" wp14:editId="4286198B">
                <wp:simplePos x="0" y="0"/>
                <wp:positionH relativeFrom="column">
                  <wp:posOffset>-2609215</wp:posOffset>
                </wp:positionH>
                <wp:positionV relativeFrom="paragraph">
                  <wp:posOffset>385445</wp:posOffset>
                </wp:positionV>
                <wp:extent cx="4601845" cy="370205"/>
                <wp:effectExtent l="0" t="0" r="8255" b="0"/>
                <wp:wrapTight wrapText="bothSides">
                  <wp:wrapPolygon edited="0">
                    <wp:start x="0" y="0"/>
                    <wp:lineTo x="0" y="20007"/>
                    <wp:lineTo x="21549" y="20007"/>
                    <wp:lineTo x="21549" y="0"/>
                    <wp:lineTo x="0" y="0"/>
                  </wp:wrapPolygon>
                </wp:wrapTight>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370205"/>
                        </a:xfrm>
                        <a:prstGeom prst="rect">
                          <a:avLst/>
                        </a:prstGeom>
                        <a:solidFill>
                          <a:srgbClr val="FFFFFF"/>
                        </a:solidFill>
                        <a:ln w="9525">
                          <a:noFill/>
                          <a:miter lim="800000"/>
                          <a:headEnd/>
                          <a:tailEnd/>
                        </a:ln>
                      </wps:spPr>
                      <wps:txbx>
                        <w:txbxContent>
                          <w:p w:rsidR="00123706" w:rsidRPr="00233C07" w:rsidRDefault="00123706" w:rsidP="00233C07">
                            <w:pPr>
                              <w:pStyle w:val="Caption"/>
                            </w:pPr>
                            <w:r w:rsidRPr="00233C07">
                              <w:t xml:space="preserve">Figure </w:t>
                            </w:r>
                            <w:fldSimple w:instr=" SEQ Figure \* ARABIC ">
                              <w:r w:rsidRPr="00233C07">
                                <w:t>10</w:t>
                              </w:r>
                            </w:fldSimple>
                            <w:r w:rsidRPr="00233C07">
                              <w:t>: Severity-based classifications of WRII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05.45pt;margin-top:30.35pt;width:362.35pt;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" stroked="f">
                <v:textbox>
                  <w:txbxContent>
                    <w:p w:rsidR="00123706" w:rsidRPr="00233C07" w:rsidRDefault="00123706" w:rsidP="00233C07">
                      <w:pPr>
                        <w:pStyle w:val="Caption"/>
                      </w:pPr>
                      <w:r w:rsidRPr="00233C07">
                        <w:t xml:space="preserve">Figure </w:t>
                      </w:r>
                      <w:r w:rsidR="00A66DAB">
                        <w:fldChar w:fldCharType="begin"/>
                      </w:r>
                      <w:r w:rsidR="00A66DAB">
                        <w:instrText xml:space="preserve"> SEQ Figure \* ARABIC </w:instrText>
                      </w:r>
                      <w:r w:rsidR="00A66DAB">
                        <w:fldChar w:fldCharType="separate"/>
                      </w:r>
                      <w:r w:rsidRPr="00233C07">
                        <w:t>10</w:t>
                      </w:r>
                      <w:r w:rsidR="00A66DAB">
                        <w:fldChar w:fldCharType="end"/>
                      </w:r>
                      <w:r w:rsidRPr="00233C07">
                        <w:t>: Severity-based classifications of WRII outcomes</w:t>
                      </w:r>
                    </w:p>
                  </w:txbxContent>
                </v:textbox>
                <w10:wrap type="tight"/>
              </v:shape>
            </w:pict>
          </mc:Fallback>
        </mc:AlternateContent>
      </w:r>
    </w:p>
    <w:p w:rsidR="00A00B9E" w:rsidRDefault="00A00B9E" w:rsidP="00236F73">
      <w:pPr>
        <w:pStyle w:val="Style1"/>
        <w:numPr>
          <w:ilvl w:val="0"/>
          <w:numId w:val="3"/>
        </w:numPr>
        <w:spacing w:after="100"/>
        <w:ind w:left="567" w:hanging="567"/>
        <w:rPr>
          <w:rFonts w:asciiTheme="minorHAnsi" w:hAnsiTheme="minorHAnsi"/>
          <w:color w:val="365F91" w:themeColor="accent1" w:themeShade="BF"/>
          <w:sz w:val="26"/>
          <w:szCs w:val="26"/>
        </w:rPr>
      </w:pPr>
      <w:bookmarkStart w:id="15" w:name="_Toc361085304"/>
      <w:r>
        <w:rPr>
          <w:rFonts w:asciiTheme="minorHAnsi" w:hAnsiTheme="minorHAnsi"/>
          <w:color w:val="365F91" w:themeColor="accent1" w:themeShade="BF"/>
          <w:sz w:val="26"/>
          <w:szCs w:val="26"/>
        </w:rPr>
        <w:t>Reliability of WRII data</w:t>
      </w:r>
      <w:bookmarkEnd w:id="15"/>
    </w:p>
    <w:p w:rsidR="00A00B9E" w:rsidRPr="0098779E" w:rsidRDefault="007211DF" w:rsidP="00A00B9E">
      <w:pPr>
        <w:jc w:val="both"/>
        <w:rPr>
          <w:rFonts w:eastAsia="Times New Roman" w:cs="Arial"/>
        </w:rPr>
      </w:pPr>
      <w:r>
        <w:rPr>
          <w:rFonts w:eastAsia="Times New Roman" w:cs="Arial"/>
        </w:rPr>
        <w:t xml:space="preserve">For WRII measures to be reliable they must be free from error and bias. </w:t>
      </w:r>
      <w:r w:rsidR="00A00B9E">
        <w:rPr>
          <w:rFonts w:eastAsia="Times New Roman" w:cs="Arial"/>
        </w:rPr>
        <w:t>Prior r</w:t>
      </w:r>
      <w:r w:rsidR="00A00B9E" w:rsidRPr="0098779E">
        <w:rPr>
          <w:rFonts w:eastAsia="Times New Roman" w:cs="Arial"/>
        </w:rPr>
        <w:t xml:space="preserve">esearch has identified significant variation in the way </w:t>
      </w:r>
      <w:r w:rsidR="00E73DC2">
        <w:rPr>
          <w:rFonts w:eastAsia="Times New Roman" w:cs="Arial"/>
        </w:rPr>
        <w:t>WRII</w:t>
      </w:r>
      <w:r w:rsidR="00E73DC2" w:rsidRPr="0098779E">
        <w:rPr>
          <w:rFonts w:eastAsia="Times New Roman" w:cs="Arial"/>
        </w:rPr>
        <w:t xml:space="preserve"> outcomes </w:t>
      </w:r>
      <w:r w:rsidR="00E73DC2">
        <w:rPr>
          <w:rFonts w:eastAsia="Times New Roman" w:cs="Arial"/>
        </w:rPr>
        <w:t xml:space="preserve">are </w:t>
      </w:r>
      <w:r w:rsidR="00A00B9E" w:rsidRPr="0098779E">
        <w:rPr>
          <w:rFonts w:eastAsia="Times New Roman" w:cs="Arial"/>
        </w:rPr>
        <w:t>label</w:t>
      </w:r>
      <w:r w:rsidR="00E73DC2">
        <w:rPr>
          <w:rFonts w:eastAsia="Times New Roman" w:cs="Arial"/>
        </w:rPr>
        <w:t>led</w:t>
      </w:r>
      <w:r w:rsidR="00A00B9E" w:rsidRPr="0098779E">
        <w:rPr>
          <w:rFonts w:eastAsia="Times New Roman" w:cs="Arial"/>
        </w:rPr>
        <w:t>, calculate</w:t>
      </w:r>
      <w:r w:rsidR="00E73DC2">
        <w:rPr>
          <w:rFonts w:eastAsia="Times New Roman" w:cs="Arial"/>
        </w:rPr>
        <w:t>d</w:t>
      </w:r>
      <w:r w:rsidR="00A00B9E" w:rsidRPr="0098779E">
        <w:rPr>
          <w:rFonts w:eastAsia="Times New Roman" w:cs="Arial"/>
        </w:rPr>
        <w:t xml:space="preserve"> and report</w:t>
      </w:r>
      <w:r w:rsidR="00E73DC2">
        <w:rPr>
          <w:rFonts w:eastAsia="Times New Roman" w:cs="Arial"/>
        </w:rPr>
        <w:t>ed in</w:t>
      </w:r>
      <w:r w:rsidR="00E73DC2" w:rsidRPr="00E73DC2">
        <w:rPr>
          <w:rFonts w:eastAsia="Times New Roman" w:cs="Arial"/>
        </w:rPr>
        <w:t xml:space="preserve"> </w:t>
      </w:r>
      <w:r w:rsidR="00E73DC2" w:rsidRPr="0098779E">
        <w:rPr>
          <w:rFonts w:eastAsia="Times New Roman" w:cs="Arial"/>
        </w:rPr>
        <w:t>different organisations</w:t>
      </w:r>
      <w:r w:rsidR="00A00B9E" w:rsidRPr="0098779E">
        <w:rPr>
          <w:rFonts w:eastAsia="Times New Roman" w:cs="Arial"/>
        </w:rPr>
        <w:t xml:space="preserve">. </w:t>
      </w:r>
      <w:r w:rsidR="00A00B9E">
        <w:rPr>
          <w:rFonts w:eastAsia="Times New Roman" w:cs="Arial"/>
        </w:rPr>
        <w:t>This stems from the absence of universally accepted classification system and clear and consistent definitions for measuring injury occurrences. LTI rates provide a particular case in point. Evidence suggests that within some firms, LTI</w:t>
      </w:r>
      <w:r w:rsidR="00B15FCF">
        <w:rPr>
          <w:rFonts w:eastAsia="Times New Roman" w:cs="Arial"/>
        </w:rPr>
        <w:t xml:space="preserve"> </w:t>
      </w:r>
      <w:r w:rsidR="00A00B9E">
        <w:rPr>
          <w:rFonts w:eastAsia="Times New Roman" w:cs="Arial"/>
        </w:rPr>
        <w:t>data</w:t>
      </w:r>
      <w:r w:rsidR="00A00B9E" w:rsidRPr="0098779E">
        <w:rPr>
          <w:rFonts w:eastAsia="Times New Roman" w:cs="Arial"/>
        </w:rPr>
        <w:t xml:space="preserve"> only capture</w:t>
      </w:r>
      <w:r w:rsidR="00A00B9E">
        <w:rPr>
          <w:rFonts w:eastAsia="Times New Roman" w:cs="Arial"/>
        </w:rPr>
        <w:t>s</w:t>
      </w:r>
      <w:r w:rsidR="00A00B9E" w:rsidRPr="0098779E">
        <w:rPr>
          <w:rFonts w:eastAsia="Times New Roman" w:cs="Arial"/>
        </w:rPr>
        <w:t xml:space="preserve"> injuries while </w:t>
      </w:r>
      <w:r w:rsidR="00E73DC2">
        <w:rPr>
          <w:rFonts w:eastAsia="Times New Roman" w:cs="Arial"/>
        </w:rPr>
        <w:t xml:space="preserve">in </w:t>
      </w:r>
      <w:r w:rsidR="00A00B9E" w:rsidRPr="0098779E">
        <w:rPr>
          <w:rFonts w:eastAsia="Times New Roman" w:cs="Arial"/>
        </w:rPr>
        <w:t>other</w:t>
      </w:r>
      <w:r w:rsidR="00E73DC2">
        <w:rPr>
          <w:rFonts w:eastAsia="Times New Roman" w:cs="Arial"/>
        </w:rPr>
        <w:t>s they</w:t>
      </w:r>
      <w:r w:rsidR="00A00B9E">
        <w:rPr>
          <w:rFonts w:eastAsia="Times New Roman" w:cs="Arial"/>
        </w:rPr>
        <w:t xml:space="preserve"> </w:t>
      </w:r>
      <w:r w:rsidR="00A00B9E" w:rsidRPr="0098779E">
        <w:rPr>
          <w:rFonts w:eastAsia="Times New Roman" w:cs="Arial"/>
        </w:rPr>
        <w:t>capture both injury and illness outcomes</w:t>
      </w:r>
      <w:r w:rsidR="00457B46">
        <w:rPr>
          <w:rFonts w:eastAsia="Times New Roman" w:cs="Arial"/>
        </w:rPr>
        <w:t xml:space="preserve">, calling the resulting </w:t>
      </w:r>
      <w:r w:rsidR="00E73DC2">
        <w:rPr>
          <w:rFonts w:eastAsia="Times New Roman" w:cs="Arial"/>
        </w:rPr>
        <w:t xml:space="preserve">measures </w:t>
      </w:r>
      <w:r w:rsidR="00A00B9E" w:rsidRPr="0098779E">
        <w:rPr>
          <w:rFonts w:eastAsia="Times New Roman" w:cs="Arial"/>
          <w:i/>
        </w:rPr>
        <w:t>Lost Time Injuries</w:t>
      </w:r>
      <w:r w:rsidR="00A00B9E">
        <w:rPr>
          <w:rFonts w:eastAsia="Times New Roman" w:cs="Arial"/>
        </w:rPr>
        <w:t>,</w:t>
      </w:r>
      <w:r w:rsidR="00A00B9E" w:rsidRPr="0098779E">
        <w:rPr>
          <w:rFonts w:eastAsia="Times New Roman" w:cs="Arial"/>
          <w:i/>
        </w:rPr>
        <w:t xml:space="preserve"> Lost Time Incidents</w:t>
      </w:r>
      <w:r w:rsidR="00B15FCF">
        <w:rPr>
          <w:rFonts w:eastAsia="Times New Roman" w:cs="Arial"/>
          <w:i/>
        </w:rPr>
        <w:t xml:space="preserve"> </w:t>
      </w:r>
      <w:r w:rsidR="001720E3">
        <w:rPr>
          <w:rFonts w:eastAsia="Times New Roman" w:cs="Arial"/>
        </w:rPr>
        <w:t>or</w:t>
      </w:r>
      <w:r w:rsidR="00B15FCF">
        <w:rPr>
          <w:rFonts w:eastAsia="Times New Roman" w:cs="Arial"/>
        </w:rPr>
        <w:t xml:space="preserve"> </w:t>
      </w:r>
      <w:r w:rsidR="00A00B9E" w:rsidRPr="0098779E">
        <w:rPr>
          <w:rFonts w:eastAsia="Times New Roman" w:cs="Arial"/>
          <w:i/>
        </w:rPr>
        <w:t>Lost time</w:t>
      </w:r>
      <w:r w:rsidR="00B15FCF">
        <w:rPr>
          <w:rFonts w:eastAsia="Times New Roman" w:cs="Arial"/>
          <w:i/>
        </w:rPr>
        <w:t xml:space="preserve"> </w:t>
      </w:r>
      <w:r w:rsidR="00A00B9E" w:rsidRPr="0098779E">
        <w:rPr>
          <w:rFonts w:eastAsia="Times New Roman" w:cs="Arial"/>
          <w:i/>
        </w:rPr>
        <w:t>Cases</w:t>
      </w:r>
      <w:r w:rsidR="00A00B9E" w:rsidRPr="0098779E">
        <w:rPr>
          <w:rFonts w:eastAsia="Times New Roman" w:cs="Arial"/>
        </w:rPr>
        <w:t xml:space="preserve">. Furthermore, considerable flexibility </w:t>
      </w:r>
      <w:r w:rsidR="00A00B9E">
        <w:rPr>
          <w:rFonts w:eastAsia="Times New Roman" w:cs="Arial"/>
        </w:rPr>
        <w:t xml:space="preserve">appears to </w:t>
      </w:r>
      <w:r w:rsidR="00A00B9E" w:rsidRPr="0098779E">
        <w:rPr>
          <w:rFonts w:eastAsia="Times New Roman" w:cs="Arial"/>
        </w:rPr>
        <w:t>exist with respect to the way LTI data is calculated. LTIs may or may not include: work-related fatalities</w:t>
      </w:r>
      <w:r w:rsidR="001720E3">
        <w:rPr>
          <w:rFonts w:eastAsia="Times New Roman" w:cs="Arial"/>
        </w:rPr>
        <w:t>,</w:t>
      </w:r>
      <w:r w:rsidR="00A00B9E" w:rsidRPr="0098779E">
        <w:rPr>
          <w:rFonts w:eastAsia="Times New Roman" w:cs="Arial"/>
        </w:rPr>
        <w:t xml:space="preserve"> work-related illnesses</w:t>
      </w:r>
      <w:r w:rsidR="001720E3">
        <w:rPr>
          <w:rFonts w:eastAsia="Times New Roman" w:cs="Arial"/>
        </w:rPr>
        <w:t>,</w:t>
      </w:r>
      <w:r w:rsidR="00A00B9E" w:rsidRPr="0098779E">
        <w:rPr>
          <w:rFonts w:eastAsia="Times New Roman" w:cs="Arial"/>
        </w:rPr>
        <w:t xml:space="preserve"> restricted duty cases</w:t>
      </w:r>
      <w:r w:rsidR="001720E3">
        <w:rPr>
          <w:rFonts w:eastAsia="Times New Roman" w:cs="Arial"/>
        </w:rPr>
        <w:t>,</w:t>
      </w:r>
      <w:r w:rsidR="00A00B9E" w:rsidRPr="0098779E">
        <w:rPr>
          <w:rFonts w:eastAsia="Times New Roman" w:cs="Arial"/>
        </w:rPr>
        <w:t xml:space="preserve"> injuries where lost time occurs days or weeks after the incident</w:t>
      </w:r>
      <w:r w:rsidR="001720E3">
        <w:rPr>
          <w:rFonts w:eastAsia="Times New Roman" w:cs="Arial"/>
        </w:rPr>
        <w:t>,</w:t>
      </w:r>
      <w:r w:rsidR="00A00B9E" w:rsidRPr="0098779E">
        <w:rPr>
          <w:rFonts w:eastAsia="Times New Roman" w:cs="Arial"/>
        </w:rPr>
        <w:t xml:space="preserve"> and injuries resulting in uncompensated lost time.</w:t>
      </w:r>
      <w:r w:rsidR="00457B46" w:rsidRPr="00A70A17">
        <w:rPr>
          <w:rStyle w:val="FootnoteReference"/>
          <w:rFonts w:eastAsia="Times New Roman" w:cs="Arial"/>
        </w:rPr>
        <w:footnoteReference w:id="42"/>
      </w:r>
      <w:r w:rsidR="00457B46">
        <w:rPr>
          <w:rFonts w:eastAsia="Times New Roman" w:cs="Arial"/>
        </w:rPr>
        <w:t xml:space="preserve"> </w:t>
      </w:r>
      <w:r w:rsidR="00A00B9E" w:rsidRPr="0098779E">
        <w:rPr>
          <w:rFonts w:eastAsia="Times New Roman" w:cs="Arial"/>
        </w:rPr>
        <w:t xml:space="preserve">Furthermore, organisations have been shown to use different approaches </w:t>
      </w:r>
      <w:r w:rsidR="00E73DC2">
        <w:rPr>
          <w:rFonts w:eastAsia="Times New Roman" w:cs="Arial"/>
        </w:rPr>
        <w:t>to: recording</w:t>
      </w:r>
      <w:r w:rsidR="00A00B9E" w:rsidRPr="0098779E">
        <w:rPr>
          <w:rFonts w:eastAsia="Times New Roman" w:cs="Arial"/>
        </w:rPr>
        <w:t xml:space="preserve"> fatality and disability</w:t>
      </w:r>
      <w:r w:rsidR="00E73DC2">
        <w:rPr>
          <w:rFonts w:eastAsia="Times New Roman" w:cs="Arial"/>
        </w:rPr>
        <w:t>;</w:t>
      </w:r>
      <w:r w:rsidR="00A00B9E" w:rsidRPr="0098779E">
        <w:rPr>
          <w:rFonts w:eastAsia="Times New Roman" w:cs="Arial"/>
        </w:rPr>
        <w:t xml:space="preserve"> reporting (or not) on contractor injuries; and presenting LTIFR </w:t>
      </w:r>
      <w:r w:rsidR="00A34AF9">
        <w:rPr>
          <w:rFonts w:eastAsia="Times New Roman" w:cs="Arial"/>
        </w:rPr>
        <w:t xml:space="preserve">data </w:t>
      </w:r>
      <w:r w:rsidR="00A00B9E" w:rsidRPr="0098779E">
        <w:rPr>
          <w:rFonts w:eastAsia="Times New Roman" w:cs="Arial"/>
        </w:rPr>
        <w:t>(e.g. as a rate per million hours or per 200</w:t>
      </w:r>
      <w:r w:rsidR="00566347">
        <w:rPr>
          <w:rFonts w:eastAsia="Times New Roman" w:cs="Arial"/>
        </w:rPr>
        <w:t xml:space="preserve"> </w:t>
      </w:r>
      <w:r w:rsidR="00A00B9E" w:rsidRPr="0098779E">
        <w:rPr>
          <w:rFonts w:eastAsia="Times New Roman" w:cs="Arial"/>
        </w:rPr>
        <w:t xml:space="preserve">000 hours). Understanding how an organisation has actually defined and measured </w:t>
      </w:r>
      <w:r w:rsidR="00A00B9E">
        <w:rPr>
          <w:rFonts w:eastAsia="Times New Roman" w:cs="Arial"/>
        </w:rPr>
        <w:t>these and other WRII measures</w:t>
      </w:r>
      <w:r w:rsidR="00A00B9E" w:rsidRPr="0098779E">
        <w:rPr>
          <w:rFonts w:eastAsia="Times New Roman" w:cs="Arial"/>
        </w:rPr>
        <w:t xml:space="preserve"> is therefore critical for </w:t>
      </w:r>
      <w:r w:rsidR="00E73DC2">
        <w:rPr>
          <w:rFonts w:eastAsia="Times New Roman" w:cs="Arial"/>
        </w:rPr>
        <w:t xml:space="preserve">using or </w:t>
      </w:r>
      <w:r w:rsidR="00A00B9E" w:rsidRPr="0098779E">
        <w:rPr>
          <w:rFonts w:eastAsia="Times New Roman" w:cs="Arial"/>
        </w:rPr>
        <w:t xml:space="preserve">benchmarking </w:t>
      </w:r>
      <w:r w:rsidR="00E73DC2">
        <w:rPr>
          <w:rFonts w:eastAsia="Times New Roman" w:cs="Arial"/>
        </w:rPr>
        <w:t>WRII data</w:t>
      </w:r>
      <w:r w:rsidR="00A00B9E" w:rsidRPr="0098779E">
        <w:rPr>
          <w:rFonts w:eastAsia="Times New Roman" w:cs="Arial"/>
        </w:rPr>
        <w:t xml:space="preserve">. </w:t>
      </w:r>
      <w:r w:rsidR="00A00B9E">
        <w:rPr>
          <w:rFonts w:eastAsia="Times New Roman" w:cs="Arial"/>
        </w:rPr>
        <w:t>Other reliability concerns are also important.</w:t>
      </w:r>
    </w:p>
    <w:p w:rsidR="007211DF" w:rsidRPr="005C5300" w:rsidRDefault="007211DF" w:rsidP="00734A6C">
      <w:pPr>
        <w:pStyle w:val="Style3"/>
        <w:numPr>
          <w:ilvl w:val="0"/>
          <w:numId w:val="18"/>
        </w:numPr>
        <w:ind w:left="426" w:hanging="426"/>
        <w:rPr>
          <w:rFonts w:asciiTheme="minorHAnsi" w:hAnsiTheme="minorHAnsi"/>
          <w:sz w:val="24"/>
          <w:szCs w:val="24"/>
          <w:u w:val="single"/>
        </w:rPr>
      </w:pPr>
      <w:bookmarkStart w:id="16" w:name="_Toc361085305"/>
      <w:r>
        <w:rPr>
          <w:rFonts w:asciiTheme="minorHAnsi" w:hAnsiTheme="minorHAnsi"/>
          <w:sz w:val="24"/>
          <w:szCs w:val="24"/>
          <w:u w:val="single"/>
        </w:rPr>
        <w:t>Issues</w:t>
      </w:r>
      <w:r w:rsidRPr="005C5300">
        <w:rPr>
          <w:rFonts w:asciiTheme="minorHAnsi" w:hAnsiTheme="minorHAnsi"/>
          <w:sz w:val="24"/>
          <w:szCs w:val="24"/>
          <w:u w:val="single"/>
        </w:rPr>
        <w:t xml:space="preserve"> of sample size</w:t>
      </w:r>
      <w:bookmarkEnd w:id="16"/>
    </w:p>
    <w:p w:rsidR="007211DF" w:rsidRDefault="006933EB" w:rsidP="00935FF5">
      <w:pPr>
        <w:spacing w:before="120" w:after="120"/>
        <w:ind w:left="68"/>
        <w:jc w:val="both"/>
        <w:rPr>
          <w:rFonts w:eastAsia="Times New Roman" w:cs="Arial"/>
        </w:rPr>
      </w:pPr>
      <w:r>
        <w:rPr>
          <w:rFonts w:eastAsia="Times New Roman" w:cs="Arial"/>
        </w:rPr>
        <w:t xml:space="preserve">Traditional analysis of </w:t>
      </w:r>
      <w:r w:rsidR="006A1CA2">
        <w:rPr>
          <w:rFonts w:eastAsia="Times New Roman" w:cs="Arial"/>
        </w:rPr>
        <w:t>work health and safety</w:t>
      </w:r>
      <w:r>
        <w:rPr>
          <w:rFonts w:eastAsia="Times New Roman" w:cs="Arial"/>
        </w:rPr>
        <w:t xml:space="preserve"> within organisations has tended to rely heavily on injury data</w:t>
      </w:r>
      <w:r w:rsidR="0079399E">
        <w:rPr>
          <w:rFonts w:eastAsia="Times New Roman" w:cs="Arial"/>
        </w:rPr>
        <w:t>. However</w:t>
      </w:r>
      <w:r w:rsidR="00B15FCF">
        <w:rPr>
          <w:rFonts w:eastAsia="Times New Roman" w:cs="Arial"/>
        </w:rPr>
        <w:t xml:space="preserve"> </w:t>
      </w:r>
      <w:r w:rsidR="0079399E">
        <w:rPr>
          <w:rFonts w:eastAsia="Times New Roman" w:cs="Arial"/>
        </w:rPr>
        <w:t xml:space="preserve">the sample sizes at an organisational level are typically so small that changes in injury rates on a monthly, or even annual, basis are likely to be statistically insignificant. </w:t>
      </w:r>
      <w:r w:rsidR="00416BE2">
        <w:rPr>
          <w:rFonts w:eastAsia="Times New Roman" w:cs="Arial"/>
        </w:rPr>
        <w:t>In such circumstances, the use of injury rates to evaluate line managers’ is described as “ludicrous”</w:t>
      </w:r>
      <w:r w:rsidR="00E80A4E">
        <w:rPr>
          <w:rFonts w:eastAsia="Times New Roman" w:cs="Arial"/>
        </w:rPr>
        <w:t>.</w:t>
      </w:r>
      <w:r w:rsidR="00DF3733">
        <w:rPr>
          <w:rStyle w:val="FootnoteReference"/>
          <w:rFonts w:eastAsia="Times New Roman" w:cs="Arial"/>
        </w:rPr>
        <w:footnoteReference w:id="43"/>
      </w:r>
      <w:r w:rsidR="00E80A4E">
        <w:rPr>
          <w:rFonts w:eastAsia="Times New Roman" w:cs="Arial"/>
        </w:rPr>
        <w:t xml:space="preserve"> </w:t>
      </w:r>
      <w:r w:rsidR="00DF3733">
        <w:rPr>
          <w:rFonts w:eastAsia="Times New Roman" w:cs="Arial"/>
        </w:rPr>
        <w:t>T</w:t>
      </w:r>
      <w:r w:rsidR="0079399E">
        <w:rPr>
          <w:rFonts w:eastAsia="Times New Roman" w:cs="Arial"/>
        </w:rPr>
        <w:t xml:space="preserve">he use of </w:t>
      </w:r>
      <w:r w:rsidR="00F15E75">
        <w:rPr>
          <w:rFonts w:eastAsia="Times New Roman" w:cs="Arial"/>
        </w:rPr>
        <w:t xml:space="preserve">appropriately validated </w:t>
      </w:r>
      <w:r w:rsidR="0079399E">
        <w:rPr>
          <w:rFonts w:eastAsia="Times New Roman" w:cs="Arial"/>
        </w:rPr>
        <w:t xml:space="preserve">activity measures, </w:t>
      </w:r>
      <w:r w:rsidR="00DF3733">
        <w:rPr>
          <w:rFonts w:eastAsia="Times New Roman" w:cs="Arial"/>
        </w:rPr>
        <w:t>as opposed to</w:t>
      </w:r>
      <w:r w:rsidR="0079399E">
        <w:rPr>
          <w:rFonts w:eastAsia="Times New Roman" w:cs="Arial"/>
        </w:rPr>
        <w:t xml:space="preserve"> </w:t>
      </w:r>
      <w:r w:rsidR="006A1CA2">
        <w:rPr>
          <w:rFonts w:eastAsia="Times New Roman" w:cs="Arial"/>
        </w:rPr>
        <w:t>incident</w:t>
      </w:r>
      <w:r w:rsidR="0079399E">
        <w:rPr>
          <w:rFonts w:eastAsia="Times New Roman" w:cs="Arial"/>
        </w:rPr>
        <w:t xml:space="preserve"> rates, </w:t>
      </w:r>
      <w:r w:rsidR="00DF3733">
        <w:rPr>
          <w:rFonts w:eastAsia="Times New Roman" w:cs="Arial"/>
        </w:rPr>
        <w:t>is</w:t>
      </w:r>
      <w:r w:rsidR="00416BE2">
        <w:rPr>
          <w:rFonts w:eastAsia="Times New Roman" w:cs="Arial"/>
        </w:rPr>
        <w:t xml:space="preserve"> advocated as a more valid measure of </w:t>
      </w:r>
      <w:r w:rsidR="0079399E">
        <w:rPr>
          <w:rFonts w:eastAsia="Times New Roman" w:cs="Arial"/>
        </w:rPr>
        <w:t>manager and supervisor</w:t>
      </w:r>
      <w:r w:rsidR="00B15FCF">
        <w:rPr>
          <w:rFonts w:eastAsia="Times New Roman" w:cs="Arial"/>
        </w:rPr>
        <w:t xml:space="preserve"> </w:t>
      </w:r>
      <w:r w:rsidR="00DF3733">
        <w:rPr>
          <w:rFonts w:eastAsia="Times New Roman" w:cs="Arial"/>
        </w:rPr>
        <w:t>performance</w:t>
      </w:r>
      <w:r w:rsidR="00B15FCF">
        <w:rPr>
          <w:rFonts w:eastAsia="Times New Roman" w:cs="Arial"/>
        </w:rPr>
        <w:t>.</w:t>
      </w:r>
      <w:r w:rsidR="00416BE2">
        <w:rPr>
          <w:rStyle w:val="FootnoteReference"/>
          <w:rFonts w:eastAsia="Times New Roman" w:cs="Arial"/>
        </w:rPr>
        <w:footnoteReference w:id="44"/>
      </w:r>
      <w:r w:rsidR="0079399E">
        <w:rPr>
          <w:rFonts w:eastAsia="Times New Roman" w:cs="Arial"/>
        </w:rPr>
        <w:t xml:space="preserve">  </w:t>
      </w:r>
    </w:p>
    <w:p w:rsidR="00A00B9E" w:rsidRPr="005C5300" w:rsidRDefault="00A00B9E" w:rsidP="00734A6C">
      <w:pPr>
        <w:pStyle w:val="Style3"/>
        <w:numPr>
          <w:ilvl w:val="0"/>
          <w:numId w:val="18"/>
        </w:numPr>
        <w:ind w:left="426" w:hanging="426"/>
        <w:rPr>
          <w:rFonts w:asciiTheme="minorHAnsi" w:hAnsiTheme="minorHAnsi"/>
          <w:sz w:val="24"/>
          <w:szCs w:val="24"/>
          <w:u w:val="single"/>
        </w:rPr>
      </w:pPr>
      <w:bookmarkStart w:id="17" w:name="_Toc361085306"/>
      <w:r>
        <w:rPr>
          <w:rFonts w:asciiTheme="minorHAnsi" w:hAnsiTheme="minorHAnsi"/>
          <w:sz w:val="24"/>
          <w:szCs w:val="24"/>
          <w:u w:val="single"/>
        </w:rPr>
        <w:t>Issues of under-reporting of injury</w:t>
      </w:r>
      <w:bookmarkEnd w:id="17"/>
    </w:p>
    <w:p w:rsidR="007211DF" w:rsidRPr="00AE4F43" w:rsidRDefault="007211DF" w:rsidP="007211DF">
      <w:pPr>
        <w:spacing w:before="120"/>
        <w:jc w:val="both"/>
        <w:rPr>
          <w:rFonts w:eastAsia="Times New Roman" w:cs="Arial"/>
        </w:rPr>
      </w:pPr>
      <w:r>
        <w:rPr>
          <w:rFonts w:eastAsia="Times New Roman" w:cs="Arial"/>
        </w:rPr>
        <w:t>Analyses of WRII typically employ</w:t>
      </w:r>
      <w:r w:rsidRPr="00AE4F43">
        <w:rPr>
          <w:rFonts w:eastAsia="Times New Roman" w:cs="Arial"/>
        </w:rPr>
        <w:t xml:space="preserve"> workers’ compensation data, although it is widely acknowledged that compensation data fails to capture all WRII</w:t>
      </w:r>
      <w:r w:rsidR="00E80A4E">
        <w:rPr>
          <w:rFonts w:eastAsia="Times New Roman" w:cs="Arial"/>
        </w:rPr>
        <w:t>.</w:t>
      </w:r>
      <w:r>
        <w:rPr>
          <w:rStyle w:val="FootnoteReference"/>
          <w:rFonts w:eastAsia="Times New Roman" w:cs="Arial"/>
        </w:rPr>
        <w:footnoteReference w:id="45"/>
      </w:r>
      <w:r w:rsidR="00E80A4E">
        <w:rPr>
          <w:rFonts w:eastAsia="Times New Roman" w:cs="Arial"/>
        </w:rPr>
        <w:t xml:space="preserve"> </w:t>
      </w:r>
      <w:r w:rsidRPr="00AE4F43">
        <w:rPr>
          <w:rFonts w:eastAsia="Times New Roman" w:cs="Arial"/>
        </w:rPr>
        <w:t xml:space="preserve"> </w:t>
      </w:r>
      <w:r w:rsidR="000D528D">
        <w:rPr>
          <w:rFonts w:eastAsia="Times New Roman" w:cs="Arial"/>
        </w:rPr>
        <w:t xml:space="preserve"> The </w:t>
      </w:r>
      <w:r w:rsidRPr="00AE4F43">
        <w:rPr>
          <w:rFonts w:eastAsia="Times New Roman" w:cs="Arial"/>
        </w:rPr>
        <w:t xml:space="preserve">Australian Bureau of Statistics </w:t>
      </w:r>
      <w:r w:rsidR="000D528D">
        <w:rPr>
          <w:rFonts w:eastAsia="Times New Roman" w:cs="Arial"/>
        </w:rPr>
        <w:t xml:space="preserve">Work-related Injuries Survey </w:t>
      </w:r>
      <w:r w:rsidRPr="00AE4F43">
        <w:rPr>
          <w:rFonts w:eastAsia="Times New Roman" w:cs="Arial"/>
        </w:rPr>
        <w:t>(ABS 2010) concluded that while 640</w:t>
      </w:r>
      <w:r w:rsidR="006A1CA2">
        <w:rPr>
          <w:rFonts w:eastAsia="Times New Roman" w:cs="Arial"/>
        </w:rPr>
        <w:t xml:space="preserve"> </w:t>
      </w:r>
      <w:r w:rsidRPr="00AE4F43">
        <w:rPr>
          <w:rFonts w:eastAsia="Times New Roman" w:cs="Arial"/>
        </w:rPr>
        <w:t>700 people experienced a WRII in the 2009/10 year (approximately 38.2 injuries per million hours or 2</w:t>
      </w:r>
      <w:r w:rsidR="006A1CA2">
        <w:rPr>
          <w:rFonts w:eastAsia="Times New Roman" w:cs="Arial"/>
        </w:rPr>
        <w:t xml:space="preserve"> </w:t>
      </w:r>
      <w:r w:rsidRPr="00AE4F43">
        <w:rPr>
          <w:rFonts w:eastAsia="Times New Roman" w:cs="Arial"/>
        </w:rPr>
        <w:t>464 per weekday), only 35.9% received workers’ compensation. A further 24.</w:t>
      </w:r>
      <w:r w:rsidR="00201498">
        <w:rPr>
          <w:rFonts w:eastAsia="Times New Roman" w:cs="Arial"/>
        </w:rPr>
        <w:t>7</w:t>
      </w:r>
      <w:r w:rsidRPr="00AE4F43">
        <w:rPr>
          <w:rFonts w:eastAsia="Times New Roman" w:cs="Arial"/>
        </w:rPr>
        <w:t xml:space="preserve">% received some financial assistance from their employer, private insurance or government (such as </w:t>
      </w:r>
      <w:r w:rsidR="009E5C8E">
        <w:rPr>
          <w:rFonts w:eastAsia="Times New Roman" w:cs="Arial"/>
        </w:rPr>
        <w:t>M</w:t>
      </w:r>
      <w:r w:rsidRPr="00AE4F43">
        <w:rPr>
          <w:rFonts w:eastAsia="Times New Roman" w:cs="Arial"/>
        </w:rPr>
        <w:t xml:space="preserve">edicare or </w:t>
      </w:r>
      <w:r w:rsidR="009E5C8E">
        <w:rPr>
          <w:rFonts w:eastAsia="Times New Roman" w:cs="Arial"/>
        </w:rPr>
        <w:t>C</w:t>
      </w:r>
      <w:r w:rsidRPr="00AE4F43">
        <w:rPr>
          <w:rFonts w:eastAsia="Times New Roman" w:cs="Arial"/>
        </w:rPr>
        <w:t xml:space="preserve">entrelink) </w:t>
      </w:r>
      <w:r w:rsidR="00DF3733">
        <w:rPr>
          <w:rFonts w:eastAsia="Times New Roman" w:cs="Arial"/>
        </w:rPr>
        <w:t>and</w:t>
      </w:r>
      <w:r w:rsidRPr="00AE4F43">
        <w:rPr>
          <w:rFonts w:eastAsia="Times New Roman" w:cs="Arial"/>
        </w:rPr>
        <w:t xml:space="preserve"> 39.4% received no assistance</w:t>
      </w:r>
      <w:r w:rsidR="00457B46">
        <w:rPr>
          <w:rFonts w:eastAsia="Times New Roman" w:cs="Arial"/>
        </w:rPr>
        <w:t xml:space="preserve"> at all</w:t>
      </w:r>
      <w:r w:rsidR="00E80A4E">
        <w:rPr>
          <w:rFonts w:eastAsia="Times New Roman" w:cs="Arial"/>
        </w:rPr>
        <w:t>.</w:t>
      </w:r>
      <w:r>
        <w:rPr>
          <w:rStyle w:val="FootnoteReference"/>
          <w:rFonts w:eastAsia="Times New Roman" w:cs="Arial"/>
        </w:rPr>
        <w:footnoteReference w:id="46"/>
      </w:r>
      <w:r w:rsidRPr="00AE4F43">
        <w:rPr>
          <w:rFonts w:eastAsia="Times New Roman" w:cs="Arial"/>
        </w:rPr>
        <w:t xml:space="preserve"> </w:t>
      </w:r>
      <w:r w:rsidR="00BB01DD">
        <w:rPr>
          <w:rFonts w:eastAsia="Times New Roman" w:cs="Arial"/>
        </w:rPr>
        <w:t>Safe Work Australia acknowledges these limitations in m</w:t>
      </w:r>
      <w:r w:rsidR="00BB563A">
        <w:rPr>
          <w:rFonts w:eastAsia="Times New Roman" w:cs="Arial"/>
        </w:rPr>
        <w:t>aintain</w:t>
      </w:r>
      <w:r w:rsidR="00BB01DD">
        <w:rPr>
          <w:rFonts w:eastAsia="Times New Roman" w:cs="Arial"/>
        </w:rPr>
        <w:t>ing</w:t>
      </w:r>
      <w:r w:rsidR="00BB563A">
        <w:rPr>
          <w:rFonts w:eastAsia="Times New Roman" w:cs="Arial"/>
        </w:rPr>
        <w:t xml:space="preserve"> the </w:t>
      </w:r>
      <w:r w:rsidR="00BB01DD">
        <w:rPr>
          <w:rFonts w:eastAsia="Times New Roman" w:cs="Arial"/>
        </w:rPr>
        <w:t xml:space="preserve">(Australian) </w:t>
      </w:r>
      <w:r w:rsidR="00BB563A">
        <w:rPr>
          <w:rFonts w:eastAsia="Times New Roman" w:cs="Arial"/>
        </w:rPr>
        <w:t xml:space="preserve">National Data Set for Compensation-based Statistics </w:t>
      </w:r>
      <w:r w:rsidR="00BB01DD">
        <w:rPr>
          <w:rFonts w:eastAsia="Times New Roman" w:cs="Arial"/>
        </w:rPr>
        <w:t xml:space="preserve">and </w:t>
      </w:r>
      <w:r w:rsidR="00BB563A">
        <w:rPr>
          <w:rFonts w:eastAsia="Times New Roman" w:cs="Arial"/>
        </w:rPr>
        <w:t>supplement</w:t>
      </w:r>
      <w:r w:rsidR="00BB01DD">
        <w:rPr>
          <w:rFonts w:eastAsia="Times New Roman" w:cs="Arial"/>
        </w:rPr>
        <w:t>s</w:t>
      </w:r>
      <w:r w:rsidR="00BB563A">
        <w:rPr>
          <w:rFonts w:eastAsia="Times New Roman" w:cs="Arial"/>
        </w:rPr>
        <w:t xml:space="preserve"> workers’ compensation data with other information sources such as coroners’ information for injury fatalities and survey data for injuries.</w:t>
      </w:r>
    </w:p>
    <w:p w:rsidR="007211DF" w:rsidRPr="00AE4F43" w:rsidRDefault="001641A1" w:rsidP="004B559D">
      <w:pPr>
        <w:spacing w:before="120" w:after="0"/>
        <w:jc w:val="both"/>
        <w:rPr>
          <w:rFonts w:eastAsia="Times New Roman" w:cs="Arial"/>
        </w:rPr>
      </w:pPr>
      <w:r>
        <w:rPr>
          <w:rFonts w:eastAsia="Times New Roman" w:cs="Arial"/>
        </w:rPr>
        <w:t>Further examination reveals s</w:t>
      </w:r>
      <w:r w:rsidR="0096021B">
        <w:rPr>
          <w:rFonts w:eastAsia="Times New Roman" w:cs="Arial"/>
        </w:rPr>
        <w:t>o</w:t>
      </w:r>
      <w:r w:rsidR="0096021B" w:rsidRPr="008D65E9">
        <w:rPr>
          <w:rFonts w:eastAsia="Times New Roman" w:cs="Arial"/>
        </w:rPr>
        <w:t xml:space="preserve">me uncompensated injuries are the result of conscious choices by individuals not to lodge a claim (e.g. for minor injuries), while others relate to cases typically excluded from compensation systems; such as journey (commuting) claims, </w:t>
      </w:r>
      <w:r w:rsidR="0096021B">
        <w:rPr>
          <w:rFonts w:eastAsia="Times New Roman" w:cs="Arial"/>
        </w:rPr>
        <w:t>various</w:t>
      </w:r>
      <w:r w:rsidR="0096021B" w:rsidRPr="008D65E9">
        <w:rPr>
          <w:rFonts w:eastAsia="Times New Roman" w:cs="Arial"/>
        </w:rPr>
        <w:t xml:space="preserve"> long latency occupational diseases and WRIIs sustained by self-employed workers, members of the defence forces and some police forces.</w:t>
      </w:r>
      <w:r w:rsidR="0096021B">
        <w:rPr>
          <w:rFonts w:eastAsia="Times New Roman" w:cs="Arial"/>
        </w:rPr>
        <w:t xml:space="preserve"> Safe Work Australia uses denominator data calculated by the ABS to mirror</w:t>
      </w:r>
      <w:r w:rsidR="00935FF5">
        <w:rPr>
          <w:rFonts w:eastAsia="Times New Roman" w:cs="Arial"/>
        </w:rPr>
        <w:t>,</w:t>
      </w:r>
      <w:r w:rsidR="0096021B">
        <w:rPr>
          <w:rFonts w:eastAsia="Times New Roman" w:cs="Arial"/>
        </w:rPr>
        <w:t xml:space="preserve"> as far as possible</w:t>
      </w:r>
      <w:r w:rsidR="00935FF5">
        <w:rPr>
          <w:rFonts w:eastAsia="Times New Roman" w:cs="Arial"/>
        </w:rPr>
        <w:t>,</w:t>
      </w:r>
      <w:r w:rsidR="0096021B">
        <w:rPr>
          <w:rFonts w:eastAsia="Times New Roman" w:cs="Arial"/>
        </w:rPr>
        <w:t xml:space="preserve"> employees covered by workers’ compensation schemes and </w:t>
      </w:r>
      <w:r w:rsidR="00935FF5">
        <w:rPr>
          <w:rFonts w:eastAsia="Times New Roman" w:cs="Arial"/>
        </w:rPr>
        <w:t xml:space="preserve">then </w:t>
      </w:r>
      <w:r w:rsidR="0096021B">
        <w:rPr>
          <w:rFonts w:eastAsia="Times New Roman" w:cs="Arial"/>
        </w:rPr>
        <w:t>compares industries and trends over time using incidence and frequency rates rather than claim numbers. Nevertheless, a comparison of the 2005 ABS survey with compensated claims of the same period</w:t>
      </w:r>
      <w:r w:rsidR="00F44F99">
        <w:rPr>
          <w:rStyle w:val="FootnoteReference"/>
          <w:rFonts w:eastAsia="Times New Roman" w:cs="Arial"/>
        </w:rPr>
        <w:footnoteReference w:id="47"/>
      </w:r>
      <w:r w:rsidR="0096021B">
        <w:rPr>
          <w:rFonts w:eastAsia="Times New Roman" w:cs="Arial"/>
        </w:rPr>
        <w:t xml:space="preserve"> showed that even</w:t>
      </w:r>
      <w:r w:rsidR="00F44F99">
        <w:rPr>
          <w:rFonts w:eastAsia="Times New Roman" w:cs="Arial"/>
        </w:rPr>
        <w:t xml:space="preserve"> when the datasets are scoped to include injuries with similar periods of time lost (one working week or more for the compensation data and five or more days for the ABS survey) the compensation incidence rate for male employees was 80% of the ABS survey rate. For female employees the compensated claims rate was only 60% of the ABS survey rate.</w:t>
      </w:r>
      <w:r w:rsidR="00935FF5">
        <w:rPr>
          <w:rFonts w:eastAsia="Times New Roman" w:cs="Arial"/>
        </w:rPr>
        <w:t xml:space="preserve"> </w:t>
      </w:r>
      <w:r w:rsidR="004B559D">
        <w:rPr>
          <w:rFonts w:eastAsia="Times New Roman" w:cs="Arial"/>
        </w:rPr>
        <w:t xml:space="preserve">Compensation data </w:t>
      </w:r>
      <w:r w:rsidR="00457B46">
        <w:rPr>
          <w:rFonts w:eastAsia="Times New Roman" w:cs="Arial"/>
        </w:rPr>
        <w:t xml:space="preserve">thus </w:t>
      </w:r>
      <w:r w:rsidR="00DF3733">
        <w:rPr>
          <w:rFonts w:eastAsia="Times New Roman" w:cs="Arial"/>
        </w:rPr>
        <w:t>does not provide a</w:t>
      </w:r>
      <w:r w:rsidR="00B15FCF">
        <w:rPr>
          <w:rFonts w:eastAsia="Times New Roman" w:cs="Arial"/>
        </w:rPr>
        <w:t xml:space="preserve"> </w:t>
      </w:r>
      <w:r w:rsidR="00DF3733">
        <w:rPr>
          <w:rFonts w:eastAsia="Times New Roman" w:cs="Arial"/>
        </w:rPr>
        <w:t xml:space="preserve">valid and reliable </w:t>
      </w:r>
      <w:r w:rsidR="004B559D">
        <w:rPr>
          <w:rFonts w:eastAsia="Times New Roman" w:cs="Arial"/>
        </w:rPr>
        <w:t xml:space="preserve">measure of </w:t>
      </w:r>
      <w:r w:rsidR="00DF3733">
        <w:rPr>
          <w:rFonts w:eastAsia="Times New Roman" w:cs="Arial"/>
        </w:rPr>
        <w:t>total</w:t>
      </w:r>
      <w:r w:rsidR="004B559D">
        <w:rPr>
          <w:rFonts w:eastAsia="Times New Roman" w:cs="Arial"/>
        </w:rPr>
        <w:t xml:space="preserve"> WRII</w:t>
      </w:r>
      <w:r w:rsidR="00DF3733">
        <w:rPr>
          <w:rFonts w:eastAsia="Times New Roman" w:cs="Arial"/>
        </w:rPr>
        <w:t>s</w:t>
      </w:r>
      <w:r w:rsidR="004B559D">
        <w:rPr>
          <w:rFonts w:eastAsia="Times New Roman" w:cs="Arial"/>
        </w:rPr>
        <w:t xml:space="preserve">. </w:t>
      </w:r>
    </w:p>
    <w:p w:rsidR="00A00B9E" w:rsidRPr="008D65E9" w:rsidRDefault="00201498" w:rsidP="00935FF5">
      <w:pPr>
        <w:spacing w:before="120" w:after="120"/>
        <w:jc w:val="both"/>
        <w:rPr>
          <w:rFonts w:eastAsia="Times New Roman" w:cs="Arial"/>
        </w:rPr>
      </w:pPr>
      <w:r>
        <w:rPr>
          <w:rFonts w:eastAsia="Times New Roman" w:cs="Arial"/>
        </w:rPr>
        <w:t xml:space="preserve">The ABS (2010) study </w:t>
      </w:r>
      <w:r w:rsidR="004B559D">
        <w:rPr>
          <w:rFonts w:eastAsia="Times New Roman" w:cs="Arial"/>
        </w:rPr>
        <w:t xml:space="preserve">also </w:t>
      </w:r>
      <w:r>
        <w:rPr>
          <w:rFonts w:eastAsia="Times New Roman" w:cs="Arial"/>
        </w:rPr>
        <w:t>observed that approximately 141</w:t>
      </w:r>
      <w:r w:rsidR="006A1CA2">
        <w:rPr>
          <w:rFonts w:eastAsia="Times New Roman" w:cs="Arial"/>
        </w:rPr>
        <w:t xml:space="preserve"> </w:t>
      </w:r>
      <w:r>
        <w:rPr>
          <w:rFonts w:eastAsia="Times New Roman" w:cs="Arial"/>
        </w:rPr>
        <w:t xml:space="preserve">000 injured workers </w:t>
      </w:r>
      <w:r w:rsidR="0026642D">
        <w:rPr>
          <w:rFonts w:eastAsia="Times New Roman" w:cs="Arial"/>
        </w:rPr>
        <w:t>received</w:t>
      </w:r>
      <w:r>
        <w:rPr>
          <w:rFonts w:eastAsia="Times New Roman" w:cs="Arial"/>
        </w:rPr>
        <w:t xml:space="preserve"> financial assistance </w:t>
      </w:r>
      <w:r w:rsidR="0026642D">
        <w:rPr>
          <w:rFonts w:eastAsia="Times New Roman" w:cs="Arial"/>
        </w:rPr>
        <w:t>from</w:t>
      </w:r>
      <w:r>
        <w:rPr>
          <w:rFonts w:eastAsia="Times New Roman" w:cs="Arial"/>
        </w:rPr>
        <w:t xml:space="preserve"> their employer </w:t>
      </w:r>
      <w:r w:rsidR="0026642D">
        <w:rPr>
          <w:rFonts w:eastAsia="Times New Roman" w:cs="Arial"/>
        </w:rPr>
        <w:t>of which</w:t>
      </w:r>
      <w:r w:rsidR="00B15FCF">
        <w:rPr>
          <w:rFonts w:eastAsia="Times New Roman" w:cs="Arial"/>
        </w:rPr>
        <w:t xml:space="preserve"> </w:t>
      </w:r>
      <w:r>
        <w:rPr>
          <w:rFonts w:eastAsia="Times New Roman" w:cs="Arial"/>
        </w:rPr>
        <w:t>92</w:t>
      </w:r>
      <w:r w:rsidR="006A1CA2">
        <w:rPr>
          <w:rFonts w:eastAsia="Times New Roman" w:cs="Arial"/>
        </w:rPr>
        <w:t xml:space="preserve"> </w:t>
      </w:r>
      <w:r>
        <w:rPr>
          <w:rFonts w:eastAsia="Times New Roman" w:cs="Arial"/>
        </w:rPr>
        <w:t xml:space="preserve">000 </w:t>
      </w:r>
      <w:r w:rsidR="0026642D">
        <w:rPr>
          <w:rFonts w:eastAsia="Times New Roman" w:cs="Arial"/>
        </w:rPr>
        <w:t>received</w:t>
      </w:r>
      <w:r w:rsidR="00B15FCF">
        <w:rPr>
          <w:rFonts w:eastAsia="Times New Roman" w:cs="Arial"/>
        </w:rPr>
        <w:t xml:space="preserve"> </w:t>
      </w:r>
      <w:r w:rsidR="00B11084">
        <w:rPr>
          <w:rFonts w:eastAsia="Times New Roman" w:cs="Arial"/>
        </w:rPr>
        <w:t xml:space="preserve">regular </w:t>
      </w:r>
      <w:r>
        <w:rPr>
          <w:rFonts w:eastAsia="Times New Roman" w:cs="Arial"/>
        </w:rPr>
        <w:t>sick leave rather than workers’</w:t>
      </w:r>
      <w:r w:rsidR="00B11084">
        <w:rPr>
          <w:rFonts w:eastAsia="Times New Roman" w:cs="Arial"/>
        </w:rPr>
        <w:t xml:space="preserve"> compensation. </w:t>
      </w:r>
      <w:r w:rsidR="004B559D">
        <w:rPr>
          <w:rFonts w:eastAsia="Times New Roman" w:cs="Arial"/>
        </w:rPr>
        <w:t xml:space="preserve">Presumably these ‘sick days’ were not recorded as lost time. Notably almost 31% of absences compensated through ordinary sick leave </w:t>
      </w:r>
      <w:r w:rsidR="00B11084">
        <w:rPr>
          <w:rFonts w:eastAsia="Times New Roman" w:cs="Arial"/>
        </w:rPr>
        <w:t xml:space="preserve">related to </w:t>
      </w:r>
      <w:r w:rsidR="00E73DC2">
        <w:rPr>
          <w:rFonts w:eastAsia="Times New Roman" w:cs="Arial"/>
        </w:rPr>
        <w:t xml:space="preserve">injuries </w:t>
      </w:r>
      <w:r w:rsidR="00B11084">
        <w:rPr>
          <w:rFonts w:eastAsia="Times New Roman" w:cs="Arial"/>
        </w:rPr>
        <w:t xml:space="preserve">requiring five or more days absence from work. </w:t>
      </w:r>
      <w:r w:rsidR="004B559D">
        <w:rPr>
          <w:rFonts w:eastAsia="Times New Roman" w:cs="Arial"/>
        </w:rPr>
        <w:t>The</w:t>
      </w:r>
      <w:r w:rsidR="0026642D">
        <w:rPr>
          <w:rFonts w:eastAsia="Times New Roman" w:cs="Arial"/>
        </w:rPr>
        <w:t>se</w:t>
      </w:r>
      <w:r w:rsidR="004B559D">
        <w:rPr>
          <w:rFonts w:eastAsia="Times New Roman" w:cs="Arial"/>
        </w:rPr>
        <w:t xml:space="preserve"> findings </w:t>
      </w:r>
      <w:r w:rsidR="00E73DC2">
        <w:rPr>
          <w:rFonts w:eastAsia="Times New Roman" w:cs="Arial"/>
        </w:rPr>
        <w:t xml:space="preserve">potentially </w:t>
      </w:r>
      <w:r w:rsidR="004B559D">
        <w:rPr>
          <w:rFonts w:eastAsia="Times New Roman" w:cs="Arial"/>
        </w:rPr>
        <w:t xml:space="preserve">provide empirical evidence </w:t>
      </w:r>
      <w:r w:rsidR="00E73DC2">
        <w:rPr>
          <w:rFonts w:eastAsia="Times New Roman" w:cs="Arial"/>
        </w:rPr>
        <w:t xml:space="preserve">to </w:t>
      </w:r>
      <w:r w:rsidR="004B559D">
        <w:rPr>
          <w:rFonts w:eastAsia="Times New Roman" w:cs="Arial"/>
        </w:rPr>
        <w:t xml:space="preserve">support anecdotal claims </w:t>
      </w:r>
      <w:r w:rsidR="00E73DC2">
        <w:rPr>
          <w:rFonts w:eastAsia="Times New Roman" w:cs="Arial"/>
        </w:rPr>
        <w:t xml:space="preserve">that individuals </w:t>
      </w:r>
      <w:r w:rsidR="004B559D">
        <w:rPr>
          <w:rFonts w:eastAsia="Times New Roman" w:cs="Arial"/>
        </w:rPr>
        <w:t>manipulat</w:t>
      </w:r>
      <w:r w:rsidR="00E73DC2">
        <w:rPr>
          <w:rFonts w:eastAsia="Times New Roman" w:cs="Arial"/>
        </w:rPr>
        <w:t>e</w:t>
      </w:r>
      <w:r w:rsidR="004B559D">
        <w:rPr>
          <w:rFonts w:eastAsia="Times New Roman" w:cs="Arial"/>
        </w:rPr>
        <w:t xml:space="preserve"> injury performance measures </w:t>
      </w:r>
      <w:r w:rsidR="00D855F2">
        <w:rPr>
          <w:rFonts w:eastAsia="Times New Roman" w:cs="Arial"/>
        </w:rPr>
        <w:t>by under-reporting LTIs</w:t>
      </w:r>
      <w:r w:rsidR="004B559D">
        <w:rPr>
          <w:rFonts w:eastAsia="Times New Roman" w:cs="Arial"/>
        </w:rPr>
        <w:t xml:space="preserve">. In doing so, the ABS data reinforces the poor validity and reliability of </w:t>
      </w:r>
      <w:r w:rsidR="00E73DC2">
        <w:rPr>
          <w:rFonts w:eastAsia="Times New Roman" w:cs="Arial"/>
        </w:rPr>
        <w:t xml:space="preserve">LTI and </w:t>
      </w:r>
      <w:r w:rsidR="004B559D">
        <w:rPr>
          <w:rFonts w:eastAsia="Times New Roman" w:cs="Arial"/>
        </w:rPr>
        <w:t>workers’ compensation</w:t>
      </w:r>
      <w:r w:rsidR="00E73DC2">
        <w:rPr>
          <w:rFonts w:eastAsia="Times New Roman" w:cs="Arial"/>
        </w:rPr>
        <w:t xml:space="preserve"> data</w:t>
      </w:r>
      <w:r w:rsidR="004B559D">
        <w:rPr>
          <w:rFonts w:eastAsia="Times New Roman" w:cs="Arial"/>
        </w:rPr>
        <w:t xml:space="preserve"> </w:t>
      </w:r>
      <w:r w:rsidR="00D855F2">
        <w:rPr>
          <w:rFonts w:eastAsia="Times New Roman" w:cs="Arial"/>
        </w:rPr>
        <w:t xml:space="preserve">(at a jurisdictional level at least) </w:t>
      </w:r>
      <w:r w:rsidR="004B559D">
        <w:rPr>
          <w:rFonts w:eastAsia="Times New Roman" w:cs="Arial"/>
        </w:rPr>
        <w:t xml:space="preserve">as </w:t>
      </w:r>
      <w:r w:rsidR="00D855F2">
        <w:rPr>
          <w:rFonts w:eastAsia="Times New Roman" w:cs="Arial"/>
        </w:rPr>
        <w:t xml:space="preserve">reliable </w:t>
      </w:r>
      <w:r w:rsidR="004B559D">
        <w:rPr>
          <w:rFonts w:eastAsia="Times New Roman" w:cs="Arial"/>
        </w:rPr>
        <w:t>prox</w:t>
      </w:r>
      <w:r w:rsidR="00E73DC2">
        <w:rPr>
          <w:rFonts w:eastAsia="Times New Roman" w:cs="Arial"/>
        </w:rPr>
        <w:t>ies</w:t>
      </w:r>
      <w:r w:rsidR="004B559D">
        <w:rPr>
          <w:rFonts w:eastAsia="Times New Roman" w:cs="Arial"/>
        </w:rPr>
        <w:t xml:space="preserve"> for serious WRII.</w:t>
      </w:r>
    </w:p>
    <w:p w:rsidR="00A00B9E" w:rsidRPr="005C5300" w:rsidRDefault="00A00B9E" w:rsidP="00734A6C">
      <w:pPr>
        <w:pStyle w:val="Style3"/>
        <w:numPr>
          <w:ilvl w:val="0"/>
          <w:numId w:val="18"/>
        </w:numPr>
        <w:ind w:left="426" w:hanging="426"/>
        <w:rPr>
          <w:rFonts w:asciiTheme="minorHAnsi" w:hAnsiTheme="minorHAnsi"/>
          <w:sz w:val="24"/>
          <w:szCs w:val="24"/>
          <w:u w:val="single"/>
        </w:rPr>
      </w:pPr>
      <w:bookmarkStart w:id="18" w:name="_Toc361085307"/>
      <w:r>
        <w:rPr>
          <w:rFonts w:asciiTheme="minorHAnsi" w:hAnsiTheme="minorHAnsi"/>
          <w:sz w:val="24"/>
          <w:szCs w:val="24"/>
          <w:u w:val="single"/>
        </w:rPr>
        <w:t>Issues in under-reporting of occupational illness</w:t>
      </w:r>
      <w:bookmarkEnd w:id="18"/>
    </w:p>
    <w:p w:rsidR="00A00B9E" w:rsidRDefault="00A00B9E" w:rsidP="00B941DF">
      <w:pPr>
        <w:spacing w:before="120" w:after="120"/>
        <w:jc w:val="both"/>
        <w:rPr>
          <w:rFonts w:eastAsia="Times New Roman" w:cs="Arial"/>
        </w:rPr>
      </w:pPr>
      <w:r>
        <w:rPr>
          <w:rFonts w:eastAsia="Times New Roman" w:cs="Arial"/>
        </w:rPr>
        <w:t xml:space="preserve">Despite the conceptual similarity between work-related injuries and illnesses, data reliability </w:t>
      </w:r>
      <w:r w:rsidR="00E73DC2">
        <w:rPr>
          <w:rFonts w:eastAsia="Times New Roman" w:cs="Arial"/>
        </w:rPr>
        <w:t>and completeness are</w:t>
      </w:r>
      <w:r>
        <w:rPr>
          <w:rFonts w:eastAsia="Times New Roman" w:cs="Arial"/>
        </w:rPr>
        <w:t xml:space="preserve"> particular challenge</w:t>
      </w:r>
      <w:r w:rsidR="00E73DC2">
        <w:rPr>
          <w:rFonts w:eastAsia="Times New Roman" w:cs="Arial"/>
        </w:rPr>
        <w:t>s</w:t>
      </w:r>
      <w:r>
        <w:rPr>
          <w:rFonts w:eastAsia="Times New Roman" w:cs="Arial"/>
        </w:rPr>
        <w:t xml:space="preserve"> </w:t>
      </w:r>
      <w:r w:rsidR="0026642D">
        <w:rPr>
          <w:rFonts w:eastAsia="Times New Roman" w:cs="Arial"/>
        </w:rPr>
        <w:t>when</w:t>
      </w:r>
      <w:r>
        <w:rPr>
          <w:rFonts w:eastAsia="Times New Roman" w:cs="Arial"/>
        </w:rPr>
        <w:t xml:space="preserve"> measur</w:t>
      </w:r>
      <w:r w:rsidR="0026642D">
        <w:rPr>
          <w:rFonts w:eastAsia="Times New Roman" w:cs="Arial"/>
        </w:rPr>
        <w:t>ing</w:t>
      </w:r>
      <w:r>
        <w:rPr>
          <w:rFonts w:eastAsia="Times New Roman" w:cs="Arial"/>
        </w:rPr>
        <w:t xml:space="preserve"> and report</w:t>
      </w:r>
      <w:r w:rsidR="0026642D">
        <w:rPr>
          <w:rFonts w:eastAsia="Times New Roman" w:cs="Arial"/>
        </w:rPr>
        <w:t>ing</w:t>
      </w:r>
      <w:r>
        <w:rPr>
          <w:rFonts w:eastAsia="Times New Roman" w:cs="Arial"/>
        </w:rPr>
        <w:t xml:space="preserve"> on occupational illness and disease. Three issues are particularly problematic.</w:t>
      </w:r>
    </w:p>
    <w:p w:rsidR="00C64974" w:rsidRPr="00D87B5B" w:rsidRDefault="00C64974" w:rsidP="00C64974">
      <w:pPr>
        <w:pStyle w:val="ListParagraph"/>
        <w:numPr>
          <w:ilvl w:val="0"/>
          <w:numId w:val="6"/>
        </w:numPr>
        <w:spacing w:before="120" w:after="120"/>
        <w:ind w:left="765" w:hanging="357"/>
        <w:contextualSpacing w:val="0"/>
        <w:jc w:val="both"/>
        <w:rPr>
          <w:rFonts w:eastAsia="Times New Roman" w:cs="Arial"/>
        </w:rPr>
      </w:pPr>
      <w:r w:rsidRPr="00D87B5B">
        <w:rPr>
          <w:rFonts w:eastAsia="Times New Roman" w:cs="Arial"/>
          <w:b/>
          <w:color w:val="548DD4" w:themeColor="text2" w:themeTint="99"/>
          <w:u w:val="single"/>
        </w:rPr>
        <w:t>Long latency period:</w:t>
      </w:r>
      <w:r w:rsidR="000D1CDB">
        <w:rPr>
          <w:rFonts w:eastAsia="Times New Roman" w:cs="Arial"/>
          <w:b/>
          <w:color w:val="548DD4" w:themeColor="text2" w:themeTint="99"/>
          <w:u w:val="single"/>
        </w:rPr>
        <w:t xml:space="preserve"> </w:t>
      </w:r>
      <w:r w:rsidRPr="0026642D">
        <w:rPr>
          <w:rFonts w:eastAsia="Times New Roman" w:cs="Arial"/>
        </w:rPr>
        <w:t>m</w:t>
      </w:r>
      <w:r w:rsidRPr="00D87B5B">
        <w:rPr>
          <w:rFonts w:eastAsia="Times New Roman" w:cs="Arial"/>
        </w:rPr>
        <w:t xml:space="preserve">any occupational illnesses have a </w:t>
      </w:r>
      <w:r w:rsidRPr="00292D08">
        <w:rPr>
          <w:rFonts w:eastAsia="Times New Roman" w:cs="Arial"/>
        </w:rPr>
        <w:t>long latency period</w:t>
      </w:r>
      <w:r w:rsidRPr="00D87B5B">
        <w:rPr>
          <w:rFonts w:eastAsia="Times New Roman" w:cs="Arial"/>
        </w:rPr>
        <w:t xml:space="preserve"> meaning a significant time lag may occur between the hazardous exposure and the </w:t>
      </w:r>
      <w:r>
        <w:rPr>
          <w:rFonts w:eastAsia="Times New Roman" w:cs="Arial"/>
        </w:rPr>
        <w:t>detection</w:t>
      </w:r>
      <w:r w:rsidRPr="00D87B5B">
        <w:rPr>
          <w:rFonts w:eastAsia="Times New Roman" w:cs="Arial"/>
        </w:rPr>
        <w:t xml:space="preserve"> of illness. </w:t>
      </w:r>
      <w:r>
        <w:rPr>
          <w:rFonts w:eastAsia="Times New Roman" w:cs="Arial"/>
        </w:rPr>
        <w:t>Mesothelioma presents a useful</w:t>
      </w:r>
      <w:r w:rsidRPr="00D87B5B">
        <w:rPr>
          <w:rFonts w:eastAsia="Times New Roman" w:cs="Arial"/>
        </w:rPr>
        <w:t xml:space="preserve"> example of this problem.</w:t>
      </w:r>
    </w:p>
    <w:p w:rsidR="00D51F29" w:rsidRDefault="00A00B9E" w:rsidP="008A05F7">
      <w:pPr>
        <w:pStyle w:val="ListParagraph"/>
        <w:numPr>
          <w:ilvl w:val="0"/>
          <w:numId w:val="6"/>
        </w:numPr>
        <w:spacing w:before="120" w:after="120"/>
        <w:ind w:left="765" w:hanging="357"/>
        <w:contextualSpacing w:val="0"/>
        <w:jc w:val="both"/>
        <w:rPr>
          <w:rFonts w:eastAsia="Times New Roman" w:cs="Arial"/>
        </w:rPr>
      </w:pPr>
      <w:r w:rsidRPr="00D51F29">
        <w:rPr>
          <w:rFonts w:eastAsia="Times New Roman" w:cs="Arial"/>
          <w:b/>
          <w:color w:val="548DD4" w:themeColor="text2" w:themeTint="99"/>
          <w:u w:val="single"/>
        </w:rPr>
        <w:t>Tenuous link between illness and work:</w:t>
      </w:r>
      <w:r w:rsidR="00B15FCF" w:rsidRPr="00D51F29">
        <w:rPr>
          <w:rFonts w:eastAsia="Times New Roman" w:cs="Arial"/>
          <w:b/>
          <w:color w:val="548DD4" w:themeColor="text2" w:themeTint="99"/>
          <w:u w:val="single"/>
        </w:rPr>
        <w:t xml:space="preserve"> </w:t>
      </w:r>
      <w:r w:rsidR="00605CD9" w:rsidRPr="00D51F29">
        <w:rPr>
          <w:rFonts w:eastAsia="Times New Roman" w:cs="Arial"/>
        </w:rPr>
        <w:t>it is</w:t>
      </w:r>
      <w:r w:rsidRPr="00D51F29">
        <w:rPr>
          <w:rFonts w:eastAsia="Times New Roman" w:cs="Arial"/>
        </w:rPr>
        <w:t xml:space="preserve"> difficult to </w:t>
      </w:r>
      <w:r w:rsidR="00605CD9" w:rsidRPr="00D51F29">
        <w:rPr>
          <w:rFonts w:eastAsia="Times New Roman" w:cs="Arial"/>
        </w:rPr>
        <w:t xml:space="preserve">determine whether some illnesses are </w:t>
      </w:r>
      <w:r w:rsidRPr="00D51F29">
        <w:rPr>
          <w:rFonts w:eastAsia="Times New Roman" w:cs="Arial"/>
        </w:rPr>
        <w:t>occupational disease</w:t>
      </w:r>
      <w:r w:rsidR="00605CD9" w:rsidRPr="00D51F29">
        <w:rPr>
          <w:rFonts w:eastAsia="Times New Roman" w:cs="Arial"/>
        </w:rPr>
        <w:t>s</w:t>
      </w:r>
      <w:r w:rsidRPr="00D51F29">
        <w:rPr>
          <w:rFonts w:eastAsia="Times New Roman" w:cs="Arial"/>
        </w:rPr>
        <w:t xml:space="preserve"> due to the tenuous link between the contributing factor(s) and work</w:t>
      </w:r>
      <w:r w:rsidR="00605CD9" w:rsidRPr="00D51F29">
        <w:rPr>
          <w:rFonts w:eastAsia="Times New Roman" w:cs="Arial"/>
        </w:rPr>
        <w:t>,</w:t>
      </w:r>
      <w:r w:rsidRPr="00D51F29">
        <w:rPr>
          <w:rFonts w:eastAsia="Times New Roman" w:cs="Arial"/>
        </w:rPr>
        <w:t xml:space="preserve"> or the presence of multiple contributing factors. </w:t>
      </w:r>
      <w:r w:rsidR="00A620BB" w:rsidRPr="00D51F29">
        <w:rPr>
          <w:rFonts w:eastAsia="Times New Roman" w:cs="Arial"/>
        </w:rPr>
        <w:t>For example, a</w:t>
      </w:r>
      <w:r w:rsidRPr="00D51F29">
        <w:rPr>
          <w:rFonts w:eastAsia="Times New Roman" w:cs="Arial"/>
        </w:rPr>
        <w:t xml:space="preserve"> case </w:t>
      </w:r>
      <w:r w:rsidR="00A620BB" w:rsidRPr="00D51F29">
        <w:rPr>
          <w:rFonts w:eastAsia="Times New Roman" w:cs="Arial"/>
        </w:rPr>
        <w:t xml:space="preserve">currently </w:t>
      </w:r>
      <w:r w:rsidRPr="00D51F29">
        <w:rPr>
          <w:rFonts w:eastAsia="Times New Roman" w:cs="Arial"/>
        </w:rPr>
        <w:t>receiving media attention in Australia</w:t>
      </w:r>
      <w:r w:rsidR="00B15FCF" w:rsidRPr="00D51F29">
        <w:rPr>
          <w:rFonts w:eastAsia="Times New Roman" w:cs="Arial"/>
        </w:rPr>
        <w:t xml:space="preserve"> </w:t>
      </w:r>
      <w:r w:rsidRPr="00D51F29">
        <w:rPr>
          <w:rFonts w:eastAsia="Times New Roman" w:cs="Arial"/>
        </w:rPr>
        <w:t xml:space="preserve">concerns legislation passed by the Commonwealth in 2011 following </w:t>
      </w:r>
      <w:r w:rsidR="00A620BB" w:rsidRPr="00D51F29">
        <w:rPr>
          <w:rFonts w:eastAsia="Times New Roman" w:cs="Arial"/>
        </w:rPr>
        <w:t>an</w:t>
      </w:r>
      <w:r w:rsidRPr="00D51F29">
        <w:rPr>
          <w:rFonts w:eastAsia="Times New Roman" w:cs="Arial"/>
        </w:rPr>
        <w:t xml:space="preserve"> identified link between firefighters</w:t>
      </w:r>
      <w:r w:rsidR="00A620BB" w:rsidRPr="00D51F29">
        <w:rPr>
          <w:rFonts w:eastAsia="Times New Roman" w:cs="Arial"/>
        </w:rPr>
        <w:t>’</w:t>
      </w:r>
      <w:r w:rsidRPr="00D51F29">
        <w:rPr>
          <w:rFonts w:eastAsia="Times New Roman" w:cs="Arial"/>
        </w:rPr>
        <w:t xml:space="preserve"> exposure to chemicals when battling fires and higher rates of certain types of cancer. For those facing one of 12 types of cancer, the Bill removed the onus on </w:t>
      </w:r>
      <w:r w:rsidR="00A620BB" w:rsidRPr="00D51F29">
        <w:rPr>
          <w:rFonts w:eastAsia="Times New Roman" w:cs="Arial"/>
        </w:rPr>
        <w:t xml:space="preserve">those </w:t>
      </w:r>
      <w:r w:rsidRPr="00D51F29">
        <w:rPr>
          <w:rFonts w:eastAsia="Times New Roman" w:cs="Arial"/>
        </w:rPr>
        <w:t>firefighter</w:t>
      </w:r>
      <w:r w:rsidR="00D53D40">
        <w:rPr>
          <w:rFonts w:eastAsia="Times New Roman" w:cs="Arial"/>
        </w:rPr>
        <w:t>’</w:t>
      </w:r>
      <w:r w:rsidRPr="00D51F29">
        <w:rPr>
          <w:rFonts w:eastAsia="Times New Roman" w:cs="Arial"/>
        </w:rPr>
        <w:t>s</w:t>
      </w:r>
      <w:r w:rsidR="00A620BB" w:rsidRPr="00D51F29">
        <w:rPr>
          <w:rFonts w:eastAsia="Times New Roman" w:cs="Arial"/>
        </w:rPr>
        <w:t xml:space="preserve"> under the Commonwealth jurisdiction</w:t>
      </w:r>
      <w:r w:rsidRPr="00D51F29">
        <w:rPr>
          <w:rFonts w:eastAsia="Times New Roman" w:cs="Arial"/>
        </w:rPr>
        <w:t xml:space="preserve"> to prove th</w:t>
      </w:r>
      <w:r w:rsidR="00A620BB" w:rsidRPr="00D51F29">
        <w:rPr>
          <w:rFonts w:eastAsia="Times New Roman" w:cs="Arial"/>
        </w:rPr>
        <w:t>ese</w:t>
      </w:r>
      <w:r w:rsidRPr="00D51F29">
        <w:rPr>
          <w:rFonts w:eastAsia="Times New Roman" w:cs="Arial"/>
        </w:rPr>
        <w:t xml:space="preserve"> cancer</w:t>
      </w:r>
      <w:r w:rsidR="00A620BB" w:rsidRPr="00D51F29">
        <w:rPr>
          <w:rFonts w:eastAsia="Times New Roman" w:cs="Arial"/>
        </w:rPr>
        <w:t>s were</w:t>
      </w:r>
      <w:r w:rsidRPr="00D51F29">
        <w:rPr>
          <w:rFonts w:eastAsia="Times New Roman" w:cs="Arial"/>
        </w:rPr>
        <w:t xml:space="preserve"> caused by work. Not all Australian States have followed </w:t>
      </w:r>
      <w:r w:rsidR="00A620BB" w:rsidRPr="00D51F29">
        <w:rPr>
          <w:rFonts w:eastAsia="Times New Roman" w:cs="Arial"/>
        </w:rPr>
        <w:t>this</w:t>
      </w:r>
      <w:r w:rsidRPr="00D51F29">
        <w:rPr>
          <w:rFonts w:eastAsia="Times New Roman" w:cs="Arial"/>
        </w:rPr>
        <w:t xml:space="preserve"> lead</w:t>
      </w:r>
      <w:r w:rsidR="006A1CA2" w:rsidRPr="00D51F29">
        <w:rPr>
          <w:rFonts w:eastAsia="Times New Roman" w:cs="Arial"/>
        </w:rPr>
        <w:t>.</w:t>
      </w:r>
      <w:r>
        <w:rPr>
          <w:rStyle w:val="FootnoteReference"/>
          <w:rFonts w:eastAsia="Times New Roman" w:cs="Arial"/>
        </w:rPr>
        <w:footnoteReference w:id="48"/>
      </w:r>
      <w:r w:rsidR="00D51F29">
        <w:rPr>
          <w:rFonts w:eastAsia="Times New Roman" w:cs="Arial"/>
        </w:rPr>
        <w:t xml:space="preserve"> </w:t>
      </w:r>
    </w:p>
    <w:p w:rsidR="008A05F7" w:rsidRPr="00D51F29" w:rsidRDefault="00A00B9E" w:rsidP="008A05F7">
      <w:pPr>
        <w:pStyle w:val="ListParagraph"/>
        <w:numPr>
          <w:ilvl w:val="0"/>
          <w:numId w:val="6"/>
        </w:numPr>
        <w:spacing w:before="120" w:after="120"/>
        <w:ind w:left="765" w:hanging="357"/>
        <w:contextualSpacing w:val="0"/>
        <w:jc w:val="both"/>
        <w:rPr>
          <w:rFonts w:eastAsia="Times New Roman" w:cs="Arial"/>
        </w:rPr>
      </w:pPr>
      <w:r w:rsidRPr="00D51F29">
        <w:rPr>
          <w:rFonts w:eastAsia="Times New Roman" w:cs="Arial"/>
          <w:b/>
          <w:color w:val="548DD4" w:themeColor="text2" w:themeTint="99"/>
          <w:u w:val="single"/>
        </w:rPr>
        <w:t>Unwillingness to identify:</w:t>
      </w:r>
      <w:r w:rsidR="00B15FCF" w:rsidRPr="00D51F29">
        <w:rPr>
          <w:rFonts w:eastAsia="Times New Roman" w:cs="Arial"/>
          <w:b/>
          <w:color w:val="548DD4" w:themeColor="text2" w:themeTint="99"/>
          <w:u w:val="single"/>
        </w:rPr>
        <w:t xml:space="preserve"> </w:t>
      </w:r>
      <w:r w:rsidR="00605CD9" w:rsidRPr="00D51F29">
        <w:rPr>
          <w:rFonts w:eastAsia="Times New Roman" w:cs="Arial"/>
        </w:rPr>
        <w:t>s</w:t>
      </w:r>
      <w:r w:rsidRPr="00D51F29">
        <w:rPr>
          <w:rFonts w:eastAsia="Times New Roman" w:cs="Arial"/>
        </w:rPr>
        <w:t xml:space="preserve">ome individuals are reluctant to </w:t>
      </w:r>
      <w:r w:rsidR="00605CD9" w:rsidRPr="00D51F29">
        <w:rPr>
          <w:rFonts w:eastAsia="Times New Roman" w:cs="Arial"/>
        </w:rPr>
        <w:t>come forward with</w:t>
      </w:r>
      <w:r w:rsidR="00A620BB" w:rsidRPr="00D51F29">
        <w:rPr>
          <w:rFonts w:eastAsia="Times New Roman" w:cs="Arial"/>
        </w:rPr>
        <w:t xml:space="preserve"> work-related illness</w:t>
      </w:r>
      <w:r w:rsidR="00605CD9" w:rsidRPr="00D51F29">
        <w:rPr>
          <w:rFonts w:eastAsia="Times New Roman" w:cs="Arial"/>
        </w:rPr>
        <w:t>es</w:t>
      </w:r>
      <w:r w:rsidR="00A620BB" w:rsidRPr="00D51F29">
        <w:rPr>
          <w:rFonts w:eastAsia="Times New Roman" w:cs="Arial"/>
        </w:rPr>
        <w:t xml:space="preserve">. The stigma surrounding work-related mental </w:t>
      </w:r>
      <w:r w:rsidR="0085593C" w:rsidRPr="00D51F29">
        <w:rPr>
          <w:rFonts w:eastAsia="Times New Roman" w:cs="Arial"/>
        </w:rPr>
        <w:t>ill-</w:t>
      </w:r>
      <w:r w:rsidR="00A620BB" w:rsidRPr="00D51F29">
        <w:rPr>
          <w:rFonts w:eastAsia="Times New Roman" w:cs="Arial"/>
        </w:rPr>
        <w:t xml:space="preserve">health, such as job stress and </w:t>
      </w:r>
      <w:r w:rsidRPr="00D51F29">
        <w:rPr>
          <w:rFonts w:eastAsia="Times New Roman" w:cs="Arial"/>
        </w:rPr>
        <w:t>work-related depression</w:t>
      </w:r>
      <w:r w:rsidR="00605CD9" w:rsidRPr="00D51F29">
        <w:rPr>
          <w:rFonts w:eastAsia="Times New Roman" w:cs="Arial"/>
        </w:rPr>
        <w:t>,</w:t>
      </w:r>
      <w:r w:rsidR="002673BD" w:rsidRPr="00D51F29">
        <w:rPr>
          <w:rFonts w:eastAsia="Times New Roman" w:cs="Arial"/>
        </w:rPr>
        <w:t xml:space="preserve"> means many individuals are unwilling to report and consequently WRII data underestimates the incidence of </w:t>
      </w:r>
      <w:r w:rsidR="00605CD9" w:rsidRPr="00D51F29">
        <w:rPr>
          <w:rFonts w:eastAsia="Times New Roman" w:cs="Arial"/>
        </w:rPr>
        <w:t xml:space="preserve">such </w:t>
      </w:r>
      <w:r w:rsidR="002673BD" w:rsidRPr="00D51F29">
        <w:rPr>
          <w:rFonts w:eastAsia="Times New Roman" w:cs="Arial"/>
        </w:rPr>
        <w:t>cases</w:t>
      </w:r>
      <w:r w:rsidR="00E80A4E" w:rsidRPr="00D51F29">
        <w:rPr>
          <w:rFonts w:eastAsia="Times New Roman" w:cs="Arial"/>
        </w:rPr>
        <w:t>.</w:t>
      </w:r>
      <w:r w:rsidR="00602C65">
        <w:rPr>
          <w:rStyle w:val="FootnoteReference"/>
          <w:rFonts w:eastAsia="Times New Roman" w:cs="Arial"/>
        </w:rPr>
        <w:footnoteReference w:id="49"/>
      </w:r>
      <w:r w:rsidR="00E80A4E" w:rsidRPr="00D51F29">
        <w:rPr>
          <w:rFonts w:eastAsia="Times New Roman" w:cs="Arial"/>
        </w:rPr>
        <w:t xml:space="preserve"> </w:t>
      </w:r>
      <w:r w:rsidR="002673BD" w:rsidRPr="00D51F29">
        <w:rPr>
          <w:rFonts w:eastAsia="Times New Roman" w:cs="Arial"/>
        </w:rPr>
        <w:t xml:space="preserve"> </w:t>
      </w:r>
      <w:r w:rsidR="00605CD9" w:rsidRPr="00D51F29">
        <w:rPr>
          <w:rFonts w:eastAsia="Times New Roman" w:cs="Arial"/>
        </w:rPr>
        <w:t xml:space="preserve">For example, </w:t>
      </w:r>
      <w:r w:rsidR="00935FF5" w:rsidRPr="00D51F29">
        <w:rPr>
          <w:rFonts w:eastAsia="Times New Roman" w:cs="Arial"/>
        </w:rPr>
        <w:t xml:space="preserve">ABS </w:t>
      </w:r>
      <w:r w:rsidR="00605CD9" w:rsidRPr="00D51F29">
        <w:rPr>
          <w:rFonts w:eastAsia="Times New Roman" w:cs="Arial"/>
        </w:rPr>
        <w:t>r</w:t>
      </w:r>
      <w:r w:rsidR="002673BD" w:rsidRPr="00D51F29">
        <w:rPr>
          <w:rFonts w:eastAsia="Times New Roman" w:cs="Arial"/>
        </w:rPr>
        <w:t xml:space="preserve">esearch conducted in 2010 revealed </w:t>
      </w:r>
      <w:r w:rsidR="0085593C" w:rsidRPr="00D51F29">
        <w:rPr>
          <w:rFonts w:eastAsia="Times New Roman" w:cs="Arial"/>
        </w:rPr>
        <w:t xml:space="preserve">over </w:t>
      </w:r>
      <w:r w:rsidR="002673BD" w:rsidRPr="00D51F29">
        <w:rPr>
          <w:rFonts w:eastAsia="Times New Roman" w:cs="Arial"/>
        </w:rPr>
        <w:t>70% of workers who reported experiencing work-related mental stress did not apply for workers’ compensation</w:t>
      </w:r>
      <w:r w:rsidR="00E80A4E" w:rsidRPr="00D51F29">
        <w:rPr>
          <w:rFonts w:eastAsia="Times New Roman" w:cs="Arial"/>
        </w:rPr>
        <w:t>.</w:t>
      </w:r>
    </w:p>
    <w:p w:rsidR="00A00B9E" w:rsidRPr="008A05F7" w:rsidRDefault="008A05F7" w:rsidP="00935FF5">
      <w:pPr>
        <w:pStyle w:val="ListParagraph"/>
        <w:numPr>
          <w:ilvl w:val="0"/>
          <w:numId w:val="6"/>
        </w:numPr>
        <w:spacing w:before="120" w:after="0"/>
        <w:ind w:left="765" w:hanging="357"/>
        <w:contextualSpacing w:val="0"/>
        <w:jc w:val="both"/>
        <w:rPr>
          <w:rFonts w:eastAsia="Times New Roman" w:cs="Arial"/>
        </w:rPr>
      </w:pPr>
      <w:r>
        <w:rPr>
          <w:rFonts w:eastAsia="Times New Roman" w:cs="Arial"/>
          <w:b/>
          <w:color w:val="548DD4" w:themeColor="text2" w:themeTint="99"/>
          <w:u w:val="single"/>
        </w:rPr>
        <w:t>Inadequate detection regime</w:t>
      </w:r>
      <w:r w:rsidRPr="00D87B5B">
        <w:rPr>
          <w:rFonts w:eastAsia="Times New Roman" w:cs="Arial"/>
          <w:b/>
          <w:color w:val="548DD4" w:themeColor="text2" w:themeTint="99"/>
          <w:u w:val="single"/>
        </w:rPr>
        <w:t>:</w:t>
      </w:r>
      <w:r w:rsidR="00A50AA3">
        <w:rPr>
          <w:rFonts w:eastAsia="Times New Roman" w:cs="Arial"/>
          <w:b/>
          <w:color w:val="548DD4" w:themeColor="text2" w:themeTint="99"/>
          <w:u w:val="single"/>
        </w:rPr>
        <w:t xml:space="preserve"> </w:t>
      </w:r>
      <w:r>
        <w:rPr>
          <w:rFonts w:eastAsia="Times New Roman" w:cs="Arial"/>
        </w:rPr>
        <w:t>few</w:t>
      </w:r>
      <w:r w:rsidR="00A50AA3">
        <w:rPr>
          <w:rFonts w:eastAsia="Times New Roman" w:cs="Arial"/>
        </w:rPr>
        <w:t xml:space="preserve"> </w:t>
      </w:r>
      <w:r>
        <w:rPr>
          <w:rFonts w:eastAsia="Times New Roman" w:cs="Arial"/>
        </w:rPr>
        <w:t xml:space="preserve">organisations focus a similar level of attention on the identification and prevention of work-related disease as they do work-related injury. This may be due to lack of awareness or to the three issues outlined above. </w:t>
      </w:r>
    </w:p>
    <w:p w:rsidR="009A3E06" w:rsidRPr="00D2462A" w:rsidRDefault="009A3E06" w:rsidP="00472854">
      <w:pPr>
        <w:pStyle w:val="Style1"/>
        <w:numPr>
          <w:ilvl w:val="0"/>
          <w:numId w:val="3"/>
        </w:numPr>
        <w:spacing w:after="120"/>
        <w:ind w:left="567" w:hanging="567"/>
        <w:rPr>
          <w:rFonts w:asciiTheme="minorHAnsi" w:hAnsiTheme="minorHAnsi"/>
          <w:color w:val="365F91" w:themeColor="accent1" w:themeShade="BF"/>
          <w:sz w:val="26"/>
          <w:szCs w:val="26"/>
        </w:rPr>
      </w:pPr>
      <w:bookmarkStart w:id="19" w:name="_Toc361085308"/>
      <w:r w:rsidRPr="00D2462A">
        <w:rPr>
          <w:rFonts w:asciiTheme="minorHAnsi" w:hAnsiTheme="minorHAnsi"/>
          <w:color w:val="365F91" w:themeColor="accent1" w:themeShade="BF"/>
          <w:sz w:val="26"/>
          <w:szCs w:val="26"/>
        </w:rPr>
        <w:t>Beyond injury measures</w:t>
      </w:r>
      <w:bookmarkEnd w:id="19"/>
    </w:p>
    <w:p w:rsidR="000149C7" w:rsidRPr="000149C7" w:rsidRDefault="000149C7" w:rsidP="000149C7">
      <w:pPr>
        <w:spacing w:before="120" w:after="0"/>
        <w:jc w:val="both"/>
        <w:rPr>
          <w:rFonts w:eastAsia="Times New Roman" w:cs="Arial"/>
        </w:rPr>
      </w:pPr>
      <w:r w:rsidRPr="000149C7">
        <w:rPr>
          <w:rFonts w:eastAsia="Times New Roman" w:cs="Arial"/>
        </w:rPr>
        <w:t>Although there are significant limitations in appl</w:t>
      </w:r>
      <w:r w:rsidR="000C2FFE">
        <w:rPr>
          <w:rFonts w:eastAsia="Times New Roman" w:cs="Arial"/>
        </w:rPr>
        <w:t>ying</w:t>
      </w:r>
      <w:r w:rsidRPr="000149C7">
        <w:rPr>
          <w:rFonts w:eastAsia="Times New Roman" w:cs="Arial"/>
        </w:rPr>
        <w:t xml:space="preserve"> measures such as LTI and LTIFR to contemporary </w:t>
      </w:r>
      <w:r w:rsidR="002E39BB">
        <w:rPr>
          <w:rFonts w:eastAsia="Times New Roman" w:cs="Arial"/>
        </w:rPr>
        <w:t>work health and safety</w:t>
      </w:r>
      <w:r w:rsidRPr="000149C7">
        <w:rPr>
          <w:rFonts w:eastAsia="Times New Roman" w:cs="Arial"/>
        </w:rPr>
        <w:t xml:space="preserve"> issues, WRII measures are not entirely useless. Appropriate WRII measures are essential to understand the damage (to people, organisations and the economy) </w:t>
      </w:r>
      <w:r>
        <w:rPr>
          <w:rFonts w:eastAsia="Times New Roman" w:cs="Arial"/>
        </w:rPr>
        <w:t xml:space="preserve">that </w:t>
      </w:r>
      <w:r w:rsidRPr="000149C7">
        <w:rPr>
          <w:rFonts w:eastAsia="Times New Roman" w:cs="Arial"/>
        </w:rPr>
        <w:t>result</w:t>
      </w:r>
      <w:r>
        <w:rPr>
          <w:rFonts w:eastAsia="Times New Roman" w:cs="Arial"/>
        </w:rPr>
        <w:t>s</w:t>
      </w:r>
      <w:r w:rsidRPr="000149C7">
        <w:rPr>
          <w:rFonts w:eastAsia="Times New Roman" w:cs="Arial"/>
        </w:rPr>
        <w:t xml:space="preserve"> from </w:t>
      </w:r>
      <w:r w:rsidR="00112717">
        <w:rPr>
          <w:rFonts w:eastAsia="Times New Roman" w:cs="Arial"/>
        </w:rPr>
        <w:t>work health and safety</w:t>
      </w:r>
      <w:r w:rsidRPr="000149C7">
        <w:rPr>
          <w:rFonts w:eastAsia="Times New Roman" w:cs="Arial"/>
        </w:rPr>
        <w:t xml:space="preserve"> failures</w:t>
      </w:r>
      <w:r w:rsidR="000C2FFE">
        <w:rPr>
          <w:rFonts w:eastAsia="Times New Roman" w:cs="Arial"/>
        </w:rPr>
        <w:t>. A</w:t>
      </w:r>
      <w:r w:rsidRPr="000149C7">
        <w:rPr>
          <w:rFonts w:eastAsia="Times New Roman" w:cs="Arial"/>
        </w:rPr>
        <w:t xml:space="preserve">s discussed above, some approaches to measuring WRII (such as Class 1, 2 and 3 outcomes) are more valid and relevant </w:t>
      </w:r>
      <w:r w:rsidR="000C2FFE" w:rsidRPr="000149C7">
        <w:rPr>
          <w:rFonts w:eastAsia="Times New Roman" w:cs="Arial"/>
        </w:rPr>
        <w:t xml:space="preserve">in this regard </w:t>
      </w:r>
      <w:r w:rsidRPr="000149C7">
        <w:rPr>
          <w:rFonts w:eastAsia="Times New Roman" w:cs="Arial"/>
        </w:rPr>
        <w:t>than other</w:t>
      </w:r>
      <w:r w:rsidR="000C2FFE">
        <w:rPr>
          <w:rFonts w:eastAsia="Times New Roman" w:cs="Arial"/>
        </w:rPr>
        <w:t xml:space="preserve"> measures</w:t>
      </w:r>
      <w:r w:rsidRPr="000149C7">
        <w:rPr>
          <w:rFonts w:eastAsia="Times New Roman" w:cs="Arial"/>
        </w:rPr>
        <w:t xml:space="preserve"> (e.g. LTI data).  </w:t>
      </w:r>
      <w:r>
        <w:rPr>
          <w:rFonts w:eastAsia="Times New Roman" w:cs="Arial"/>
        </w:rPr>
        <w:t>Nevertheless, a</w:t>
      </w:r>
      <w:r w:rsidRPr="000149C7">
        <w:rPr>
          <w:rFonts w:eastAsia="Times New Roman" w:cs="Arial"/>
        </w:rPr>
        <w:t xml:space="preserve">lthough WRII measures provide crucial information for a range of </w:t>
      </w:r>
      <w:r w:rsidR="00C0682C">
        <w:rPr>
          <w:rFonts w:eastAsia="Times New Roman" w:cs="Arial"/>
        </w:rPr>
        <w:t>work health and safety</w:t>
      </w:r>
      <w:r w:rsidRPr="000149C7">
        <w:rPr>
          <w:rFonts w:eastAsia="Times New Roman" w:cs="Arial"/>
        </w:rPr>
        <w:t xml:space="preserve"> decisions, they are</w:t>
      </w:r>
      <w:r w:rsidR="002E39BB">
        <w:rPr>
          <w:rFonts w:eastAsia="Times New Roman" w:cs="Arial"/>
        </w:rPr>
        <w:t xml:space="preserve"> not sufficient for many other work health and safety</w:t>
      </w:r>
      <w:r w:rsidRPr="000149C7">
        <w:rPr>
          <w:rFonts w:eastAsia="Times New Roman" w:cs="Arial"/>
        </w:rPr>
        <w:t xml:space="preserve"> decisions, such determining as the effectiveness of </w:t>
      </w:r>
      <w:r w:rsidR="002E39BB">
        <w:rPr>
          <w:rFonts w:eastAsia="Times New Roman" w:cs="Arial"/>
        </w:rPr>
        <w:t>work health and safety</w:t>
      </w:r>
      <w:r w:rsidRPr="000149C7">
        <w:rPr>
          <w:rFonts w:eastAsia="Times New Roman" w:cs="Arial"/>
        </w:rPr>
        <w:t xml:space="preserve"> risk management. This has </w:t>
      </w:r>
      <w:r>
        <w:rPr>
          <w:rFonts w:eastAsia="Times New Roman" w:cs="Arial"/>
        </w:rPr>
        <w:t>motivated</w:t>
      </w:r>
      <w:r w:rsidRPr="000149C7">
        <w:rPr>
          <w:rFonts w:eastAsia="Times New Roman" w:cs="Arial"/>
        </w:rPr>
        <w:t xml:space="preserve"> </w:t>
      </w:r>
      <w:r w:rsidR="000C2FFE">
        <w:rPr>
          <w:rFonts w:eastAsia="Times New Roman" w:cs="Arial"/>
        </w:rPr>
        <w:t>efforts to</w:t>
      </w:r>
      <w:r w:rsidRPr="000149C7">
        <w:rPr>
          <w:rFonts w:eastAsia="Times New Roman" w:cs="Arial"/>
        </w:rPr>
        <w:t xml:space="preserve"> develop and validat</w:t>
      </w:r>
      <w:r w:rsidR="000C2FFE">
        <w:rPr>
          <w:rFonts w:eastAsia="Times New Roman" w:cs="Arial"/>
        </w:rPr>
        <w:t>e</w:t>
      </w:r>
      <w:r w:rsidRPr="000149C7">
        <w:rPr>
          <w:rFonts w:eastAsia="Times New Roman" w:cs="Arial"/>
        </w:rPr>
        <w:t xml:space="preserve"> alternate (positive) measures of </w:t>
      </w:r>
      <w:r w:rsidR="00C0682C">
        <w:rPr>
          <w:rFonts w:eastAsia="Times New Roman" w:cs="Arial"/>
        </w:rPr>
        <w:t>work health and safety</w:t>
      </w:r>
      <w:r w:rsidRPr="000149C7">
        <w:rPr>
          <w:rFonts w:eastAsia="Times New Roman" w:cs="Arial"/>
        </w:rPr>
        <w:t xml:space="preserve"> inputs and activities.</w:t>
      </w:r>
    </w:p>
    <w:p w:rsidR="00C36FF3" w:rsidRPr="00D2462A" w:rsidRDefault="00C36FF3" w:rsidP="00292D08">
      <w:pPr>
        <w:pStyle w:val="Heading1"/>
        <w:numPr>
          <w:ilvl w:val="0"/>
          <w:numId w:val="23"/>
        </w:numPr>
        <w:tabs>
          <w:tab w:val="center" w:pos="4607"/>
        </w:tabs>
        <w:spacing w:before="360" w:after="120"/>
        <w:ind w:left="425" w:hanging="425"/>
        <w:rPr>
          <w:rFonts w:asciiTheme="minorHAnsi" w:hAnsiTheme="minorHAnsi"/>
          <w:sz w:val="30"/>
          <w:szCs w:val="30"/>
        </w:rPr>
      </w:pPr>
      <w:bookmarkStart w:id="20" w:name="_Toc361085309"/>
      <w:r w:rsidRPr="00D2462A">
        <w:rPr>
          <w:rFonts w:asciiTheme="minorHAnsi" w:hAnsiTheme="minorHAnsi"/>
          <w:sz w:val="30"/>
          <w:szCs w:val="30"/>
        </w:rPr>
        <w:t xml:space="preserve">Developing </w:t>
      </w:r>
      <w:r w:rsidR="002219E0">
        <w:rPr>
          <w:rFonts w:asciiTheme="minorHAnsi" w:hAnsiTheme="minorHAnsi"/>
          <w:sz w:val="30"/>
          <w:szCs w:val="30"/>
        </w:rPr>
        <w:t>positive</w:t>
      </w:r>
      <w:r w:rsidRPr="00D2462A">
        <w:rPr>
          <w:rFonts w:asciiTheme="minorHAnsi" w:hAnsiTheme="minorHAnsi"/>
          <w:sz w:val="30"/>
          <w:szCs w:val="30"/>
        </w:rPr>
        <w:t xml:space="preserve"> indicators of </w:t>
      </w:r>
      <w:r w:rsidR="0082688A">
        <w:rPr>
          <w:rFonts w:asciiTheme="minorHAnsi" w:hAnsiTheme="minorHAnsi"/>
          <w:sz w:val="30"/>
          <w:szCs w:val="30"/>
        </w:rPr>
        <w:t>work health and safety</w:t>
      </w:r>
      <w:bookmarkEnd w:id="20"/>
    </w:p>
    <w:p w:rsidR="00DB4771" w:rsidRPr="00472854" w:rsidRDefault="00DB4771" w:rsidP="00472854">
      <w:pPr>
        <w:pStyle w:val="Style1"/>
        <w:numPr>
          <w:ilvl w:val="0"/>
          <w:numId w:val="21"/>
        </w:numPr>
        <w:spacing w:after="120"/>
        <w:ind w:left="426" w:hanging="426"/>
        <w:rPr>
          <w:rFonts w:asciiTheme="minorHAnsi" w:hAnsiTheme="minorHAnsi"/>
          <w:color w:val="365F91" w:themeColor="accent1" w:themeShade="BF"/>
          <w:sz w:val="26"/>
          <w:szCs w:val="26"/>
        </w:rPr>
      </w:pPr>
      <w:bookmarkStart w:id="21" w:name="_Toc361085310"/>
      <w:r w:rsidRPr="00472854">
        <w:rPr>
          <w:rFonts w:asciiTheme="minorHAnsi" w:hAnsiTheme="minorHAnsi"/>
          <w:color w:val="365F91" w:themeColor="accent1" w:themeShade="BF"/>
          <w:sz w:val="26"/>
          <w:szCs w:val="26"/>
        </w:rPr>
        <w:t xml:space="preserve">What are </w:t>
      </w:r>
      <w:r w:rsidR="002219E0" w:rsidRPr="00472854">
        <w:rPr>
          <w:rFonts w:asciiTheme="minorHAnsi" w:hAnsiTheme="minorHAnsi"/>
          <w:color w:val="365F91" w:themeColor="accent1" w:themeShade="BF"/>
          <w:sz w:val="26"/>
          <w:szCs w:val="26"/>
        </w:rPr>
        <w:t>positive</w:t>
      </w:r>
      <w:r w:rsidR="00A50AA3">
        <w:rPr>
          <w:rFonts w:asciiTheme="minorHAnsi" w:hAnsiTheme="minorHAnsi"/>
          <w:color w:val="365F91" w:themeColor="accent1" w:themeShade="BF"/>
          <w:sz w:val="26"/>
          <w:szCs w:val="26"/>
        </w:rPr>
        <w:t xml:space="preserve"> </w:t>
      </w:r>
      <w:r w:rsidR="00EB2653" w:rsidRPr="00472854">
        <w:rPr>
          <w:rFonts w:asciiTheme="minorHAnsi" w:hAnsiTheme="minorHAnsi"/>
          <w:color w:val="365F91" w:themeColor="accent1" w:themeShade="BF"/>
          <w:sz w:val="26"/>
          <w:szCs w:val="26"/>
        </w:rPr>
        <w:t xml:space="preserve">(leading) performance </w:t>
      </w:r>
      <w:r w:rsidRPr="00472854">
        <w:rPr>
          <w:rFonts w:asciiTheme="minorHAnsi" w:hAnsiTheme="minorHAnsi"/>
          <w:color w:val="365F91" w:themeColor="accent1" w:themeShade="BF"/>
          <w:sz w:val="26"/>
          <w:szCs w:val="26"/>
        </w:rPr>
        <w:t>indicators?</w:t>
      </w:r>
      <w:bookmarkEnd w:id="21"/>
    </w:p>
    <w:p w:rsidR="002219E0" w:rsidRDefault="002219E0" w:rsidP="006B3747">
      <w:pPr>
        <w:jc w:val="both"/>
      </w:pPr>
      <w:r>
        <w:t xml:space="preserve">Positive performance indicators (PPIs), also referred to as </w:t>
      </w:r>
      <w:r w:rsidR="00106B88">
        <w:t>‘</w:t>
      </w:r>
      <w:r>
        <w:t>leading indicators</w:t>
      </w:r>
      <w:r w:rsidR="00106B88">
        <w:t>’</w:t>
      </w:r>
      <w:r>
        <w:t>,</w:t>
      </w:r>
      <w:r w:rsidR="00DB4771">
        <w:t xml:space="preserve"> aim to detect and provide advance warning of latent safety hazards</w:t>
      </w:r>
      <w:r w:rsidR="00F76A12">
        <w:t xml:space="preserve">. This </w:t>
      </w:r>
      <w:r w:rsidR="00106B88">
        <w:t>allow</w:t>
      </w:r>
      <w:r w:rsidR="00F76A12">
        <w:t xml:space="preserve">s </w:t>
      </w:r>
      <w:r w:rsidR="00DB4771">
        <w:t>organisation</w:t>
      </w:r>
      <w:r w:rsidR="00106B88">
        <w:t xml:space="preserve">s to implement </w:t>
      </w:r>
      <w:r w:rsidR="00DB4771">
        <w:t>proactive</w:t>
      </w:r>
      <w:r w:rsidR="00A50AA3">
        <w:t xml:space="preserve"> </w:t>
      </w:r>
      <w:r w:rsidR="00DB4771">
        <w:t>action</w:t>
      </w:r>
      <w:r w:rsidR="00106B88">
        <w:t>s</w:t>
      </w:r>
      <w:r w:rsidR="00A50AA3">
        <w:t xml:space="preserve"> </w:t>
      </w:r>
      <w:r w:rsidR="00F76A12">
        <w:t xml:space="preserve">designed </w:t>
      </w:r>
      <w:r w:rsidR="00106B88">
        <w:t>to prevent</w:t>
      </w:r>
      <w:r w:rsidR="00DB4771">
        <w:t xml:space="preserve"> future safety incidents. Their value lies in the avoidance of safety </w:t>
      </w:r>
      <w:r w:rsidR="00F76A12">
        <w:t xml:space="preserve">failures </w:t>
      </w:r>
      <w:r w:rsidR="00DB4771">
        <w:t xml:space="preserve">and </w:t>
      </w:r>
      <w:r w:rsidR="00F76A12">
        <w:t xml:space="preserve">the </w:t>
      </w:r>
      <w:r w:rsidR="00DB4771">
        <w:t xml:space="preserve">associated </w:t>
      </w:r>
      <w:r w:rsidR="00F76A12">
        <w:t xml:space="preserve">injuries, illnesses and </w:t>
      </w:r>
      <w:r>
        <w:t xml:space="preserve">direct </w:t>
      </w:r>
      <w:r w:rsidR="00F76A12">
        <w:t xml:space="preserve">and </w:t>
      </w:r>
      <w:r>
        <w:t xml:space="preserve">indirect failure </w:t>
      </w:r>
      <w:r w:rsidR="00DB4771">
        <w:t xml:space="preserve">costs. Direct costs may include </w:t>
      </w:r>
      <w:r w:rsidR="00DB4771" w:rsidRPr="00DB4771">
        <w:rPr>
          <w:rFonts w:eastAsia="Times New Roman" w:cs="Arial"/>
        </w:rPr>
        <w:t>medical</w:t>
      </w:r>
      <w:r w:rsidR="00DB4771">
        <w:t xml:space="preserve"> costs, legal costs, compensation, insurance premiums, worker absenteeism, disruptions to production processes and damaged equipment. Indirect costs may include damage to reputation, loss of human capital and adverse consequences for worker morale and industrial relations. </w:t>
      </w:r>
    </w:p>
    <w:p w:rsidR="00106B88" w:rsidRDefault="00106B88" w:rsidP="00F60ED5">
      <w:pPr>
        <w:spacing w:after="360"/>
        <w:jc w:val="both"/>
      </w:pPr>
      <w:r>
        <w:t xml:space="preserve">The term </w:t>
      </w:r>
      <w:r>
        <w:rPr>
          <w:b/>
        </w:rPr>
        <w:t>positive</w:t>
      </w:r>
      <w:r>
        <w:t xml:space="preserve">, rather than </w:t>
      </w:r>
      <w:r>
        <w:rPr>
          <w:b/>
        </w:rPr>
        <w:t>leading</w:t>
      </w:r>
      <w:r>
        <w:t xml:space="preserve">, performance indicator is deliberately used in this report to emphasise the relative nature of the term ‘leading’. Depending on the referent point, a PPI may be either a leading or a lagging indicator. This is illustrated by the ‘training effectiveness’ measure in Figure 11. For example, the number of staff trained and competent in a critical </w:t>
      </w:r>
      <w:r w:rsidR="00C0682C">
        <w:rPr>
          <w:rFonts w:eastAsia="Times New Roman" w:cs="Arial"/>
        </w:rPr>
        <w:t>work health and safety</w:t>
      </w:r>
      <w:r>
        <w:t xml:space="preserve"> skill is a both the outcome of the training process, and at the same time, a potential factor driving injury prevention.</w:t>
      </w:r>
    </w:p>
    <w:p w:rsidR="00292D08" w:rsidRDefault="00292D08" w:rsidP="00F60ED5">
      <w:pPr>
        <w:spacing w:after="360"/>
        <w:jc w:val="both"/>
      </w:pPr>
    </w:p>
    <w:p w:rsidR="00161FA6" w:rsidRDefault="00410BC0" w:rsidP="00106B88">
      <w:pPr>
        <w:spacing w:after="240"/>
        <w:jc w:val="both"/>
      </w:pPr>
      <w:r>
        <w:rPr>
          <w:noProof/>
        </w:rPr>
        <mc:AlternateContent>
          <mc:Choice Requires="wps">
            <w:drawing>
              <wp:anchor distT="0" distB="0" distL="114300" distR="114300" simplePos="0" relativeHeight="251635712" behindDoc="0" locked="0" layoutInCell="1" allowOverlap="1" wp14:anchorId="27968680" wp14:editId="54B2B6CA">
                <wp:simplePos x="0" y="0"/>
                <wp:positionH relativeFrom="column">
                  <wp:posOffset>-132080</wp:posOffset>
                </wp:positionH>
                <wp:positionV relativeFrom="paragraph">
                  <wp:posOffset>13335</wp:posOffset>
                </wp:positionV>
                <wp:extent cx="3359150" cy="2183765"/>
                <wp:effectExtent l="0" t="0" r="12700" b="26035"/>
                <wp:wrapNone/>
                <wp:docPr id="20" name="Rounded Rectangle 20" descr="The number of staff trained and competent in a critical WHS skill is a both the outcome of the training process, and at the same time, a potential factor driving injury prevention." title="Figure 11: Leading and lagging indicator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0" cy="21837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6" alt="Title: Figure 11: Leading and lagging indicators - Description: The number of staff trained and competent in a critical WHS skill is a both the outcome of the training process, and at the same time, a potential factor driving injury prevention." style="position:absolute;margin-left:-10.4pt;margin-top:1.05pt;width:264.5pt;height:17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" filled="f" strokecolor="#243f60 [1604]" strokeweight="2pt">
                <v:path arrowok="t"/>
              </v:roundrect>
            </w:pict>
          </mc:Fallback>
        </mc:AlternateContent>
      </w:r>
      <w:r>
        <w:rPr>
          <w:noProof/>
        </w:rPr>
        <mc:AlternateContent>
          <mc:Choice Requires="wps">
            <w:drawing>
              <wp:anchor distT="0" distB="0" distL="114300" distR="114300" simplePos="0" relativeHeight="251640832" behindDoc="0" locked="0" layoutInCell="1" allowOverlap="1" wp14:anchorId="671B3880" wp14:editId="1A536D87">
                <wp:simplePos x="0" y="0"/>
                <wp:positionH relativeFrom="column">
                  <wp:posOffset>609600</wp:posOffset>
                </wp:positionH>
                <wp:positionV relativeFrom="paragraph">
                  <wp:posOffset>29210</wp:posOffset>
                </wp:positionV>
                <wp:extent cx="2120900" cy="2476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706" w:rsidRPr="00CB7EE3" w:rsidRDefault="00123706">
                            <w:pPr>
                              <w:rPr>
                                <w:b/>
                                <w:color w:val="17365D" w:themeColor="text2" w:themeShade="BF"/>
                              </w:rPr>
                            </w:pPr>
                            <w:r w:rsidRPr="00CB7EE3">
                              <w:rPr>
                                <w:b/>
                                <w:color w:val="17365D" w:themeColor="text2" w:themeShade="BF"/>
                              </w:rPr>
                              <w:t>Positive performance indicators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48pt;margin-top:2.3pt;width:167pt;height:1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" fillcolor="white [3201]" stroked="f" strokeweight=".5pt">
                <v:path arrowok="t"/>
                <v:textbox>
                  <w:txbxContent>
                    <w:p w:rsidR="00123706" w:rsidRPr="00CB7EE3" w:rsidRDefault="00123706">
                      <w:pPr>
                        <w:rPr>
                          <w:b/>
                          <w:color w:val="17365D" w:themeColor="text2" w:themeShade="BF"/>
                        </w:rPr>
                      </w:pPr>
                      <w:r w:rsidRPr="00CB7EE3">
                        <w:rPr>
                          <w:b/>
                          <w:color w:val="17365D" w:themeColor="text2" w:themeShade="BF"/>
                        </w:rPr>
                        <w:t>Positive performance indicators</w:t>
                      </w:r>
                    </w:p>
                  </w:txbxContent>
                </v:textbox>
              </v:shape>
            </w:pict>
          </mc:Fallback>
        </mc:AlternateContent>
      </w:r>
    </w:p>
    <w:p w:rsidR="00CB7EE3" w:rsidRDefault="00381778" w:rsidP="00CB7EE3">
      <w:pPr>
        <w:keepNext/>
      </w:pPr>
      <w:r>
        <w:rPr>
          <w:noProof/>
        </w:rPr>
        <w:drawing>
          <wp:inline distT="0" distB="0" distL="0" distR="0" wp14:anchorId="0D9DA485" wp14:editId="73BD38F0">
            <wp:extent cx="5486400" cy="850790"/>
            <wp:effectExtent l="0" t="0" r="19050" b="6985"/>
            <wp:docPr id="17" name="Diagram 17" descr="Thuis graph shows the relationships between leading and lagging indicators. Within positive performance indicators, training conducted is a leading indicators and training effectiveness is a lagging indicator. Whn considering a WHS failaure, training effectiveness is a leading indicator and injury is a lagging indicator." title="Figure 11: Leading and lagging indicato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r>
        <w:rPr>
          <w:noProof/>
        </w:rPr>
        <w:drawing>
          <wp:inline distT="0" distB="0" distL="0" distR="0" wp14:anchorId="3D3E38FD" wp14:editId="171D07AC">
            <wp:extent cx="5486400" cy="365760"/>
            <wp:effectExtent l="0" t="0" r="0" b="53340"/>
            <wp:docPr id="19" name="Diagram 19" descr="The number of staff trained and competent in a critical WHS skill is a both the outcome of the training process, and at the same time, a potential factor driving injury prevention." title="Figure 11: Leading and lagging indicato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r>
        <w:rPr>
          <w:noProof/>
        </w:rPr>
        <w:drawing>
          <wp:inline distT="0" distB="0" distL="0" distR="0" wp14:anchorId="4FBC0915" wp14:editId="7BB53BEC">
            <wp:extent cx="5486400" cy="381663"/>
            <wp:effectExtent l="0" t="114300" r="19050" b="94615"/>
            <wp:docPr id="8" name="Diagram 8" descr="The number of staff trained and competent in a critical WHS skill is a both the outcome of the training process, and at the same time, a potential factor driving injury prevention." title="Figure 11: leading and lagging indicato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233C07" w:rsidRDefault="00233C07" w:rsidP="00233C07">
      <w:pPr>
        <w:pStyle w:val="Caption"/>
        <w:jc w:val="center"/>
      </w:pPr>
    </w:p>
    <w:p w:rsidR="00CB7EE3" w:rsidRPr="00233C07" w:rsidRDefault="00CB7EE3" w:rsidP="00233C07">
      <w:pPr>
        <w:pStyle w:val="Caption"/>
        <w:jc w:val="center"/>
      </w:pPr>
      <w:r w:rsidRPr="00233C07">
        <w:t xml:space="preserve">Figure </w:t>
      </w:r>
      <w:r w:rsidR="00D515BB" w:rsidRPr="00233C07">
        <w:fldChar w:fldCharType="begin"/>
      </w:r>
      <w:r w:rsidR="00F93AA1" w:rsidRPr="00233C07">
        <w:instrText xml:space="preserve"> SEQ Figure \* ARABIC </w:instrText>
      </w:r>
      <w:r w:rsidR="00D515BB" w:rsidRPr="00233C07">
        <w:fldChar w:fldCharType="separate"/>
      </w:r>
      <w:r w:rsidR="00B47C1D" w:rsidRPr="00233C07">
        <w:t>11</w:t>
      </w:r>
      <w:r w:rsidR="00D515BB" w:rsidRPr="00233C07">
        <w:fldChar w:fldCharType="end"/>
      </w:r>
      <w:r w:rsidRPr="00233C07">
        <w:t>: Leading and lagging indicators</w:t>
      </w:r>
    </w:p>
    <w:p w:rsidR="00106B88" w:rsidRDefault="00106B88" w:rsidP="00F60ED5">
      <w:pPr>
        <w:spacing w:before="240" w:after="0"/>
        <w:jc w:val="both"/>
      </w:pPr>
      <w:r>
        <w:t xml:space="preserve">PPIs provide important data for informing </w:t>
      </w:r>
      <w:r w:rsidR="00C0682C">
        <w:rPr>
          <w:rFonts w:eastAsia="Times New Roman" w:cs="Arial"/>
        </w:rPr>
        <w:t>work health and safety</w:t>
      </w:r>
      <w:r>
        <w:t xml:space="preserve"> performance improvement, monitoring the effectiveness of </w:t>
      </w:r>
      <w:r w:rsidR="0082688A">
        <w:t>work health and safety</w:t>
      </w:r>
      <w:r>
        <w:t xml:space="preserve"> system inputs and processes and highlighting where prioritised efforts or increased resources are likely to add future value. PPIs can be used at organisational and/or business unit levels.</w:t>
      </w:r>
      <w:r>
        <w:rPr>
          <w:rStyle w:val="FootnoteReference"/>
        </w:rPr>
        <w:footnoteReference w:id="50"/>
      </w:r>
    </w:p>
    <w:p w:rsidR="00DB4771" w:rsidRPr="00472854" w:rsidRDefault="00DB4771" w:rsidP="00F60ED5">
      <w:pPr>
        <w:pStyle w:val="Style1"/>
        <w:numPr>
          <w:ilvl w:val="0"/>
          <w:numId w:val="21"/>
        </w:numPr>
        <w:spacing w:before="240" w:after="120"/>
        <w:ind w:left="425" w:hanging="425"/>
        <w:rPr>
          <w:rFonts w:asciiTheme="minorHAnsi" w:hAnsiTheme="minorHAnsi"/>
          <w:color w:val="365F91" w:themeColor="accent1" w:themeShade="BF"/>
          <w:sz w:val="26"/>
          <w:szCs w:val="26"/>
        </w:rPr>
      </w:pPr>
      <w:bookmarkStart w:id="22" w:name="_Toc361085311"/>
      <w:r w:rsidRPr="00472854">
        <w:rPr>
          <w:rFonts w:asciiTheme="minorHAnsi" w:hAnsiTheme="minorHAnsi"/>
          <w:color w:val="365F91" w:themeColor="accent1" w:themeShade="BF"/>
          <w:sz w:val="26"/>
          <w:szCs w:val="26"/>
        </w:rPr>
        <w:t>How are</w:t>
      </w:r>
      <w:r w:rsidR="00A50AA3">
        <w:rPr>
          <w:rFonts w:asciiTheme="minorHAnsi" w:hAnsiTheme="minorHAnsi"/>
          <w:color w:val="365F91" w:themeColor="accent1" w:themeShade="BF"/>
          <w:sz w:val="26"/>
          <w:szCs w:val="26"/>
        </w:rPr>
        <w:t xml:space="preserve"> </w:t>
      </w:r>
      <w:r w:rsidR="002219E0" w:rsidRPr="00472854">
        <w:rPr>
          <w:rFonts w:asciiTheme="minorHAnsi" w:hAnsiTheme="minorHAnsi"/>
          <w:color w:val="365F91" w:themeColor="accent1" w:themeShade="BF"/>
          <w:sz w:val="26"/>
          <w:szCs w:val="26"/>
        </w:rPr>
        <w:t>positive performance indicators (PPIs)</w:t>
      </w:r>
      <w:r w:rsidRPr="00472854">
        <w:rPr>
          <w:rFonts w:asciiTheme="minorHAnsi" w:hAnsiTheme="minorHAnsi"/>
          <w:color w:val="365F91" w:themeColor="accent1" w:themeShade="BF"/>
          <w:sz w:val="26"/>
          <w:szCs w:val="26"/>
        </w:rPr>
        <w:t xml:space="preserve"> developed?</w:t>
      </w:r>
      <w:bookmarkEnd w:id="22"/>
    </w:p>
    <w:p w:rsidR="00106B88" w:rsidRDefault="00106B88" w:rsidP="00106B88">
      <w:pPr>
        <w:jc w:val="both"/>
      </w:pPr>
      <w:r>
        <w:t xml:space="preserve">Fundamentally, the process of developing PPIs involves assessing the organisation (at all levels) for critical areas of safety risk and identifying </w:t>
      </w:r>
      <w:r w:rsidR="003C4CCE">
        <w:t xml:space="preserve">issues </w:t>
      </w:r>
      <w:r>
        <w:t xml:space="preserve">for improvement. More specific </w:t>
      </w:r>
      <w:r w:rsidR="002E39BB">
        <w:t>work health</w:t>
      </w:r>
      <w:r>
        <w:t xml:space="preserve"> goals and action items are then established to address the identified </w:t>
      </w:r>
      <w:r w:rsidR="003C4CCE">
        <w:t>issues</w:t>
      </w:r>
      <w:r w:rsidR="00E711A1">
        <w:t>. PPIs can then be</w:t>
      </w:r>
      <w:r>
        <w:t xml:space="preserve"> </w:t>
      </w:r>
      <w:r w:rsidR="003C4CCE">
        <w:t xml:space="preserve">identified or </w:t>
      </w:r>
      <w:r>
        <w:t>developed</w:t>
      </w:r>
      <w:r w:rsidR="0074606D">
        <w:t>, tested and</w:t>
      </w:r>
      <w:r>
        <w:t xml:space="preserve"> subsequently implemented. PPIs must be monitored and reviewed </w:t>
      </w:r>
      <w:r w:rsidR="0074606D">
        <w:t xml:space="preserve">regularly </w:t>
      </w:r>
      <w:r>
        <w:t>to ensure they remain appropriate to the organisation as it evolves.</w:t>
      </w:r>
      <w:r w:rsidRPr="00106B88">
        <w:rPr>
          <w:rStyle w:val="FootnoteReference"/>
        </w:rPr>
        <w:footnoteReference w:id="51"/>
      </w:r>
    </w:p>
    <w:p w:rsidR="00106B88" w:rsidRDefault="00106B88" w:rsidP="00106B88">
      <w:pPr>
        <w:spacing w:before="240"/>
        <w:jc w:val="both"/>
      </w:pPr>
      <w:r w:rsidRPr="001A486B">
        <w:t xml:space="preserve">An organisation develops PPIs according to its particular safety issues and their drivers, in the context of broader organisational dynamics (i.e. culture and systems). </w:t>
      </w:r>
      <w:r w:rsidR="003C4CCE">
        <w:t xml:space="preserve">PPI results </w:t>
      </w:r>
      <w:r w:rsidRPr="001A486B">
        <w:t xml:space="preserve">are </w:t>
      </w:r>
      <w:r w:rsidR="003C4CCE">
        <w:t xml:space="preserve">therefore </w:t>
      </w:r>
      <w:r w:rsidRPr="001A486B">
        <w:t xml:space="preserve">not </w:t>
      </w:r>
      <w:r w:rsidR="003C4CCE" w:rsidRPr="001A486B">
        <w:t xml:space="preserve">usually </w:t>
      </w:r>
      <w:r w:rsidRPr="001A486B">
        <w:t xml:space="preserve">comparable across organisations, as they are </w:t>
      </w:r>
      <w:r w:rsidR="003C4CCE">
        <w:t>tailored</w:t>
      </w:r>
      <w:r w:rsidRPr="001A486B">
        <w:t xml:space="preserve"> to </w:t>
      </w:r>
      <w:r w:rsidR="003C4CCE">
        <w:t>an</w:t>
      </w:r>
      <w:r w:rsidR="003C4CCE" w:rsidRPr="001A486B">
        <w:t xml:space="preserve"> </w:t>
      </w:r>
      <w:r w:rsidRPr="001A486B">
        <w:t xml:space="preserve">organisation’s particular needs and characteristics. In turn, this means they cannot be standardised </w:t>
      </w:r>
      <w:r w:rsidR="003C4CCE">
        <w:t>and are typically not suited to</w:t>
      </w:r>
      <w:r w:rsidR="003C4CCE" w:rsidRPr="001A486B">
        <w:t xml:space="preserve"> </w:t>
      </w:r>
      <w:r w:rsidRPr="001A486B">
        <w:t>benchmark</w:t>
      </w:r>
      <w:r w:rsidR="003C4CCE">
        <w:t>ing</w:t>
      </w:r>
      <w:r w:rsidRPr="001A486B">
        <w:t xml:space="preserve"> across organisations.</w:t>
      </w:r>
      <w:r w:rsidRPr="001A486B">
        <w:rPr>
          <w:rStyle w:val="FootnoteReference"/>
        </w:rPr>
        <w:footnoteReference w:id="52"/>
      </w:r>
    </w:p>
    <w:p w:rsidR="00DB4771" w:rsidRPr="00472854" w:rsidRDefault="002219E0" w:rsidP="00F60ED5">
      <w:pPr>
        <w:pStyle w:val="Style1"/>
        <w:numPr>
          <w:ilvl w:val="0"/>
          <w:numId w:val="21"/>
        </w:numPr>
        <w:spacing w:before="240" w:after="120"/>
        <w:ind w:left="425" w:hanging="425"/>
        <w:rPr>
          <w:rFonts w:asciiTheme="minorHAnsi" w:hAnsiTheme="minorHAnsi"/>
          <w:color w:val="365F91" w:themeColor="accent1" w:themeShade="BF"/>
          <w:sz w:val="26"/>
          <w:szCs w:val="26"/>
        </w:rPr>
      </w:pPr>
      <w:bookmarkStart w:id="23" w:name="_Toc361085312"/>
      <w:r w:rsidRPr="00472854">
        <w:rPr>
          <w:rFonts w:asciiTheme="minorHAnsi" w:hAnsiTheme="minorHAnsi"/>
          <w:color w:val="365F91" w:themeColor="accent1" w:themeShade="BF"/>
          <w:sz w:val="26"/>
          <w:szCs w:val="26"/>
        </w:rPr>
        <w:t>Characteristics of high quality</w:t>
      </w:r>
      <w:r w:rsidR="00A50AA3">
        <w:rPr>
          <w:rFonts w:asciiTheme="minorHAnsi" w:hAnsiTheme="minorHAnsi"/>
          <w:color w:val="365F91" w:themeColor="accent1" w:themeShade="BF"/>
          <w:sz w:val="26"/>
          <w:szCs w:val="26"/>
        </w:rPr>
        <w:t xml:space="preserve"> </w:t>
      </w:r>
      <w:r w:rsidRPr="00472854">
        <w:rPr>
          <w:rFonts w:asciiTheme="minorHAnsi" w:hAnsiTheme="minorHAnsi"/>
          <w:color w:val="365F91" w:themeColor="accent1" w:themeShade="BF"/>
          <w:sz w:val="26"/>
          <w:szCs w:val="26"/>
        </w:rPr>
        <w:t>PPIs</w:t>
      </w:r>
      <w:bookmarkEnd w:id="23"/>
    </w:p>
    <w:p w:rsidR="00106B88" w:rsidRDefault="0074606D" w:rsidP="00F60ED5">
      <w:pPr>
        <w:spacing w:after="120"/>
        <w:jc w:val="both"/>
      </w:pPr>
      <w:r>
        <w:t xml:space="preserve">Like all </w:t>
      </w:r>
      <w:r w:rsidR="00EB0230">
        <w:t>sound</w:t>
      </w:r>
      <w:r>
        <w:t xml:space="preserve"> measures PPIs must </w:t>
      </w:r>
      <w:r w:rsidR="00EB0230">
        <w:t xml:space="preserve">always </w:t>
      </w:r>
      <w:r>
        <w:t xml:space="preserve">be valid, relevant and reliable. </w:t>
      </w:r>
      <w:r w:rsidR="00EB0230">
        <w:t xml:space="preserve">High quality </w:t>
      </w:r>
      <w:r w:rsidR="00106B88">
        <w:t xml:space="preserve">PPIs </w:t>
      </w:r>
      <w:r>
        <w:t xml:space="preserve">should also </w:t>
      </w:r>
      <w:r w:rsidR="00106B88">
        <w:t xml:space="preserve">demonstrate the following </w:t>
      </w:r>
      <w:r w:rsidR="00EB0230">
        <w:t xml:space="preserve">essential </w:t>
      </w:r>
      <w:r w:rsidR="00106B88">
        <w:t>qualities:</w:t>
      </w:r>
    </w:p>
    <w:p w:rsidR="00106B88" w:rsidRDefault="00106B88" w:rsidP="00F60ED5">
      <w:pPr>
        <w:pStyle w:val="ListParagraph"/>
        <w:numPr>
          <w:ilvl w:val="0"/>
          <w:numId w:val="27"/>
        </w:numPr>
        <w:spacing w:before="60" w:after="60" w:line="360" w:lineRule="auto"/>
      </w:pPr>
      <w:r>
        <w:t>clearly defined and understood</w:t>
      </w:r>
    </w:p>
    <w:p w:rsidR="00106B88" w:rsidRDefault="00106B88" w:rsidP="00F60ED5">
      <w:pPr>
        <w:pStyle w:val="ListParagraph"/>
        <w:numPr>
          <w:ilvl w:val="0"/>
          <w:numId w:val="27"/>
        </w:numPr>
        <w:spacing w:before="60" w:after="60" w:line="360" w:lineRule="auto"/>
      </w:pPr>
      <w:r>
        <w:t xml:space="preserve">measurable accurately, objectively, timely, consistently and reliably </w:t>
      </w:r>
    </w:p>
    <w:p w:rsidR="00106B88" w:rsidRDefault="00106B88" w:rsidP="00F60ED5">
      <w:pPr>
        <w:pStyle w:val="ListParagraph"/>
        <w:numPr>
          <w:ilvl w:val="0"/>
          <w:numId w:val="27"/>
        </w:numPr>
        <w:spacing w:before="60" w:after="60" w:line="360" w:lineRule="auto"/>
      </w:pPr>
      <w:r>
        <w:t>relevant and adapted to the organisation</w:t>
      </w:r>
    </w:p>
    <w:p w:rsidR="00106B88" w:rsidRDefault="00106B88" w:rsidP="00F60ED5">
      <w:pPr>
        <w:pStyle w:val="ListParagraph"/>
        <w:numPr>
          <w:ilvl w:val="0"/>
          <w:numId w:val="27"/>
        </w:numPr>
        <w:spacing w:before="60" w:after="60" w:line="360" w:lineRule="auto"/>
      </w:pPr>
      <w:r>
        <w:t>informs and enables action by the organisation</w:t>
      </w:r>
    </w:p>
    <w:p w:rsidR="00106B88" w:rsidRDefault="00106B88" w:rsidP="00F60ED5">
      <w:pPr>
        <w:pStyle w:val="ListParagraph"/>
        <w:numPr>
          <w:ilvl w:val="0"/>
          <w:numId w:val="27"/>
        </w:numPr>
        <w:spacing w:before="60" w:after="60" w:line="360" w:lineRule="auto"/>
      </w:pPr>
      <w:r>
        <w:t>aligned with organisation’s internal systems</w:t>
      </w:r>
    </w:p>
    <w:p w:rsidR="00106B88" w:rsidRDefault="00106B88" w:rsidP="00F60ED5">
      <w:pPr>
        <w:pStyle w:val="ListParagraph"/>
        <w:numPr>
          <w:ilvl w:val="0"/>
          <w:numId w:val="27"/>
        </w:numPr>
        <w:spacing w:before="60" w:after="60" w:line="360" w:lineRule="auto"/>
      </w:pPr>
      <w:r>
        <w:t>accepted by managers and workers</w:t>
      </w:r>
      <w:r w:rsidR="002E39BB">
        <w:t xml:space="preserve">, </w:t>
      </w:r>
      <w:r w:rsidR="00EE7DC6">
        <w:t>and</w:t>
      </w:r>
    </w:p>
    <w:p w:rsidR="00106B88" w:rsidRDefault="00106B88" w:rsidP="00F60ED5">
      <w:pPr>
        <w:pStyle w:val="ListParagraph"/>
        <w:numPr>
          <w:ilvl w:val="0"/>
          <w:numId w:val="27"/>
        </w:numPr>
        <w:spacing w:before="60" w:after="120" w:line="360" w:lineRule="auto"/>
        <w:ind w:left="714" w:hanging="357"/>
      </w:pPr>
      <w:r>
        <w:t>cost efficient.</w:t>
      </w:r>
      <w:r>
        <w:rPr>
          <w:rStyle w:val="FootnoteReference"/>
        </w:rPr>
        <w:footnoteReference w:id="53"/>
      </w:r>
    </w:p>
    <w:p w:rsidR="00106B88" w:rsidRDefault="00106B88" w:rsidP="00106B88">
      <w:pPr>
        <w:jc w:val="both"/>
      </w:pPr>
      <w:r>
        <w:t xml:space="preserve">Key </w:t>
      </w:r>
      <w:r w:rsidR="003C4CCE">
        <w:t xml:space="preserve">issues </w:t>
      </w:r>
      <w:r>
        <w:t>PPIs may address include: commitment and policy, planning, implementation</w:t>
      </w:r>
      <w:r w:rsidR="003C4CCE">
        <w:t xml:space="preserve"> of </w:t>
      </w:r>
      <w:r w:rsidR="00ED38E6">
        <w:t>work health and safety</w:t>
      </w:r>
      <w:r w:rsidR="003C4CCE">
        <w:t xml:space="preserve"> initiatives</w:t>
      </w:r>
      <w:r>
        <w:t>, measurement and evaluation</w:t>
      </w:r>
      <w:r w:rsidR="003C4CCE">
        <w:t xml:space="preserve"> of resources and processes</w:t>
      </w:r>
      <w:r>
        <w:t>, review</w:t>
      </w:r>
      <w:r w:rsidR="003C4CCE">
        <w:t>,</w:t>
      </w:r>
      <w:r>
        <w:t xml:space="preserve"> and </w:t>
      </w:r>
      <w:r w:rsidR="003C4CCE">
        <w:t xml:space="preserve">continuous </w:t>
      </w:r>
      <w:r>
        <w:t>improvement.</w:t>
      </w:r>
      <w:r>
        <w:rPr>
          <w:rStyle w:val="FootnoteReference"/>
        </w:rPr>
        <w:footnoteReference w:id="54"/>
      </w:r>
      <w:r>
        <w:t xml:space="preserve"> Alternatively, they may </w:t>
      </w:r>
      <w:r w:rsidR="003C4CCE">
        <w:t xml:space="preserve">seek to </w:t>
      </w:r>
      <w:r>
        <w:t>ensur</w:t>
      </w:r>
      <w:r w:rsidR="003C4CCE">
        <w:t>e</w:t>
      </w:r>
      <w:r>
        <w:t xml:space="preserve"> management and workers have the relevant information, tools and authority to act; </w:t>
      </w:r>
      <w:r w:rsidR="003C4CCE">
        <w:t xml:space="preserve">to evaluate the </w:t>
      </w:r>
      <w:r>
        <w:t xml:space="preserve">extent </w:t>
      </w:r>
      <w:r w:rsidR="003C4CCE">
        <w:t>to which</w:t>
      </w:r>
      <w:r>
        <w:t xml:space="preserve"> safety culture that is aligned with performance; and </w:t>
      </w:r>
      <w:r w:rsidR="003C4CCE">
        <w:t xml:space="preserve">to </w:t>
      </w:r>
      <w:r>
        <w:t>monitor the safety system.</w:t>
      </w:r>
      <w:r>
        <w:rPr>
          <w:rStyle w:val="FootnoteReference"/>
        </w:rPr>
        <w:footnoteReference w:id="55"/>
      </w:r>
      <w:r>
        <w:t xml:space="preserve"> </w:t>
      </w:r>
      <w:r w:rsidR="00E80A4E">
        <w:t xml:space="preserve"> </w:t>
      </w:r>
      <w:r>
        <w:t>Examples of PPIs include the number of safety audit</w:t>
      </w:r>
      <w:r w:rsidR="0074606D">
        <w:t xml:space="preserve"> non-conformances</w:t>
      </w:r>
      <w:r w:rsidR="003C4CCE">
        <w:t>, the percentage of risks eliminated (rather than controlled)</w:t>
      </w:r>
      <w:r>
        <w:t xml:space="preserve"> and </w:t>
      </w:r>
      <w:r w:rsidR="00E711A1">
        <w:t xml:space="preserve">the </w:t>
      </w:r>
      <w:r>
        <w:t>proportion of staff trained in a particular skill.</w:t>
      </w:r>
    </w:p>
    <w:p w:rsidR="00DB4771" w:rsidRPr="00472854" w:rsidRDefault="00DB4771" w:rsidP="00472854">
      <w:pPr>
        <w:pStyle w:val="Style1"/>
        <w:numPr>
          <w:ilvl w:val="0"/>
          <w:numId w:val="21"/>
        </w:numPr>
        <w:spacing w:after="120"/>
        <w:ind w:left="426" w:hanging="426"/>
        <w:rPr>
          <w:rFonts w:asciiTheme="minorHAnsi" w:hAnsiTheme="minorHAnsi"/>
          <w:color w:val="365F91" w:themeColor="accent1" w:themeShade="BF"/>
          <w:sz w:val="26"/>
          <w:szCs w:val="26"/>
        </w:rPr>
      </w:pPr>
      <w:bookmarkStart w:id="24" w:name="_Toc361085313"/>
      <w:r w:rsidRPr="00472854">
        <w:rPr>
          <w:rFonts w:asciiTheme="minorHAnsi" w:hAnsiTheme="minorHAnsi"/>
          <w:color w:val="365F91" w:themeColor="accent1" w:themeShade="BF"/>
          <w:sz w:val="26"/>
          <w:szCs w:val="26"/>
        </w:rPr>
        <w:t xml:space="preserve">Issues in developing </w:t>
      </w:r>
      <w:r w:rsidR="00D010C4" w:rsidRPr="00472854">
        <w:rPr>
          <w:rFonts w:asciiTheme="minorHAnsi" w:hAnsiTheme="minorHAnsi"/>
          <w:color w:val="365F91" w:themeColor="accent1" w:themeShade="BF"/>
          <w:sz w:val="26"/>
          <w:szCs w:val="26"/>
        </w:rPr>
        <w:t>PPIs</w:t>
      </w:r>
      <w:bookmarkEnd w:id="24"/>
    </w:p>
    <w:p w:rsidR="00DB4771" w:rsidRDefault="003C4CCE" w:rsidP="00B11084">
      <w:pPr>
        <w:spacing w:after="0"/>
      </w:pPr>
      <w:r>
        <w:t xml:space="preserve">Three interrelated factors can </w:t>
      </w:r>
      <w:r w:rsidR="00DB4771">
        <w:t>complicat</w:t>
      </w:r>
      <w:r>
        <w:t>e the</w:t>
      </w:r>
      <w:r w:rsidR="00DB4771">
        <w:t xml:space="preserve"> develop</w:t>
      </w:r>
      <w:r>
        <w:t xml:space="preserve">ment of </w:t>
      </w:r>
      <w:r w:rsidR="002219E0">
        <w:t>PPI</w:t>
      </w:r>
      <w:r w:rsidR="00DB4771">
        <w:t>s:</w:t>
      </w:r>
    </w:p>
    <w:p w:rsidR="00DB4771" w:rsidRDefault="00DB4771" w:rsidP="00734A6C">
      <w:pPr>
        <w:pStyle w:val="ListParagraph"/>
        <w:numPr>
          <w:ilvl w:val="0"/>
          <w:numId w:val="10"/>
        </w:numPr>
        <w:spacing w:after="120"/>
      </w:pPr>
      <w:r>
        <w:t>organisations are dynamic</w:t>
      </w:r>
    </w:p>
    <w:p w:rsidR="00DB4771" w:rsidRDefault="00AE0533" w:rsidP="00734A6C">
      <w:pPr>
        <w:pStyle w:val="ListParagraph"/>
        <w:numPr>
          <w:ilvl w:val="0"/>
          <w:numId w:val="10"/>
        </w:numPr>
      </w:pPr>
      <w:r>
        <w:t xml:space="preserve">there is </w:t>
      </w:r>
      <w:r w:rsidR="00DB4771">
        <w:t xml:space="preserve">an imprecise link between </w:t>
      </w:r>
      <w:r w:rsidR="002219E0">
        <w:t>PPI</w:t>
      </w:r>
      <w:r w:rsidR="00DB4771">
        <w:t xml:space="preserve">s and </w:t>
      </w:r>
      <w:r>
        <w:t>injury</w:t>
      </w:r>
      <w:r w:rsidR="00A50AA3">
        <w:t xml:space="preserve"> </w:t>
      </w:r>
      <w:r>
        <w:t>performance</w:t>
      </w:r>
      <w:r w:rsidR="004544AC">
        <w:t>, and</w:t>
      </w:r>
    </w:p>
    <w:p w:rsidR="00DB4771" w:rsidRDefault="00DB4771" w:rsidP="00734A6C">
      <w:pPr>
        <w:pStyle w:val="ListParagraph"/>
        <w:numPr>
          <w:ilvl w:val="0"/>
          <w:numId w:val="10"/>
        </w:numPr>
      </w:pPr>
      <w:r>
        <w:t>implementation issues</w:t>
      </w:r>
      <w:r w:rsidR="00AE0533">
        <w:t xml:space="preserve"> may arise (typically relating to, for example, </w:t>
      </w:r>
      <w:r>
        <w:t xml:space="preserve">information gathering and reporting needs, practicalities, </w:t>
      </w:r>
      <w:r w:rsidR="00AE0533">
        <w:t xml:space="preserve">development and monitoring </w:t>
      </w:r>
      <w:r>
        <w:t>costs</w:t>
      </w:r>
      <w:r w:rsidR="00AE0533">
        <w:t>)</w:t>
      </w:r>
      <w:r>
        <w:t>.</w:t>
      </w:r>
    </w:p>
    <w:p w:rsidR="00DB4771" w:rsidRPr="00D2462A" w:rsidRDefault="00DB4771" w:rsidP="00734A6C">
      <w:pPr>
        <w:pStyle w:val="Style3"/>
        <w:numPr>
          <w:ilvl w:val="0"/>
          <w:numId w:val="15"/>
        </w:numPr>
        <w:ind w:left="426"/>
        <w:rPr>
          <w:rFonts w:asciiTheme="minorHAnsi" w:hAnsiTheme="minorHAnsi"/>
          <w:sz w:val="24"/>
          <w:szCs w:val="24"/>
          <w:u w:val="single"/>
        </w:rPr>
      </w:pPr>
      <w:bookmarkStart w:id="25" w:name="_Toc361085314"/>
      <w:r w:rsidRPr="00D2462A">
        <w:rPr>
          <w:rFonts w:asciiTheme="minorHAnsi" w:hAnsiTheme="minorHAnsi"/>
          <w:sz w:val="24"/>
          <w:szCs w:val="24"/>
          <w:u w:val="single"/>
        </w:rPr>
        <w:t>Organisation</w:t>
      </w:r>
      <w:r w:rsidR="00D010C4">
        <w:rPr>
          <w:rFonts w:asciiTheme="minorHAnsi" w:hAnsiTheme="minorHAnsi"/>
          <w:sz w:val="24"/>
          <w:szCs w:val="24"/>
          <w:u w:val="single"/>
        </w:rPr>
        <w:t xml:space="preserve">al </w:t>
      </w:r>
      <w:r w:rsidRPr="00D2462A">
        <w:rPr>
          <w:rFonts w:asciiTheme="minorHAnsi" w:hAnsiTheme="minorHAnsi"/>
          <w:sz w:val="24"/>
          <w:szCs w:val="24"/>
          <w:u w:val="single"/>
        </w:rPr>
        <w:t>dynami</w:t>
      </w:r>
      <w:r w:rsidR="00D010C4">
        <w:rPr>
          <w:rFonts w:asciiTheme="minorHAnsi" w:hAnsiTheme="minorHAnsi"/>
          <w:sz w:val="24"/>
          <w:szCs w:val="24"/>
          <w:u w:val="single"/>
        </w:rPr>
        <w:t>sm</w:t>
      </w:r>
      <w:bookmarkEnd w:id="25"/>
    </w:p>
    <w:p w:rsidR="00106B88" w:rsidRDefault="00106B88" w:rsidP="00106B88">
      <w:pPr>
        <w:jc w:val="both"/>
      </w:pPr>
      <w:r>
        <w:t>Organisations are dynamic and composed of various interacting systems and components. Safety can be affected by any one or combination of direct and indirect factors, which transcend across different organisational layers, units and/or systems.</w:t>
      </w:r>
      <w:r>
        <w:rPr>
          <w:rStyle w:val="FootnoteReference"/>
        </w:rPr>
        <w:footnoteReference w:id="56"/>
      </w:r>
      <w:r>
        <w:t xml:space="preserve"> These can range from broader management culture to direct work processes.</w:t>
      </w:r>
    </w:p>
    <w:p w:rsidR="00106B88" w:rsidRDefault="00106B88" w:rsidP="00106B88">
      <w:pPr>
        <w:jc w:val="both"/>
      </w:pPr>
      <w:r>
        <w:t xml:space="preserve">Further, PPIs must also be relevant to the specific risks, improvements and </w:t>
      </w:r>
      <w:r w:rsidR="00286806">
        <w:t>work health and safety</w:t>
      </w:r>
      <w:r>
        <w:t xml:space="preserve"> strategy of the organisation.</w:t>
      </w:r>
      <w:r>
        <w:rPr>
          <w:rStyle w:val="FootnoteReference"/>
        </w:rPr>
        <w:footnoteReference w:id="57"/>
      </w:r>
      <w:r>
        <w:t xml:space="preserve"> Misjudgement at any stage in the process of identification can lead to a focus on inappropriate PPIs. Hence, the task of developing and implementing PPIs can be challenging. For example, a PPI may be chosen that does not </w:t>
      </w:r>
      <w:r w:rsidR="00B91DB8">
        <w:t xml:space="preserve">address </w:t>
      </w:r>
      <w:r>
        <w:t>the</w:t>
      </w:r>
      <w:r w:rsidR="00B91DB8">
        <w:t xml:space="preserve"> required</w:t>
      </w:r>
      <w:r>
        <w:t xml:space="preserve"> safety improvement, or may be </w:t>
      </w:r>
      <w:r w:rsidR="00B91DB8">
        <w:t xml:space="preserve">redundant </w:t>
      </w:r>
      <w:r>
        <w:t xml:space="preserve">as it is </w:t>
      </w:r>
      <w:r w:rsidR="00B91DB8">
        <w:t xml:space="preserve">already </w:t>
      </w:r>
      <w:r>
        <w:t>covered by another PPI.</w:t>
      </w:r>
      <w:r>
        <w:rPr>
          <w:rStyle w:val="FootnoteReference"/>
        </w:rPr>
        <w:footnoteReference w:id="58"/>
      </w:r>
    </w:p>
    <w:p w:rsidR="00106B88" w:rsidRDefault="00106B88" w:rsidP="00F60ED5">
      <w:pPr>
        <w:spacing w:after="0"/>
        <w:jc w:val="both"/>
      </w:pPr>
      <w:r>
        <w:t xml:space="preserve">It is important to ensure PPIs correspond to the organisation’s level of maturity. An organisation’s </w:t>
      </w:r>
      <w:r w:rsidR="00C0682C">
        <w:rPr>
          <w:rFonts w:eastAsia="Times New Roman" w:cs="Arial"/>
        </w:rPr>
        <w:t>work health and safety</w:t>
      </w:r>
      <w:r>
        <w:t xml:space="preserve"> maturity </w:t>
      </w:r>
      <w:r w:rsidR="004915CA">
        <w:t xml:space="preserve">is argued to </w:t>
      </w:r>
      <w:r>
        <w:t>progress along five stages</w:t>
      </w:r>
      <w:r w:rsidR="004915CA">
        <w:t xml:space="preserve"> (although not always in a strictly linear fashion)</w:t>
      </w:r>
      <w:r>
        <w:t>:</w:t>
      </w:r>
    </w:p>
    <w:p w:rsidR="00106B88" w:rsidRDefault="00106B88" w:rsidP="00292D08">
      <w:pPr>
        <w:pStyle w:val="ListParagraph"/>
        <w:numPr>
          <w:ilvl w:val="0"/>
          <w:numId w:val="28"/>
        </w:numPr>
        <w:ind w:left="567" w:right="117" w:hanging="283"/>
      </w:pPr>
      <w:r w:rsidRPr="00F60ED5">
        <w:rPr>
          <w:b/>
          <w:i/>
        </w:rPr>
        <w:t>Pathological</w:t>
      </w:r>
      <w:r>
        <w:t xml:space="preserve">: organisation cares little about </w:t>
      </w:r>
      <w:r w:rsidR="00C0682C">
        <w:rPr>
          <w:rFonts w:eastAsia="Times New Roman" w:cs="Arial"/>
        </w:rPr>
        <w:t>work health and safety</w:t>
      </w:r>
      <w:r>
        <w:t xml:space="preserve"> beyond being caught in breach of the law</w:t>
      </w:r>
    </w:p>
    <w:p w:rsidR="00106B88" w:rsidRDefault="00106B88" w:rsidP="00B91DB8">
      <w:pPr>
        <w:pStyle w:val="ListParagraph"/>
        <w:numPr>
          <w:ilvl w:val="0"/>
          <w:numId w:val="28"/>
        </w:numPr>
        <w:ind w:left="567" w:right="543" w:hanging="283"/>
      </w:pPr>
      <w:r w:rsidRPr="00F60ED5">
        <w:rPr>
          <w:b/>
          <w:i/>
        </w:rPr>
        <w:t>Reactive</w:t>
      </w:r>
      <w:r>
        <w:t>: organisation responds to accidents by making improvements</w:t>
      </w:r>
    </w:p>
    <w:p w:rsidR="00106B88" w:rsidRDefault="00106B88" w:rsidP="00B91DB8">
      <w:pPr>
        <w:pStyle w:val="ListParagraph"/>
        <w:numPr>
          <w:ilvl w:val="0"/>
          <w:numId w:val="28"/>
        </w:numPr>
        <w:ind w:left="567" w:right="543" w:hanging="283"/>
      </w:pPr>
      <w:r w:rsidRPr="00F60ED5">
        <w:rPr>
          <w:b/>
          <w:i/>
        </w:rPr>
        <w:t>Calculative</w:t>
      </w:r>
      <w:r>
        <w:t>:  organisation is focused on ensuring management systems are effective</w:t>
      </w:r>
    </w:p>
    <w:p w:rsidR="00106B88" w:rsidRDefault="00106B88" w:rsidP="00B91DB8">
      <w:pPr>
        <w:pStyle w:val="ListParagraph"/>
        <w:numPr>
          <w:ilvl w:val="0"/>
          <w:numId w:val="28"/>
        </w:numPr>
        <w:ind w:left="567" w:right="543" w:hanging="283"/>
      </w:pPr>
      <w:r w:rsidRPr="00F60ED5">
        <w:rPr>
          <w:b/>
          <w:i/>
        </w:rPr>
        <w:t>Proactive</w:t>
      </w:r>
      <w:r>
        <w:t xml:space="preserve">: </w:t>
      </w:r>
      <w:r w:rsidR="00C0682C">
        <w:rPr>
          <w:rFonts w:eastAsia="Times New Roman" w:cs="Arial"/>
        </w:rPr>
        <w:t>work health and safety</w:t>
      </w:r>
      <w:r>
        <w:t xml:space="preserve"> leadership and values drive continuous improvement</w:t>
      </w:r>
      <w:r w:rsidR="009C3198">
        <w:t>, and</w:t>
      </w:r>
    </w:p>
    <w:p w:rsidR="00106B88" w:rsidRDefault="00106B88" w:rsidP="00B91DB8">
      <w:pPr>
        <w:pStyle w:val="ListParagraph"/>
        <w:numPr>
          <w:ilvl w:val="0"/>
          <w:numId w:val="28"/>
        </w:numPr>
        <w:ind w:left="567" w:right="543" w:hanging="283"/>
      </w:pPr>
      <w:r w:rsidRPr="00F60ED5">
        <w:rPr>
          <w:b/>
          <w:i/>
        </w:rPr>
        <w:t>Generative</w:t>
      </w:r>
      <w:r>
        <w:t>: continuous learning and improvement is ingrained throughout the organisation.</w:t>
      </w:r>
      <w:r>
        <w:rPr>
          <w:rStyle w:val="FootnoteReference"/>
        </w:rPr>
        <w:footnoteReference w:id="59"/>
      </w:r>
    </w:p>
    <w:p w:rsidR="00106B88" w:rsidRDefault="00106B88" w:rsidP="00106B88">
      <w:pPr>
        <w:jc w:val="both"/>
      </w:pPr>
      <w:r>
        <w:t>PPIs will change in accordance with the organisation’s evolving maturity so it is important to review them regularly to ensure they remain aligned with an organisation’s maturity level, safety issues and broader organisational dynamics, goals and strategy.</w:t>
      </w:r>
      <w:r>
        <w:rPr>
          <w:rStyle w:val="FootnoteReference"/>
        </w:rPr>
        <w:footnoteReference w:id="60"/>
      </w:r>
    </w:p>
    <w:p w:rsidR="00BD2222" w:rsidRPr="00D2462A" w:rsidRDefault="00BD2222" w:rsidP="00734A6C">
      <w:pPr>
        <w:pStyle w:val="Style3"/>
        <w:numPr>
          <w:ilvl w:val="0"/>
          <w:numId w:val="15"/>
        </w:numPr>
        <w:spacing w:after="240"/>
        <w:ind w:left="426"/>
        <w:rPr>
          <w:rFonts w:asciiTheme="minorHAnsi" w:hAnsiTheme="minorHAnsi"/>
          <w:sz w:val="24"/>
          <w:szCs w:val="24"/>
          <w:u w:val="single"/>
        </w:rPr>
      </w:pPr>
      <w:bookmarkStart w:id="26" w:name="_Toc361085315"/>
      <w:r>
        <w:rPr>
          <w:rFonts w:asciiTheme="minorHAnsi" w:hAnsiTheme="minorHAnsi"/>
          <w:sz w:val="24"/>
          <w:szCs w:val="24"/>
          <w:u w:val="single"/>
        </w:rPr>
        <w:t>Imprecise link</w:t>
      </w:r>
      <w:r w:rsidR="00D010C4">
        <w:rPr>
          <w:rFonts w:asciiTheme="minorHAnsi" w:hAnsiTheme="minorHAnsi"/>
          <w:sz w:val="24"/>
          <w:szCs w:val="24"/>
          <w:u w:val="single"/>
        </w:rPr>
        <w:t>s</w:t>
      </w:r>
      <w:r>
        <w:rPr>
          <w:rFonts w:asciiTheme="minorHAnsi" w:hAnsiTheme="minorHAnsi"/>
          <w:sz w:val="24"/>
          <w:szCs w:val="24"/>
          <w:u w:val="single"/>
        </w:rPr>
        <w:t xml:space="preserve"> to outcomes</w:t>
      </w:r>
      <w:bookmarkEnd w:id="26"/>
    </w:p>
    <w:p w:rsidR="00106B88" w:rsidRDefault="00106B88" w:rsidP="00106B88">
      <w:pPr>
        <w:ind w:left="66"/>
        <w:jc w:val="both"/>
      </w:pPr>
      <w:r>
        <w:t xml:space="preserve">PPIs must be related to </w:t>
      </w:r>
      <w:r w:rsidR="00286806">
        <w:t>work health and safety</w:t>
      </w:r>
      <w:r>
        <w:t xml:space="preserve"> goals and have a “reliable and valid” causal relationship with performance in terms of (lagging) </w:t>
      </w:r>
      <w:r w:rsidR="00286806">
        <w:t>work health and safety</w:t>
      </w:r>
      <w:r>
        <w:t xml:space="preserve"> outcomes.</w:t>
      </w:r>
      <w:r>
        <w:rPr>
          <w:rStyle w:val="FootnoteReference"/>
        </w:rPr>
        <w:footnoteReference w:id="61"/>
      </w:r>
      <w:r>
        <w:t xml:space="preserve"> However, the relationship between PPIs and outcome</w:t>
      </w:r>
      <w:r w:rsidR="00B91DB8">
        <w:t>s</w:t>
      </w:r>
      <w:r>
        <w:t xml:space="preserve"> can be tenuous due to time lags and </w:t>
      </w:r>
      <w:r w:rsidR="00B91DB8">
        <w:t xml:space="preserve">to </w:t>
      </w:r>
      <w:r>
        <w:t>causation being indirect or contingent.</w:t>
      </w:r>
      <w:r>
        <w:rPr>
          <w:rStyle w:val="FootnoteReference"/>
        </w:rPr>
        <w:footnoteReference w:id="62"/>
      </w:r>
      <w:r>
        <w:t xml:space="preserve"> This may render the value proposition of PPIs difficult to prove and the selection of PPIs more complex and political. To overcome this somewhat, it is advised that organisations map </w:t>
      </w:r>
      <w:r w:rsidR="00B91DB8">
        <w:t xml:space="preserve">various </w:t>
      </w:r>
      <w:r>
        <w:t xml:space="preserve">causal routes and consider factors both remote and close to the </w:t>
      </w:r>
      <w:r w:rsidR="00286806">
        <w:t>work health and safety</w:t>
      </w:r>
      <w:r>
        <w:t xml:space="preserve"> outcome.</w:t>
      </w:r>
      <w:r>
        <w:rPr>
          <w:rStyle w:val="FootnoteReference"/>
        </w:rPr>
        <w:footnoteReference w:id="63"/>
      </w:r>
      <w:r>
        <w:t xml:space="preserve"> It is also recommended that a combination of leading and lagging indicators be used to provide a more complete assessment an organisation’s </w:t>
      </w:r>
      <w:r w:rsidR="00286806">
        <w:t>work health and safety</w:t>
      </w:r>
      <w:r>
        <w:t xml:space="preserve"> performance.</w:t>
      </w:r>
      <w:r>
        <w:rPr>
          <w:rStyle w:val="FootnoteReference"/>
        </w:rPr>
        <w:footnoteReference w:id="64"/>
      </w:r>
    </w:p>
    <w:p w:rsidR="00DB4771" w:rsidRPr="00D2462A" w:rsidRDefault="00DB4771" w:rsidP="00F60ED5">
      <w:pPr>
        <w:pStyle w:val="Style3"/>
        <w:numPr>
          <w:ilvl w:val="0"/>
          <w:numId w:val="15"/>
        </w:numPr>
        <w:spacing w:after="120"/>
        <w:ind w:left="425" w:hanging="357"/>
        <w:rPr>
          <w:rFonts w:asciiTheme="minorHAnsi" w:hAnsiTheme="minorHAnsi"/>
          <w:sz w:val="24"/>
          <w:szCs w:val="24"/>
          <w:u w:val="single"/>
        </w:rPr>
      </w:pPr>
      <w:bookmarkStart w:id="27" w:name="_Toc361085316"/>
      <w:r w:rsidRPr="00D2462A">
        <w:rPr>
          <w:rFonts w:asciiTheme="minorHAnsi" w:hAnsiTheme="minorHAnsi"/>
          <w:sz w:val="24"/>
          <w:szCs w:val="24"/>
          <w:u w:val="single"/>
        </w:rPr>
        <w:t>Implementation issues</w:t>
      </w:r>
      <w:bookmarkEnd w:id="27"/>
    </w:p>
    <w:p w:rsidR="00106B88" w:rsidRPr="00106B88" w:rsidRDefault="00106B88" w:rsidP="00106B88">
      <w:pPr>
        <w:spacing w:after="0"/>
        <w:ind w:left="66"/>
        <w:rPr>
          <w:rFonts w:eastAsia="Times New Roman" w:cs="Arial"/>
          <w:i/>
          <w:color w:val="365F91" w:themeColor="accent1" w:themeShade="BF"/>
          <w:sz w:val="24"/>
          <w:szCs w:val="24"/>
        </w:rPr>
      </w:pPr>
      <w:r w:rsidRPr="00106B88">
        <w:rPr>
          <w:rFonts w:eastAsia="Times New Roman" w:cs="Arial"/>
          <w:i/>
          <w:color w:val="365F91" w:themeColor="accent1" w:themeShade="BF"/>
          <w:sz w:val="24"/>
          <w:szCs w:val="24"/>
        </w:rPr>
        <w:t>Integration</w:t>
      </w:r>
    </w:p>
    <w:p w:rsidR="00106B88" w:rsidRPr="00106B88" w:rsidRDefault="00106B88" w:rsidP="00106B88">
      <w:pPr>
        <w:ind w:left="66"/>
        <w:jc w:val="both"/>
      </w:pPr>
      <w:r>
        <w:t>PPIs should be implemented using a structured, systematic approach.</w:t>
      </w:r>
      <w:r>
        <w:rPr>
          <w:rStyle w:val="FootnoteReference"/>
        </w:rPr>
        <w:footnoteReference w:id="65"/>
      </w:r>
      <w:r>
        <w:t xml:space="preserve"> The PPIs must fit within the overarching </w:t>
      </w:r>
      <w:r w:rsidR="00C0682C">
        <w:rPr>
          <w:rFonts w:eastAsia="Times New Roman" w:cs="Arial"/>
        </w:rPr>
        <w:t>work health and safety</w:t>
      </w:r>
      <w:r>
        <w:t xml:space="preserve"> framework, which must correspondingly be accommodative to PPIs. These must also be integrated with other organisational systems, including human resources, production, finance, technological and risk management. These systems are interrelated and dynamic, which can render the task of integration challenging.</w:t>
      </w:r>
    </w:p>
    <w:p w:rsidR="00106B88" w:rsidRPr="00106B88" w:rsidRDefault="00106B88" w:rsidP="00106B88">
      <w:pPr>
        <w:spacing w:after="0"/>
        <w:ind w:left="66"/>
        <w:rPr>
          <w:rFonts w:eastAsia="Times New Roman" w:cs="Arial"/>
          <w:i/>
          <w:color w:val="365F91" w:themeColor="accent1" w:themeShade="BF"/>
          <w:sz w:val="24"/>
          <w:szCs w:val="24"/>
        </w:rPr>
      </w:pPr>
      <w:r w:rsidRPr="00106B88">
        <w:rPr>
          <w:rFonts w:eastAsia="Times New Roman" w:cs="Arial"/>
          <w:i/>
          <w:color w:val="365F91" w:themeColor="accent1" w:themeShade="BF"/>
          <w:sz w:val="24"/>
          <w:szCs w:val="24"/>
        </w:rPr>
        <w:t>Organisational culture and dynamics</w:t>
      </w:r>
    </w:p>
    <w:p w:rsidR="00106B88" w:rsidRPr="00106B88" w:rsidRDefault="00106B88" w:rsidP="00106B88">
      <w:pPr>
        <w:ind w:left="66"/>
        <w:jc w:val="both"/>
      </w:pPr>
      <w:r>
        <w:t xml:space="preserve">Organisational culture and dynamics influence the choice and effective implementation of PPIs. For example, a pathological </w:t>
      </w:r>
      <w:r w:rsidR="00286806">
        <w:t>work health and safety</w:t>
      </w:r>
      <w:r>
        <w:t xml:space="preserve"> culture is likely to mean information from workers is not readily vailable. However, it would also mean that managerial culture should be an area of focus for PPIs.</w:t>
      </w:r>
      <w:r>
        <w:rPr>
          <w:rStyle w:val="FootnoteReference"/>
        </w:rPr>
        <w:footnoteReference w:id="66"/>
      </w:r>
      <w:r>
        <w:t xml:space="preserve"> Further, ineffective implementation can divert attention away from actual safety towards </w:t>
      </w:r>
      <w:r w:rsidR="00B91DB8">
        <w:t xml:space="preserve">the </w:t>
      </w:r>
      <w:r>
        <w:t>PPIs</w:t>
      </w:r>
      <w:r w:rsidR="00B91DB8">
        <w:t xml:space="preserve"> themselves</w:t>
      </w:r>
      <w:r>
        <w:t>.</w:t>
      </w:r>
      <w:r>
        <w:rPr>
          <w:rStyle w:val="FootnoteReference"/>
        </w:rPr>
        <w:footnoteReference w:id="67"/>
      </w:r>
      <w:r>
        <w:t xml:space="preserve"> A multidisciplinary, ‘bottom-up’ approach is recommended to ensure appropriate PPIs are chosen, valued and that there is ownership and responsibility of the PPI.</w:t>
      </w:r>
      <w:r>
        <w:rPr>
          <w:rStyle w:val="FootnoteReference"/>
        </w:rPr>
        <w:footnoteReference w:id="68"/>
      </w:r>
    </w:p>
    <w:p w:rsidR="00106B88" w:rsidRPr="00106B88" w:rsidRDefault="00106B88" w:rsidP="00106B88">
      <w:pPr>
        <w:spacing w:after="0"/>
        <w:ind w:left="66"/>
        <w:rPr>
          <w:rFonts w:eastAsia="Times New Roman" w:cs="Arial"/>
          <w:i/>
          <w:color w:val="365F91" w:themeColor="accent1" w:themeShade="BF"/>
          <w:sz w:val="24"/>
          <w:szCs w:val="24"/>
        </w:rPr>
      </w:pPr>
      <w:r w:rsidRPr="00106B88">
        <w:rPr>
          <w:rFonts w:eastAsia="Times New Roman" w:cs="Arial"/>
          <w:i/>
          <w:color w:val="365F91" w:themeColor="accent1" w:themeShade="BF"/>
          <w:sz w:val="24"/>
          <w:szCs w:val="24"/>
        </w:rPr>
        <w:t>Information</w:t>
      </w:r>
    </w:p>
    <w:p w:rsidR="00106B88" w:rsidRDefault="00106B88" w:rsidP="0094466C">
      <w:pPr>
        <w:spacing w:after="360"/>
        <w:ind w:left="68"/>
        <w:jc w:val="both"/>
      </w:pPr>
      <w:r>
        <w:t xml:space="preserve">Practical considerations include how to collect, interpret and report PPI information and the frequency </w:t>
      </w:r>
      <w:r w:rsidR="00B91DB8">
        <w:t>required</w:t>
      </w:r>
      <w:r>
        <w:t>.</w:t>
      </w:r>
      <w:r>
        <w:rPr>
          <w:rStyle w:val="FootnoteReference"/>
        </w:rPr>
        <w:footnoteReference w:id="69"/>
      </w:r>
      <w:r>
        <w:t xml:space="preserve"> Information gained from PPIs must ultimately inform and enable action by the organisation</w:t>
      </w:r>
      <w:r w:rsidR="00B91DB8">
        <w:t xml:space="preserve"> and be mindful that information requirements may vary across different users</w:t>
      </w:r>
      <w:r>
        <w:t>.</w:t>
      </w:r>
      <w:r>
        <w:rPr>
          <w:rStyle w:val="FootnoteReference"/>
        </w:rPr>
        <w:footnoteReference w:id="70"/>
      </w:r>
      <w:r w:rsidR="00B91DB8">
        <w:t xml:space="preserve"> </w:t>
      </w:r>
      <w:r>
        <w:t xml:space="preserve">Further, qualitative and subjective measures may lend themselves to uncertainty in interpretation. Different weights </w:t>
      </w:r>
      <w:r w:rsidR="00B91DB8">
        <w:t xml:space="preserve">may </w:t>
      </w:r>
      <w:r>
        <w:t>also be assigned to PPIs in accordance with relative importance, which requires consideration of how PPIs are combined and the effect of different inputs.</w:t>
      </w:r>
      <w:r>
        <w:rPr>
          <w:rStyle w:val="FootnoteReference"/>
        </w:rPr>
        <w:footnoteReference w:id="71"/>
      </w:r>
      <w:r>
        <w:t xml:space="preserve"> Other challenges include metrics that are: unable to detect small but significant changes; excessive or ill-defined, and </w:t>
      </w:r>
      <w:r w:rsidR="00B91DB8">
        <w:t xml:space="preserve">that </w:t>
      </w:r>
      <w:r>
        <w:t>ensur</w:t>
      </w:r>
      <w:r w:rsidR="00B91DB8">
        <w:t>e</w:t>
      </w:r>
      <w:r>
        <w:t xml:space="preserve"> the entire process is cost efficient.</w:t>
      </w:r>
      <w:r>
        <w:rPr>
          <w:rStyle w:val="FootnoteReference"/>
        </w:rPr>
        <w:footnoteReference w:id="72"/>
      </w:r>
    </w:p>
    <w:p w:rsidR="001A486B" w:rsidRPr="00472854" w:rsidRDefault="001A486B" w:rsidP="001A486B">
      <w:pPr>
        <w:pStyle w:val="Style1"/>
        <w:numPr>
          <w:ilvl w:val="0"/>
          <w:numId w:val="21"/>
        </w:numPr>
        <w:spacing w:after="120"/>
        <w:ind w:left="426" w:hanging="426"/>
        <w:rPr>
          <w:rFonts w:asciiTheme="minorHAnsi" w:hAnsiTheme="minorHAnsi"/>
          <w:color w:val="365F91" w:themeColor="accent1" w:themeShade="BF"/>
          <w:sz w:val="26"/>
          <w:szCs w:val="26"/>
        </w:rPr>
      </w:pPr>
      <w:bookmarkStart w:id="28" w:name="_Toc361085317"/>
      <w:r w:rsidRPr="00472854">
        <w:rPr>
          <w:rFonts w:asciiTheme="minorHAnsi" w:hAnsiTheme="minorHAnsi"/>
          <w:color w:val="365F91" w:themeColor="accent1" w:themeShade="BF"/>
          <w:sz w:val="26"/>
          <w:szCs w:val="26"/>
        </w:rPr>
        <w:t>Existing guidance</w:t>
      </w:r>
      <w:bookmarkEnd w:id="28"/>
    </w:p>
    <w:p w:rsidR="0094466C" w:rsidRDefault="001A486B" w:rsidP="00F60ED5">
      <w:pPr>
        <w:jc w:val="both"/>
        <w:rPr>
          <w:rFonts w:eastAsiaTheme="majorEastAsia" w:cstheme="majorBidi"/>
          <w:b/>
          <w:bCs/>
          <w:color w:val="365F91" w:themeColor="accent1" w:themeShade="BF"/>
          <w:sz w:val="30"/>
          <w:szCs w:val="30"/>
        </w:rPr>
      </w:pPr>
      <w:r>
        <w:t xml:space="preserve">Appendix 2 lists </w:t>
      </w:r>
      <w:r w:rsidRPr="009E7587">
        <w:t xml:space="preserve">sources of further information </w:t>
      </w:r>
      <w:r>
        <w:t xml:space="preserve">that </w:t>
      </w:r>
      <w:r w:rsidRPr="009E7587">
        <w:t xml:space="preserve">may provide assistance to organisations in identifying </w:t>
      </w:r>
      <w:r w:rsidR="004915CA">
        <w:t xml:space="preserve">and developing </w:t>
      </w:r>
      <w:r w:rsidRPr="009E7587">
        <w:t xml:space="preserve">potentially useful performance indicators. </w:t>
      </w:r>
    </w:p>
    <w:p w:rsidR="00EB0230" w:rsidRDefault="00EB0230">
      <w:pPr>
        <w:rPr>
          <w:rFonts w:eastAsiaTheme="majorEastAsia" w:cstheme="majorBidi"/>
          <w:b/>
          <w:bCs/>
          <w:color w:val="365F91" w:themeColor="accent1" w:themeShade="BF"/>
          <w:sz w:val="30"/>
          <w:szCs w:val="30"/>
        </w:rPr>
      </w:pPr>
      <w:r>
        <w:rPr>
          <w:sz w:val="30"/>
          <w:szCs w:val="30"/>
        </w:rPr>
        <w:br w:type="page"/>
      </w:r>
    </w:p>
    <w:p w:rsidR="00C36FF3" w:rsidRDefault="00C36FF3" w:rsidP="005D5B30">
      <w:pPr>
        <w:pStyle w:val="Heading1"/>
        <w:numPr>
          <w:ilvl w:val="0"/>
          <w:numId w:val="23"/>
        </w:numPr>
        <w:tabs>
          <w:tab w:val="center" w:pos="4607"/>
        </w:tabs>
        <w:spacing w:before="360" w:after="120"/>
        <w:ind w:left="426" w:hanging="426"/>
        <w:rPr>
          <w:rFonts w:asciiTheme="minorHAnsi" w:hAnsiTheme="minorHAnsi"/>
          <w:sz w:val="30"/>
          <w:szCs w:val="30"/>
        </w:rPr>
      </w:pPr>
      <w:bookmarkStart w:id="29" w:name="_Toc361085318"/>
      <w:r w:rsidRPr="00BD2222">
        <w:rPr>
          <w:rFonts w:asciiTheme="minorHAnsi" w:hAnsiTheme="minorHAnsi"/>
          <w:sz w:val="30"/>
          <w:szCs w:val="30"/>
        </w:rPr>
        <w:t xml:space="preserve">Reporting on </w:t>
      </w:r>
      <w:r w:rsidR="00410BAA">
        <w:rPr>
          <w:rFonts w:asciiTheme="minorHAnsi" w:hAnsiTheme="minorHAnsi"/>
          <w:sz w:val="30"/>
          <w:szCs w:val="30"/>
        </w:rPr>
        <w:t>work health and safety</w:t>
      </w:r>
      <w:bookmarkEnd w:id="29"/>
    </w:p>
    <w:p w:rsidR="00106B88" w:rsidRDefault="00106B88" w:rsidP="00106B88">
      <w:pPr>
        <w:pStyle w:val="ListParagraph"/>
        <w:spacing w:before="120" w:after="80"/>
        <w:ind w:left="0" w:firstLine="11"/>
        <w:jc w:val="both"/>
        <w:rPr>
          <w:rFonts w:eastAsia="Times New Roman" w:cs="Arial"/>
        </w:rPr>
      </w:pPr>
      <w:r>
        <w:rPr>
          <w:rFonts w:eastAsia="Times New Roman" w:cs="Arial"/>
        </w:rPr>
        <w:t xml:space="preserve">Validity, relevance and reliability are </w:t>
      </w:r>
      <w:r w:rsidR="00A93F3D">
        <w:rPr>
          <w:rFonts w:eastAsia="Times New Roman" w:cs="Arial"/>
        </w:rPr>
        <w:t>essential</w:t>
      </w:r>
      <w:r>
        <w:rPr>
          <w:rFonts w:eastAsia="Times New Roman" w:cs="Arial"/>
        </w:rPr>
        <w:t xml:space="preserve"> to developing sound </w:t>
      </w:r>
      <w:r w:rsidR="00C0682C">
        <w:rPr>
          <w:rFonts w:eastAsia="Times New Roman" w:cs="Arial"/>
        </w:rPr>
        <w:t>work health and safety</w:t>
      </w:r>
      <w:r w:rsidR="004915CA">
        <w:rPr>
          <w:rFonts w:eastAsia="Times New Roman" w:cs="Arial"/>
        </w:rPr>
        <w:t xml:space="preserve"> performance </w:t>
      </w:r>
      <w:r>
        <w:rPr>
          <w:rFonts w:eastAsia="Times New Roman" w:cs="Arial"/>
        </w:rPr>
        <w:t xml:space="preserve">measures </w:t>
      </w:r>
      <w:r w:rsidR="004915CA">
        <w:rPr>
          <w:rFonts w:eastAsia="Times New Roman" w:cs="Arial"/>
        </w:rPr>
        <w:t>(</w:t>
      </w:r>
      <w:r w:rsidR="00A93F3D">
        <w:rPr>
          <w:rFonts w:eastAsia="Times New Roman" w:cs="Arial"/>
        </w:rPr>
        <w:t>as</w:t>
      </w:r>
      <w:r>
        <w:rPr>
          <w:rFonts w:eastAsia="Times New Roman" w:cs="Arial"/>
        </w:rPr>
        <w:t xml:space="preserve"> discussed in section 2</w:t>
      </w:r>
      <w:r w:rsidR="004915CA">
        <w:rPr>
          <w:rFonts w:eastAsia="Times New Roman" w:cs="Arial"/>
        </w:rPr>
        <w:t>). Also important are additional</w:t>
      </w:r>
      <w:r>
        <w:rPr>
          <w:rFonts w:eastAsia="Times New Roman" w:cs="Arial"/>
        </w:rPr>
        <w:t xml:space="preserve"> qualitative characteristics </w:t>
      </w:r>
      <w:r w:rsidR="004915CA">
        <w:rPr>
          <w:rFonts w:eastAsia="Times New Roman" w:cs="Arial"/>
        </w:rPr>
        <w:t xml:space="preserve">relating to </w:t>
      </w:r>
      <w:r w:rsidR="00373CBD">
        <w:rPr>
          <w:rFonts w:eastAsia="Times New Roman" w:cs="Arial"/>
        </w:rPr>
        <w:t xml:space="preserve">reporting </w:t>
      </w:r>
      <w:r w:rsidR="004915CA">
        <w:rPr>
          <w:rFonts w:eastAsia="Times New Roman" w:cs="Arial"/>
        </w:rPr>
        <w:t xml:space="preserve">of </w:t>
      </w:r>
      <w:r w:rsidR="00C0682C">
        <w:rPr>
          <w:rFonts w:eastAsia="Times New Roman" w:cs="Arial"/>
        </w:rPr>
        <w:t>work health and safety</w:t>
      </w:r>
      <w:r>
        <w:rPr>
          <w:rFonts w:eastAsia="Times New Roman" w:cs="Arial"/>
        </w:rPr>
        <w:t xml:space="preserve"> measures</w:t>
      </w:r>
      <w:r w:rsidR="004915CA">
        <w:rPr>
          <w:rFonts w:eastAsia="Times New Roman" w:cs="Arial"/>
        </w:rPr>
        <w:t>. These</w:t>
      </w:r>
      <w:r>
        <w:rPr>
          <w:rFonts w:eastAsia="Times New Roman" w:cs="Arial"/>
        </w:rPr>
        <w:t xml:space="preserve"> include</w:t>
      </w:r>
      <w:r w:rsidR="004915CA">
        <w:rPr>
          <w:rFonts w:eastAsia="Times New Roman" w:cs="Arial"/>
        </w:rPr>
        <w:t xml:space="preserve"> measures being</w:t>
      </w:r>
      <w:r>
        <w:rPr>
          <w:rFonts w:eastAsia="Times New Roman" w:cs="Arial"/>
        </w:rPr>
        <w:t>:</w:t>
      </w:r>
    </w:p>
    <w:p w:rsidR="00106B88" w:rsidRPr="00F60ED5" w:rsidRDefault="00106B88" w:rsidP="00F60ED5">
      <w:pPr>
        <w:pStyle w:val="ListParagraph"/>
        <w:numPr>
          <w:ilvl w:val="0"/>
          <w:numId w:val="36"/>
        </w:numPr>
        <w:ind w:right="543"/>
      </w:pPr>
      <w:r w:rsidRPr="00F60ED5">
        <w:rPr>
          <w:b/>
          <w:i/>
        </w:rPr>
        <w:t>Material</w:t>
      </w:r>
      <w:r w:rsidR="00B91DB8" w:rsidRPr="00F60ED5">
        <w:t>:</w:t>
      </w:r>
      <w:r w:rsidR="00B91DB8">
        <w:t xml:space="preserve"> reported </w:t>
      </w:r>
      <w:r w:rsidRPr="00F60ED5">
        <w:t>information should be sufficiently relevant and important such that that errors or omissions are likely to influence the decisions</w:t>
      </w:r>
      <w:r w:rsidR="00B91DB8" w:rsidRPr="00B91DB8">
        <w:t xml:space="preserve"> </w:t>
      </w:r>
      <w:r w:rsidR="00B91DB8">
        <w:t xml:space="preserve">of </w:t>
      </w:r>
      <w:r w:rsidR="008408FC">
        <w:t>intended users</w:t>
      </w:r>
    </w:p>
    <w:p w:rsidR="00106B88" w:rsidRPr="00F60ED5" w:rsidRDefault="00106B88" w:rsidP="00236F73">
      <w:pPr>
        <w:pStyle w:val="ListParagraph"/>
        <w:numPr>
          <w:ilvl w:val="0"/>
          <w:numId w:val="36"/>
        </w:numPr>
        <w:ind w:left="709" w:right="117" w:hanging="283"/>
      </w:pPr>
      <w:r w:rsidRPr="00F60ED5">
        <w:rPr>
          <w:b/>
          <w:i/>
        </w:rPr>
        <w:t xml:space="preserve">Comparable: </w:t>
      </w:r>
      <w:r w:rsidRPr="00F60ED5">
        <w:t>information must be presented in a clear and consistent way so performance is comparable both over time and, where possible, across different</w:t>
      </w:r>
      <w:r w:rsidR="00A50AA3" w:rsidRPr="00F60ED5">
        <w:t xml:space="preserve"> </w:t>
      </w:r>
      <w:r w:rsidR="004915CA">
        <w:t>organisations</w:t>
      </w:r>
      <w:r w:rsidR="00B91DB8">
        <w:t>,</w:t>
      </w:r>
      <w:r w:rsidR="008408FC">
        <w:t xml:space="preserve"> and</w:t>
      </w:r>
    </w:p>
    <w:p w:rsidR="00106B88" w:rsidRPr="00F60ED5" w:rsidRDefault="00106B88" w:rsidP="00F60ED5">
      <w:pPr>
        <w:pStyle w:val="ListParagraph"/>
        <w:numPr>
          <w:ilvl w:val="0"/>
          <w:numId w:val="36"/>
        </w:numPr>
        <w:ind w:left="709" w:right="543" w:hanging="283"/>
      </w:pPr>
      <w:r w:rsidRPr="00F60ED5">
        <w:rPr>
          <w:b/>
          <w:i/>
        </w:rPr>
        <w:t>Understandable</w:t>
      </w:r>
      <w:r w:rsidRPr="00F60ED5">
        <w:t>: information must be capable of being understood by the intended user(s) of the report.</w:t>
      </w:r>
    </w:p>
    <w:p w:rsidR="00106B88" w:rsidRDefault="00106B88" w:rsidP="00106B88">
      <w:pPr>
        <w:pStyle w:val="ListParagraph"/>
        <w:spacing w:before="120" w:after="240"/>
        <w:ind w:left="0" w:firstLine="11"/>
        <w:jc w:val="both"/>
        <w:rPr>
          <w:rFonts w:eastAsia="Times New Roman" w:cs="Arial"/>
        </w:rPr>
      </w:pPr>
      <w:r>
        <w:rPr>
          <w:rFonts w:eastAsia="Times New Roman" w:cs="Arial"/>
        </w:rPr>
        <w:t xml:space="preserve">Internal </w:t>
      </w:r>
      <w:r w:rsidR="00410BAA">
        <w:rPr>
          <w:rFonts w:eastAsia="Times New Roman" w:cs="Arial"/>
        </w:rPr>
        <w:t>work health and safety</w:t>
      </w:r>
      <w:r w:rsidR="00B91DB8">
        <w:rPr>
          <w:rFonts w:eastAsia="Times New Roman" w:cs="Arial"/>
        </w:rPr>
        <w:t xml:space="preserve"> </w:t>
      </w:r>
      <w:r>
        <w:rPr>
          <w:rFonts w:eastAsia="Times New Roman" w:cs="Arial"/>
        </w:rPr>
        <w:t>report</w:t>
      </w:r>
      <w:r w:rsidR="00B91DB8">
        <w:rPr>
          <w:rFonts w:eastAsia="Times New Roman" w:cs="Arial"/>
        </w:rPr>
        <w:t xml:space="preserve">s may be prepared </w:t>
      </w:r>
      <w:r>
        <w:rPr>
          <w:rFonts w:eastAsia="Times New Roman" w:cs="Arial"/>
        </w:rPr>
        <w:t xml:space="preserve">for boards, senior managers, supervisors and employees. However, organisations </w:t>
      </w:r>
      <w:r w:rsidR="00A93F3D">
        <w:rPr>
          <w:rFonts w:eastAsia="Times New Roman" w:cs="Arial"/>
        </w:rPr>
        <w:t xml:space="preserve">may </w:t>
      </w:r>
      <w:r>
        <w:rPr>
          <w:rFonts w:eastAsia="Times New Roman" w:cs="Arial"/>
        </w:rPr>
        <w:t xml:space="preserve">also report </w:t>
      </w:r>
      <w:r w:rsidR="00410BAA">
        <w:rPr>
          <w:rFonts w:eastAsia="Times New Roman" w:cs="Arial"/>
        </w:rPr>
        <w:t>work health and safety</w:t>
      </w:r>
      <w:r>
        <w:rPr>
          <w:rFonts w:eastAsia="Times New Roman" w:cs="Arial"/>
        </w:rPr>
        <w:t xml:space="preserve"> information to external stakeholders. Again, </w:t>
      </w:r>
      <w:r w:rsidR="00EB0230">
        <w:rPr>
          <w:rFonts w:eastAsia="Times New Roman" w:cs="Arial"/>
        </w:rPr>
        <w:t xml:space="preserve">reported </w:t>
      </w:r>
      <w:r>
        <w:rPr>
          <w:rFonts w:eastAsia="Times New Roman" w:cs="Arial"/>
        </w:rPr>
        <w:t>information will differ according to the needs of the intended report user(s)</w:t>
      </w:r>
      <w:r w:rsidR="00A93F3D">
        <w:rPr>
          <w:rFonts w:eastAsia="Times New Roman" w:cs="Arial"/>
        </w:rPr>
        <w:t xml:space="preserve"> and, i</w:t>
      </w:r>
      <w:r>
        <w:rPr>
          <w:rFonts w:eastAsia="Times New Roman" w:cs="Arial"/>
        </w:rPr>
        <w:t xml:space="preserve">n the case of voluntary reporting, according to the information the organisation chooses to </w:t>
      </w:r>
      <w:r w:rsidR="00EB0230">
        <w:rPr>
          <w:rFonts w:eastAsia="Times New Roman" w:cs="Arial"/>
        </w:rPr>
        <w:t>publish</w:t>
      </w:r>
      <w:r>
        <w:rPr>
          <w:rFonts w:eastAsia="Times New Roman" w:cs="Arial"/>
        </w:rPr>
        <w:t>.</w:t>
      </w:r>
    </w:p>
    <w:p w:rsidR="007E366B" w:rsidRPr="00D2462A" w:rsidRDefault="007E366B" w:rsidP="007E366B">
      <w:pPr>
        <w:pStyle w:val="Style1"/>
        <w:numPr>
          <w:ilvl w:val="0"/>
          <w:numId w:val="14"/>
        </w:numPr>
        <w:spacing w:before="120" w:after="120" w:line="240" w:lineRule="auto"/>
        <w:ind w:left="567" w:hanging="567"/>
        <w:rPr>
          <w:rFonts w:asciiTheme="minorHAnsi" w:hAnsiTheme="minorHAnsi"/>
          <w:color w:val="365F91" w:themeColor="accent1" w:themeShade="BF"/>
          <w:sz w:val="28"/>
          <w:szCs w:val="28"/>
        </w:rPr>
      </w:pPr>
      <w:bookmarkStart w:id="30" w:name="_Toc361085319"/>
      <w:r w:rsidRPr="00D2462A">
        <w:rPr>
          <w:rFonts w:asciiTheme="minorHAnsi" w:hAnsiTheme="minorHAnsi"/>
          <w:color w:val="365F91" w:themeColor="accent1" w:themeShade="BF"/>
          <w:sz w:val="28"/>
          <w:szCs w:val="28"/>
        </w:rPr>
        <w:t xml:space="preserve">Mandatory </w:t>
      </w:r>
      <w:r w:rsidR="00410BAA">
        <w:rPr>
          <w:rFonts w:asciiTheme="minorHAnsi" w:hAnsiTheme="minorHAnsi"/>
          <w:color w:val="365F91" w:themeColor="accent1" w:themeShade="BF"/>
          <w:sz w:val="28"/>
          <w:szCs w:val="28"/>
        </w:rPr>
        <w:t xml:space="preserve">work health and safety </w:t>
      </w:r>
      <w:r w:rsidRPr="00D2462A">
        <w:rPr>
          <w:rFonts w:asciiTheme="minorHAnsi" w:hAnsiTheme="minorHAnsi"/>
          <w:color w:val="365F91" w:themeColor="accent1" w:themeShade="BF"/>
          <w:sz w:val="28"/>
          <w:szCs w:val="28"/>
        </w:rPr>
        <w:t>reporting</w:t>
      </w:r>
    </w:p>
    <w:bookmarkEnd w:id="30"/>
    <w:p w:rsidR="00DB4771" w:rsidRDefault="00DB4771" w:rsidP="009E7587">
      <w:pPr>
        <w:jc w:val="both"/>
      </w:pPr>
      <w:r>
        <w:t xml:space="preserve">Employers are required by law to report certain safety incidents to the relevant regulatory authority </w:t>
      </w:r>
      <w:r w:rsidR="004915CA">
        <w:t xml:space="preserve">as and </w:t>
      </w:r>
      <w:r>
        <w:t xml:space="preserve">when they arise. These are referred to as “notifiable incidents” under the </w:t>
      </w:r>
      <w:r>
        <w:rPr>
          <w:i/>
        </w:rPr>
        <w:t xml:space="preserve">Work Health Safety Act </w:t>
      </w:r>
      <w:r w:rsidR="009E7587">
        <w:rPr>
          <w:i/>
        </w:rPr>
        <w:t>(</w:t>
      </w:r>
      <w:r>
        <w:rPr>
          <w:i/>
        </w:rPr>
        <w:t>2011</w:t>
      </w:r>
      <w:r w:rsidR="009E7587">
        <w:rPr>
          <w:i/>
        </w:rPr>
        <w:t>)</w:t>
      </w:r>
      <w:r>
        <w:t xml:space="preserve"> </w:t>
      </w:r>
      <w:r w:rsidR="00B91DB8">
        <w:t>as</w:t>
      </w:r>
      <w:r>
        <w:t xml:space="preserve"> enacted in all federal, state and territory jurisdictions </w:t>
      </w:r>
      <w:r w:rsidR="004915CA">
        <w:t xml:space="preserve">- </w:t>
      </w:r>
      <w:r>
        <w:t xml:space="preserve">except Victoria and Western Australia, which have similar state law provisions. </w:t>
      </w:r>
      <w:r w:rsidR="00804C26">
        <w:t>R</w:t>
      </w:r>
      <w:r>
        <w:t xml:space="preserve">eportable </w:t>
      </w:r>
      <w:r w:rsidR="00836683">
        <w:t>(</w:t>
      </w:r>
      <w:r w:rsidR="004B6FE9">
        <w:t xml:space="preserve">or </w:t>
      </w:r>
      <w:r w:rsidR="00836683">
        <w:t xml:space="preserve">notifiable) </w:t>
      </w:r>
      <w:r>
        <w:t>incidents in the various jurisdictions</w:t>
      </w:r>
      <w:r w:rsidR="00804C26">
        <w:t xml:space="preserve"> are summarised in Appendix </w:t>
      </w:r>
      <w:r w:rsidR="008264EC">
        <w:t>3</w:t>
      </w:r>
      <w:r>
        <w:t>.</w:t>
      </w:r>
      <w:r w:rsidR="00AE2C98">
        <w:t xml:space="preserve"> Regulators do not make this information publicly available although may release highly summarised jurisdictional statistics </w:t>
      </w:r>
      <w:r w:rsidR="004915CA">
        <w:t>from time to time</w:t>
      </w:r>
      <w:r w:rsidR="00AE2C98">
        <w:t>.</w:t>
      </w:r>
    </w:p>
    <w:p w:rsidR="0011572B" w:rsidRDefault="0011572B" w:rsidP="009E7587">
      <w:pPr>
        <w:jc w:val="both"/>
      </w:pPr>
      <w:r>
        <w:rPr>
          <w:noProof/>
        </w:rPr>
        <w:drawing>
          <wp:anchor distT="0" distB="0" distL="114300" distR="114300" simplePos="0" relativeHeight="251632639" behindDoc="0" locked="0" layoutInCell="1" allowOverlap="1" wp14:anchorId="72C8D002" wp14:editId="1CE0BF8F">
            <wp:simplePos x="0" y="0"/>
            <wp:positionH relativeFrom="column">
              <wp:posOffset>-125095</wp:posOffset>
            </wp:positionH>
            <wp:positionV relativeFrom="paragraph">
              <wp:posOffset>1143000</wp:posOffset>
            </wp:positionV>
            <wp:extent cx="3627755" cy="2406650"/>
            <wp:effectExtent l="0" t="0" r="10795" b="12700"/>
            <wp:wrapSquare wrapText="bothSides"/>
            <wp:docPr id="308" name="Chart 308" descr="This graph shows the economic cost of injury and illness in Australia for years 2000/1, 2005/6 and 2008/9, broken down by costs to employers, sociaty anbd workers. &#10;&#10;The total economic cost of of injury and illness has increased from approx $35 billion in 2000/1, to $58 billion in 2005/6 and fianlly to just over $60 billion in 2008/9.&#10;&#10;The econominc cost sfor workers have rosen from approx $14 billion in 200/1, to $29 billion in 2005/6 and finally to $44 billion in 2008/9.&#10;&#10;The economic cost to society has fallen over the time period from approx $17 billion in 2000/1 to approx $15 billion in 2008/9.&#10;&#10;The propoortion of the econmic cost borne by employers as a percentage of all economic costs ahve risen ofver the period." title="Figure 12: Economic cost of injury and illness in Australia"/>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14:sizeRelH relativeFrom="page">
              <wp14:pctWidth>0</wp14:pctWidth>
            </wp14:sizeRelH>
            <wp14:sizeRelV relativeFrom="page">
              <wp14:pctHeight>0</wp14:pctHeight>
            </wp14:sizeRelV>
          </wp:anchor>
        </w:drawing>
      </w:r>
      <w:r w:rsidR="00B91DB8">
        <w:t>However, p</w:t>
      </w:r>
      <w:r w:rsidR="004915CA">
        <w:t xml:space="preserve">ublic accountability </w:t>
      </w:r>
      <w:r w:rsidR="0024264D">
        <w:t xml:space="preserve">for the effectiveness of </w:t>
      </w:r>
      <w:r w:rsidR="00410BAA">
        <w:t>work health and safety</w:t>
      </w:r>
      <w:r w:rsidR="0024264D">
        <w:t xml:space="preserve"> systems </w:t>
      </w:r>
      <w:r w:rsidR="004915CA">
        <w:t>is important because W</w:t>
      </w:r>
      <w:r>
        <w:t>RII</w:t>
      </w:r>
      <w:r w:rsidR="004915CA">
        <w:t>s</w:t>
      </w:r>
      <w:r w:rsidR="00177060">
        <w:t xml:space="preserve"> ha</w:t>
      </w:r>
      <w:r w:rsidR="004915CA">
        <w:t>ve</w:t>
      </w:r>
      <w:r w:rsidR="00177060">
        <w:t xml:space="preserve"> a disproportionate impact on external stakeholders. In addition to the physical, emotional and social consequences experienced by injured workers, their families and </w:t>
      </w:r>
      <w:r w:rsidR="0024264D">
        <w:t>community</w:t>
      </w:r>
      <w:r w:rsidR="00177060">
        <w:t xml:space="preserve"> networks, injured workers also bear a substantial proportion of the economic costs </w:t>
      </w:r>
      <w:r w:rsidR="004915CA">
        <w:t xml:space="preserve">of </w:t>
      </w:r>
      <w:r w:rsidR="007233A5">
        <w:t xml:space="preserve">an organisation’s failure to ensure </w:t>
      </w:r>
      <w:r w:rsidR="006F25C3">
        <w:t>work health and safety</w:t>
      </w:r>
      <w:r w:rsidR="00177060">
        <w:rPr>
          <w:rStyle w:val="FootnoteReference"/>
        </w:rPr>
        <w:footnoteReference w:id="73"/>
      </w:r>
      <w:r w:rsidR="00177060">
        <w:t>. Figure</w:t>
      </w:r>
      <w:r w:rsidR="007233A5">
        <w:t xml:space="preserve"> 12</w:t>
      </w:r>
      <w:r w:rsidR="00177060">
        <w:t xml:space="preserve"> illustrates the distribution of the economic cost of </w:t>
      </w:r>
      <w:r w:rsidR="007233A5">
        <w:t xml:space="preserve">Australian </w:t>
      </w:r>
      <w:r w:rsidR="004915CA">
        <w:t>WRII</w:t>
      </w:r>
      <w:r w:rsidR="00177060">
        <w:t xml:space="preserve"> </w:t>
      </w:r>
      <w:r w:rsidR="007233A5">
        <w:t>across key stakeholder groups</w:t>
      </w:r>
      <w:r w:rsidR="0024264D">
        <w:t xml:space="preserve"> of</w:t>
      </w:r>
      <w:r w:rsidR="007233A5">
        <w:t xml:space="preserve"> employer, injured worker and</w:t>
      </w:r>
      <w:r w:rsidR="00177060">
        <w:t xml:space="preserve"> society</w:t>
      </w:r>
      <w:r w:rsidR="007233A5">
        <w:t>; the latter comprising largely of</w:t>
      </w:r>
      <w:r w:rsidR="00177060">
        <w:t xml:space="preserve"> costs imposed on other business (through the cross-subsidising nature of workers’ compensation systems) and </w:t>
      </w:r>
      <w:r w:rsidR="00171C70">
        <w:t xml:space="preserve">on </w:t>
      </w:r>
      <w:r w:rsidR="00177060">
        <w:t>taxpayers (through public health and social security</w:t>
      </w:r>
      <w:r w:rsidR="007233A5">
        <w:t xml:space="preserve"> systems</w:t>
      </w:r>
      <w:r w:rsidR="00177060">
        <w:t xml:space="preserve">). </w:t>
      </w:r>
    </w:p>
    <w:p w:rsidR="0011572B" w:rsidRDefault="0024264D" w:rsidP="00236F73">
      <w:pPr>
        <w:spacing w:after="0"/>
        <w:jc w:val="both"/>
      </w:pPr>
      <w:r>
        <w:t xml:space="preserve">Prior research and </w:t>
      </w:r>
      <w:r w:rsidR="00410BAA">
        <w:t>work health and safety</w:t>
      </w:r>
      <w:r w:rsidR="00E45D4E">
        <w:t xml:space="preserve"> legislation </w:t>
      </w:r>
      <w:r>
        <w:t>both reinforce management’s ability to</w:t>
      </w:r>
      <w:r w:rsidR="00E45D4E">
        <w:t xml:space="preserve"> influence </w:t>
      </w:r>
      <w:r w:rsidR="00410BAA">
        <w:t>work health and safety</w:t>
      </w:r>
      <w:r w:rsidR="00E45D4E">
        <w:t xml:space="preserve"> outcomes. This suggests organisations should be accountable to stakeholders for the effectiveness of manage</w:t>
      </w:r>
      <w:r>
        <w:t>rial</w:t>
      </w:r>
      <w:r w:rsidR="00E45D4E">
        <w:t xml:space="preserve"> decisions</w:t>
      </w:r>
      <w:r>
        <w:t xml:space="preserve"> that impact </w:t>
      </w:r>
      <w:r w:rsidR="00410BAA">
        <w:t>work health and safety</w:t>
      </w:r>
      <w:r>
        <w:t xml:space="preserve"> effectiveness</w:t>
      </w:r>
      <w:r w:rsidR="00E45D4E">
        <w:t xml:space="preserve">. </w:t>
      </w:r>
    </w:p>
    <w:p w:rsidR="008C071B" w:rsidRDefault="003F05F9" w:rsidP="009E7587">
      <w:pPr>
        <w:jc w:val="both"/>
      </w:pPr>
      <w:r>
        <w:rPr>
          <w:noProof/>
        </w:rPr>
        <mc:AlternateContent>
          <mc:Choice Requires="wps">
            <w:drawing>
              <wp:anchor distT="0" distB="0" distL="114300" distR="114300" simplePos="0" relativeHeight="251631614" behindDoc="0" locked="0" layoutInCell="1" allowOverlap="1" wp14:anchorId="743DC2FE" wp14:editId="006E9160">
                <wp:simplePos x="0" y="0"/>
                <wp:positionH relativeFrom="column">
                  <wp:posOffset>-300990</wp:posOffset>
                </wp:positionH>
                <wp:positionV relativeFrom="paragraph">
                  <wp:posOffset>15240</wp:posOffset>
                </wp:positionV>
                <wp:extent cx="4117975" cy="650875"/>
                <wp:effectExtent l="0" t="0" r="0" b="0"/>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975" cy="650875"/>
                        </a:xfrm>
                        <a:prstGeom prst="rect">
                          <a:avLst/>
                        </a:prstGeom>
                        <a:noFill/>
                        <a:ln w="9525">
                          <a:noFill/>
                          <a:miter lim="800000"/>
                          <a:headEnd/>
                          <a:tailEnd/>
                        </a:ln>
                      </wps:spPr>
                      <wps:txbx>
                        <w:txbxContent>
                          <w:p w:rsidR="00123706" w:rsidRDefault="00123706" w:rsidP="00236F73">
                            <w:pPr>
                              <w:pStyle w:val="Caption"/>
                              <w:spacing w:after="0"/>
                              <w:jc w:val="center"/>
                            </w:pPr>
                            <w:r>
                              <w:t xml:space="preserve">Figure </w:t>
                            </w:r>
                            <w:fldSimple w:instr=" SEQ Figure \* ARABIC ">
                              <w:r>
                                <w:rPr>
                                  <w:noProof/>
                                </w:rPr>
                                <w:t>12</w:t>
                              </w:r>
                            </w:fldSimple>
                            <w:r>
                              <w:t>: Economic cost of injury and illness in Australia</w:t>
                            </w:r>
                          </w:p>
                          <w:p w:rsidR="00123706" w:rsidRPr="008C071B" w:rsidRDefault="00123706" w:rsidP="00236F73">
                            <w:pPr>
                              <w:ind w:left="-142" w:right="-46"/>
                              <w:jc w:val="center"/>
                              <w:rPr>
                                <w:sz w:val="18"/>
                                <w:szCs w:val="18"/>
                              </w:rPr>
                            </w:pPr>
                            <w:r w:rsidRPr="008C071B">
                              <w:rPr>
                                <w:sz w:val="18"/>
                                <w:szCs w:val="18"/>
                              </w:rPr>
                              <w:t>(Sources: Safe Work Australia, 2012b; National Occupational Health &amp; Safety Commission, 2004; Australian Safety &amp; Compensation Council, 2005)</w:t>
                            </w:r>
                          </w:p>
                          <w:p w:rsidR="00123706" w:rsidRDefault="001237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3.7pt;margin-top:1.2pt;width:324.25pt;height:51.25pt;z-index:251631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" filled="f" stroked="f">
                <v:textbox>
                  <w:txbxContent>
                    <w:p w:rsidR="00123706" w:rsidRDefault="00123706" w:rsidP="00236F73">
                      <w:pPr>
                        <w:pStyle w:val="Caption"/>
                        <w:spacing w:after="0"/>
                        <w:jc w:val="center"/>
                      </w:pPr>
                      <w:r>
                        <w:t xml:space="preserve">Figure </w:t>
                      </w:r>
                      <w:r w:rsidR="00A66DAB">
                        <w:fldChar w:fldCharType="begin"/>
                      </w:r>
                      <w:r w:rsidR="00A66DAB">
                        <w:instrText xml:space="preserve"> SEQ Figure \* ARABIC </w:instrText>
                      </w:r>
                      <w:r w:rsidR="00A66DAB">
                        <w:fldChar w:fldCharType="separate"/>
                      </w:r>
                      <w:r>
                        <w:rPr>
                          <w:noProof/>
                        </w:rPr>
                        <w:t>12</w:t>
                      </w:r>
                      <w:r w:rsidR="00A66DAB">
                        <w:rPr>
                          <w:noProof/>
                        </w:rPr>
                        <w:fldChar w:fldCharType="end"/>
                      </w:r>
                      <w:r>
                        <w:t>: Economic cost of injury and illness in Australia</w:t>
                      </w:r>
                    </w:p>
                    <w:p w:rsidR="00123706" w:rsidRPr="008C071B" w:rsidRDefault="00123706" w:rsidP="00236F73">
                      <w:pPr>
                        <w:ind w:left="-142" w:right="-46"/>
                        <w:jc w:val="center"/>
                        <w:rPr>
                          <w:sz w:val="18"/>
                          <w:szCs w:val="18"/>
                        </w:rPr>
                      </w:pPr>
                      <w:r w:rsidRPr="008C071B">
                        <w:rPr>
                          <w:sz w:val="18"/>
                          <w:szCs w:val="18"/>
                        </w:rPr>
                        <w:t>(Sources: Safe Work Australia, 2012b; National Occupational Health &amp; Safety Commission, 2004; Australian Safety &amp; Compensation Council, 2005)</w:t>
                      </w:r>
                    </w:p>
                    <w:p w:rsidR="00123706" w:rsidRDefault="00123706"/>
                  </w:txbxContent>
                </v:textbox>
                <w10:wrap type="square"/>
              </v:shape>
            </w:pict>
          </mc:Fallback>
        </mc:AlternateContent>
      </w:r>
      <w:r w:rsidR="008C071B">
        <w:t xml:space="preserve">Furthermore, analysis of workers’ compensation data </w:t>
      </w:r>
      <w:r w:rsidR="0011572B">
        <w:t>(</w:t>
      </w:r>
      <w:r w:rsidR="00E45D4E">
        <w:t xml:space="preserve">see </w:t>
      </w:r>
      <w:r w:rsidR="00171C70">
        <w:t>Figure 13</w:t>
      </w:r>
      <w:r w:rsidR="0011572B">
        <w:t>)</w:t>
      </w:r>
      <w:r w:rsidR="00171C70">
        <w:t xml:space="preserve"> </w:t>
      </w:r>
      <w:r w:rsidR="0024264D">
        <w:t>reveals a</w:t>
      </w:r>
      <w:r w:rsidR="00171C70">
        <w:t xml:space="preserve"> relationship between the severity of injury and the economic</w:t>
      </w:r>
      <w:r w:rsidR="008C071B">
        <w:t xml:space="preserve"> </w:t>
      </w:r>
      <w:r w:rsidR="00171C70">
        <w:t xml:space="preserve">burden imposed on external stakeholders. This </w:t>
      </w:r>
      <w:r w:rsidR="00F24CBE">
        <w:t xml:space="preserve">finding </w:t>
      </w:r>
      <w:r w:rsidR="00171C70">
        <w:t>is</w:t>
      </w:r>
      <w:r w:rsidR="008C071B">
        <w:t xml:space="preserve"> </w:t>
      </w:r>
      <w:r w:rsidR="00171C70">
        <w:t>consistent with the organisational impact presented in section 3.1.2 a</w:t>
      </w:r>
      <w:r w:rsidR="00E45D4E">
        <w:t xml:space="preserve">bove and suggests that </w:t>
      </w:r>
      <w:r w:rsidR="0024264D">
        <w:t xml:space="preserve">reporting </w:t>
      </w:r>
      <w:r w:rsidR="00E45D4E">
        <w:t xml:space="preserve">information about </w:t>
      </w:r>
      <w:r w:rsidR="00F437A9">
        <w:t xml:space="preserve">the severity of </w:t>
      </w:r>
      <w:r w:rsidR="00E45D4E">
        <w:t xml:space="preserve">WRII </w:t>
      </w:r>
      <w:r w:rsidR="00F437A9">
        <w:t xml:space="preserve">outcomes </w:t>
      </w:r>
      <w:r w:rsidR="00E45D4E">
        <w:t xml:space="preserve">is likely to be </w:t>
      </w:r>
      <w:r w:rsidR="0024264D">
        <w:t>of great interest</w:t>
      </w:r>
      <w:r w:rsidR="00E45D4E">
        <w:t xml:space="preserve"> to external stakeholder</w:t>
      </w:r>
      <w:r w:rsidR="00F437A9">
        <w:t>s</w:t>
      </w:r>
      <w:r w:rsidR="00E45D4E">
        <w:t xml:space="preserve"> </w:t>
      </w:r>
      <w:r w:rsidR="0024264D">
        <w:t>such as</w:t>
      </w:r>
      <w:r w:rsidR="00E45D4E">
        <w:t xml:space="preserve"> investors, employees, </w:t>
      </w:r>
      <w:r w:rsidR="0024264D">
        <w:t xml:space="preserve">competitors, </w:t>
      </w:r>
      <w:r w:rsidR="00F437A9">
        <w:t xml:space="preserve">industry and employer organisations, </w:t>
      </w:r>
      <w:r w:rsidR="0024264D">
        <w:t xml:space="preserve">trade </w:t>
      </w:r>
      <w:r w:rsidR="00E45D4E">
        <w:t>unions</w:t>
      </w:r>
      <w:r w:rsidR="0024264D">
        <w:t xml:space="preserve"> </w:t>
      </w:r>
      <w:r w:rsidR="00E45D4E">
        <w:t>and policy-makers.</w:t>
      </w:r>
      <w:r w:rsidR="00F437A9" w:rsidRPr="00F437A9">
        <w:rPr>
          <w:noProof/>
        </w:rPr>
        <w:t xml:space="preserve"> </w:t>
      </w:r>
    </w:p>
    <w:p w:rsidR="007E366B" w:rsidRPr="003F05F9" w:rsidRDefault="008C071B" w:rsidP="003F05F9">
      <w:r w:rsidRPr="003F05F9">
        <w:rPr>
          <w:noProof/>
        </w:rPr>
        <mc:AlternateContent>
          <mc:Choice Requires="wps">
            <w:drawing>
              <wp:anchor distT="0" distB="0" distL="114300" distR="114300" simplePos="0" relativeHeight="251686912" behindDoc="0" locked="0" layoutInCell="1" allowOverlap="1" wp14:anchorId="011E50B2" wp14:editId="030A73AA">
                <wp:simplePos x="0" y="0"/>
                <wp:positionH relativeFrom="column">
                  <wp:posOffset>-1772920</wp:posOffset>
                </wp:positionH>
                <wp:positionV relativeFrom="paragraph">
                  <wp:posOffset>28575</wp:posOffset>
                </wp:positionV>
                <wp:extent cx="474980" cy="277495"/>
                <wp:effectExtent l="0" t="0" r="0" b="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77495"/>
                        </a:xfrm>
                        <a:prstGeom prst="rect">
                          <a:avLst/>
                        </a:prstGeom>
                        <a:noFill/>
                        <a:ln w="9525">
                          <a:noFill/>
                          <a:miter lim="800000"/>
                          <a:headEnd/>
                          <a:tailEnd/>
                        </a:ln>
                      </wps:spPr>
                      <wps:txbx>
                        <w:txbxContent>
                          <w:p w:rsidR="00123706" w:rsidRPr="00236F73" w:rsidRDefault="00123706">
                            <w:pPr>
                              <w:rPr>
                                <w:b/>
                              </w:rPr>
                            </w:pPr>
                            <w:r w:rsidRPr="00236F73">
                              <w:rPr>
                                <w:b/>
                              </w:rPr>
                              <w:t xml:space="preserve">Year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39.6pt;margin-top:2.25pt;width:37.4pt;height:2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" filled="f" stroked="f">
                <v:textbox>
                  <w:txbxContent>
                    <w:p w:rsidR="00123706" w:rsidRPr="00236F73" w:rsidRDefault="00123706">
                      <w:pPr>
                        <w:rPr>
                          <w:b/>
                        </w:rPr>
                      </w:pPr>
                      <w:r w:rsidRPr="00236F73">
                        <w:rPr>
                          <w:b/>
                        </w:rPr>
                        <w:t xml:space="preserve">Year </w:t>
                      </w:r>
                    </w:p>
                  </w:txbxContent>
                </v:textbox>
              </v:shape>
            </w:pict>
          </mc:Fallback>
        </mc:AlternateContent>
      </w:r>
      <w:r w:rsidR="007E366B" w:rsidRPr="003F05F9">
        <w:t>At present, however</w:t>
      </w:r>
      <w:r w:rsidR="00324EDB" w:rsidRPr="003F05F9">
        <w:t xml:space="preserve">, </w:t>
      </w:r>
      <w:r w:rsidR="007E366B" w:rsidRPr="003F05F9">
        <w:t xml:space="preserve">there are limited </w:t>
      </w:r>
      <w:r w:rsidR="00324EDB" w:rsidRPr="003F05F9">
        <w:t xml:space="preserve">requirements for </w:t>
      </w:r>
      <w:r w:rsidR="00F437A9" w:rsidRPr="003F05F9">
        <w:t>the</w:t>
      </w:r>
      <w:r w:rsidR="00324EDB" w:rsidRPr="003F05F9">
        <w:t xml:space="preserve"> </w:t>
      </w:r>
      <w:r w:rsidR="00F437A9" w:rsidRPr="003F05F9">
        <w:t xml:space="preserve">routine </w:t>
      </w:r>
      <w:r w:rsidR="0024264D" w:rsidRPr="003F05F9">
        <w:t xml:space="preserve">mandatory </w:t>
      </w:r>
      <w:r w:rsidR="00F437A9" w:rsidRPr="003F05F9">
        <w:t>disclosure of</w:t>
      </w:r>
      <w:r w:rsidR="00324EDB" w:rsidRPr="003F05F9">
        <w:t xml:space="preserve"> </w:t>
      </w:r>
      <w:r w:rsidR="007E366B" w:rsidRPr="003F05F9">
        <w:t>work health and safety</w:t>
      </w:r>
      <w:r w:rsidR="00F437A9" w:rsidRPr="003F05F9">
        <w:t xml:space="preserve"> </w:t>
      </w:r>
      <w:r w:rsidR="00324EDB" w:rsidRPr="003F05F9">
        <w:t>performance information</w:t>
      </w:r>
      <w:r w:rsidR="007E366B" w:rsidRPr="003F05F9">
        <w:t xml:space="preserve"> to stakeholders</w:t>
      </w:r>
      <w:r w:rsidR="00F437A9" w:rsidRPr="003F05F9">
        <w:t xml:space="preserve">. </w:t>
      </w:r>
      <w:r w:rsidR="00324EDB" w:rsidRPr="003F05F9">
        <w:t xml:space="preserve"> </w:t>
      </w:r>
      <w:r w:rsidR="007E366B" w:rsidRPr="003F05F9">
        <w:t>These are summarised below.</w:t>
      </w:r>
    </w:p>
    <w:p w:rsidR="007E366B" w:rsidRDefault="007E366B" w:rsidP="00236F73">
      <w:pPr>
        <w:pStyle w:val="Caption"/>
        <w:spacing w:after="0"/>
        <w:jc w:val="both"/>
      </w:pPr>
    </w:p>
    <w:p w:rsidR="007E366B" w:rsidRPr="007E366B" w:rsidRDefault="003F05F9" w:rsidP="00236F73">
      <w:pPr>
        <w:pStyle w:val="Style3"/>
        <w:numPr>
          <w:ilvl w:val="2"/>
          <w:numId w:val="23"/>
        </w:numPr>
        <w:spacing w:after="120"/>
        <w:ind w:left="709"/>
        <w:rPr>
          <w:rFonts w:asciiTheme="minorHAnsi" w:hAnsiTheme="minorHAnsi"/>
          <w:sz w:val="24"/>
          <w:szCs w:val="24"/>
          <w:u w:val="single"/>
        </w:rPr>
      </w:pPr>
      <w:r w:rsidRPr="003F05F9">
        <w:rPr>
          <w:noProof/>
          <w:sz w:val="20"/>
          <w:szCs w:val="20"/>
        </w:rPr>
        <w:drawing>
          <wp:anchor distT="0" distB="0" distL="114300" distR="114300" simplePos="0" relativeHeight="251691008" behindDoc="0" locked="0" layoutInCell="1" allowOverlap="1" wp14:anchorId="360F12C8" wp14:editId="7B505885">
            <wp:simplePos x="0" y="0"/>
            <wp:positionH relativeFrom="column">
              <wp:posOffset>2673985</wp:posOffset>
            </wp:positionH>
            <wp:positionV relativeFrom="paragraph">
              <wp:posOffset>29210</wp:posOffset>
            </wp:positionV>
            <wp:extent cx="3186430" cy="2314575"/>
            <wp:effectExtent l="0" t="0" r="0" b="9525"/>
            <wp:wrapSquare wrapText="bothSides"/>
            <wp:docPr id="322" name="Picture 322" descr="This graph has an analysis of workers’ compensation data reveals a relationship between the severity of injury and the economic burden imposed on external stakeholders. This finding is consistent with the organisational impact presented in section 3.1.2 above and suggests that reporting information about the severity of WRII outcomes is likely to be of great interest to external stakeholders such as investors, employees, competitors, industry and employer organisations, trade unions and policy-makers. " title="Figure 13: Economic burden of WHS failure, by seve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186430" cy="2314575"/>
                    </a:xfrm>
                    <a:prstGeom prst="rect">
                      <a:avLst/>
                    </a:prstGeom>
                    <a:noFill/>
                  </pic:spPr>
                </pic:pic>
              </a:graphicData>
            </a:graphic>
            <wp14:sizeRelH relativeFrom="page">
              <wp14:pctWidth>0</wp14:pctWidth>
            </wp14:sizeRelH>
            <wp14:sizeRelV relativeFrom="page">
              <wp14:pctHeight>0</wp14:pctHeight>
            </wp14:sizeRelV>
          </wp:anchor>
        </w:drawing>
      </w:r>
      <w:r w:rsidR="007E366B">
        <w:rPr>
          <w:rFonts w:asciiTheme="minorHAnsi" w:hAnsiTheme="minorHAnsi"/>
          <w:sz w:val="24"/>
          <w:szCs w:val="24"/>
          <w:u w:val="single"/>
        </w:rPr>
        <w:t>Health and safety legislation</w:t>
      </w:r>
    </w:p>
    <w:p w:rsidR="00324EDB" w:rsidRDefault="00C425D5" w:rsidP="003F05F9">
      <w:pPr>
        <w:pStyle w:val="Caption"/>
        <w:jc w:val="both"/>
      </w:pPr>
      <w:r w:rsidRPr="003F05F9">
        <w:rPr>
          <w:b w:val="0"/>
          <w:bCs w:val="0"/>
          <w:color w:val="auto"/>
          <w:sz w:val="20"/>
          <w:szCs w:val="20"/>
        </w:rPr>
        <w:t xml:space="preserve">The </w:t>
      </w:r>
      <w:r w:rsidR="007E366B" w:rsidRPr="003F05F9">
        <w:rPr>
          <w:b w:val="0"/>
          <w:bCs w:val="0"/>
          <w:color w:val="auto"/>
          <w:sz w:val="20"/>
          <w:szCs w:val="20"/>
        </w:rPr>
        <w:t xml:space="preserve">WHS </w:t>
      </w:r>
      <w:r w:rsidRPr="003F05F9">
        <w:rPr>
          <w:b w:val="0"/>
          <w:bCs w:val="0"/>
          <w:color w:val="auto"/>
          <w:sz w:val="20"/>
          <w:szCs w:val="20"/>
        </w:rPr>
        <w:t xml:space="preserve">Act </w:t>
      </w:r>
      <w:r w:rsidR="007037C7" w:rsidRPr="003F05F9">
        <w:rPr>
          <w:b w:val="0"/>
          <w:bCs w:val="0"/>
          <w:color w:val="auto"/>
          <w:sz w:val="20"/>
          <w:szCs w:val="20"/>
        </w:rPr>
        <w:t>contain</w:t>
      </w:r>
      <w:r w:rsidRPr="003F05F9">
        <w:rPr>
          <w:b w:val="0"/>
          <w:bCs w:val="0"/>
          <w:color w:val="auto"/>
          <w:sz w:val="20"/>
          <w:szCs w:val="20"/>
        </w:rPr>
        <w:t>s</w:t>
      </w:r>
      <w:r w:rsidR="007037C7" w:rsidRPr="003F05F9">
        <w:rPr>
          <w:b w:val="0"/>
          <w:bCs w:val="0"/>
          <w:color w:val="auto"/>
          <w:sz w:val="20"/>
          <w:szCs w:val="20"/>
        </w:rPr>
        <w:t xml:space="preserve"> provisions for courts to impose publicity orders relating to individual offences, </w:t>
      </w:r>
      <w:r w:rsidR="00EC6812" w:rsidRPr="003F05F9">
        <w:rPr>
          <w:b w:val="0"/>
          <w:bCs w:val="0"/>
          <w:color w:val="auto"/>
          <w:sz w:val="20"/>
          <w:szCs w:val="20"/>
        </w:rPr>
        <w:t xml:space="preserve">however </w:t>
      </w:r>
      <w:r w:rsidR="007037C7" w:rsidRPr="003F05F9">
        <w:rPr>
          <w:b w:val="0"/>
          <w:bCs w:val="0"/>
          <w:color w:val="auto"/>
          <w:sz w:val="20"/>
          <w:szCs w:val="20"/>
        </w:rPr>
        <w:t xml:space="preserve">only </w:t>
      </w:r>
      <w:r w:rsidR="009B0B3F" w:rsidRPr="003F05F9">
        <w:rPr>
          <w:b w:val="0"/>
          <w:bCs w:val="0"/>
          <w:color w:val="auto"/>
          <w:sz w:val="20"/>
          <w:szCs w:val="20"/>
        </w:rPr>
        <w:t>work health and safety</w:t>
      </w:r>
      <w:r w:rsidR="007037C7" w:rsidRPr="003F05F9">
        <w:rPr>
          <w:b w:val="0"/>
          <w:bCs w:val="0"/>
          <w:color w:val="auto"/>
          <w:sz w:val="20"/>
          <w:szCs w:val="20"/>
        </w:rPr>
        <w:t xml:space="preserve"> legislation enacted in the Commonwealth jurisdiction</w:t>
      </w:r>
      <w:r w:rsidR="007037C7" w:rsidRPr="003F05F9">
        <w:rPr>
          <w:rStyle w:val="FootnoteReference"/>
          <w:b w:val="0"/>
          <w:bCs w:val="0"/>
          <w:color w:val="auto"/>
          <w:sz w:val="20"/>
          <w:szCs w:val="20"/>
        </w:rPr>
        <w:footnoteReference w:id="74"/>
      </w:r>
      <w:r w:rsidR="007037C7" w:rsidRPr="003F05F9">
        <w:rPr>
          <w:b w:val="0"/>
          <w:bCs w:val="0"/>
          <w:color w:val="auto"/>
          <w:sz w:val="20"/>
          <w:szCs w:val="20"/>
        </w:rPr>
        <w:t xml:space="preserve"> places a mandatory obligation </w:t>
      </w:r>
      <w:r w:rsidR="00B91DB8" w:rsidRPr="003F05F9">
        <w:rPr>
          <w:b w:val="0"/>
          <w:bCs w:val="0"/>
          <w:color w:val="auto"/>
          <w:sz w:val="20"/>
          <w:szCs w:val="20"/>
        </w:rPr>
        <w:t xml:space="preserve">on </w:t>
      </w:r>
      <w:r w:rsidR="00EC6812" w:rsidRPr="003F05F9">
        <w:rPr>
          <w:b w:val="0"/>
          <w:bCs w:val="0"/>
          <w:color w:val="auto"/>
          <w:sz w:val="20"/>
          <w:szCs w:val="20"/>
        </w:rPr>
        <w:t xml:space="preserve">organisations to </w:t>
      </w:r>
      <w:r w:rsidR="00B826FC" w:rsidRPr="003F05F9">
        <w:rPr>
          <w:b w:val="0"/>
          <w:bCs w:val="0"/>
          <w:color w:val="auto"/>
          <w:sz w:val="20"/>
          <w:szCs w:val="20"/>
        </w:rPr>
        <w:t>ensure</w:t>
      </w:r>
      <w:r w:rsidR="00EC6812" w:rsidRPr="003F05F9">
        <w:rPr>
          <w:b w:val="0"/>
          <w:bCs w:val="0"/>
          <w:color w:val="auto"/>
          <w:sz w:val="20"/>
          <w:szCs w:val="20"/>
        </w:rPr>
        <w:t xml:space="preserve"> specific</w:t>
      </w:r>
      <w:r w:rsidR="007037C7" w:rsidRPr="003F05F9">
        <w:rPr>
          <w:b w:val="0"/>
          <w:bCs w:val="0"/>
          <w:color w:val="auto"/>
          <w:sz w:val="20"/>
          <w:szCs w:val="20"/>
        </w:rPr>
        <w:t xml:space="preserve"> </w:t>
      </w:r>
      <w:r w:rsidR="009B0B3F" w:rsidRPr="003F05F9">
        <w:rPr>
          <w:b w:val="0"/>
          <w:bCs w:val="0"/>
          <w:color w:val="auto"/>
          <w:sz w:val="20"/>
          <w:szCs w:val="20"/>
        </w:rPr>
        <w:t>work health and safety</w:t>
      </w:r>
      <w:r w:rsidR="004939B7" w:rsidRPr="003F05F9">
        <w:rPr>
          <w:b w:val="0"/>
          <w:bCs w:val="0"/>
          <w:color w:val="auto"/>
          <w:sz w:val="20"/>
          <w:szCs w:val="20"/>
        </w:rPr>
        <w:t xml:space="preserve"> </w:t>
      </w:r>
      <w:r w:rsidR="007037C7" w:rsidRPr="003F05F9">
        <w:rPr>
          <w:b w:val="0"/>
          <w:bCs w:val="0"/>
          <w:color w:val="auto"/>
          <w:sz w:val="20"/>
          <w:szCs w:val="20"/>
        </w:rPr>
        <w:t xml:space="preserve">information </w:t>
      </w:r>
      <w:r w:rsidR="00B826FC" w:rsidRPr="003F05F9">
        <w:rPr>
          <w:b w:val="0"/>
          <w:bCs w:val="0"/>
          <w:color w:val="auto"/>
          <w:sz w:val="20"/>
          <w:szCs w:val="20"/>
        </w:rPr>
        <w:t xml:space="preserve">is included </w:t>
      </w:r>
      <w:r w:rsidR="00F437A9" w:rsidRPr="003F05F9">
        <w:rPr>
          <w:b w:val="0"/>
          <w:bCs w:val="0"/>
          <w:color w:val="auto"/>
          <w:sz w:val="20"/>
          <w:szCs w:val="20"/>
        </w:rPr>
        <w:t xml:space="preserve">in </w:t>
      </w:r>
      <w:r w:rsidR="00B91DB8" w:rsidRPr="003F05F9">
        <w:rPr>
          <w:b w:val="0"/>
          <w:bCs w:val="0"/>
          <w:color w:val="auto"/>
          <w:sz w:val="20"/>
          <w:szCs w:val="20"/>
        </w:rPr>
        <w:t xml:space="preserve">each </w:t>
      </w:r>
      <w:r w:rsidR="00F437A9" w:rsidRPr="003F05F9">
        <w:rPr>
          <w:b w:val="0"/>
          <w:bCs w:val="0"/>
          <w:color w:val="auto"/>
          <w:sz w:val="20"/>
          <w:szCs w:val="20"/>
        </w:rPr>
        <w:t xml:space="preserve">Annual </w:t>
      </w:r>
      <w:r w:rsidR="007037C7" w:rsidRPr="003F05F9">
        <w:rPr>
          <w:b w:val="0"/>
          <w:bCs w:val="0"/>
          <w:color w:val="auto"/>
          <w:sz w:val="20"/>
          <w:szCs w:val="20"/>
        </w:rPr>
        <w:t>R</w:t>
      </w:r>
      <w:r w:rsidR="00F437A9" w:rsidRPr="003F05F9">
        <w:rPr>
          <w:b w:val="0"/>
          <w:bCs w:val="0"/>
          <w:color w:val="auto"/>
          <w:sz w:val="20"/>
          <w:szCs w:val="20"/>
        </w:rPr>
        <w:t>eport</w:t>
      </w:r>
      <w:r w:rsidR="007037C7" w:rsidRPr="003F05F9">
        <w:rPr>
          <w:b w:val="0"/>
          <w:bCs w:val="0"/>
          <w:color w:val="auto"/>
          <w:sz w:val="20"/>
          <w:szCs w:val="20"/>
        </w:rPr>
        <w:t xml:space="preserve">. Even so, this </w:t>
      </w:r>
      <w:r w:rsidR="00EC6812" w:rsidRPr="003F05F9">
        <w:rPr>
          <w:b w:val="0"/>
          <w:bCs w:val="0"/>
          <w:color w:val="auto"/>
          <w:sz w:val="20"/>
          <w:szCs w:val="20"/>
        </w:rPr>
        <w:t xml:space="preserve">legislation </w:t>
      </w:r>
      <w:r w:rsidR="007037C7" w:rsidRPr="003F05F9">
        <w:rPr>
          <w:b w:val="0"/>
          <w:bCs w:val="0"/>
          <w:color w:val="auto"/>
          <w:sz w:val="20"/>
          <w:szCs w:val="20"/>
        </w:rPr>
        <w:t xml:space="preserve">applies only to Annual Reports provided by Commonwealth Authorities and Entities, </w:t>
      </w:r>
      <w:r w:rsidR="004939B7" w:rsidRPr="003F05F9">
        <w:rPr>
          <w:b w:val="0"/>
          <w:bCs w:val="0"/>
          <w:color w:val="auto"/>
          <w:sz w:val="20"/>
          <w:szCs w:val="20"/>
        </w:rPr>
        <w:t xml:space="preserve">and </w:t>
      </w:r>
      <w:r w:rsidR="007037C7" w:rsidRPr="003F05F9">
        <w:rPr>
          <w:b w:val="0"/>
          <w:bCs w:val="0"/>
          <w:color w:val="auto"/>
          <w:sz w:val="20"/>
          <w:szCs w:val="20"/>
        </w:rPr>
        <w:t>not to other organisations such as private businesses</w:t>
      </w:r>
      <w:r w:rsidR="004939B7" w:rsidRPr="003F05F9">
        <w:rPr>
          <w:b w:val="0"/>
          <w:bCs w:val="0"/>
          <w:color w:val="auto"/>
          <w:sz w:val="20"/>
          <w:szCs w:val="20"/>
        </w:rPr>
        <w:t xml:space="preserve"> operating within the jurisdiction</w:t>
      </w:r>
      <w:r w:rsidR="007037C7">
        <w:rPr>
          <w:b w:val="0"/>
          <w:bCs w:val="0"/>
          <w:color w:val="auto"/>
          <w:sz w:val="22"/>
          <w:szCs w:val="22"/>
        </w:rPr>
        <w:t xml:space="preserve">. </w:t>
      </w:r>
    </w:p>
    <w:p w:rsidR="007037C7" w:rsidRPr="00856774" w:rsidRDefault="003F05F9" w:rsidP="007037C7">
      <w:pPr>
        <w:pStyle w:val="Style3"/>
        <w:numPr>
          <w:ilvl w:val="2"/>
          <w:numId w:val="23"/>
        </w:numPr>
        <w:spacing w:after="120"/>
        <w:ind w:left="709"/>
        <w:rPr>
          <w:rFonts w:asciiTheme="minorHAnsi" w:hAnsiTheme="minorHAnsi"/>
          <w:sz w:val="24"/>
          <w:szCs w:val="24"/>
          <w:u w:val="single"/>
        </w:rPr>
      </w:pPr>
      <w:r w:rsidRPr="003F05F9">
        <w:rPr>
          <w:b w:val="0"/>
          <w:bCs w:val="0"/>
          <w:noProof/>
          <w:color w:val="auto"/>
          <w:sz w:val="20"/>
          <w:szCs w:val="20"/>
        </w:rPr>
        <mc:AlternateContent>
          <mc:Choice Requires="wps">
            <w:drawing>
              <wp:anchor distT="0" distB="0" distL="114300" distR="114300" simplePos="0" relativeHeight="251689984" behindDoc="0" locked="0" layoutInCell="1" allowOverlap="1" wp14:anchorId="43DAAC94" wp14:editId="371B73B9">
                <wp:simplePos x="0" y="0"/>
                <wp:positionH relativeFrom="column">
                  <wp:posOffset>2676525</wp:posOffset>
                </wp:positionH>
                <wp:positionV relativeFrom="paragraph">
                  <wp:posOffset>71120</wp:posOffset>
                </wp:positionV>
                <wp:extent cx="3129915" cy="482600"/>
                <wp:effectExtent l="0" t="0" r="0" b="0"/>
                <wp:wrapSquare wrapText="bothSides"/>
                <wp:docPr id="321" name="Text Box 321"/>
                <wp:cNvGraphicFramePr/>
                <a:graphic xmlns:a="http://schemas.openxmlformats.org/drawingml/2006/main">
                  <a:graphicData uri="http://schemas.microsoft.com/office/word/2010/wordprocessingShape">
                    <wps:wsp>
                      <wps:cNvSpPr txBox="1"/>
                      <wps:spPr>
                        <a:xfrm>
                          <a:off x="0" y="0"/>
                          <a:ext cx="3129915" cy="482600"/>
                        </a:xfrm>
                        <a:prstGeom prst="rect">
                          <a:avLst/>
                        </a:prstGeom>
                        <a:solidFill>
                          <a:prstClr val="white"/>
                        </a:solidFill>
                        <a:ln>
                          <a:noFill/>
                        </a:ln>
                        <a:effectLst/>
                      </wps:spPr>
                      <wps:txbx>
                        <w:txbxContent>
                          <w:p w:rsidR="00123706" w:rsidRDefault="00123706" w:rsidP="00236F73">
                            <w:pPr>
                              <w:pStyle w:val="Caption"/>
                              <w:spacing w:after="0"/>
                              <w:jc w:val="center"/>
                            </w:pPr>
                            <w:r>
                              <w:t xml:space="preserve">Figure </w:t>
                            </w:r>
                            <w:fldSimple w:instr=" SEQ Figure \* ARABIC ">
                              <w:r>
                                <w:rPr>
                                  <w:noProof/>
                                </w:rPr>
                                <w:t>13</w:t>
                              </w:r>
                            </w:fldSimple>
                            <w:r>
                              <w:t>: Economic burden of work health and safety failure, by severity</w:t>
                            </w:r>
                          </w:p>
                          <w:p w:rsidR="00123706" w:rsidRPr="00856774" w:rsidRDefault="00123706" w:rsidP="0011572B">
                            <w:pPr>
                              <w:ind w:left="-142" w:right="-46"/>
                              <w:jc w:val="center"/>
                              <w:rPr>
                                <w:sz w:val="18"/>
                                <w:szCs w:val="18"/>
                              </w:rPr>
                            </w:pPr>
                            <w:r w:rsidRPr="00856774">
                              <w:rPr>
                                <w:sz w:val="18"/>
                                <w:szCs w:val="18"/>
                              </w:rPr>
                              <w:t>(Source: Safe Work Australia, 2012b)</w:t>
                            </w:r>
                          </w:p>
                          <w:p w:rsidR="00123706" w:rsidRPr="00236F73" w:rsidRDefault="00123706" w:rsidP="00236F7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1" o:spid="_x0000_s1042" type="#_x0000_t202" style="position:absolute;left:0;text-align:left;margin-left:210.75pt;margin-top:5.6pt;width:246.45pt;height: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" stroked="f">
                <v:textbox inset="0,0,0,0">
                  <w:txbxContent>
                    <w:p w:rsidR="00123706" w:rsidRDefault="00123706" w:rsidP="00236F73">
                      <w:pPr>
                        <w:pStyle w:val="Caption"/>
                        <w:spacing w:after="0"/>
                        <w:jc w:val="center"/>
                      </w:pPr>
                      <w:r>
                        <w:t xml:space="preserve">Figure </w:t>
                      </w:r>
                      <w:r w:rsidR="00A66DAB">
                        <w:fldChar w:fldCharType="begin"/>
                      </w:r>
                      <w:r w:rsidR="00A66DAB">
                        <w:instrText xml:space="preserve"> SEQ Figure \* ARABIC </w:instrText>
                      </w:r>
                      <w:r w:rsidR="00A66DAB">
                        <w:fldChar w:fldCharType="separate"/>
                      </w:r>
                      <w:r>
                        <w:rPr>
                          <w:noProof/>
                        </w:rPr>
                        <w:t>13</w:t>
                      </w:r>
                      <w:r w:rsidR="00A66DAB">
                        <w:rPr>
                          <w:noProof/>
                        </w:rPr>
                        <w:fldChar w:fldCharType="end"/>
                      </w:r>
                      <w:r>
                        <w:t>: Economic burden of work health and safety failure, by severity</w:t>
                      </w:r>
                    </w:p>
                    <w:p w:rsidR="00123706" w:rsidRPr="00856774" w:rsidRDefault="00123706" w:rsidP="0011572B">
                      <w:pPr>
                        <w:ind w:left="-142" w:right="-46"/>
                        <w:jc w:val="center"/>
                        <w:rPr>
                          <w:sz w:val="18"/>
                          <w:szCs w:val="18"/>
                        </w:rPr>
                      </w:pPr>
                      <w:r w:rsidRPr="00856774">
                        <w:rPr>
                          <w:sz w:val="18"/>
                          <w:szCs w:val="18"/>
                        </w:rPr>
                        <w:t>(Source: Safe Work Australia, 2012b)</w:t>
                      </w:r>
                    </w:p>
                    <w:p w:rsidR="00123706" w:rsidRPr="00236F73" w:rsidRDefault="00123706" w:rsidP="00236F73"/>
                  </w:txbxContent>
                </v:textbox>
                <w10:wrap type="square"/>
              </v:shape>
            </w:pict>
          </mc:Fallback>
        </mc:AlternateContent>
      </w:r>
      <w:r w:rsidR="00C31BF7">
        <w:rPr>
          <w:rFonts w:asciiTheme="minorHAnsi" w:hAnsiTheme="minorHAnsi"/>
          <w:sz w:val="24"/>
          <w:szCs w:val="24"/>
          <w:u w:val="single"/>
        </w:rPr>
        <w:t>Other S</w:t>
      </w:r>
      <w:r w:rsidR="007037C7">
        <w:rPr>
          <w:rFonts w:asciiTheme="minorHAnsi" w:hAnsiTheme="minorHAnsi"/>
          <w:sz w:val="24"/>
          <w:szCs w:val="24"/>
          <w:u w:val="single"/>
        </w:rPr>
        <w:t>tate</w:t>
      </w:r>
      <w:r w:rsidR="00C31BF7">
        <w:rPr>
          <w:rFonts w:asciiTheme="minorHAnsi" w:hAnsiTheme="minorHAnsi"/>
          <w:sz w:val="24"/>
          <w:szCs w:val="24"/>
          <w:u w:val="single"/>
        </w:rPr>
        <w:t>-based</w:t>
      </w:r>
      <w:r w:rsidR="007037C7">
        <w:rPr>
          <w:rFonts w:asciiTheme="minorHAnsi" w:hAnsiTheme="minorHAnsi"/>
          <w:sz w:val="24"/>
          <w:szCs w:val="24"/>
          <w:u w:val="single"/>
        </w:rPr>
        <w:t xml:space="preserve"> legislation</w:t>
      </w:r>
    </w:p>
    <w:p w:rsidR="004939B7" w:rsidRPr="003F05F9" w:rsidRDefault="007037C7" w:rsidP="003F05F9">
      <w:pPr>
        <w:pStyle w:val="Caption"/>
        <w:spacing w:after="120"/>
        <w:rPr>
          <w:b w:val="0"/>
          <w:bCs w:val="0"/>
          <w:color w:val="auto"/>
          <w:sz w:val="20"/>
          <w:szCs w:val="20"/>
        </w:rPr>
      </w:pPr>
      <w:r w:rsidRPr="003F05F9">
        <w:rPr>
          <w:b w:val="0"/>
          <w:bCs w:val="0"/>
          <w:color w:val="auto"/>
          <w:sz w:val="20"/>
          <w:szCs w:val="20"/>
        </w:rPr>
        <w:t xml:space="preserve">In some jurisdictions, mandatory requirements for reporting on </w:t>
      </w:r>
      <w:r w:rsidR="009B0B3F" w:rsidRPr="003F05F9">
        <w:rPr>
          <w:b w:val="0"/>
          <w:bCs w:val="0"/>
          <w:color w:val="auto"/>
          <w:sz w:val="20"/>
          <w:szCs w:val="20"/>
        </w:rPr>
        <w:t>work health and safety</w:t>
      </w:r>
      <w:r w:rsidRPr="003F05F9">
        <w:rPr>
          <w:b w:val="0"/>
          <w:bCs w:val="0"/>
          <w:color w:val="auto"/>
          <w:sz w:val="20"/>
          <w:szCs w:val="20"/>
        </w:rPr>
        <w:t xml:space="preserve"> by State departments and public bodies are found in State government directives. For example, the Victorian Government’s </w:t>
      </w:r>
      <w:r w:rsidRPr="003F05F9">
        <w:rPr>
          <w:b w:val="0"/>
          <w:bCs w:val="0"/>
          <w:i/>
          <w:color w:val="auto"/>
          <w:sz w:val="20"/>
          <w:szCs w:val="20"/>
        </w:rPr>
        <w:t>Financial Reporting Direction FRD22B</w:t>
      </w:r>
      <w:r w:rsidR="004939B7" w:rsidRPr="003F05F9">
        <w:rPr>
          <w:b w:val="0"/>
          <w:bCs w:val="0"/>
          <w:i/>
          <w:color w:val="auto"/>
          <w:sz w:val="20"/>
          <w:szCs w:val="20"/>
        </w:rPr>
        <w:t xml:space="preserve"> -</w:t>
      </w:r>
      <w:r w:rsidRPr="003F05F9">
        <w:rPr>
          <w:b w:val="0"/>
          <w:bCs w:val="0"/>
          <w:i/>
          <w:color w:val="auto"/>
          <w:sz w:val="20"/>
          <w:szCs w:val="20"/>
        </w:rPr>
        <w:t xml:space="preserve"> </w:t>
      </w:r>
      <w:r w:rsidR="004939B7" w:rsidRPr="003F05F9">
        <w:rPr>
          <w:b w:val="0"/>
          <w:bCs w:val="0"/>
          <w:i/>
          <w:color w:val="auto"/>
          <w:sz w:val="20"/>
          <w:szCs w:val="20"/>
        </w:rPr>
        <w:t>Standard Disclosures in the Report of Operations</w:t>
      </w:r>
      <w:r w:rsidR="004939B7" w:rsidRPr="003F05F9">
        <w:rPr>
          <w:b w:val="0"/>
          <w:bCs w:val="0"/>
          <w:color w:val="auto"/>
          <w:sz w:val="20"/>
          <w:szCs w:val="20"/>
        </w:rPr>
        <w:t xml:space="preserve">, </w:t>
      </w:r>
      <w:r w:rsidRPr="003F05F9">
        <w:rPr>
          <w:b w:val="0"/>
          <w:bCs w:val="0"/>
          <w:color w:val="auto"/>
          <w:sz w:val="20"/>
          <w:szCs w:val="20"/>
        </w:rPr>
        <w:t>issued by the Department of Treasury and Finance, states</w:t>
      </w:r>
      <w:r w:rsidR="004939B7" w:rsidRPr="003F05F9">
        <w:rPr>
          <w:b w:val="0"/>
          <w:bCs w:val="0"/>
          <w:color w:val="auto"/>
          <w:sz w:val="20"/>
          <w:szCs w:val="20"/>
        </w:rPr>
        <w:t>:</w:t>
      </w:r>
    </w:p>
    <w:p w:rsidR="004939B7" w:rsidRPr="00236F73" w:rsidRDefault="004939B7" w:rsidP="00236F73">
      <w:pPr>
        <w:pStyle w:val="Caption"/>
        <w:tabs>
          <w:tab w:val="left" w:pos="8647"/>
        </w:tabs>
        <w:spacing w:after="100"/>
        <w:ind w:left="425" w:right="403"/>
        <w:jc w:val="both"/>
        <w:rPr>
          <w:sz w:val="20"/>
          <w:szCs w:val="20"/>
        </w:rPr>
      </w:pPr>
      <w:r w:rsidRPr="00236F73">
        <w:rPr>
          <w:b w:val="0"/>
          <w:bCs w:val="0"/>
          <w:color w:val="auto"/>
          <w:sz w:val="20"/>
          <w:szCs w:val="20"/>
        </w:rPr>
        <w:t xml:space="preserve"> “General information must include a statement on occupational health and safety matters, including appropriate performance indicators and how they affect outputs” (p1), and</w:t>
      </w:r>
    </w:p>
    <w:p w:rsidR="004939B7" w:rsidRPr="00236F73" w:rsidRDefault="004939B7" w:rsidP="00236F73">
      <w:pPr>
        <w:pStyle w:val="Caption"/>
        <w:tabs>
          <w:tab w:val="left" w:pos="8647"/>
        </w:tabs>
        <w:spacing w:after="120"/>
        <w:ind w:left="425" w:right="403"/>
        <w:jc w:val="both"/>
        <w:rPr>
          <w:sz w:val="20"/>
          <w:szCs w:val="20"/>
        </w:rPr>
      </w:pPr>
      <w:r w:rsidRPr="00236F73">
        <w:rPr>
          <w:b w:val="0"/>
          <w:bCs w:val="0"/>
          <w:color w:val="auto"/>
          <w:sz w:val="20"/>
          <w:szCs w:val="20"/>
        </w:rPr>
        <w:t>“An entity’s statement on occupational health and safety matters should identify the performance indicators adopted to monitor such matters, and outline the entity’s performance against those indicators” (p2).</w:t>
      </w:r>
    </w:p>
    <w:p w:rsidR="007037C7" w:rsidRPr="003F05F9" w:rsidRDefault="004939B7" w:rsidP="00236F73">
      <w:pPr>
        <w:pStyle w:val="Caption"/>
        <w:jc w:val="both"/>
        <w:rPr>
          <w:b w:val="0"/>
          <w:bCs w:val="0"/>
          <w:color w:val="auto"/>
          <w:sz w:val="20"/>
          <w:szCs w:val="20"/>
        </w:rPr>
      </w:pPr>
      <w:r w:rsidRPr="003F05F9">
        <w:rPr>
          <w:b w:val="0"/>
          <w:bCs w:val="0"/>
          <w:color w:val="auto"/>
          <w:sz w:val="20"/>
          <w:szCs w:val="20"/>
        </w:rPr>
        <w:t xml:space="preserve">Again however, these </w:t>
      </w:r>
      <w:r w:rsidR="009B0B3F" w:rsidRPr="003F05F9">
        <w:rPr>
          <w:b w:val="0"/>
          <w:bCs w:val="0"/>
          <w:color w:val="auto"/>
          <w:sz w:val="20"/>
          <w:szCs w:val="20"/>
        </w:rPr>
        <w:t>work health and safety</w:t>
      </w:r>
      <w:r w:rsidRPr="003F05F9">
        <w:rPr>
          <w:b w:val="0"/>
          <w:bCs w:val="0"/>
          <w:color w:val="auto"/>
          <w:sz w:val="20"/>
          <w:szCs w:val="20"/>
        </w:rPr>
        <w:t xml:space="preserve"> reporting requirements</w:t>
      </w:r>
      <w:r w:rsidR="007037C7" w:rsidRPr="003F05F9">
        <w:rPr>
          <w:b w:val="0"/>
          <w:bCs w:val="0"/>
          <w:color w:val="auto"/>
          <w:sz w:val="20"/>
          <w:szCs w:val="20"/>
        </w:rPr>
        <w:t xml:space="preserve"> </w:t>
      </w:r>
      <w:r w:rsidRPr="003F05F9">
        <w:rPr>
          <w:b w:val="0"/>
          <w:bCs w:val="0"/>
          <w:color w:val="auto"/>
          <w:sz w:val="20"/>
          <w:szCs w:val="20"/>
        </w:rPr>
        <w:t xml:space="preserve">do not extend to private sector </w:t>
      </w:r>
      <w:r w:rsidR="00B826FC" w:rsidRPr="003F05F9">
        <w:rPr>
          <w:b w:val="0"/>
          <w:bCs w:val="0"/>
          <w:color w:val="auto"/>
          <w:sz w:val="20"/>
          <w:szCs w:val="20"/>
        </w:rPr>
        <w:t>entities</w:t>
      </w:r>
      <w:r w:rsidRPr="003F05F9">
        <w:rPr>
          <w:b w:val="0"/>
          <w:bCs w:val="0"/>
          <w:color w:val="auto"/>
          <w:sz w:val="20"/>
          <w:szCs w:val="20"/>
        </w:rPr>
        <w:t>.</w:t>
      </w:r>
      <w:r w:rsidR="007037C7" w:rsidRPr="003F05F9">
        <w:rPr>
          <w:b w:val="0"/>
          <w:bCs w:val="0"/>
          <w:color w:val="auto"/>
          <w:sz w:val="20"/>
          <w:szCs w:val="20"/>
        </w:rPr>
        <w:t xml:space="preserve"> </w:t>
      </w:r>
    </w:p>
    <w:p w:rsidR="004939B7" w:rsidRPr="00856774" w:rsidRDefault="004939B7" w:rsidP="004939B7">
      <w:pPr>
        <w:pStyle w:val="Style3"/>
        <w:numPr>
          <w:ilvl w:val="2"/>
          <w:numId w:val="23"/>
        </w:numPr>
        <w:spacing w:after="120"/>
        <w:ind w:left="709"/>
        <w:rPr>
          <w:rFonts w:asciiTheme="minorHAnsi" w:hAnsiTheme="minorHAnsi"/>
          <w:sz w:val="24"/>
          <w:szCs w:val="24"/>
          <w:u w:val="single"/>
        </w:rPr>
      </w:pPr>
      <w:r>
        <w:rPr>
          <w:rFonts w:asciiTheme="minorHAnsi" w:hAnsiTheme="minorHAnsi"/>
          <w:sz w:val="24"/>
          <w:szCs w:val="24"/>
          <w:u w:val="single"/>
        </w:rPr>
        <w:t>Corporations law</w:t>
      </w:r>
    </w:p>
    <w:p w:rsidR="004939B7" w:rsidRPr="003F05F9" w:rsidRDefault="004939B7" w:rsidP="004939B7">
      <w:pPr>
        <w:pStyle w:val="Caption"/>
        <w:spacing w:after="120"/>
        <w:jc w:val="both"/>
        <w:rPr>
          <w:b w:val="0"/>
          <w:bCs w:val="0"/>
          <w:color w:val="auto"/>
          <w:sz w:val="20"/>
          <w:szCs w:val="20"/>
        </w:rPr>
      </w:pPr>
      <w:r w:rsidRPr="003F05F9">
        <w:rPr>
          <w:b w:val="0"/>
          <w:bCs w:val="0"/>
          <w:color w:val="auto"/>
          <w:sz w:val="20"/>
          <w:szCs w:val="20"/>
        </w:rPr>
        <w:t xml:space="preserve">In certain circumstances, the disclosure of </w:t>
      </w:r>
      <w:r w:rsidR="009B0B3F" w:rsidRPr="003F05F9">
        <w:rPr>
          <w:b w:val="0"/>
          <w:bCs w:val="0"/>
          <w:color w:val="auto"/>
          <w:sz w:val="20"/>
          <w:szCs w:val="20"/>
        </w:rPr>
        <w:t>work health and safety</w:t>
      </w:r>
      <w:r w:rsidRPr="003F05F9">
        <w:rPr>
          <w:b w:val="0"/>
          <w:bCs w:val="0"/>
          <w:color w:val="auto"/>
          <w:sz w:val="20"/>
          <w:szCs w:val="20"/>
        </w:rPr>
        <w:t xml:space="preserve"> information in Annual Reports may be required under the provisions of the </w:t>
      </w:r>
      <w:r w:rsidRPr="003F05F9">
        <w:rPr>
          <w:b w:val="0"/>
          <w:bCs w:val="0"/>
          <w:i/>
          <w:color w:val="auto"/>
          <w:sz w:val="20"/>
          <w:szCs w:val="20"/>
        </w:rPr>
        <w:t>Corporations Act 2001</w:t>
      </w:r>
      <w:r w:rsidRPr="003F05F9">
        <w:rPr>
          <w:b w:val="0"/>
          <w:bCs w:val="0"/>
          <w:color w:val="auto"/>
          <w:sz w:val="20"/>
          <w:szCs w:val="20"/>
        </w:rPr>
        <w:t>. Sections 299-300 of the Corporations Act require that where issues</w:t>
      </w:r>
      <w:r w:rsidR="00B826FC" w:rsidRPr="003F05F9">
        <w:rPr>
          <w:b w:val="0"/>
          <w:bCs w:val="0"/>
          <w:color w:val="auto"/>
          <w:sz w:val="20"/>
          <w:szCs w:val="20"/>
        </w:rPr>
        <w:t xml:space="preserve"> (</w:t>
      </w:r>
      <w:r w:rsidRPr="003F05F9">
        <w:rPr>
          <w:b w:val="0"/>
          <w:bCs w:val="0"/>
          <w:color w:val="auto"/>
          <w:sz w:val="20"/>
          <w:szCs w:val="20"/>
        </w:rPr>
        <w:t xml:space="preserve">including </w:t>
      </w:r>
      <w:r w:rsidR="009B0B3F" w:rsidRPr="003F05F9">
        <w:rPr>
          <w:b w:val="0"/>
          <w:bCs w:val="0"/>
          <w:color w:val="auto"/>
          <w:sz w:val="20"/>
          <w:szCs w:val="20"/>
        </w:rPr>
        <w:t>work health and safety</w:t>
      </w:r>
      <w:r w:rsidR="00B826FC" w:rsidRPr="003F05F9">
        <w:rPr>
          <w:b w:val="0"/>
          <w:bCs w:val="0"/>
          <w:color w:val="auto"/>
          <w:sz w:val="20"/>
          <w:szCs w:val="20"/>
        </w:rPr>
        <w:t>)</w:t>
      </w:r>
      <w:r w:rsidRPr="003F05F9">
        <w:rPr>
          <w:b w:val="0"/>
          <w:bCs w:val="0"/>
          <w:color w:val="auto"/>
          <w:sz w:val="20"/>
          <w:szCs w:val="20"/>
        </w:rPr>
        <w:t xml:space="preserve"> present a </w:t>
      </w:r>
      <w:r w:rsidRPr="003F05F9">
        <w:rPr>
          <w:bCs w:val="0"/>
          <w:color w:val="auto"/>
          <w:sz w:val="20"/>
          <w:szCs w:val="20"/>
        </w:rPr>
        <w:t>significant change</w:t>
      </w:r>
      <w:r w:rsidRPr="003F05F9">
        <w:rPr>
          <w:b w:val="0"/>
          <w:bCs w:val="0"/>
          <w:color w:val="auto"/>
          <w:sz w:val="20"/>
          <w:szCs w:val="20"/>
        </w:rPr>
        <w:t xml:space="preserve"> in the operations, results or state of affairs of an entity; they must be disclosed in the Directors’ Report section of the Annual Report. Also, where </w:t>
      </w:r>
      <w:r w:rsidR="006C1741" w:rsidRPr="003F05F9">
        <w:rPr>
          <w:b w:val="0"/>
          <w:bCs w:val="0"/>
          <w:color w:val="auto"/>
          <w:sz w:val="20"/>
          <w:szCs w:val="20"/>
        </w:rPr>
        <w:t xml:space="preserve">the firm’s </w:t>
      </w:r>
      <w:r w:rsidRPr="003F05F9">
        <w:rPr>
          <w:b w:val="0"/>
          <w:bCs w:val="0"/>
          <w:color w:val="auto"/>
          <w:sz w:val="20"/>
          <w:szCs w:val="20"/>
        </w:rPr>
        <w:t xml:space="preserve">expenses, liabilities or contingent liabilities are </w:t>
      </w:r>
      <w:r w:rsidRPr="003F05F9">
        <w:rPr>
          <w:bCs w:val="0"/>
          <w:color w:val="auto"/>
          <w:sz w:val="20"/>
          <w:szCs w:val="20"/>
        </w:rPr>
        <w:t>deemed</w:t>
      </w:r>
      <w:r w:rsidRPr="003F05F9">
        <w:rPr>
          <w:b w:val="0"/>
          <w:bCs w:val="0"/>
          <w:color w:val="auto"/>
          <w:sz w:val="20"/>
          <w:szCs w:val="20"/>
        </w:rPr>
        <w:t xml:space="preserve"> </w:t>
      </w:r>
      <w:r w:rsidRPr="003F05F9">
        <w:rPr>
          <w:bCs w:val="0"/>
          <w:color w:val="auto"/>
          <w:sz w:val="20"/>
          <w:szCs w:val="20"/>
        </w:rPr>
        <w:t>material</w:t>
      </w:r>
      <w:r w:rsidRPr="003F05F9">
        <w:rPr>
          <w:b w:val="0"/>
          <w:bCs w:val="0"/>
          <w:color w:val="auto"/>
          <w:sz w:val="20"/>
          <w:szCs w:val="20"/>
        </w:rPr>
        <w:t xml:space="preserve">, Accounting Standards dictate they </w:t>
      </w:r>
      <w:r w:rsidR="00B826FC" w:rsidRPr="003F05F9">
        <w:rPr>
          <w:b w:val="0"/>
          <w:bCs w:val="0"/>
          <w:color w:val="auto"/>
          <w:sz w:val="20"/>
          <w:szCs w:val="20"/>
        </w:rPr>
        <w:t xml:space="preserve">must </w:t>
      </w:r>
      <w:r w:rsidRPr="003F05F9">
        <w:rPr>
          <w:b w:val="0"/>
          <w:bCs w:val="0"/>
          <w:color w:val="auto"/>
          <w:sz w:val="20"/>
          <w:szCs w:val="20"/>
        </w:rPr>
        <w:t>be disclosed in financial statements or associated notes.</w:t>
      </w:r>
    </w:p>
    <w:p w:rsidR="004939B7" w:rsidRPr="004939B7" w:rsidRDefault="00B826FC" w:rsidP="00236F73">
      <w:pPr>
        <w:spacing w:after="0"/>
        <w:jc w:val="both"/>
      </w:pPr>
      <w:r>
        <w:t>However, t</w:t>
      </w:r>
      <w:r w:rsidR="006C1741">
        <w:t>h</w:t>
      </w:r>
      <w:r w:rsidR="004939B7">
        <w:t>e</w:t>
      </w:r>
      <w:r w:rsidR="006C1741">
        <w:t xml:space="preserve">se requirements are unlikely to mandate the routine </w:t>
      </w:r>
      <w:r>
        <w:t>disclosure</w:t>
      </w:r>
      <w:r w:rsidR="006C1741">
        <w:t xml:space="preserve"> of </w:t>
      </w:r>
      <w:r w:rsidR="009B0B3F">
        <w:t>work health and safety</w:t>
      </w:r>
      <w:r w:rsidR="006C1741">
        <w:t xml:space="preserve"> performance information given</w:t>
      </w:r>
      <w:r w:rsidR="004939B7">
        <w:t xml:space="preserve"> </w:t>
      </w:r>
      <w:r w:rsidR="006C1741">
        <w:t>the subjectivity inherent in ‘s</w:t>
      </w:r>
      <w:r w:rsidR="004939B7">
        <w:t>ignificant</w:t>
      </w:r>
      <w:r w:rsidR="006C1741">
        <w:t xml:space="preserve">’, </w:t>
      </w:r>
      <w:r w:rsidR="00C31BF7">
        <w:t xml:space="preserve">the </w:t>
      </w:r>
      <w:r w:rsidR="006C1741">
        <w:t>non-routine criteria of a ‘</w:t>
      </w:r>
      <w:r w:rsidR="004939B7">
        <w:t>change</w:t>
      </w:r>
      <w:r w:rsidR="006C1741">
        <w:t>’ to operations</w:t>
      </w:r>
      <w:r w:rsidR="00C31BF7">
        <w:t>,</w:t>
      </w:r>
      <w:r w:rsidR="006C1741">
        <w:t xml:space="preserve"> and </w:t>
      </w:r>
      <w:r w:rsidR="00C31BF7">
        <w:t xml:space="preserve">the </w:t>
      </w:r>
      <w:r w:rsidR="006C1741">
        <w:t xml:space="preserve">tendency </w:t>
      </w:r>
      <w:r w:rsidR="00C31BF7">
        <w:t xml:space="preserve">for </w:t>
      </w:r>
      <w:r w:rsidR="006C1741">
        <w:t xml:space="preserve">‘materiality’ </w:t>
      </w:r>
      <w:r w:rsidR="00C31BF7">
        <w:t>to be interpreted only in</w:t>
      </w:r>
      <w:r w:rsidR="006C1741">
        <w:t xml:space="preserve"> the narrow context of </w:t>
      </w:r>
      <w:r w:rsidR="00C31BF7">
        <w:t>an</w:t>
      </w:r>
      <w:r w:rsidR="006C1741">
        <w:t xml:space="preserve"> entity’s </w:t>
      </w:r>
      <w:r w:rsidR="00B40F18">
        <w:t xml:space="preserve">financial </w:t>
      </w:r>
      <w:r w:rsidR="006C1741" w:rsidRPr="004915CA">
        <w:rPr>
          <w:bCs/>
        </w:rPr>
        <w:t xml:space="preserve">expenses, liabilities or contingent liabilities </w:t>
      </w:r>
      <w:r w:rsidR="006C1741" w:rsidRPr="001A4154">
        <w:rPr>
          <w:bCs/>
        </w:rPr>
        <w:t>relative to its</w:t>
      </w:r>
      <w:r w:rsidR="006C1741">
        <w:rPr>
          <w:b/>
          <w:bCs/>
        </w:rPr>
        <w:t xml:space="preserve"> </w:t>
      </w:r>
      <w:r w:rsidR="006C1741">
        <w:t>financial position and performance</w:t>
      </w:r>
      <w:r>
        <w:rPr>
          <w:rStyle w:val="FootnoteReference"/>
        </w:rPr>
        <w:footnoteReference w:id="75"/>
      </w:r>
      <w:r w:rsidR="006C1741">
        <w:t>.</w:t>
      </w:r>
      <w:r w:rsidR="00C425D5">
        <w:t xml:space="preserve"> Most reporting entities will therefore face no mandatory </w:t>
      </w:r>
      <w:r w:rsidR="00E803CE">
        <w:t>work health and safety</w:t>
      </w:r>
      <w:r w:rsidR="00C425D5">
        <w:t xml:space="preserve"> disclosure obligations.</w:t>
      </w:r>
    </w:p>
    <w:p w:rsidR="003E5EF0" w:rsidRPr="00D2462A" w:rsidRDefault="003E5EF0" w:rsidP="00F60ED5">
      <w:pPr>
        <w:pStyle w:val="Style1"/>
        <w:numPr>
          <w:ilvl w:val="0"/>
          <w:numId w:val="14"/>
        </w:numPr>
        <w:spacing w:before="120" w:after="120" w:line="240" w:lineRule="auto"/>
        <w:ind w:left="567" w:hanging="567"/>
        <w:rPr>
          <w:rFonts w:asciiTheme="minorHAnsi" w:hAnsiTheme="minorHAnsi"/>
          <w:color w:val="365F91" w:themeColor="accent1" w:themeShade="BF"/>
          <w:sz w:val="28"/>
          <w:szCs w:val="28"/>
        </w:rPr>
      </w:pPr>
      <w:bookmarkStart w:id="31" w:name="_Toc361085320"/>
      <w:r w:rsidRPr="00D2462A">
        <w:rPr>
          <w:rFonts w:asciiTheme="minorHAnsi" w:hAnsiTheme="minorHAnsi"/>
          <w:color w:val="365F91" w:themeColor="accent1" w:themeShade="BF"/>
          <w:sz w:val="28"/>
          <w:szCs w:val="28"/>
        </w:rPr>
        <w:t xml:space="preserve">Voluntary </w:t>
      </w:r>
      <w:r w:rsidR="002C23DF">
        <w:rPr>
          <w:rFonts w:asciiTheme="minorHAnsi" w:hAnsiTheme="minorHAnsi"/>
          <w:color w:val="365F91" w:themeColor="accent1" w:themeShade="BF"/>
          <w:sz w:val="28"/>
          <w:szCs w:val="28"/>
        </w:rPr>
        <w:t>work health and safety</w:t>
      </w:r>
      <w:r w:rsidRPr="00D2462A">
        <w:rPr>
          <w:rFonts w:asciiTheme="minorHAnsi" w:hAnsiTheme="minorHAnsi"/>
          <w:color w:val="365F91" w:themeColor="accent1" w:themeShade="BF"/>
          <w:sz w:val="28"/>
          <w:szCs w:val="28"/>
        </w:rPr>
        <w:t xml:space="preserve"> reporting</w:t>
      </w:r>
      <w:bookmarkEnd w:id="31"/>
    </w:p>
    <w:p w:rsidR="00106B88" w:rsidRDefault="00416A1F" w:rsidP="00106B88">
      <w:pPr>
        <w:spacing w:after="120"/>
        <w:jc w:val="both"/>
      </w:pPr>
      <w:r>
        <w:t>In the absence of</w:t>
      </w:r>
      <w:r w:rsidR="006722CC">
        <w:t xml:space="preserve"> mandatory requirements for external reporting on </w:t>
      </w:r>
      <w:r w:rsidR="002C23DF">
        <w:t>work health and safety</w:t>
      </w:r>
      <w:r w:rsidR="006722CC">
        <w:t xml:space="preserve">, </w:t>
      </w:r>
      <w:r w:rsidR="00C425D5">
        <w:t xml:space="preserve">community </w:t>
      </w:r>
      <w:r w:rsidR="00106B88">
        <w:t xml:space="preserve">expectations </w:t>
      </w:r>
      <w:r w:rsidR="00B40F18">
        <w:t>for</w:t>
      </w:r>
      <w:r w:rsidR="006B3C0D">
        <w:t xml:space="preserve"> </w:t>
      </w:r>
      <w:r w:rsidR="004A3448">
        <w:t>organisation</w:t>
      </w:r>
      <w:r w:rsidR="00C425D5">
        <w:t>s</w:t>
      </w:r>
      <w:r w:rsidR="004A3448">
        <w:t xml:space="preserve"> </w:t>
      </w:r>
      <w:r>
        <w:t xml:space="preserve">to account </w:t>
      </w:r>
      <w:r w:rsidR="00C425D5">
        <w:t xml:space="preserve">publicly </w:t>
      </w:r>
      <w:r>
        <w:t>for their social impact are driving</w:t>
      </w:r>
      <w:r w:rsidR="008264EC">
        <w:t xml:space="preserve"> </w:t>
      </w:r>
      <w:r w:rsidR="004A3448">
        <w:t>many firms to</w:t>
      </w:r>
      <w:r w:rsidR="008264EC">
        <w:t xml:space="preserve"> voluntar</w:t>
      </w:r>
      <w:r w:rsidR="004A3448">
        <w:t>il</w:t>
      </w:r>
      <w:r w:rsidR="008264EC">
        <w:t>y</w:t>
      </w:r>
      <w:r w:rsidR="004A3448">
        <w:t xml:space="preserve"> report on</w:t>
      </w:r>
      <w:r w:rsidR="008264EC">
        <w:t xml:space="preserve"> </w:t>
      </w:r>
      <w:r>
        <w:t xml:space="preserve">issues such as </w:t>
      </w:r>
      <w:r w:rsidR="002C23DF">
        <w:t>work health and safety</w:t>
      </w:r>
      <w:r w:rsidR="00106B88">
        <w:t>.</w:t>
      </w:r>
      <w:r w:rsidR="00106B88">
        <w:rPr>
          <w:rStyle w:val="FootnoteReference"/>
        </w:rPr>
        <w:footnoteReference w:id="76"/>
      </w:r>
      <w:r w:rsidR="00106B88">
        <w:t xml:space="preserve"> Th</w:t>
      </w:r>
      <w:r w:rsidR="004A3448">
        <w:t xml:space="preserve">ese disclosures </w:t>
      </w:r>
      <w:r>
        <w:t>are provided</w:t>
      </w:r>
      <w:r w:rsidR="00106B88">
        <w:t xml:space="preserve"> in, for example, corporate annual reports, stand-alone sustainability reports (also referred to as CSR</w:t>
      </w:r>
      <w:r w:rsidR="006B3C0D">
        <w:t>,</w:t>
      </w:r>
      <w:r w:rsidR="00106B88">
        <w:t xml:space="preserve"> triple bottom line</w:t>
      </w:r>
      <w:r w:rsidR="006B3C0D">
        <w:t>,</w:t>
      </w:r>
      <w:r w:rsidR="00106B88">
        <w:t xml:space="preserve"> </w:t>
      </w:r>
      <w:r w:rsidR="006B3C0D">
        <w:t xml:space="preserve">or stakeholder </w:t>
      </w:r>
      <w:r w:rsidR="00106B88">
        <w:t xml:space="preserve">reports), </w:t>
      </w:r>
      <w:r w:rsidR="00E02D35">
        <w:t xml:space="preserve">and in media such as </w:t>
      </w:r>
      <w:r w:rsidR="00106B88">
        <w:t>organisational websites</w:t>
      </w:r>
      <w:r w:rsidR="00E02D35">
        <w:t>,</w:t>
      </w:r>
      <w:r w:rsidR="00106B88">
        <w:t xml:space="preserve"> corporate newsletters and </w:t>
      </w:r>
      <w:r w:rsidR="006B3C0D">
        <w:t xml:space="preserve">other </w:t>
      </w:r>
      <w:r w:rsidR="00106B88">
        <w:t>advertising.</w:t>
      </w:r>
      <w:r w:rsidR="00106B88">
        <w:rPr>
          <w:rStyle w:val="FootnoteReference"/>
        </w:rPr>
        <w:footnoteReference w:id="77"/>
      </w:r>
    </w:p>
    <w:p w:rsidR="004F2A4A" w:rsidRDefault="00106B88" w:rsidP="00F60ED5">
      <w:pPr>
        <w:spacing w:after="160"/>
        <w:jc w:val="both"/>
      </w:pPr>
      <w:r>
        <w:t xml:space="preserve">Research </w:t>
      </w:r>
      <w:r w:rsidR="00416A1F">
        <w:t>has</w:t>
      </w:r>
      <w:r w:rsidR="006722CC">
        <w:t>, however, been critical of</w:t>
      </w:r>
      <w:r>
        <w:t xml:space="preserve"> </w:t>
      </w:r>
      <w:r w:rsidR="006722CC">
        <w:t xml:space="preserve">the quality of </w:t>
      </w:r>
      <w:r>
        <w:t xml:space="preserve">voluntary </w:t>
      </w:r>
      <w:r w:rsidR="002C23DF">
        <w:t>work health and safety</w:t>
      </w:r>
      <w:r w:rsidR="00B40F18">
        <w:t xml:space="preserve"> </w:t>
      </w:r>
      <w:r>
        <w:t>disclosures</w:t>
      </w:r>
      <w:r w:rsidR="00DB5B0D">
        <w:t>.</w:t>
      </w:r>
      <w:r w:rsidR="008264EC">
        <w:rPr>
          <w:rStyle w:val="FootnoteReference"/>
        </w:rPr>
        <w:footnoteReference w:id="78"/>
      </w:r>
      <w:r w:rsidR="006722CC">
        <w:t xml:space="preserve"> In particular, studies of </w:t>
      </w:r>
      <w:r w:rsidR="008264EC">
        <w:t xml:space="preserve">the </w:t>
      </w:r>
      <w:r w:rsidR="002C23DF">
        <w:t>work health and safety</w:t>
      </w:r>
      <w:r w:rsidR="006868D8">
        <w:t xml:space="preserve"> </w:t>
      </w:r>
      <w:r w:rsidR="006B3C0D">
        <w:t xml:space="preserve">data </w:t>
      </w:r>
      <w:r w:rsidR="00E02D35">
        <w:t>provided</w:t>
      </w:r>
      <w:r w:rsidR="006868D8">
        <w:t xml:space="preserve"> in </w:t>
      </w:r>
      <w:r w:rsidR="006722CC">
        <w:t>Annual and Sustainability Report</w:t>
      </w:r>
      <w:r w:rsidR="006868D8">
        <w:t>s</w:t>
      </w:r>
      <w:r w:rsidR="006722CC">
        <w:t xml:space="preserve"> </w:t>
      </w:r>
      <w:r w:rsidR="006868D8">
        <w:t>suggest a</w:t>
      </w:r>
      <w:r w:rsidR="006722CC">
        <w:t xml:space="preserve"> tendency for </w:t>
      </w:r>
      <w:r w:rsidR="00C96AA7">
        <w:t>it</w:t>
      </w:r>
      <w:r w:rsidR="006722CC">
        <w:t xml:space="preserve"> to</w:t>
      </w:r>
      <w:r w:rsidR="000C124F">
        <w:t>:</w:t>
      </w:r>
    </w:p>
    <w:p w:rsidR="008264EC" w:rsidRDefault="008264EC" w:rsidP="008264EC">
      <w:pPr>
        <w:pStyle w:val="ListParagraph"/>
        <w:numPr>
          <w:ilvl w:val="0"/>
          <w:numId w:val="45"/>
        </w:numPr>
        <w:spacing w:after="160"/>
        <w:jc w:val="both"/>
      </w:pPr>
      <w:r>
        <w:t xml:space="preserve">Be self-laudatory, </w:t>
      </w:r>
      <w:r w:rsidR="00C96AA7">
        <w:t xml:space="preserve">focusing </w:t>
      </w:r>
      <w:r>
        <w:t>selectively on positive results and ‘good-news’ stories</w:t>
      </w:r>
    </w:p>
    <w:p w:rsidR="008264EC" w:rsidRDefault="00C96AA7" w:rsidP="00236F73">
      <w:pPr>
        <w:pStyle w:val="ListParagraph"/>
        <w:numPr>
          <w:ilvl w:val="0"/>
          <w:numId w:val="45"/>
        </w:numPr>
        <w:spacing w:after="160"/>
        <w:jc w:val="both"/>
      </w:pPr>
      <w:r>
        <w:t>Not</w:t>
      </w:r>
      <w:r w:rsidR="008264EC">
        <w:t xml:space="preserve"> identify the key </w:t>
      </w:r>
      <w:r w:rsidR="006F25C3">
        <w:rPr>
          <w:rFonts w:eastAsia="Times New Roman" w:cs="Arial"/>
        </w:rPr>
        <w:t>work health and safety</w:t>
      </w:r>
      <w:r w:rsidR="008264EC">
        <w:t xml:space="preserve"> hazards and risks relevant to the organisation and its workers</w:t>
      </w:r>
    </w:p>
    <w:p w:rsidR="00A665C0" w:rsidRDefault="00C96AA7" w:rsidP="00A665C0">
      <w:pPr>
        <w:pStyle w:val="ListParagraph"/>
        <w:numPr>
          <w:ilvl w:val="0"/>
          <w:numId w:val="45"/>
        </w:numPr>
        <w:spacing w:after="160"/>
        <w:jc w:val="both"/>
      </w:pPr>
      <w:r>
        <w:t>Not</w:t>
      </w:r>
      <w:r w:rsidR="00A665C0">
        <w:t xml:space="preserve"> discuss the nature and effectiveness of </w:t>
      </w:r>
      <w:r w:rsidR="006F25C3">
        <w:rPr>
          <w:rFonts w:eastAsia="Times New Roman" w:cs="Arial"/>
        </w:rPr>
        <w:t>work health and safety</w:t>
      </w:r>
      <w:r w:rsidR="00A665C0">
        <w:t xml:space="preserve"> risk control strategies and processes</w:t>
      </w:r>
    </w:p>
    <w:p w:rsidR="008264EC" w:rsidRDefault="00C96AA7" w:rsidP="00236F73">
      <w:pPr>
        <w:pStyle w:val="ListParagraph"/>
        <w:numPr>
          <w:ilvl w:val="0"/>
          <w:numId w:val="45"/>
        </w:numPr>
        <w:spacing w:after="160"/>
        <w:jc w:val="both"/>
      </w:pPr>
      <w:r>
        <w:t>Not</w:t>
      </w:r>
      <w:r w:rsidR="008264EC">
        <w:t xml:space="preserve"> address occupational health exposure</w:t>
      </w:r>
      <w:r w:rsidR="005957C2">
        <w:t xml:space="preserve"> and </w:t>
      </w:r>
      <w:r w:rsidR="008264EC">
        <w:t>disease</w:t>
      </w:r>
      <w:r w:rsidR="005957C2">
        <w:t xml:space="preserve">, </w:t>
      </w:r>
      <w:r>
        <w:t xml:space="preserve">instead </w:t>
      </w:r>
      <w:r w:rsidR="005957C2">
        <w:t>focusing</w:t>
      </w:r>
      <w:r w:rsidR="00E02D35">
        <w:t xml:space="preserve"> only</w:t>
      </w:r>
      <w:r w:rsidR="005957C2">
        <w:t xml:space="preserve"> on injury</w:t>
      </w:r>
    </w:p>
    <w:p w:rsidR="005957C2" w:rsidRDefault="00C96AA7" w:rsidP="005957C2">
      <w:pPr>
        <w:pStyle w:val="ListParagraph"/>
        <w:numPr>
          <w:ilvl w:val="0"/>
          <w:numId w:val="45"/>
        </w:numPr>
        <w:spacing w:after="160"/>
        <w:jc w:val="both"/>
      </w:pPr>
      <w:r>
        <w:t xml:space="preserve">Concentrate </w:t>
      </w:r>
      <w:r w:rsidR="005957C2">
        <w:t xml:space="preserve">on highly summarised </w:t>
      </w:r>
      <w:r w:rsidR="00E02D35">
        <w:t xml:space="preserve">injury </w:t>
      </w:r>
      <w:r w:rsidR="005957C2">
        <w:t xml:space="preserve">measures, such as LTIFR and TRIFR, which are too aggregated to provide useful information </w:t>
      </w:r>
      <w:r w:rsidR="00DB5B0D">
        <w:t>on high consequence risks and WRII</w:t>
      </w:r>
      <w:r w:rsidR="002C23DF">
        <w:t>,</w:t>
      </w:r>
      <w:r w:rsidR="00355E03">
        <w:t xml:space="preserve"> </w:t>
      </w:r>
      <w:r>
        <w:t>and</w:t>
      </w:r>
    </w:p>
    <w:p w:rsidR="004F2A4A" w:rsidRDefault="000C124F" w:rsidP="00236F73">
      <w:pPr>
        <w:pStyle w:val="ListParagraph"/>
        <w:numPr>
          <w:ilvl w:val="0"/>
          <w:numId w:val="45"/>
        </w:numPr>
        <w:spacing w:after="160"/>
        <w:jc w:val="both"/>
      </w:pPr>
      <w:r>
        <w:t>Mis</w:t>
      </w:r>
      <w:r w:rsidR="00D000C5">
        <w:t>represent</w:t>
      </w:r>
      <w:r w:rsidR="00E02D35">
        <w:t xml:space="preserve"> </w:t>
      </w:r>
      <w:r w:rsidR="00D000C5">
        <w:t xml:space="preserve">reducing </w:t>
      </w:r>
      <w:r w:rsidR="008264EC">
        <w:t>injury</w:t>
      </w:r>
      <w:r w:rsidR="004F2A4A">
        <w:t xml:space="preserve"> </w:t>
      </w:r>
      <w:r w:rsidR="00D000C5">
        <w:t>rates</w:t>
      </w:r>
      <w:r w:rsidR="004F2A4A">
        <w:t xml:space="preserve"> </w:t>
      </w:r>
      <w:r w:rsidR="00D000C5">
        <w:t>as</w:t>
      </w:r>
      <w:r w:rsidR="004F2A4A">
        <w:t xml:space="preserve"> </w:t>
      </w:r>
      <w:r w:rsidR="00D000C5">
        <w:t>empirical evidence of improved</w:t>
      </w:r>
      <w:r w:rsidR="00E02D35">
        <w:t xml:space="preserve"> </w:t>
      </w:r>
      <w:r w:rsidR="002C23DF">
        <w:t>work health and safety</w:t>
      </w:r>
      <w:r w:rsidR="00E02D35">
        <w:t xml:space="preserve"> </w:t>
      </w:r>
      <w:r w:rsidR="00D000C5">
        <w:t>(</w:t>
      </w:r>
      <w:r w:rsidR="00E02D35">
        <w:t>risk</w:t>
      </w:r>
      <w:r w:rsidR="00D000C5">
        <w:t>)</w:t>
      </w:r>
      <w:r w:rsidR="00355E03">
        <w:t>.</w:t>
      </w:r>
    </w:p>
    <w:p w:rsidR="009C2C74" w:rsidRDefault="001746FB" w:rsidP="00236F73">
      <w:pPr>
        <w:spacing w:after="160"/>
        <w:ind w:left="360"/>
        <w:jc w:val="both"/>
      </w:pPr>
      <w:r>
        <w:t xml:space="preserve">Furthermore, examination of work-related injury </w:t>
      </w:r>
      <w:r w:rsidR="00E02D35">
        <w:t>data</w:t>
      </w:r>
      <w:r>
        <w:t xml:space="preserve"> reveals</w:t>
      </w:r>
      <w:r w:rsidR="009C2C74">
        <w:t xml:space="preserve"> </w:t>
      </w:r>
      <w:r w:rsidR="00D3783B">
        <w:t xml:space="preserve">various </w:t>
      </w:r>
      <w:r>
        <w:t xml:space="preserve">WRII </w:t>
      </w:r>
      <w:r w:rsidR="00DB5B0D">
        <w:t xml:space="preserve">performance </w:t>
      </w:r>
      <w:r w:rsidR="00E02D35">
        <w:t>reporting tends to be incomplete, unreliable and incomparable</w:t>
      </w:r>
      <w:r w:rsidR="009C2C74">
        <w:t>:</w:t>
      </w:r>
    </w:p>
    <w:p w:rsidR="00E02D35" w:rsidRDefault="00E02D35" w:rsidP="00236F73">
      <w:pPr>
        <w:pStyle w:val="ListParagraph"/>
        <w:numPr>
          <w:ilvl w:val="0"/>
          <w:numId w:val="45"/>
        </w:numPr>
        <w:spacing w:after="160"/>
        <w:jc w:val="both"/>
      </w:pPr>
      <w:r>
        <w:t xml:space="preserve">Different firms report different WRII measures, and some firms change the measures they report on from year to year, </w:t>
      </w:r>
      <w:r w:rsidR="00487123">
        <w:t xml:space="preserve">both </w:t>
      </w:r>
      <w:r>
        <w:t xml:space="preserve">preventing </w:t>
      </w:r>
      <w:r w:rsidR="00487123">
        <w:t xml:space="preserve">user </w:t>
      </w:r>
      <w:r>
        <w:t xml:space="preserve">comparisons across firms </w:t>
      </w:r>
      <w:r w:rsidR="00487123">
        <w:t xml:space="preserve">and over </w:t>
      </w:r>
      <w:r>
        <w:t>time</w:t>
      </w:r>
    </w:p>
    <w:p w:rsidR="006722CC" w:rsidRDefault="00E02D35" w:rsidP="00236F73">
      <w:pPr>
        <w:pStyle w:val="ListParagraph"/>
        <w:numPr>
          <w:ilvl w:val="0"/>
          <w:numId w:val="45"/>
        </w:numPr>
        <w:spacing w:after="160"/>
        <w:jc w:val="both"/>
      </w:pPr>
      <w:r>
        <w:t xml:space="preserve">Some </w:t>
      </w:r>
      <w:r w:rsidR="00D3783B">
        <w:t xml:space="preserve">firms </w:t>
      </w:r>
      <w:r>
        <w:t xml:space="preserve">omit WRII data </w:t>
      </w:r>
      <w:r w:rsidR="00D3783B">
        <w:t xml:space="preserve">from reports </w:t>
      </w:r>
      <w:r w:rsidR="00106B88">
        <w:t xml:space="preserve">where </w:t>
      </w:r>
      <w:r w:rsidR="00B4447A">
        <w:t>results are</w:t>
      </w:r>
      <w:r w:rsidR="00106B88">
        <w:t xml:space="preserve"> poor (</w:t>
      </w:r>
      <w:r w:rsidR="00B4447A">
        <w:t xml:space="preserve">or </w:t>
      </w:r>
      <w:r w:rsidR="00106B88">
        <w:t>deteriorating)</w:t>
      </w:r>
      <w:r>
        <w:t xml:space="preserve"> </w:t>
      </w:r>
    </w:p>
    <w:p w:rsidR="000C124F" w:rsidRDefault="00D3783B" w:rsidP="00236F73">
      <w:pPr>
        <w:pStyle w:val="ListParagraph"/>
        <w:numPr>
          <w:ilvl w:val="0"/>
          <w:numId w:val="44"/>
        </w:numPr>
        <w:spacing w:after="160"/>
        <w:jc w:val="both"/>
      </w:pPr>
      <w:r>
        <w:t>Some firms present similar injury measures but call them different things (e.g. injury rate and incident rate), other</w:t>
      </w:r>
      <w:r w:rsidR="00D000C5">
        <w:t xml:space="preserve"> firm</w:t>
      </w:r>
      <w:r>
        <w:t xml:space="preserve">s </w:t>
      </w:r>
      <w:r w:rsidR="00D000C5">
        <w:t xml:space="preserve">use the same </w:t>
      </w:r>
      <w:r>
        <w:t>label</w:t>
      </w:r>
      <w:r w:rsidR="00D000C5">
        <w:t>s</w:t>
      </w:r>
      <w:r>
        <w:t xml:space="preserve"> but actually measure their data differently (e.g. LTIFR calculated</w:t>
      </w:r>
      <w:r w:rsidR="002C23DF">
        <w:t xml:space="preserve"> per 1 million hours or per 200 </w:t>
      </w:r>
      <w:r>
        <w:t>000 hours)</w:t>
      </w:r>
      <w:r w:rsidR="002C23DF">
        <w:t>,</w:t>
      </w:r>
      <w:r>
        <w:t xml:space="preserve"> and</w:t>
      </w:r>
    </w:p>
    <w:p w:rsidR="00D3783B" w:rsidRDefault="00D3783B" w:rsidP="00236F73">
      <w:pPr>
        <w:pStyle w:val="ListParagraph"/>
        <w:numPr>
          <w:ilvl w:val="0"/>
          <w:numId w:val="44"/>
        </w:numPr>
        <w:spacing w:after="160"/>
        <w:jc w:val="both"/>
      </w:pPr>
      <w:r>
        <w:t xml:space="preserve">Very few </w:t>
      </w:r>
      <w:r w:rsidR="00D000C5">
        <w:t>WRII</w:t>
      </w:r>
      <w:r>
        <w:t xml:space="preserve"> disclosures are subject to independent assurance or review.</w:t>
      </w:r>
    </w:p>
    <w:p w:rsidR="00B4447A" w:rsidRDefault="00D3783B">
      <w:pPr>
        <w:spacing w:after="160"/>
        <w:jc w:val="both"/>
      </w:pPr>
      <w:r>
        <w:t>Overall</w:t>
      </w:r>
      <w:r w:rsidR="00B4447A">
        <w:t xml:space="preserve">, </w:t>
      </w:r>
      <w:r w:rsidR="002C23DF">
        <w:t>work health and safety</w:t>
      </w:r>
      <w:r w:rsidR="00B4447A">
        <w:t xml:space="preserve"> disclosures </w:t>
      </w:r>
      <w:r w:rsidR="00D000C5">
        <w:t>have tended to</w:t>
      </w:r>
      <w:r w:rsidR="00B4447A">
        <w:t xml:space="preserve"> </w:t>
      </w:r>
      <w:r w:rsidRPr="00D3783B">
        <w:t>lack the necessary detail (</w:t>
      </w:r>
      <w:r>
        <w:t>e.g.</w:t>
      </w:r>
      <w:r w:rsidRPr="00D3783B">
        <w:t xml:space="preserve"> glossaries and definitions)</w:t>
      </w:r>
      <w:r>
        <w:t xml:space="preserve">, </w:t>
      </w:r>
      <w:r w:rsidR="00487123">
        <w:t xml:space="preserve">the </w:t>
      </w:r>
      <w:r>
        <w:t>stability and completeness</w:t>
      </w:r>
      <w:r w:rsidRPr="00D3783B">
        <w:t xml:space="preserve"> needed </w:t>
      </w:r>
      <w:r w:rsidR="00487123">
        <w:t>for</w:t>
      </w:r>
      <w:r w:rsidR="00487123" w:rsidRPr="00D3783B">
        <w:t xml:space="preserve"> users </w:t>
      </w:r>
      <w:r w:rsidRPr="00D3783B">
        <w:t xml:space="preserve">to </w:t>
      </w:r>
      <w:r w:rsidR="00487123">
        <w:t>make</w:t>
      </w:r>
      <w:r w:rsidR="00487123" w:rsidRPr="00D3783B">
        <w:t xml:space="preserve"> </w:t>
      </w:r>
      <w:r w:rsidRPr="00D3783B">
        <w:t>valid interpretation</w:t>
      </w:r>
      <w:r w:rsidR="00487123">
        <w:t>s</w:t>
      </w:r>
      <w:r w:rsidRPr="00236F73">
        <w:t>.</w:t>
      </w:r>
      <w:r w:rsidRPr="006B3FAB">
        <w:rPr>
          <w:rStyle w:val="FootnoteReference"/>
        </w:rPr>
        <w:footnoteReference w:id="79"/>
      </w:r>
      <w:r>
        <w:t xml:space="preserve"> </w:t>
      </w:r>
      <w:r w:rsidRPr="00236F73">
        <w:t xml:space="preserve">As a result, </w:t>
      </w:r>
      <w:r w:rsidR="00D000C5">
        <w:t xml:space="preserve">voluntary </w:t>
      </w:r>
      <w:r w:rsidR="002C23DF">
        <w:t>work health and safety</w:t>
      </w:r>
      <w:r w:rsidR="00D000C5">
        <w:t xml:space="preserve"> reporting is often</w:t>
      </w:r>
      <w:r w:rsidRPr="00236F73">
        <w:t xml:space="preserve"> i</w:t>
      </w:r>
      <w:r w:rsidR="00B4447A">
        <w:t xml:space="preserve">rrelevant for stakeholder decision-making and inadequate for discharging managerial accountability for the control of </w:t>
      </w:r>
      <w:r w:rsidR="002C23DF">
        <w:t>work health and safety</w:t>
      </w:r>
      <w:r w:rsidR="00B4447A">
        <w:t>.</w:t>
      </w:r>
      <w:r w:rsidR="006868D8" w:rsidRPr="006868D8">
        <w:t xml:space="preserve"> </w:t>
      </w:r>
    </w:p>
    <w:p w:rsidR="003E5EF0" w:rsidRPr="00D010C4" w:rsidRDefault="003E5EF0" w:rsidP="00F60ED5">
      <w:pPr>
        <w:pStyle w:val="Style1"/>
        <w:numPr>
          <w:ilvl w:val="0"/>
          <w:numId w:val="14"/>
        </w:numPr>
        <w:spacing w:before="120" w:after="120" w:line="240" w:lineRule="auto"/>
        <w:ind w:left="567" w:hanging="567"/>
        <w:rPr>
          <w:rFonts w:asciiTheme="minorHAnsi" w:hAnsiTheme="minorHAnsi"/>
          <w:color w:val="365F91" w:themeColor="accent1" w:themeShade="BF"/>
          <w:sz w:val="28"/>
          <w:szCs w:val="28"/>
        </w:rPr>
      </w:pPr>
      <w:bookmarkStart w:id="32" w:name="_Toc361085321"/>
      <w:r w:rsidRPr="00D010C4">
        <w:rPr>
          <w:rFonts w:asciiTheme="minorHAnsi" w:hAnsiTheme="minorHAnsi"/>
          <w:color w:val="365F91" w:themeColor="accent1" w:themeShade="BF"/>
          <w:sz w:val="28"/>
          <w:szCs w:val="28"/>
        </w:rPr>
        <w:t>Existing frameworks and guidance</w:t>
      </w:r>
      <w:bookmarkEnd w:id="32"/>
    </w:p>
    <w:p w:rsidR="0094466C" w:rsidRDefault="00166B2E" w:rsidP="00F60ED5">
      <w:pPr>
        <w:spacing w:after="0"/>
        <w:jc w:val="both"/>
      </w:pPr>
      <w:r>
        <w:t xml:space="preserve">Appendix 4 lists sources of further information </w:t>
      </w:r>
      <w:r w:rsidR="00487123">
        <w:t>currently available to</w:t>
      </w:r>
      <w:r>
        <w:t xml:space="preserve"> organisations </w:t>
      </w:r>
      <w:r w:rsidR="00487123">
        <w:t>when selecting</w:t>
      </w:r>
      <w:r>
        <w:t xml:space="preserve"> </w:t>
      </w:r>
      <w:r w:rsidR="002C23DF">
        <w:t>work health and safety</w:t>
      </w:r>
      <w:r>
        <w:t xml:space="preserve"> information to report to internal decision-makers and external stakeholders. However, the</w:t>
      </w:r>
      <w:r w:rsidR="00487123">
        <w:t>se</w:t>
      </w:r>
      <w:r>
        <w:t xml:space="preserve"> sources are often inconsistent, </w:t>
      </w:r>
      <w:r w:rsidR="00487123">
        <w:t xml:space="preserve">presenting </w:t>
      </w:r>
      <w:r>
        <w:t>competing frameworks</w:t>
      </w:r>
      <w:r w:rsidRPr="00166B2E">
        <w:t xml:space="preserve"> </w:t>
      </w:r>
      <w:r>
        <w:t xml:space="preserve">and conflicting recommendations for measuring </w:t>
      </w:r>
      <w:r w:rsidR="00487123">
        <w:t xml:space="preserve">and reporting </w:t>
      </w:r>
      <w:r>
        <w:t xml:space="preserve">WRIIs. The absence to date of generally accepted, high quality guidance for </w:t>
      </w:r>
      <w:r w:rsidR="002C23DF">
        <w:t>work health and safety</w:t>
      </w:r>
      <w:r>
        <w:t xml:space="preserve"> reporting c</w:t>
      </w:r>
      <w:r w:rsidR="00D000C5">
        <w:t>ontribut</w:t>
      </w:r>
      <w:r>
        <w:t>es</w:t>
      </w:r>
      <w:r w:rsidR="00D000C5">
        <w:t xml:space="preserve"> to the limitations of existing voluntary disclosures </w:t>
      </w:r>
      <w:r>
        <w:t>outlined above</w:t>
      </w:r>
      <w:r w:rsidR="00D000C5">
        <w:t xml:space="preserve">. </w:t>
      </w:r>
      <w:r>
        <w:t xml:space="preserve"> </w:t>
      </w:r>
    </w:p>
    <w:p w:rsidR="009A3E06" w:rsidRPr="00D010C4" w:rsidRDefault="009A3E06" w:rsidP="00F60ED5">
      <w:pPr>
        <w:pStyle w:val="Style1"/>
        <w:numPr>
          <w:ilvl w:val="0"/>
          <w:numId w:val="14"/>
        </w:numPr>
        <w:spacing w:before="0" w:after="120"/>
        <w:ind w:left="567" w:hanging="567"/>
        <w:rPr>
          <w:rFonts w:asciiTheme="minorHAnsi" w:hAnsiTheme="minorHAnsi"/>
          <w:color w:val="365F91" w:themeColor="accent1" w:themeShade="BF"/>
          <w:sz w:val="28"/>
          <w:szCs w:val="28"/>
        </w:rPr>
      </w:pPr>
      <w:bookmarkStart w:id="33" w:name="_Toc361085322"/>
      <w:r w:rsidRPr="00D010C4">
        <w:rPr>
          <w:rFonts w:asciiTheme="minorHAnsi" w:hAnsiTheme="minorHAnsi"/>
          <w:color w:val="365F91" w:themeColor="accent1" w:themeShade="BF"/>
          <w:sz w:val="28"/>
          <w:szCs w:val="28"/>
        </w:rPr>
        <w:t>Future directions</w:t>
      </w:r>
      <w:bookmarkEnd w:id="33"/>
    </w:p>
    <w:p w:rsidR="00860D43" w:rsidRPr="00860D43" w:rsidRDefault="00860D43" w:rsidP="00860D43">
      <w:pPr>
        <w:jc w:val="both"/>
        <w:rPr>
          <w:rFonts w:eastAsia="Times New Roman" w:cs="Arial"/>
        </w:rPr>
      </w:pPr>
      <w:r w:rsidRPr="00860D43">
        <w:rPr>
          <w:rFonts w:eastAsia="Times New Roman" w:cs="Arial"/>
        </w:rPr>
        <w:t xml:space="preserve">The limitations of injury data (LTI rates in particular) have been debated for decades. The need for alternate measures of WRII and supplementary </w:t>
      </w:r>
      <w:r w:rsidR="00487123">
        <w:rPr>
          <w:rFonts w:eastAsia="Times New Roman" w:cs="Arial"/>
        </w:rPr>
        <w:t xml:space="preserve">provision of </w:t>
      </w:r>
      <w:r w:rsidRPr="00860D43">
        <w:rPr>
          <w:rFonts w:eastAsia="Times New Roman" w:cs="Arial"/>
        </w:rPr>
        <w:t>positive performance measures is well documented.</w:t>
      </w:r>
      <w:r>
        <w:rPr>
          <w:rStyle w:val="FootnoteReference"/>
          <w:rFonts w:eastAsia="Times New Roman" w:cs="Arial"/>
        </w:rPr>
        <w:footnoteReference w:id="80"/>
      </w:r>
      <w:r w:rsidRPr="00860D43">
        <w:rPr>
          <w:rFonts w:eastAsia="Times New Roman" w:cs="Arial"/>
        </w:rPr>
        <w:t xml:space="preserve"> Nevertheless, despite the </w:t>
      </w:r>
      <w:r w:rsidR="00487123">
        <w:rPr>
          <w:rFonts w:eastAsia="Times New Roman" w:cs="Arial"/>
        </w:rPr>
        <w:t xml:space="preserve">availability </w:t>
      </w:r>
      <w:r w:rsidRPr="00860D43">
        <w:rPr>
          <w:rFonts w:eastAsia="Times New Roman" w:cs="Arial"/>
        </w:rPr>
        <w:t xml:space="preserve">of guidance documents, frameworks and suggestions for developing PPIs, limited progress has been achieved </w:t>
      </w:r>
      <w:r>
        <w:rPr>
          <w:rFonts w:eastAsia="Times New Roman" w:cs="Arial"/>
        </w:rPr>
        <w:t>in</w:t>
      </w:r>
      <w:r w:rsidRPr="00860D43">
        <w:rPr>
          <w:rFonts w:eastAsia="Times New Roman" w:cs="Arial"/>
        </w:rPr>
        <w:t xml:space="preserve"> crafting and empirically validating </w:t>
      </w:r>
      <w:r w:rsidR="00487123" w:rsidRPr="00860D43">
        <w:rPr>
          <w:rFonts w:eastAsia="Times New Roman" w:cs="Arial"/>
        </w:rPr>
        <w:t xml:space="preserve">the </w:t>
      </w:r>
      <w:r w:rsidR="00487123">
        <w:rPr>
          <w:rFonts w:eastAsia="Times New Roman" w:cs="Arial"/>
        </w:rPr>
        <w:t>high quality</w:t>
      </w:r>
      <w:r w:rsidR="00487123" w:rsidRPr="00860D43">
        <w:rPr>
          <w:rFonts w:eastAsia="Times New Roman" w:cs="Arial"/>
        </w:rPr>
        <w:t xml:space="preserve"> </w:t>
      </w:r>
      <w:r w:rsidR="00487123">
        <w:rPr>
          <w:rFonts w:eastAsia="Times New Roman" w:cs="Arial"/>
        </w:rPr>
        <w:t xml:space="preserve">process </w:t>
      </w:r>
      <w:r w:rsidRPr="00860D43">
        <w:rPr>
          <w:rFonts w:eastAsia="Times New Roman" w:cs="Arial"/>
        </w:rPr>
        <w:t xml:space="preserve">performance measures </w:t>
      </w:r>
      <w:r w:rsidR="00487123">
        <w:rPr>
          <w:rFonts w:eastAsia="Times New Roman" w:cs="Arial"/>
        </w:rPr>
        <w:t>needed to</w:t>
      </w:r>
      <w:r w:rsidR="002C23DF">
        <w:rPr>
          <w:rFonts w:eastAsia="Times New Roman" w:cs="Arial"/>
        </w:rPr>
        <w:t xml:space="preserve"> support work health and safety</w:t>
      </w:r>
      <w:r w:rsidRPr="00860D43">
        <w:rPr>
          <w:rFonts w:eastAsia="Times New Roman" w:cs="Arial"/>
        </w:rPr>
        <w:t xml:space="preserve"> decision-making.</w:t>
      </w:r>
    </w:p>
    <w:p w:rsidR="00860D43" w:rsidRDefault="00860D43" w:rsidP="00F60ED5">
      <w:pPr>
        <w:spacing w:after="120"/>
        <w:jc w:val="both"/>
        <w:rPr>
          <w:rFonts w:eastAsia="Times New Roman" w:cs="Arial"/>
        </w:rPr>
      </w:pPr>
      <w:r w:rsidRPr="00860D43">
        <w:rPr>
          <w:rFonts w:eastAsia="Times New Roman" w:cs="Arial"/>
        </w:rPr>
        <w:t xml:space="preserve">The accounting profession has disciplinary expertise in the design and management of performance measurement, reporting and control systems. Yet, evidence suggests accountants have, at least to date, tended to import existing injury measures such as LTI and LTIFR rates into balanced scorecards and other performance reports and control systems, rather than actively engage with </w:t>
      </w:r>
      <w:r w:rsidR="002C23DF">
        <w:rPr>
          <w:rFonts w:eastAsia="Times New Roman" w:cs="Arial"/>
        </w:rPr>
        <w:t>work health and safety</w:t>
      </w:r>
      <w:r w:rsidRPr="00860D43">
        <w:rPr>
          <w:rFonts w:eastAsia="Times New Roman" w:cs="Arial"/>
        </w:rPr>
        <w:t xml:space="preserve"> professionals to develop more valid, relevant and reliable measures of </w:t>
      </w:r>
      <w:r w:rsidR="002C23DF">
        <w:rPr>
          <w:rFonts w:eastAsia="Times New Roman" w:cs="Arial"/>
        </w:rPr>
        <w:t>work health and safety</w:t>
      </w:r>
      <w:r w:rsidRPr="00860D43">
        <w:rPr>
          <w:rFonts w:eastAsia="Times New Roman" w:cs="Arial"/>
        </w:rPr>
        <w:t xml:space="preserve"> performance.  This review suggests significant potential exists for collaborative efforts of the </w:t>
      </w:r>
      <w:r w:rsidR="002C23DF">
        <w:rPr>
          <w:rFonts w:eastAsia="Times New Roman" w:cs="Arial"/>
        </w:rPr>
        <w:t>work health and safety</w:t>
      </w:r>
      <w:r w:rsidRPr="00860D43">
        <w:rPr>
          <w:rFonts w:eastAsia="Times New Roman" w:cs="Arial"/>
        </w:rPr>
        <w:t xml:space="preserve"> and accounting professions to develop, test and validate novel performance measures and indicators for </w:t>
      </w:r>
      <w:r w:rsidR="002C23DF">
        <w:rPr>
          <w:rFonts w:eastAsia="Times New Roman" w:cs="Arial"/>
        </w:rPr>
        <w:t>work health and safety</w:t>
      </w:r>
      <w:r w:rsidRPr="00860D43">
        <w:rPr>
          <w:rFonts w:eastAsia="Times New Roman" w:cs="Arial"/>
        </w:rPr>
        <w:t xml:space="preserve"> management control systems.</w:t>
      </w:r>
    </w:p>
    <w:p w:rsidR="00E412CE" w:rsidRPr="00FD29A0" w:rsidRDefault="00E517AD" w:rsidP="00F60ED5">
      <w:pPr>
        <w:pStyle w:val="Heading1"/>
        <w:numPr>
          <w:ilvl w:val="0"/>
          <w:numId w:val="23"/>
        </w:numPr>
        <w:tabs>
          <w:tab w:val="center" w:pos="4607"/>
        </w:tabs>
        <w:spacing w:before="120" w:after="120"/>
        <w:ind w:left="425" w:hanging="425"/>
        <w:rPr>
          <w:rFonts w:asciiTheme="minorHAnsi" w:hAnsiTheme="minorHAnsi"/>
          <w:sz w:val="30"/>
          <w:szCs w:val="30"/>
        </w:rPr>
      </w:pPr>
      <w:bookmarkStart w:id="34" w:name="_Toc361085323"/>
      <w:r>
        <w:rPr>
          <w:rFonts w:asciiTheme="minorHAnsi" w:hAnsiTheme="minorHAnsi"/>
          <w:sz w:val="30"/>
          <w:szCs w:val="30"/>
        </w:rPr>
        <w:t>C</w:t>
      </w:r>
      <w:r w:rsidR="00E412CE" w:rsidRPr="00FD29A0">
        <w:rPr>
          <w:rFonts w:asciiTheme="minorHAnsi" w:hAnsiTheme="minorHAnsi"/>
          <w:sz w:val="30"/>
          <w:szCs w:val="30"/>
        </w:rPr>
        <w:t>onclusion</w:t>
      </w:r>
      <w:bookmarkEnd w:id="34"/>
    </w:p>
    <w:p w:rsidR="00860D43" w:rsidRDefault="00A70F13" w:rsidP="00723046">
      <w:pPr>
        <w:jc w:val="both"/>
        <w:rPr>
          <w:rFonts w:eastAsia="Times New Roman" w:cs="Arial"/>
        </w:rPr>
      </w:pPr>
      <w:r w:rsidRPr="00A70F13">
        <w:rPr>
          <w:rFonts w:eastAsia="Times New Roman" w:cs="Arial"/>
        </w:rPr>
        <w:t xml:space="preserve">Advances in </w:t>
      </w:r>
      <w:r w:rsidR="002C23DF">
        <w:rPr>
          <w:rFonts w:eastAsia="Times New Roman" w:cs="Arial"/>
        </w:rPr>
        <w:t xml:space="preserve">work health and </w:t>
      </w:r>
      <w:r w:rsidR="00C15968">
        <w:rPr>
          <w:rFonts w:eastAsia="Times New Roman" w:cs="Arial"/>
        </w:rPr>
        <w:t>safety</w:t>
      </w:r>
      <w:r w:rsidRPr="00A70F13">
        <w:rPr>
          <w:rFonts w:eastAsia="Times New Roman" w:cs="Arial"/>
        </w:rPr>
        <w:t xml:space="preserve"> theory and practice </w:t>
      </w:r>
      <w:r w:rsidR="00860D43">
        <w:rPr>
          <w:rFonts w:eastAsia="Times New Roman" w:cs="Arial"/>
        </w:rPr>
        <w:t>have been underpinned by an increasingly comprehensive technical body of knowledge since the mid-20th century</w:t>
      </w:r>
      <w:r w:rsidR="00487123">
        <w:rPr>
          <w:rFonts w:eastAsia="Times New Roman" w:cs="Arial"/>
        </w:rPr>
        <w:t>. This</w:t>
      </w:r>
      <w:r w:rsidR="00860D43">
        <w:rPr>
          <w:rFonts w:eastAsia="Times New Roman" w:cs="Arial"/>
        </w:rPr>
        <w:t xml:space="preserve"> has fostered continued </w:t>
      </w:r>
      <w:r w:rsidR="00723046">
        <w:rPr>
          <w:rFonts w:eastAsia="Times New Roman" w:cs="Arial"/>
        </w:rPr>
        <w:t>improvement</w:t>
      </w:r>
      <w:r w:rsidR="00A50AA3">
        <w:rPr>
          <w:rFonts w:eastAsia="Times New Roman" w:cs="Arial"/>
        </w:rPr>
        <w:t xml:space="preserve"> </w:t>
      </w:r>
      <w:r w:rsidR="008D1E2F">
        <w:rPr>
          <w:rFonts w:eastAsia="Times New Roman" w:cs="Arial"/>
        </w:rPr>
        <w:t xml:space="preserve">of </w:t>
      </w:r>
      <w:r w:rsidR="002C23DF">
        <w:rPr>
          <w:rFonts w:eastAsia="Times New Roman" w:cs="Arial"/>
        </w:rPr>
        <w:t>work health and safety</w:t>
      </w:r>
      <w:r w:rsidR="008D1E2F">
        <w:rPr>
          <w:rFonts w:eastAsia="Times New Roman" w:cs="Arial"/>
        </w:rPr>
        <w:t xml:space="preserve"> outcomes</w:t>
      </w:r>
      <w:r w:rsidR="005F2069">
        <w:rPr>
          <w:rFonts w:eastAsia="Times New Roman" w:cs="Arial"/>
        </w:rPr>
        <w:t>,</w:t>
      </w:r>
      <w:r w:rsidR="00A50AA3">
        <w:rPr>
          <w:rFonts w:eastAsia="Times New Roman" w:cs="Arial"/>
        </w:rPr>
        <w:t xml:space="preserve"> </w:t>
      </w:r>
      <w:r w:rsidR="00860D43">
        <w:rPr>
          <w:rFonts w:eastAsia="Times New Roman" w:cs="Arial"/>
        </w:rPr>
        <w:t xml:space="preserve">both </w:t>
      </w:r>
      <w:r w:rsidR="008D1E2F">
        <w:rPr>
          <w:rFonts w:eastAsia="Times New Roman" w:cs="Arial"/>
        </w:rPr>
        <w:t xml:space="preserve">in Australia and around the </w:t>
      </w:r>
      <w:r w:rsidR="00860D43">
        <w:rPr>
          <w:rFonts w:eastAsia="Times New Roman" w:cs="Arial"/>
        </w:rPr>
        <w:t>world</w:t>
      </w:r>
      <w:r w:rsidR="00860D43" w:rsidRPr="00860D43">
        <w:rPr>
          <w:rFonts w:eastAsia="Times New Roman" w:cs="Arial"/>
        </w:rPr>
        <w:t>.</w:t>
      </w:r>
      <w:r w:rsidR="00860D43" w:rsidRPr="00860D43">
        <w:rPr>
          <w:rFonts w:eastAsia="Times New Roman" w:cs="Arial"/>
          <w:vertAlign w:val="superscript"/>
        </w:rPr>
        <w:footnoteReference w:id="81"/>
      </w:r>
      <w:r w:rsidR="00860D43" w:rsidRPr="00860D43">
        <w:rPr>
          <w:rFonts w:eastAsia="Times New Roman" w:cs="Arial"/>
        </w:rPr>
        <w:t xml:space="preserve"> Yet, effort</w:t>
      </w:r>
      <w:r w:rsidR="00860D43">
        <w:rPr>
          <w:rFonts w:eastAsia="Times New Roman" w:cs="Arial"/>
        </w:rPr>
        <w:t>s</w:t>
      </w:r>
      <w:r w:rsidR="00860D43" w:rsidRPr="00860D43">
        <w:rPr>
          <w:rFonts w:eastAsia="Times New Roman" w:cs="Arial"/>
        </w:rPr>
        <w:t xml:space="preserve"> directed at identifying and continuously improving </w:t>
      </w:r>
      <w:r w:rsidR="006F25C3">
        <w:rPr>
          <w:rFonts w:eastAsia="Times New Roman" w:cs="Arial"/>
        </w:rPr>
        <w:t>work health and safety</w:t>
      </w:r>
      <w:r w:rsidR="00860D43" w:rsidRPr="00860D43">
        <w:rPr>
          <w:rFonts w:eastAsia="Times New Roman" w:cs="Arial"/>
        </w:rPr>
        <w:t xml:space="preserve"> performance evaluation have seemingly not kept pace. In particular, there is an ongoing need for relevant, reliable and empirically validated performance measures and indicators </w:t>
      </w:r>
      <w:r w:rsidR="00860D43">
        <w:rPr>
          <w:rFonts w:eastAsia="Times New Roman" w:cs="Arial"/>
        </w:rPr>
        <w:t xml:space="preserve">that can help understand the material consequences of WRII and </w:t>
      </w:r>
      <w:r w:rsidR="002C23DF">
        <w:rPr>
          <w:rFonts w:eastAsia="Times New Roman" w:cs="Arial"/>
        </w:rPr>
        <w:t>more effectively inform work health and safety</w:t>
      </w:r>
      <w:r w:rsidR="00860D43" w:rsidRPr="00860D43">
        <w:rPr>
          <w:rFonts w:eastAsia="Times New Roman" w:cs="Arial"/>
        </w:rPr>
        <w:t xml:space="preserve"> strategies and practices.</w:t>
      </w:r>
    </w:p>
    <w:p w:rsidR="00860D43" w:rsidRDefault="006E28B5" w:rsidP="00860D43">
      <w:pPr>
        <w:jc w:val="both"/>
        <w:rPr>
          <w:rFonts w:eastAsia="Times New Roman" w:cs="Arial"/>
        </w:rPr>
      </w:pPr>
      <w:r>
        <w:rPr>
          <w:rFonts w:eastAsia="Times New Roman" w:cs="Arial"/>
        </w:rPr>
        <w:t xml:space="preserve">The traditional reliance on measures such as </w:t>
      </w:r>
      <w:r w:rsidR="00860D43">
        <w:rPr>
          <w:rFonts w:eastAsia="Times New Roman" w:cs="Arial"/>
        </w:rPr>
        <w:t>LTI</w:t>
      </w:r>
      <w:r w:rsidR="00A50AA3">
        <w:rPr>
          <w:rFonts w:eastAsia="Times New Roman" w:cs="Arial"/>
        </w:rPr>
        <w:t xml:space="preserve"> </w:t>
      </w:r>
      <w:r>
        <w:rPr>
          <w:rFonts w:eastAsia="Times New Roman" w:cs="Arial"/>
        </w:rPr>
        <w:t xml:space="preserve">has been heavily criticised of late. </w:t>
      </w:r>
      <w:r w:rsidR="00C2418D">
        <w:rPr>
          <w:rFonts w:eastAsia="Times New Roman" w:cs="Arial"/>
        </w:rPr>
        <w:t xml:space="preserve">Recognising </w:t>
      </w:r>
      <w:r w:rsidR="00B908F6">
        <w:rPr>
          <w:rFonts w:eastAsia="Times New Roman" w:cs="Arial"/>
        </w:rPr>
        <w:t>the limited value of</w:t>
      </w:r>
      <w:r w:rsidR="00C2418D">
        <w:rPr>
          <w:rFonts w:eastAsia="Times New Roman" w:cs="Arial"/>
        </w:rPr>
        <w:t xml:space="preserve"> LTI data for informing most </w:t>
      </w:r>
      <w:r w:rsidR="006F25C3">
        <w:rPr>
          <w:rFonts w:eastAsia="Times New Roman" w:cs="Arial"/>
        </w:rPr>
        <w:t>work health and safety</w:t>
      </w:r>
      <w:r w:rsidR="00C2418D">
        <w:rPr>
          <w:rFonts w:eastAsia="Times New Roman" w:cs="Arial"/>
        </w:rPr>
        <w:t xml:space="preserve"> decisions, s</w:t>
      </w:r>
      <w:r>
        <w:rPr>
          <w:rFonts w:eastAsia="Times New Roman" w:cs="Arial"/>
        </w:rPr>
        <w:t xml:space="preserve">ome scholars have called for </w:t>
      </w:r>
      <w:r w:rsidR="00861099">
        <w:rPr>
          <w:rFonts w:eastAsia="Times New Roman" w:cs="Arial"/>
        </w:rPr>
        <w:t xml:space="preserve">the focus of </w:t>
      </w:r>
      <w:r>
        <w:rPr>
          <w:rFonts w:eastAsia="Times New Roman" w:cs="Arial"/>
        </w:rPr>
        <w:t xml:space="preserve">attention </w:t>
      </w:r>
      <w:r w:rsidR="005704DB">
        <w:rPr>
          <w:rFonts w:eastAsia="Times New Roman" w:cs="Arial"/>
        </w:rPr>
        <w:t xml:space="preserve">to shift </w:t>
      </w:r>
      <w:r w:rsidR="00B908F6">
        <w:rPr>
          <w:rFonts w:eastAsia="Times New Roman" w:cs="Arial"/>
        </w:rPr>
        <w:t xml:space="preserve">away </w:t>
      </w:r>
      <w:r>
        <w:rPr>
          <w:rFonts w:eastAsia="Times New Roman" w:cs="Arial"/>
        </w:rPr>
        <w:t xml:space="preserve">from injury outcome measures to positive (or leading) </w:t>
      </w:r>
      <w:r w:rsidR="002C23DF">
        <w:rPr>
          <w:rFonts w:eastAsia="Times New Roman" w:cs="Arial"/>
        </w:rPr>
        <w:t>work health and safety</w:t>
      </w:r>
      <w:r>
        <w:rPr>
          <w:rFonts w:eastAsia="Times New Roman" w:cs="Arial"/>
        </w:rPr>
        <w:t xml:space="preserve"> performance indicators. </w:t>
      </w:r>
      <w:r w:rsidR="00860D43">
        <w:rPr>
          <w:rFonts w:eastAsia="Times New Roman" w:cs="Arial"/>
        </w:rPr>
        <w:t>Yet, this overlooks the critical point that activity</w:t>
      </w:r>
      <w:r w:rsidR="00B908F6">
        <w:rPr>
          <w:rFonts w:eastAsia="Times New Roman" w:cs="Arial"/>
        </w:rPr>
        <w:t xml:space="preserve"> (input and process) and injury (outcome) </w:t>
      </w:r>
      <w:r w:rsidR="00860D43">
        <w:rPr>
          <w:rFonts w:eastAsia="Times New Roman" w:cs="Arial"/>
        </w:rPr>
        <w:t xml:space="preserve">measures simply provide different types of data, each relevant for informing particular </w:t>
      </w:r>
      <w:r w:rsidR="00860D43">
        <w:rPr>
          <w:rFonts w:eastAsia="Times New Roman" w:cs="Arial"/>
          <w:i/>
        </w:rPr>
        <w:t>types</w:t>
      </w:r>
      <w:r w:rsidR="00860D43">
        <w:rPr>
          <w:rFonts w:eastAsia="Times New Roman" w:cs="Arial"/>
        </w:rPr>
        <w:t xml:space="preserve"> of decisions. </w:t>
      </w:r>
      <w:r w:rsidR="00B908F6">
        <w:rPr>
          <w:rFonts w:eastAsia="Times New Roman" w:cs="Arial"/>
        </w:rPr>
        <w:t xml:space="preserve">Disregarding one or the other would </w:t>
      </w:r>
      <w:r w:rsidR="00860D43">
        <w:rPr>
          <w:rFonts w:eastAsia="Times New Roman" w:cs="Arial"/>
        </w:rPr>
        <w:t>akin to</w:t>
      </w:r>
      <w:r w:rsidR="00B908F6">
        <w:rPr>
          <w:rFonts w:eastAsia="Times New Roman" w:cs="Arial"/>
        </w:rPr>
        <w:t xml:space="preserve"> asking investors to choose between receiving a Balance Sheet and an Income Statement</w:t>
      </w:r>
      <w:r w:rsidR="00860D43">
        <w:rPr>
          <w:rFonts w:eastAsia="Times New Roman" w:cs="Arial"/>
        </w:rPr>
        <w:t>:</w:t>
      </w:r>
      <w:r w:rsidR="00B908F6">
        <w:rPr>
          <w:rFonts w:eastAsia="Times New Roman" w:cs="Arial"/>
        </w:rPr>
        <w:t xml:space="preserve"> both are important because they provide different perspectives on an organisation’s success – one reflects position and the other reflects performance.</w:t>
      </w:r>
    </w:p>
    <w:p w:rsidR="00A93F3D" w:rsidRPr="00A93F3D" w:rsidRDefault="00A93F3D" w:rsidP="00A93F3D">
      <w:pPr>
        <w:spacing w:after="120"/>
        <w:jc w:val="both"/>
        <w:rPr>
          <w:rFonts w:eastAsia="Times New Roman" w:cs="Arial"/>
        </w:rPr>
      </w:pPr>
      <w:r w:rsidRPr="00A93F3D">
        <w:rPr>
          <w:rFonts w:eastAsia="Times New Roman" w:cs="Arial"/>
        </w:rPr>
        <w:t xml:space="preserve">The findings of this report suggest three areas for change  required in relation to </w:t>
      </w:r>
      <w:r>
        <w:rPr>
          <w:rFonts w:eastAsia="Times New Roman" w:cs="Arial"/>
        </w:rPr>
        <w:t xml:space="preserve">the measurement and reporting of </w:t>
      </w:r>
      <w:r w:rsidR="00FA7192">
        <w:rPr>
          <w:rFonts w:eastAsia="Times New Roman" w:cs="Arial"/>
        </w:rPr>
        <w:t>work health safety</w:t>
      </w:r>
      <w:r w:rsidRPr="00A93F3D">
        <w:rPr>
          <w:rFonts w:eastAsia="Times New Roman" w:cs="Arial"/>
        </w:rPr>
        <w:t xml:space="preserve"> performance:</w:t>
      </w:r>
    </w:p>
    <w:p w:rsidR="00A93F3D" w:rsidRPr="00A93F3D" w:rsidRDefault="00487123" w:rsidP="00F60ED5">
      <w:pPr>
        <w:numPr>
          <w:ilvl w:val="0"/>
          <w:numId w:val="32"/>
        </w:numPr>
        <w:spacing w:after="80"/>
        <w:ind w:left="567" w:right="544" w:hanging="357"/>
        <w:jc w:val="both"/>
        <w:rPr>
          <w:rFonts w:eastAsia="Times New Roman" w:cs="Arial"/>
        </w:rPr>
      </w:pPr>
      <w:r>
        <w:rPr>
          <w:rFonts w:eastAsia="Times New Roman" w:cs="Arial"/>
        </w:rPr>
        <w:t xml:space="preserve">A </w:t>
      </w:r>
      <w:r w:rsidR="00A93F3D" w:rsidRPr="00A93F3D">
        <w:rPr>
          <w:rFonts w:eastAsia="Times New Roman" w:cs="Arial"/>
        </w:rPr>
        <w:t>shift in the focus of managerial attention from LTI and LTIFR measures of injury to Class 1 WRII outcomes (more valid and reliable measures of damage)</w:t>
      </w:r>
      <w:r>
        <w:rPr>
          <w:rFonts w:eastAsia="Times New Roman" w:cs="Arial"/>
        </w:rPr>
        <w:t xml:space="preserve"> and TRIFR</w:t>
      </w:r>
    </w:p>
    <w:p w:rsidR="00A93F3D" w:rsidRPr="00A93F3D" w:rsidRDefault="00487123" w:rsidP="00292D08">
      <w:pPr>
        <w:numPr>
          <w:ilvl w:val="0"/>
          <w:numId w:val="32"/>
        </w:numPr>
        <w:spacing w:after="80"/>
        <w:ind w:left="567" w:right="401" w:hanging="357"/>
        <w:jc w:val="both"/>
        <w:rPr>
          <w:rFonts w:eastAsia="Times New Roman" w:cs="Arial"/>
        </w:rPr>
      </w:pPr>
      <w:r>
        <w:rPr>
          <w:rFonts w:eastAsia="Times New Roman" w:cs="Arial"/>
        </w:rPr>
        <w:t xml:space="preserve">The </w:t>
      </w:r>
      <w:r w:rsidR="00A93F3D" w:rsidRPr="00A93F3D">
        <w:rPr>
          <w:rFonts w:eastAsia="Times New Roman" w:cs="Arial"/>
        </w:rPr>
        <w:t xml:space="preserve">identification and validation of effective </w:t>
      </w:r>
      <w:r w:rsidR="00A93F3D">
        <w:rPr>
          <w:rFonts w:eastAsia="Times New Roman" w:cs="Arial"/>
        </w:rPr>
        <w:t>PPIs</w:t>
      </w:r>
      <w:r w:rsidR="00A93F3D" w:rsidRPr="00A93F3D">
        <w:rPr>
          <w:rFonts w:eastAsia="Times New Roman" w:cs="Arial"/>
        </w:rPr>
        <w:t xml:space="preserve"> </w:t>
      </w:r>
      <w:r>
        <w:rPr>
          <w:rFonts w:eastAsia="Times New Roman" w:cs="Arial"/>
        </w:rPr>
        <w:t>to</w:t>
      </w:r>
      <w:r w:rsidR="00A93F3D" w:rsidRPr="00A93F3D">
        <w:rPr>
          <w:rFonts w:eastAsia="Times New Roman" w:cs="Arial"/>
        </w:rPr>
        <w:t xml:space="preserve"> provide valid, reliable and relevant information </w:t>
      </w:r>
      <w:r w:rsidR="00A93F3D">
        <w:rPr>
          <w:rFonts w:eastAsia="Times New Roman" w:cs="Arial"/>
        </w:rPr>
        <w:t>about</w:t>
      </w:r>
      <w:r w:rsidR="00A93F3D" w:rsidRPr="00A93F3D">
        <w:rPr>
          <w:rFonts w:eastAsia="Times New Roman" w:cs="Arial"/>
        </w:rPr>
        <w:t xml:space="preserve"> </w:t>
      </w:r>
      <w:r w:rsidR="00FA7192">
        <w:rPr>
          <w:rFonts w:eastAsia="Times New Roman" w:cs="Arial"/>
        </w:rPr>
        <w:t>work health and safety</w:t>
      </w:r>
      <w:r w:rsidR="00A93F3D" w:rsidRPr="00A93F3D">
        <w:rPr>
          <w:rFonts w:eastAsia="Times New Roman" w:cs="Arial"/>
        </w:rPr>
        <w:t xml:space="preserve"> inputs and processes for driving </w:t>
      </w:r>
      <w:r w:rsidR="006F25C3">
        <w:rPr>
          <w:rFonts w:eastAsia="Times New Roman" w:cs="Arial"/>
        </w:rPr>
        <w:t>work health and safety</w:t>
      </w:r>
      <w:r w:rsidR="00A93F3D" w:rsidRPr="00A93F3D">
        <w:rPr>
          <w:rFonts w:eastAsia="Times New Roman" w:cs="Arial"/>
        </w:rPr>
        <w:t xml:space="preserve"> strategy and practices</w:t>
      </w:r>
      <w:r w:rsidR="00FA7192">
        <w:rPr>
          <w:rFonts w:eastAsia="Times New Roman" w:cs="Arial"/>
        </w:rPr>
        <w:t>,</w:t>
      </w:r>
      <w:r>
        <w:rPr>
          <w:rFonts w:eastAsia="Times New Roman" w:cs="Arial"/>
        </w:rPr>
        <w:t xml:space="preserve"> and</w:t>
      </w:r>
    </w:p>
    <w:p w:rsidR="006722CC" w:rsidRPr="00D000C5" w:rsidRDefault="00487123" w:rsidP="00236F73">
      <w:pPr>
        <w:numPr>
          <w:ilvl w:val="0"/>
          <w:numId w:val="32"/>
        </w:numPr>
        <w:spacing w:after="0"/>
        <w:ind w:left="567" w:right="544" w:hanging="357"/>
        <w:jc w:val="both"/>
        <w:rPr>
          <w:rFonts w:eastAsia="Times New Roman" w:cs="Arial"/>
        </w:rPr>
      </w:pPr>
      <w:r>
        <w:rPr>
          <w:rFonts w:eastAsia="Times New Roman" w:cs="Arial"/>
        </w:rPr>
        <w:t>C</w:t>
      </w:r>
      <w:r w:rsidR="00A93F3D" w:rsidRPr="00F60ED5">
        <w:rPr>
          <w:rFonts w:eastAsia="Times New Roman" w:cs="Arial"/>
        </w:rPr>
        <w:t>ollaborative efforts to unlock the spec</w:t>
      </w:r>
      <w:r w:rsidR="00FA7192">
        <w:rPr>
          <w:rFonts w:eastAsia="Times New Roman" w:cs="Arial"/>
        </w:rPr>
        <w:t>ialised technical expertise of work health safety</w:t>
      </w:r>
      <w:r w:rsidR="00A93F3D" w:rsidRPr="00F60ED5">
        <w:rPr>
          <w:rFonts w:eastAsia="Times New Roman" w:cs="Arial"/>
        </w:rPr>
        <w:t xml:space="preserve"> and accounting professionals (at organisational, industry and national levels) to innovate new, effective approaches for monitoring and managing </w:t>
      </w:r>
      <w:r w:rsidR="00FA7192">
        <w:rPr>
          <w:rFonts w:eastAsia="Times New Roman" w:cs="Arial"/>
        </w:rPr>
        <w:t>work health and safety</w:t>
      </w:r>
      <w:r w:rsidR="00A93F3D" w:rsidRPr="00F60ED5">
        <w:rPr>
          <w:rFonts w:eastAsia="Times New Roman" w:cs="Arial"/>
        </w:rPr>
        <w:t xml:space="preserve"> performance.</w:t>
      </w:r>
      <w:r w:rsidR="006722CC" w:rsidRPr="00D000C5">
        <w:rPr>
          <w:rFonts w:eastAsia="Times New Roman" w:cs="Arial"/>
        </w:rPr>
        <w:br w:type="page"/>
      </w:r>
    </w:p>
    <w:p w:rsidR="00DE0D60" w:rsidRPr="00FD29A0" w:rsidRDefault="00DE0D60" w:rsidP="00DE0D60">
      <w:pPr>
        <w:pStyle w:val="Heading1"/>
        <w:numPr>
          <w:ilvl w:val="0"/>
          <w:numId w:val="23"/>
        </w:numPr>
        <w:tabs>
          <w:tab w:val="center" w:pos="4607"/>
        </w:tabs>
        <w:spacing w:before="120" w:after="120"/>
        <w:ind w:left="425" w:hanging="425"/>
        <w:rPr>
          <w:rFonts w:asciiTheme="minorHAnsi" w:hAnsiTheme="minorHAnsi"/>
          <w:sz w:val="30"/>
          <w:szCs w:val="30"/>
        </w:rPr>
      </w:pPr>
      <w:bookmarkStart w:id="35" w:name="_Toc361085324"/>
      <w:r>
        <w:rPr>
          <w:rFonts w:asciiTheme="minorHAnsi" w:hAnsiTheme="minorHAnsi"/>
          <w:sz w:val="30"/>
          <w:szCs w:val="30"/>
        </w:rPr>
        <w:t>References</w:t>
      </w:r>
      <w:bookmarkEnd w:id="35"/>
    </w:p>
    <w:p w:rsidR="0090086F" w:rsidRPr="007B43ED" w:rsidRDefault="0090086F" w:rsidP="00373CBD">
      <w:pPr>
        <w:spacing w:after="120" w:line="240" w:lineRule="auto"/>
        <w:ind w:left="567" w:hanging="567"/>
        <w:rPr>
          <w:szCs w:val="20"/>
        </w:rPr>
      </w:pPr>
      <w:r w:rsidRPr="007B43ED">
        <w:rPr>
          <w:szCs w:val="20"/>
        </w:rPr>
        <w:t>Australian Bureau of Statistics</w:t>
      </w:r>
      <w:r>
        <w:rPr>
          <w:szCs w:val="20"/>
        </w:rPr>
        <w:t xml:space="preserve"> (</w:t>
      </w:r>
      <w:r w:rsidRPr="007B43ED">
        <w:rPr>
          <w:szCs w:val="20"/>
        </w:rPr>
        <w:t>ABS</w:t>
      </w:r>
      <w:r>
        <w:rPr>
          <w:szCs w:val="20"/>
        </w:rPr>
        <w:t>).</w:t>
      </w:r>
      <w:r w:rsidRPr="007B43ED">
        <w:rPr>
          <w:szCs w:val="20"/>
        </w:rPr>
        <w:t xml:space="preserve"> (2001).</w:t>
      </w:r>
      <w:r>
        <w:rPr>
          <w:szCs w:val="20"/>
        </w:rPr>
        <w:t xml:space="preserve"> </w:t>
      </w:r>
      <w:r w:rsidRPr="007B43ED">
        <w:rPr>
          <w:i/>
          <w:szCs w:val="20"/>
        </w:rPr>
        <w:t>Work-Related Injuries</w:t>
      </w:r>
      <w:r w:rsidRPr="007B43ED">
        <w:rPr>
          <w:szCs w:val="20"/>
        </w:rPr>
        <w:t>. Canberra.</w:t>
      </w:r>
    </w:p>
    <w:p w:rsidR="0090086F" w:rsidRPr="007B43ED" w:rsidRDefault="0090086F" w:rsidP="00373CBD">
      <w:pPr>
        <w:spacing w:after="120" w:line="240" w:lineRule="auto"/>
        <w:ind w:left="567" w:hanging="567"/>
        <w:rPr>
          <w:szCs w:val="20"/>
        </w:rPr>
      </w:pPr>
      <w:r w:rsidRPr="007B43ED">
        <w:rPr>
          <w:szCs w:val="20"/>
        </w:rPr>
        <w:t>ABS</w:t>
      </w:r>
      <w:r>
        <w:rPr>
          <w:szCs w:val="20"/>
        </w:rPr>
        <w:t>.</w:t>
      </w:r>
      <w:r w:rsidRPr="007B43ED">
        <w:rPr>
          <w:szCs w:val="20"/>
        </w:rPr>
        <w:t xml:space="preserve"> (2010).</w:t>
      </w:r>
      <w:r>
        <w:rPr>
          <w:szCs w:val="20"/>
        </w:rPr>
        <w:t xml:space="preserve"> </w:t>
      </w:r>
      <w:r w:rsidRPr="007B43ED">
        <w:rPr>
          <w:i/>
          <w:szCs w:val="20"/>
        </w:rPr>
        <w:t>Work-Related Injuries, Australian 2009-10</w:t>
      </w:r>
      <w:r>
        <w:rPr>
          <w:szCs w:val="20"/>
        </w:rPr>
        <w:t xml:space="preserve"> (cat. no. 6324.0). </w:t>
      </w:r>
      <w:r w:rsidRPr="007B43ED">
        <w:rPr>
          <w:szCs w:val="20"/>
        </w:rPr>
        <w:t>Canberra.</w:t>
      </w:r>
    </w:p>
    <w:p w:rsidR="0090086F" w:rsidRPr="007B43ED" w:rsidRDefault="0090086F" w:rsidP="00373CBD">
      <w:pPr>
        <w:spacing w:after="120" w:line="240" w:lineRule="auto"/>
        <w:ind w:left="567" w:hanging="567"/>
        <w:rPr>
          <w:szCs w:val="20"/>
        </w:rPr>
      </w:pPr>
      <w:r w:rsidRPr="007B43ED">
        <w:rPr>
          <w:szCs w:val="20"/>
        </w:rPr>
        <w:t xml:space="preserve">Australian Safety and Compensation Council </w:t>
      </w:r>
      <w:r>
        <w:rPr>
          <w:szCs w:val="20"/>
        </w:rPr>
        <w:t>(</w:t>
      </w:r>
      <w:r w:rsidRPr="007B43ED">
        <w:rPr>
          <w:szCs w:val="20"/>
        </w:rPr>
        <w:t>ASCC</w:t>
      </w:r>
      <w:r>
        <w:rPr>
          <w:szCs w:val="20"/>
        </w:rPr>
        <w:t>).</w:t>
      </w:r>
      <w:r w:rsidRPr="007B43ED">
        <w:rPr>
          <w:szCs w:val="20"/>
        </w:rPr>
        <w:t xml:space="preserve"> (2005).</w:t>
      </w:r>
      <w:r>
        <w:rPr>
          <w:szCs w:val="20"/>
        </w:rPr>
        <w:t xml:space="preserve"> </w:t>
      </w:r>
      <w:r w:rsidRPr="007B43ED">
        <w:rPr>
          <w:i/>
          <w:szCs w:val="20"/>
        </w:rPr>
        <w:t>Guidance on the Use of Positive Performance Indicators to Improve Workplace Health and Safety</w:t>
      </w:r>
      <w:r>
        <w:rPr>
          <w:szCs w:val="20"/>
        </w:rPr>
        <w:t>.</w:t>
      </w:r>
      <w:r w:rsidRPr="007B43ED">
        <w:rPr>
          <w:szCs w:val="20"/>
        </w:rPr>
        <w:t xml:space="preserve"> Canberra.</w:t>
      </w:r>
    </w:p>
    <w:p w:rsidR="0090086F" w:rsidRPr="007B43ED" w:rsidRDefault="0090086F" w:rsidP="00373CBD">
      <w:pPr>
        <w:spacing w:after="120" w:line="240" w:lineRule="auto"/>
        <w:ind w:left="567" w:hanging="567"/>
        <w:rPr>
          <w:szCs w:val="20"/>
        </w:rPr>
      </w:pPr>
      <w:r w:rsidRPr="007B43ED">
        <w:rPr>
          <w:szCs w:val="20"/>
        </w:rPr>
        <w:t>ASCC</w:t>
      </w:r>
      <w:r>
        <w:rPr>
          <w:szCs w:val="20"/>
        </w:rPr>
        <w:t>.</w:t>
      </w:r>
      <w:r w:rsidRPr="007B43ED">
        <w:rPr>
          <w:szCs w:val="20"/>
        </w:rPr>
        <w:t xml:space="preserve"> (2009).</w:t>
      </w:r>
      <w:r>
        <w:rPr>
          <w:szCs w:val="20"/>
        </w:rPr>
        <w:t xml:space="preserve"> </w:t>
      </w:r>
      <w:r w:rsidRPr="007B43ED">
        <w:rPr>
          <w:i/>
          <w:szCs w:val="20"/>
        </w:rPr>
        <w:t>The Cost of Work-related Injury and Illness for Australian Employers, Workers and the Community: 2005-06</w:t>
      </w:r>
      <w:r w:rsidRPr="007B43ED">
        <w:rPr>
          <w:szCs w:val="20"/>
        </w:rPr>
        <w:t>. Canberra</w:t>
      </w:r>
      <w:r>
        <w:rPr>
          <w:szCs w:val="20"/>
        </w:rPr>
        <w:t>.</w:t>
      </w:r>
    </w:p>
    <w:p w:rsidR="0090086F" w:rsidRPr="007B43ED" w:rsidRDefault="0090086F" w:rsidP="00373CBD">
      <w:pPr>
        <w:spacing w:after="120" w:line="240" w:lineRule="auto"/>
        <w:ind w:left="567" w:hanging="567"/>
        <w:rPr>
          <w:szCs w:val="20"/>
        </w:rPr>
      </w:pPr>
      <w:r w:rsidRPr="007B43ED">
        <w:rPr>
          <w:szCs w:val="20"/>
        </w:rPr>
        <w:t>Blewett, V. (1994).</w:t>
      </w:r>
      <w:r>
        <w:rPr>
          <w:szCs w:val="20"/>
        </w:rPr>
        <w:t xml:space="preserve"> </w:t>
      </w:r>
      <w:r w:rsidRPr="007B43ED">
        <w:rPr>
          <w:i/>
          <w:szCs w:val="20"/>
        </w:rPr>
        <w:t>Beyond Lost Time Injuries</w:t>
      </w:r>
      <w:r>
        <w:rPr>
          <w:i/>
          <w:szCs w:val="20"/>
        </w:rPr>
        <w:t xml:space="preserve">. </w:t>
      </w:r>
      <w:r w:rsidRPr="007B43ED">
        <w:rPr>
          <w:i/>
          <w:szCs w:val="20"/>
        </w:rPr>
        <w:t>Positive Performance Indicators for OHS</w:t>
      </w:r>
      <w:r w:rsidRPr="007B43ED">
        <w:rPr>
          <w:szCs w:val="20"/>
        </w:rPr>
        <w:t>.</w:t>
      </w:r>
      <w:r>
        <w:rPr>
          <w:szCs w:val="20"/>
        </w:rPr>
        <w:t xml:space="preserve"> </w:t>
      </w:r>
      <w:r w:rsidRPr="007B43ED">
        <w:rPr>
          <w:szCs w:val="20"/>
        </w:rPr>
        <w:t>Work</w:t>
      </w:r>
      <w:r>
        <w:rPr>
          <w:szCs w:val="20"/>
        </w:rPr>
        <w:t>s</w:t>
      </w:r>
      <w:r w:rsidRPr="007B43ED">
        <w:rPr>
          <w:szCs w:val="20"/>
        </w:rPr>
        <w:t>afe Australia. Canberra: 1-6.</w:t>
      </w:r>
    </w:p>
    <w:p w:rsidR="0090086F" w:rsidRPr="007B43ED" w:rsidRDefault="0090086F" w:rsidP="00373CBD">
      <w:pPr>
        <w:spacing w:after="120" w:line="240" w:lineRule="auto"/>
        <w:ind w:left="567" w:hanging="567"/>
        <w:rPr>
          <w:szCs w:val="20"/>
        </w:rPr>
      </w:pPr>
      <w:r w:rsidRPr="007B43ED">
        <w:rPr>
          <w:szCs w:val="20"/>
        </w:rPr>
        <w:t xml:space="preserve">Borys, D., Else, D. </w:t>
      </w:r>
      <w:r>
        <w:rPr>
          <w:szCs w:val="20"/>
        </w:rPr>
        <w:t xml:space="preserve">&amp; </w:t>
      </w:r>
      <w:r w:rsidRPr="007B43ED">
        <w:rPr>
          <w:szCs w:val="20"/>
        </w:rPr>
        <w:t>Leggett</w:t>
      </w:r>
      <w:r>
        <w:rPr>
          <w:szCs w:val="20"/>
        </w:rPr>
        <w:t xml:space="preserve">, </w:t>
      </w:r>
      <w:r w:rsidRPr="007B43ED">
        <w:rPr>
          <w:szCs w:val="20"/>
        </w:rPr>
        <w:t xml:space="preserve">S. (2009). The Fifth Age of Safety: the Adaptive Age. </w:t>
      </w:r>
      <w:r w:rsidRPr="007B43ED">
        <w:rPr>
          <w:i/>
          <w:szCs w:val="20"/>
        </w:rPr>
        <w:t>Journal of Health and Safety Research and Practice</w:t>
      </w:r>
      <w:r>
        <w:rPr>
          <w:szCs w:val="20"/>
        </w:rPr>
        <w:t>,</w:t>
      </w:r>
      <w:r w:rsidRPr="007B43ED">
        <w:rPr>
          <w:szCs w:val="20"/>
        </w:rPr>
        <w:t xml:space="preserve"> </w:t>
      </w:r>
      <w:r w:rsidRPr="00991AE6">
        <w:rPr>
          <w:i/>
          <w:szCs w:val="20"/>
        </w:rPr>
        <w:t>1</w:t>
      </w:r>
      <w:r w:rsidRPr="007B43ED">
        <w:rPr>
          <w:szCs w:val="20"/>
        </w:rPr>
        <w:t>(1)</w:t>
      </w:r>
      <w:r>
        <w:rPr>
          <w:szCs w:val="20"/>
        </w:rPr>
        <w:t>,</w:t>
      </w:r>
      <w:r w:rsidRPr="007B43ED">
        <w:rPr>
          <w:szCs w:val="20"/>
        </w:rPr>
        <w:t xml:space="preserve"> 19-27.</w:t>
      </w:r>
    </w:p>
    <w:p w:rsidR="0090086F" w:rsidRPr="007B43ED" w:rsidRDefault="0090086F" w:rsidP="00373CBD">
      <w:pPr>
        <w:spacing w:after="120" w:line="240" w:lineRule="auto"/>
        <w:ind w:left="567" w:hanging="567"/>
        <w:rPr>
          <w:szCs w:val="20"/>
        </w:rPr>
      </w:pPr>
      <w:r w:rsidRPr="007B43ED">
        <w:rPr>
          <w:szCs w:val="20"/>
        </w:rPr>
        <w:t xml:space="preserve">Bottomley, B. (2000). </w:t>
      </w:r>
      <w:r w:rsidRPr="007B43ED">
        <w:rPr>
          <w:i/>
          <w:szCs w:val="20"/>
        </w:rPr>
        <w:t>OHSMS Performance Measures that Add Up</w:t>
      </w:r>
      <w:r w:rsidRPr="007B43ED">
        <w:rPr>
          <w:szCs w:val="20"/>
        </w:rPr>
        <w:t>. Occupational Health and Safety Management Systems Conference Proceedings, Sydney, Crown Content.</w:t>
      </w:r>
    </w:p>
    <w:p w:rsidR="0090086F" w:rsidRPr="007B43ED" w:rsidRDefault="0090086F" w:rsidP="00373CBD">
      <w:pPr>
        <w:spacing w:after="120" w:line="240" w:lineRule="auto"/>
        <w:ind w:left="567" w:hanging="567"/>
        <w:rPr>
          <w:szCs w:val="20"/>
        </w:rPr>
      </w:pPr>
      <w:r w:rsidRPr="007B43ED">
        <w:rPr>
          <w:szCs w:val="20"/>
        </w:rPr>
        <w:t>Brown, J. and Butcher</w:t>
      </w:r>
      <w:r>
        <w:rPr>
          <w:szCs w:val="20"/>
        </w:rPr>
        <w:t xml:space="preserve">, </w:t>
      </w:r>
      <w:r w:rsidRPr="007B43ED">
        <w:rPr>
          <w:szCs w:val="20"/>
        </w:rPr>
        <w:t>F. (2005).</w:t>
      </w:r>
      <w:r>
        <w:rPr>
          <w:szCs w:val="20"/>
        </w:rPr>
        <w:t xml:space="preserve"> </w:t>
      </w:r>
      <w:r w:rsidRPr="007B43ED">
        <w:rPr>
          <w:szCs w:val="20"/>
        </w:rPr>
        <w:t>Reporting on Occupational Health and Safety in Annual Reports: A Look at Disclosure Practices in New Zealand.</w:t>
      </w:r>
      <w:r>
        <w:rPr>
          <w:szCs w:val="20"/>
        </w:rPr>
        <w:t xml:space="preserve"> </w:t>
      </w:r>
      <w:r w:rsidRPr="007B43ED">
        <w:rPr>
          <w:i/>
          <w:szCs w:val="20"/>
        </w:rPr>
        <w:t>New Zealand Journal of Employment Relations</w:t>
      </w:r>
      <w:r>
        <w:rPr>
          <w:i/>
          <w:szCs w:val="20"/>
        </w:rPr>
        <w:t>,</w:t>
      </w:r>
      <w:r w:rsidRPr="007B43ED">
        <w:rPr>
          <w:szCs w:val="20"/>
        </w:rPr>
        <w:t xml:space="preserve"> </w:t>
      </w:r>
      <w:r w:rsidRPr="00991AE6">
        <w:rPr>
          <w:i/>
          <w:szCs w:val="20"/>
        </w:rPr>
        <w:t>30</w:t>
      </w:r>
      <w:r w:rsidRPr="007B43ED">
        <w:rPr>
          <w:szCs w:val="20"/>
        </w:rPr>
        <w:t>(1)</w:t>
      </w:r>
      <w:r>
        <w:rPr>
          <w:szCs w:val="20"/>
        </w:rPr>
        <w:t>,</w:t>
      </w:r>
      <w:r w:rsidRPr="007B43ED">
        <w:rPr>
          <w:szCs w:val="20"/>
        </w:rPr>
        <w:t xml:space="preserve"> 1-22.</w:t>
      </w:r>
    </w:p>
    <w:p w:rsidR="0090086F" w:rsidRPr="007B43ED" w:rsidRDefault="0090086F" w:rsidP="00373CBD">
      <w:pPr>
        <w:spacing w:after="120" w:line="240" w:lineRule="auto"/>
        <w:ind w:left="567" w:hanging="567"/>
        <w:rPr>
          <w:szCs w:val="20"/>
        </w:rPr>
      </w:pPr>
      <w:r w:rsidRPr="007B43ED">
        <w:rPr>
          <w:szCs w:val="20"/>
        </w:rPr>
        <w:t>Collie, A., Pan, Y.</w:t>
      </w:r>
      <w:r>
        <w:rPr>
          <w:szCs w:val="20"/>
        </w:rPr>
        <w:t xml:space="preserve">, Britt, H. &amp; Henderson, J. </w:t>
      </w:r>
      <w:r w:rsidRPr="007B43ED">
        <w:rPr>
          <w:szCs w:val="20"/>
        </w:rPr>
        <w:t xml:space="preserve">(2011). Coverage of Work-related Problems by Workers' Compensation in General Practice. </w:t>
      </w:r>
      <w:r w:rsidRPr="007B43ED">
        <w:rPr>
          <w:i/>
          <w:szCs w:val="20"/>
        </w:rPr>
        <w:t>International Journal of Social Security &amp; Workers' Compensation,</w:t>
      </w:r>
      <w:r w:rsidRPr="007B43ED">
        <w:rPr>
          <w:szCs w:val="20"/>
        </w:rPr>
        <w:t xml:space="preserve"> </w:t>
      </w:r>
      <w:r w:rsidRPr="00ED4DA6">
        <w:rPr>
          <w:i/>
          <w:szCs w:val="20"/>
        </w:rPr>
        <w:t>3</w:t>
      </w:r>
      <w:r w:rsidRPr="007B43ED">
        <w:rPr>
          <w:szCs w:val="20"/>
        </w:rPr>
        <w:t>(1)</w:t>
      </w:r>
      <w:r>
        <w:rPr>
          <w:szCs w:val="20"/>
        </w:rPr>
        <w:t>,</w:t>
      </w:r>
      <w:r w:rsidRPr="007B43ED">
        <w:rPr>
          <w:szCs w:val="20"/>
        </w:rPr>
        <w:t xml:space="preserve"> 1-14.</w:t>
      </w:r>
    </w:p>
    <w:p w:rsidR="0090086F" w:rsidRPr="007B43ED" w:rsidRDefault="0090086F" w:rsidP="00373CBD">
      <w:pPr>
        <w:spacing w:after="120" w:line="240" w:lineRule="auto"/>
        <w:ind w:left="567" w:hanging="567"/>
        <w:rPr>
          <w:szCs w:val="20"/>
        </w:rPr>
      </w:pPr>
      <w:r w:rsidRPr="007B43ED">
        <w:rPr>
          <w:szCs w:val="20"/>
        </w:rPr>
        <w:t>Collins, R. (2013). Losing faith in lost time injuries.</w:t>
      </w:r>
      <w:r>
        <w:rPr>
          <w:szCs w:val="20"/>
        </w:rPr>
        <w:t xml:space="preserve"> </w:t>
      </w:r>
      <w:r w:rsidRPr="007B43ED">
        <w:rPr>
          <w:i/>
          <w:szCs w:val="20"/>
        </w:rPr>
        <w:t>Inside Safety</w:t>
      </w:r>
      <w:r w:rsidRPr="007B43ED">
        <w:rPr>
          <w:szCs w:val="20"/>
        </w:rPr>
        <w:t xml:space="preserve">. Perth, </w:t>
      </w:r>
      <w:r>
        <w:rPr>
          <w:szCs w:val="20"/>
        </w:rPr>
        <w:t xml:space="preserve">Australia: </w:t>
      </w:r>
      <w:r w:rsidRPr="007B43ED">
        <w:rPr>
          <w:szCs w:val="20"/>
        </w:rPr>
        <w:t>Aspermont Limited.</w:t>
      </w:r>
    </w:p>
    <w:p w:rsidR="0090086F" w:rsidRPr="007B43ED" w:rsidRDefault="0090086F" w:rsidP="00373CBD">
      <w:pPr>
        <w:spacing w:after="120" w:line="240" w:lineRule="auto"/>
        <w:ind w:left="567" w:hanging="567"/>
        <w:rPr>
          <w:szCs w:val="20"/>
        </w:rPr>
      </w:pPr>
      <w:r w:rsidRPr="007B43ED">
        <w:rPr>
          <w:szCs w:val="20"/>
        </w:rPr>
        <w:t>Comcare</w:t>
      </w:r>
      <w:r>
        <w:rPr>
          <w:szCs w:val="20"/>
        </w:rPr>
        <w:t>.</w:t>
      </w:r>
      <w:r w:rsidRPr="007B43ED">
        <w:rPr>
          <w:szCs w:val="20"/>
        </w:rPr>
        <w:t xml:space="preserve"> (2004).</w:t>
      </w:r>
      <w:r>
        <w:rPr>
          <w:szCs w:val="20"/>
        </w:rPr>
        <w:t xml:space="preserve"> </w:t>
      </w:r>
      <w:r w:rsidRPr="007B43ED">
        <w:rPr>
          <w:i/>
          <w:szCs w:val="20"/>
        </w:rPr>
        <w:t>Positive performance indicators: measuring safety, rehabilitation and compensation performanc</w:t>
      </w:r>
      <w:r w:rsidRPr="007B43ED">
        <w:rPr>
          <w:szCs w:val="20"/>
        </w:rPr>
        <w:t>e</w:t>
      </w:r>
      <w:r>
        <w:rPr>
          <w:szCs w:val="20"/>
        </w:rPr>
        <w:t>.</w:t>
      </w:r>
      <w:r w:rsidRPr="007B43ED">
        <w:rPr>
          <w:szCs w:val="20"/>
        </w:rPr>
        <w:t xml:space="preserve"> Canberra</w:t>
      </w:r>
      <w:r>
        <w:rPr>
          <w:szCs w:val="20"/>
        </w:rPr>
        <w:t>, Australia: Australian Government</w:t>
      </w:r>
      <w:r w:rsidRPr="007B43ED">
        <w:rPr>
          <w:szCs w:val="20"/>
        </w:rPr>
        <w:t xml:space="preserve">. </w:t>
      </w:r>
    </w:p>
    <w:p w:rsidR="0090086F" w:rsidRPr="007B43ED" w:rsidRDefault="0090086F" w:rsidP="00373CBD">
      <w:pPr>
        <w:spacing w:after="120" w:line="240" w:lineRule="auto"/>
        <w:ind w:left="567" w:hanging="567"/>
        <w:rPr>
          <w:szCs w:val="20"/>
        </w:rPr>
      </w:pPr>
      <w:r w:rsidRPr="007B43ED">
        <w:rPr>
          <w:szCs w:val="20"/>
        </w:rPr>
        <w:t xml:space="preserve">Cooper, D. R. </w:t>
      </w:r>
      <w:r>
        <w:rPr>
          <w:szCs w:val="20"/>
        </w:rPr>
        <w:t xml:space="preserve">&amp; </w:t>
      </w:r>
      <w:r w:rsidRPr="007B43ED">
        <w:rPr>
          <w:szCs w:val="20"/>
        </w:rPr>
        <w:t>Emory</w:t>
      </w:r>
      <w:r>
        <w:rPr>
          <w:szCs w:val="20"/>
        </w:rPr>
        <w:t>,</w:t>
      </w:r>
      <w:r w:rsidRPr="00ED4DA6">
        <w:rPr>
          <w:szCs w:val="20"/>
        </w:rPr>
        <w:t xml:space="preserve"> </w:t>
      </w:r>
      <w:r w:rsidRPr="007B43ED">
        <w:rPr>
          <w:szCs w:val="20"/>
        </w:rPr>
        <w:t>C. W.  (1995).</w:t>
      </w:r>
      <w:r>
        <w:rPr>
          <w:szCs w:val="20"/>
        </w:rPr>
        <w:t xml:space="preserve"> </w:t>
      </w:r>
      <w:r w:rsidRPr="007B43ED">
        <w:rPr>
          <w:i/>
          <w:szCs w:val="20"/>
        </w:rPr>
        <w:t xml:space="preserve">Business Research Methods </w:t>
      </w:r>
      <w:r w:rsidRPr="00ED4DA6">
        <w:rPr>
          <w:szCs w:val="20"/>
        </w:rPr>
        <w:t xml:space="preserve">(5 </w:t>
      </w:r>
      <w:r>
        <w:rPr>
          <w:szCs w:val="20"/>
        </w:rPr>
        <w:t>ed.</w:t>
      </w:r>
      <w:r w:rsidRPr="00ED4DA6">
        <w:rPr>
          <w:szCs w:val="20"/>
        </w:rPr>
        <w:t>)</w:t>
      </w:r>
      <w:r w:rsidRPr="007B43ED">
        <w:rPr>
          <w:szCs w:val="20"/>
        </w:rPr>
        <w:t>. USA</w:t>
      </w:r>
      <w:r>
        <w:rPr>
          <w:szCs w:val="20"/>
        </w:rPr>
        <w:t>:</w:t>
      </w:r>
      <w:r w:rsidRPr="007B43ED">
        <w:rPr>
          <w:szCs w:val="20"/>
        </w:rPr>
        <w:t xml:space="preserve"> Irwin. </w:t>
      </w:r>
    </w:p>
    <w:p w:rsidR="0090086F" w:rsidRPr="007B43ED" w:rsidRDefault="0090086F" w:rsidP="00373CBD">
      <w:pPr>
        <w:spacing w:after="120" w:line="240" w:lineRule="auto"/>
        <w:ind w:left="567" w:hanging="567"/>
        <w:rPr>
          <w:szCs w:val="20"/>
        </w:rPr>
      </w:pPr>
      <w:r w:rsidRPr="007B43ED">
        <w:rPr>
          <w:szCs w:val="20"/>
        </w:rPr>
        <w:t xml:space="preserve">Creswell, J. W. (1994). </w:t>
      </w:r>
      <w:r w:rsidRPr="007B43ED">
        <w:rPr>
          <w:i/>
          <w:szCs w:val="20"/>
        </w:rPr>
        <w:t>Research Design: Qualitative and Quantitative Approaches</w:t>
      </w:r>
      <w:r w:rsidRPr="007B43ED">
        <w:rPr>
          <w:szCs w:val="20"/>
        </w:rPr>
        <w:t>. Thousand Oakes, California</w:t>
      </w:r>
      <w:r>
        <w:rPr>
          <w:szCs w:val="20"/>
        </w:rPr>
        <w:t>:</w:t>
      </w:r>
      <w:r w:rsidRPr="007B43ED">
        <w:rPr>
          <w:szCs w:val="20"/>
        </w:rPr>
        <w:t xml:space="preserve"> Sage.</w:t>
      </w:r>
    </w:p>
    <w:p w:rsidR="0090086F" w:rsidRPr="007B43ED" w:rsidRDefault="0090086F" w:rsidP="00373CBD">
      <w:pPr>
        <w:spacing w:after="120" w:line="240" w:lineRule="auto"/>
        <w:ind w:left="567" w:hanging="567"/>
        <w:rPr>
          <w:szCs w:val="20"/>
        </w:rPr>
      </w:pPr>
      <w:r w:rsidRPr="007B43ED">
        <w:rPr>
          <w:szCs w:val="20"/>
        </w:rPr>
        <w:t xml:space="preserve">Deegan, C. </w:t>
      </w:r>
      <w:r>
        <w:rPr>
          <w:szCs w:val="20"/>
        </w:rPr>
        <w:t xml:space="preserve">&amp; </w:t>
      </w:r>
      <w:r w:rsidRPr="007B43ED">
        <w:rPr>
          <w:szCs w:val="20"/>
        </w:rPr>
        <w:t>Rankin</w:t>
      </w:r>
      <w:r>
        <w:rPr>
          <w:szCs w:val="20"/>
        </w:rPr>
        <w:t>, M.</w:t>
      </w:r>
      <w:r w:rsidRPr="007B43ED">
        <w:rPr>
          <w:szCs w:val="20"/>
        </w:rPr>
        <w:t xml:space="preserve"> (1997).</w:t>
      </w:r>
      <w:r>
        <w:rPr>
          <w:szCs w:val="20"/>
        </w:rPr>
        <w:t xml:space="preserve"> </w:t>
      </w:r>
      <w:r w:rsidRPr="007B43ED">
        <w:rPr>
          <w:szCs w:val="20"/>
        </w:rPr>
        <w:t>The Materiality of Environmental Information to Users of Annual Reports.</w:t>
      </w:r>
      <w:r>
        <w:rPr>
          <w:szCs w:val="20"/>
        </w:rPr>
        <w:t xml:space="preserve"> </w:t>
      </w:r>
      <w:r w:rsidRPr="007B43ED">
        <w:rPr>
          <w:i/>
          <w:szCs w:val="20"/>
        </w:rPr>
        <w:t>Accounting Auditing and Accountability Journal</w:t>
      </w:r>
      <w:r>
        <w:rPr>
          <w:szCs w:val="20"/>
        </w:rPr>
        <w:t>,</w:t>
      </w:r>
      <w:r w:rsidRPr="007B43ED">
        <w:rPr>
          <w:szCs w:val="20"/>
        </w:rPr>
        <w:t xml:space="preserve"> </w:t>
      </w:r>
      <w:r w:rsidRPr="00ED4DA6">
        <w:rPr>
          <w:i/>
          <w:szCs w:val="20"/>
        </w:rPr>
        <w:t>10</w:t>
      </w:r>
      <w:r>
        <w:rPr>
          <w:i/>
          <w:szCs w:val="20"/>
        </w:rPr>
        <w:t xml:space="preserve">, </w:t>
      </w:r>
      <w:r w:rsidRPr="007B43ED">
        <w:rPr>
          <w:szCs w:val="20"/>
        </w:rPr>
        <w:t>562-583.</w:t>
      </w:r>
    </w:p>
    <w:p w:rsidR="0090086F" w:rsidRPr="007B43ED" w:rsidRDefault="0090086F" w:rsidP="00373CBD">
      <w:pPr>
        <w:spacing w:after="120" w:line="240" w:lineRule="auto"/>
        <w:ind w:left="567" w:hanging="567"/>
        <w:rPr>
          <w:szCs w:val="20"/>
        </w:rPr>
      </w:pPr>
      <w:r w:rsidRPr="007B43ED">
        <w:rPr>
          <w:szCs w:val="20"/>
        </w:rPr>
        <w:t>Drexel, S. R. (1992). Managing Workers' Compensation Costs at Kelly Services.</w:t>
      </w:r>
      <w:r>
        <w:rPr>
          <w:szCs w:val="20"/>
        </w:rPr>
        <w:t xml:space="preserve"> </w:t>
      </w:r>
      <w:r w:rsidRPr="007B43ED">
        <w:rPr>
          <w:i/>
          <w:szCs w:val="20"/>
        </w:rPr>
        <w:t>Management</w:t>
      </w:r>
      <w:r>
        <w:rPr>
          <w:i/>
          <w:szCs w:val="20"/>
        </w:rPr>
        <w:t xml:space="preserve"> </w:t>
      </w:r>
      <w:r w:rsidRPr="007B43ED">
        <w:rPr>
          <w:i/>
          <w:szCs w:val="20"/>
        </w:rPr>
        <w:t>Accounting</w:t>
      </w:r>
      <w:r>
        <w:rPr>
          <w:i/>
          <w:szCs w:val="20"/>
        </w:rPr>
        <w:t>,</w:t>
      </w:r>
      <w:r w:rsidRPr="009D2577">
        <w:rPr>
          <w:i/>
          <w:szCs w:val="20"/>
        </w:rPr>
        <w:t>74</w:t>
      </w:r>
      <w:r w:rsidRPr="007B43ED">
        <w:rPr>
          <w:szCs w:val="20"/>
        </w:rPr>
        <w:t>(5)</w:t>
      </w:r>
      <w:r>
        <w:rPr>
          <w:szCs w:val="20"/>
        </w:rPr>
        <w:t>,</w:t>
      </w:r>
      <w:r w:rsidRPr="007B43ED">
        <w:rPr>
          <w:szCs w:val="20"/>
        </w:rPr>
        <w:t xml:space="preserve"> 42.</w:t>
      </w:r>
    </w:p>
    <w:p w:rsidR="0090086F" w:rsidRPr="007B43ED" w:rsidRDefault="0090086F" w:rsidP="00373CBD">
      <w:pPr>
        <w:spacing w:after="120" w:line="240" w:lineRule="auto"/>
        <w:ind w:left="567" w:hanging="567"/>
        <w:rPr>
          <w:szCs w:val="20"/>
        </w:rPr>
      </w:pPr>
      <w:r>
        <w:rPr>
          <w:szCs w:val="20"/>
        </w:rPr>
        <w:t>European Chemical Industry Council (</w:t>
      </w:r>
      <w:r w:rsidRPr="007B43ED">
        <w:rPr>
          <w:szCs w:val="20"/>
        </w:rPr>
        <w:t xml:space="preserve">CEFIC </w:t>
      </w:r>
      <w:r>
        <w:rPr>
          <w:szCs w:val="20"/>
        </w:rPr>
        <w:t xml:space="preserve">). </w:t>
      </w:r>
      <w:r w:rsidRPr="007B43ED">
        <w:rPr>
          <w:szCs w:val="20"/>
        </w:rPr>
        <w:t>(2011).</w:t>
      </w:r>
      <w:r>
        <w:rPr>
          <w:szCs w:val="20"/>
        </w:rPr>
        <w:t xml:space="preserve"> </w:t>
      </w:r>
      <w:r w:rsidRPr="007B43ED">
        <w:rPr>
          <w:i/>
          <w:szCs w:val="20"/>
        </w:rPr>
        <w:t>Guidance on process safety performance indicators</w:t>
      </w:r>
      <w:r w:rsidRPr="007B43ED">
        <w:rPr>
          <w:szCs w:val="20"/>
        </w:rPr>
        <w:t>.</w:t>
      </w:r>
      <w:r>
        <w:rPr>
          <w:szCs w:val="20"/>
        </w:rPr>
        <w:t xml:space="preserve"> Belgium</w:t>
      </w:r>
      <w:r w:rsidRPr="007B43ED">
        <w:rPr>
          <w:szCs w:val="20"/>
        </w:rPr>
        <w:t>, May.</w:t>
      </w:r>
      <w:r>
        <w:rPr>
          <w:szCs w:val="20"/>
        </w:rPr>
        <w:t xml:space="preserve"> Retrieved July 5, 2013, from </w:t>
      </w:r>
      <w:r w:rsidRPr="007B43ED">
        <w:rPr>
          <w:szCs w:val="20"/>
        </w:rPr>
        <w:t xml:space="preserve"> http://www.cefic.org/Documents/IndustrySupport/RC%20tools%20for%20SMEs/Document%20Tool%20Box/Guidance%20on%20Process%20Safety%20Performance%20Indicators.pdf</w:t>
      </w:r>
      <w:r>
        <w:rPr>
          <w:szCs w:val="20"/>
        </w:rPr>
        <w:t>.</w:t>
      </w:r>
    </w:p>
    <w:p w:rsidR="00471564" w:rsidRDefault="00471564" w:rsidP="00373CBD">
      <w:pPr>
        <w:spacing w:after="120" w:line="240" w:lineRule="auto"/>
        <w:ind w:left="567" w:hanging="567"/>
        <w:rPr>
          <w:szCs w:val="20"/>
        </w:rPr>
      </w:pPr>
      <w:r w:rsidRPr="00857EF4">
        <w:rPr>
          <w:szCs w:val="20"/>
        </w:rPr>
        <w:t xml:space="preserve">Frederick, J. </w:t>
      </w:r>
      <w:r>
        <w:rPr>
          <w:szCs w:val="20"/>
        </w:rPr>
        <w:t xml:space="preserve">&amp; </w:t>
      </w:r>
      <w:r w:rsidRPr="00857EF4">
        <w:rPr>
          <w:szCs w:val="20"/>
        </w:rPr>
        <w:t>Lessin</w:t>
      </w:r>
      <w:r>
        <w:rPr>
          <w:szCs w:val="20"/>
        </w:rPr>
        <w:t>, N.</w:t>
      </w:r>
      <w:r w:rsidRPr="00857EF4">
        <w:rPr>
          <w:szCs w:val="20"/>
        </w:rPr>
        <w:t xml:space="preserve"> (2000). Blame the Worker: The Rise of Behavioral-Based Safety Programs. </w:t>
      </w:r>
      <w:r w:rsidRPr="00857EF4">
        <w:rPr>
          <w:i/>
          <w:szCs w:val="20"/>
        </w:rPr>
        <w:t>Multinational Monitor</w:t>
      </w:r>
      <w:r>
        <w:rPr>
          <w:szCs w:val="20"/>
        </w:rPr>
        <w:t>,</w:t>
      </w:r>
      <w:r w:rsidRPr="00857EF4">
        <w:rPr>
          <w:szCs w:val="20"/>
        </w:rPr>
        <w:t xml:space="preserve"> </w:t>
      </w:r>
      <w:r w:rsidRPr="000D1925">
        <w:rPr>
          <w:i/>
          <w:szCs w:val="20"/>
        </w:rPr>
        <w:t>21</w:t>
      </w:r>
      <w:r>
        <w:rPr>
          <w:szCs w:val="20"/>
        </w:rPr>
        <w:t>(11),</w:t>
      </w:r>
      <w:r w:rsidRPr="00857EF4">
        <w:rPr>
          <w:szCs w:val="20"/>
        </w:rPr>
        <w:t xml:space="preserve"> 10-17.</w:t>
      </w:r>
    </w:p>
    <w:p w:rsidR="0090086F" w:rsidRPr="007B43ED" w:rsidRDefault="0090086F" w:rsidP="00373CBD">
      <w:pPr>
        <w:spacing w:after="120" w:line="240" w:lineRule="auto"/>
        <w:ind w:left="567" w:hanging="567"/>
        <w:rPr>
          <w:szCs w:val="20"/>
        </w:rPr>
      </w:pPr>
      <w:r w:rsidRPr="007B43ED">
        <w:rPr>
          <w:szCs w:val="20"/>
        </w:rPr>
        <w:t>Frost, G., Jones, S.</w:t>
      </w:r>
      <w:r>
        <w:rPr>
          <w:szCs w:val="20"/>
        </w:rPr>
        <w:t xml:space="preserve">, Loftus, J. &amp; </w:t>
      </w:r>
      <w:r w:rsidR="00A50AA3">
        <w:rPr>
          <w:szCs w:val="20"/>
        </w:rPr>
        <w:t>v</w:t>
      </w:r>
      <w:r>
        <w:rPr>
          <w:szCs w:val="20"/>
        </w:rPr>
        <w:t xml:space="preserve">an </w:t>
      </w:r>
      <w:r w:rsidR="00A50AA3">
        <w:rPr>
          <w:szCs w:val="20"/>
        </w:rPr>
        <w:t>d</w:t>
      </w:r>
      <w:r>
        <w:rPr>
          <w:szCs w:val="20"/>
        </w:rPr>
        <w:t xml:space="preserve">er Laan, S. </w:t>
      </w:r>
      <w:r w:rsidRPr="007B43ED">
        <w:rPr>
          <w:szCs w:val="20"/>
        </w:rPr>
        <w:t>(2005). A Survey of Sustainability Reporting Practices of Australian Reporting Entities.</w:t>
      </w:r>
      <w:r>
        <w:rPr>
          <w:szCs w:val="20"/>
        </w:rPr>
        <w:t xml:space="preserve"> </w:t>
      </w:r>
      <w:r w:rsidRPr="007B43ED">
        <w:rPr>
          <w:i/>
          <w:szCs w:val="20"/>
        </w:rPr>
        <w:t>Australian Accounting Review</w:t>
      </w:r>
      <w:r>
        <w:rPr>
          <w:szCs w:val="20"/>
        </w:rPr>
        <w:t>,</w:t>
      </w:r>
      <w:r w:rsidRPr="007B43ED">
        <w:rPr>
          <w:szCs w:val="20"/>
        </w:rPr>
        <w:t xml:space="preserve"> </w:t>
      </w:r>
      <w:r w:rsidRPr="009D2577">
        <w:rPr>
          <w:i/>
          <w:szCs w:val="20"/>
        </w:rPr>
        <w:t>15</w:t>
      </w:r>
      <w:r w:rsidRPr="007B43ED">
        <w:rPr>
          <w:szCs w:val="20"/>
        </w:rPr>
        <w:t>(1)</w:t>
      </w:r>
      <w:r>
        <w:rPr>
          <w:szCs w:val="20"/>
        </w:rPr>
        <w:t>,</w:t>
      </w:r>
      <w:r w:rsidRPr="007B43ED">
        <w:rPr>
          <w:szCs w:val="20"/>
        </w:rPr>
        <w:t xml:space="preserve"> 89-96.</w:t>
      </w:r>
    </w:p>
    <w:p w:rsidR="0090086F" w:rsidRPr="007B43ED" w:rsidRDefault="0090086F" w:rsidP="00373CBD">
      <w:pPr>
        <w:spacing w:after="120" w:line="240" w:lineRule="auto"/>
        <w:ind w:left="567" w:hanging="567"/>
        <w:rPr>
          <w:szCs w:val="20"/>
        </w:rPr>
      </w:pPr>
      <w:r w:rsidRPr="007B43ED">
        <w:rPr>
          <w:szCs w:val="20"/>
        </w:rPr>
        <w:t>Furter, E. (2011)</w:t>
      </w:r>
      <w:r>
        <w:rPr>
          <w:szCs w:val="20"/>
        </w:rPr>
        <w:t>.</w:t>
      </w:r>
      <w:r w:rsidRPr="007B43ED">
        <w:rPr>
          <w:szCs w:val="20"/>
        </w:rPr>
        <w:t xml:space="preserve"> Bird incident pyramid: true or false?</w:t>
      </w:r>
      <w:r>
        <w:rPr>
          <w:szCs w:val="20"/>
        </w:rPr>
        <w:t xml:space="preserve"> Retrieved March 6, 2011, from</w:t>
      </w:r>
      <w:r w:rsidRPr="007B43ED">
        <w:rPr>
          <w:szCs w:val="20"/>
        </w:rPr>
        <w:t xml:space="preserve"> www.sheqAfrica.com.</w:t>
      </w:r>
    </w:p>
    <w:p w:rsidR="0090086F" w:rsidRPr="007B43ED" w:rsidRDefault="0090086F" w:rsidP="00373CBD">
      <w:pPr>
        <w:spacing w:after="120" w:line="240" w:lineRule="auto"/>
        <w:ind w:left="567" w:hanging="567"/>
        <w:rPr>
          <w:szCs w:val="20"/>
        </w:rPr>
      </w:pPr>
      <w:r w:rsidRPr="007B43ED">
        <w:rPr>
          <w:szCs w:val="20"/>
        </w:rPr>
        <w:t>Gilovich, T., Griffin</w:t>
      </w:r>
      <w:r>
        <w:rPr>
          <w:szCs w:val="20"/>
        </w:rPr>
        <w:t xml:space="preserve">, D. &amp; Kahneman, D. </w:t>
      </w:r>
      <w:r w:rsidRPr="007B43ED">
        <w:rPr>
          <w:szCs w:val="20"/>
        </w:rPr>
        <w:t>(2002).</w:t>
      </w:r>
      <w:r>
        <w:rPr>
          <w:szCs w:val="20"/>
        </w:rPr>
        <w:t xml:space="preserve"> </w:t>
      </w:r>
      <w:r w:rsidRPr="007B43ED">
        <w:rPr>
          <w:i/>
          <w:szCs w:val="20"/>
        </w:rPr>
        <w:t>Heuristics and biases: the psychology of intuitive judgement</w:t>
      </w:r>
      <w:r w:rsidRPr="007B43ED">
        <w:rPr>
          <w:szCs w:val="20"/>
        </w:rPr>
        <w:t>. Cambridge</w:t>
      </w:r>
      <w:r>
        <w:rPr>
          <w:szCs w:val="20"/>
        </w:rPr>
        <w:t>:</w:t>
      </w:r>
      <w:r w:rsidRPr="007B43ED">
        <w:rPr>
          <w:szCs w:val="20"/>
        </w:rPr>
        <w:t xml:space="preserve"> Cambridge University Press</w:t>
      </w:r>
      <w:r>
        <w:rPr>
          <w:szCs w:val="20"/>
        </w:rPr>
        <w:t>.</w:t>
      </w:r>
    </w:p>
    <w:p w:rsidR="0090086F" w:rsidRPr="007B43ED" w:rsidRDefault="0090086F" w:rsidP="00373CBD">
      <w:pPr>
        <w:spacing w:after="120" w:line="240" w:lineRule="auto"/>
        <w:ind w:left="567" w:hanging="567"/>
        <w:rPr>
          <w:szCs w:val="20"/>
        </w:rPr>
      </w:pPr>
      <w:r w:rsidRPr="007B43ED">
        <w:rPr>
          <w:szCs w:val="20"/>
        </w:rPr>
        <w:t xml:space="preserve">Glendon, A. I. (2009). Process hazards and analogies: Response to Andrew Hopkins. </w:t>
      </w:r>
      <w:r w:rsidRPr="007B43ED">
        <w:rPr>
          <w:i/>
          <w:szCs w:val="20"/>
        </w:rPr>
        <w:t>Safety Science</w:t>
      </w:r>
      <w:r>
        <w:rPr>
          <w:szCs w:val="20"/>
        </w:rPr>
        <w:t>,</w:t>
      </w:r>
      <w:r w:rsidRPr="007B43ED">
        <w:rPr>
          <w:szCs w:val="20"/>
        </w:rPr>
        <w:t xml:space="preserve"> </w:t>
      </w:r>
      <w:r w:rsidRPr="00CF3598">
        <w:rPr>
          <w:i/>
          <w:szCs w:val="20"/>
        </w:rPr>
        <w:t>47</w:t>
      </w:r>
      <w:r w:rsidRPr="007B43ED">
        <w:rPr>
          <w:szCs w:val="20"/>
        </w:rPr>
        <w:t>(4)</w:t>
      </w:r>
      <w:r>
        <w:rPr>
          <w:szCs w:val="20"/>
        </w:rPr>
        <w:t>,</w:t>
      </w:r>
      <w:r w:rsidRPr="007B43ED">
        <w:rPr>
          <w:szCs w:val="20"/>
        </w:rPr>
        <w:t xml:space="preserve"> 476-477.</w:t>
      </w:r>
    </w:p>
    <w:p w:rsidR="0090086F" w:rsidRPr="007B43ED" w:rsidRDefault="0090086F" w:rsidP="00373CBD">
      <w:pPr>
        <w:spacing w:after="120" w:line="240" w:lineRule="auto"/>
        <w:ind w:left="567" w:hanging="567"/>
        <w:rPr>
          <w:szCs w:val="20"/>
        </w:rPr>
      </w:pPr>
      <w:r w:rsidRPr="007B43ED">
        <w:rPr>
          <w:szCs w:val="20"/>
        </w:rPr>
        <w:t>Gray, R., Kouhy, R. and Lavers</w:t>
      </w:r>
      <w:r>
        <w:rPr>
          <w:szCs w:val="20"/>
        </w:rPr>
        <w:t>, S.</w:t>
      </w:r>
      <w:r w:rsidRPr="007B43ED">
        <w:rPr>
          <w:szCs w:val="20"/>
        </w:rPr>
        <w:t xml:space="preserve"> (1995). Corporate social and environmental reporting: A review of the literature and a longitudinal study of UK disclosure. Ac</w:t>
      </w:r>
      <w:r w:rsidRPr="007B43ED">
        <w:rPr>
          <w:i/>
          <w:szCs w:val="20"/>
        </w:rPr>
        <w:t>counting, Auditing and Accountability Journal</w:t>
      </w:r>
      <w:r>
        <w:rPr>
          <w:szCs w:val="20"/>
        </w:rPr>
        <w:t>,</w:t>
      </w:r>
      <w:r w:rsidRPr="007B43ED">
        <w:rPr>
          <w:szCs w:val="20"/>
        </w:rPr>
        <w:t xml:space="preserve"> </w:t>
      </w:r>
      <w:r w:rsidRPr="00054A38">
        <w:rPr>
          <w:i/>
          <w:szCs w:val="20"/>
        </w:rPr>
        <w:t>8</w:t>
      </w:r>
      <w:r w:rsidRPr="007B43ED">
        <w:rPr>
          <w:szCs w:val="20"/>
        </w:rPr>
        <w:t>(2)</w:t>
      </w:r>
      <w:r>
        <w:rPr>
          <w:szCs w:val="20"/>
        </w:rPr>
        <w:t>,</w:t>
      </w:r>
      <w:r w:rsidRPr="007B43ED">
        <w:rPr>
          <w:szCs w:val="20"/>
        </w:rPr>
        <w:t xml:space="preserve"> 47-77.</w:t>
      </w:r>
    </w:p>
    <w:p w:rsidR="0090086F" w:rsidRPr="007B43ED" w:rsidRDefault="0090086F" w:rsidP="00373CBD">
      <w:pPr>
        <w:spacing w:after="120" w:line="240" w:lineRule="auto"/>
        <w:ind w:left="567" w:hanging="567"/>
        <w:rPr>
          <w:szCs w:val="20"/>
        </w:rPr>
      </w:pPr>
      <w:r w:rsidRPr="007B43ED">
        <w:rPr>
          <w:szCs w:val="20"/>
        </w:rPr>
        <w:t xml:space="preserve">Guthrie, J. </w:t>
      </w:r>
      <w:r>
        <w:rPr>
          <w:szCs w:val="20"/>
        </w:rPr>
        <w:t xml:space="preserve">&amp; </w:t>
      </w:r>
      <w:r w:rsidRPr="007B43ED">
        <w:rPr>
          <w:szCs w:val="20"/>
        </w:rPr>
        <w:t>Parker</w:t>
      </w:r>
      <w:r>
        <w:rPr>
          <w:szCs w:val="20"/>
        </w:rPr>
        <w:t>,</w:t>
      </w:r>
      <w:r w:rsidRPr="00054A38">
        <w:rPr>
          <w:szCs w:val="20"/>
        </w:rPr>
        <w:t xml:space="preserve"> </w:t>
      </w:r>
      <w:r w:rsidRPr="007B43ED">
        <w:rPr>
          <w:szCs w:val="20"/>
        </w:rPr>
        <w:t xml:space="preserve">L. D. (1989). Corporate Social Reporting: A Rebuttal of Legitimacy Theory. </w:t>
      </w:r>
      <w:r w:rsidRPr="007B43ED">
        <w:rPr>
          <w:i/>
          <w:szCs w:val="20"/>
        </w:rPr>
        <w:t>Accounting and Business Research</w:t>
      </w:r>
      <w:r>
        <w:rPr>
          <w:szCs w:val="20"/>
        </w:rPr>
        <w:t>,</w:t>
      </w:r>
      <w:r w:rsidRPr="007B43ED">
        <w:rPr>
          <w:szCs w:val="20"/>
        </w:rPr>
        <w:t xml:space="preserve"> </w:t>
      </w:r>
      <w:r w:rsidRPr="00054A38">
        <w:rPr>
          <w:i/>
          <w:szCs w:val="20"/>
        </w:rPr>
        <w:t>19</w:t>
      </w:r>
      <w:r w:rsidRPr="007B43ED">
        <w:rPr>
          <w:szCs w:val="20"/>
        </w:rPr>
        <w:t>(76)</w:t>
      </w:r>
      <w:r>
        <w:rPr>
          <w:szCs w:val="20"/>
        </w:rPr>
        <w:t>,</w:t>
      </w:r>
      <w:r w:rsidRPr="007B43ED">
        <w:rPr>
          <w:szCs w:val="20"/>
        </w:rPr>
        <w:t xml:space="preserve"> 343-352.</w:t>
      </w:r>
    </w:p>
    <w:p w:rsidR="0090086F" w:rsidRPr="007B43ED" w:rsidRDefault="0090086F" w:rsidP="00373CBD">
      <w:pPr>
        <w:spacing w:after="120" w:line="240" w:lineRule="auto"/>
        <w:ind w:left="567" w:hanging="567"/>
        <w:rPr>
          <w:szCs w:val="20"/>
        </w:rPr>
      </w:pPr>
      <w:r w:rsidRPr="007B43ED">
        <w:rPr>
          <w:szCs w:val="20"/>
        </w:rPr>
        <w:t xml:space="preserve">Hale, A. R. </w:t>
      </w:r>
      <w:r>
        <w:rPr>
          <w:szCs w:val="20"/>
        </w:rPr>
        <w:t xml:space="preserve">&amp; </w:t>
      </w:r>
      <w:r w:rsidRPr="007B43ED">
        <w:rPr>
          <w:szCs w:val="20"/>
        </w:rPr>
        <w:t>Hovden</w:t>
      </w:r>
      <w:r>
        <w:rPr>
          <w:szCs w:val="20"/>
        </w:rPr>
        <w:t>, J.</w:t>
      </w:r>
      <w:r w:rsidRPr="007B43ED">
        <w:rPr>
          <w:szCs w:val="20"/>
        </w:rPr>
        <w:t xml:space="preserve"> (1998). Management and Culture: The Third Age of Safety. In Feyer</w:t>
      </w:r>
      <w:r>
        <w:rPr>
          <w:szCs w:val="20"/>
        </w:rPr>
        <w:t xml:space="preserve">, </w:t>
      </w:r>
      <w:r w:rsidRPr="007B43ED">
        <w:rPr>
          <w:szCs w:val="20"/>
        </w:rPr>
        <w:t xml:space="preserve">A. M. </w:t>
      </w:r>
      <w:r>
        <w:rPr>
          <w:szCs w:val="20"/>
        </w:rPr>
        <w:t xml:space="preserve">&amp; </w:t>
      </w:r>
      <w:r w:rsidRPr="007B43ED">
        <w:rPr>
          <w:szCs w:val="20"/>
        </w:rPr>
        <w:t>Williamson</w:t>
      </w:r>
      <w:r>
        <w:rPr>
          <w:szCs w:val="20"/>
        </w:rPr>
        <w:t>, A.</w:t>
      </w:r>
      <w:r w:rsidRPr="007B43ED">
        <w:rPr>
          <w:szCs w:val="20"/>
        </w:rPr>
        <w:t xml:space="preserve"> (</w:t>
      </w:r>
      <w:r>
        <w:rPr>
          <w:szCs w:val="20"/>
        </w:rPr>
        <w:t>e</w:t>
      </w:r>
      <w:r w:rsidRPr="007B43ED">
        <w:rPr>
          <w:szCs w:val="20"/>
        </w:rPr>
        <w:t>ds)</w:t>
      </w:r>
      <w:r>
        <w:rPr>
          <w:szCs w:val="20"/>
        </w:rPr>
        <w:t>.</w:t>
      </w:r>
      <w:r w:rsidRPr="007B43ED">
        <w:rPr>
          <w:szCs w:val="20"/>
        </w:rPr>
        <w:t xml:space="preserve"> </w:t>
      </w:r>
      <w:r w:rsidRPr="007B43ED">
        <w:rPr>
          <w:i/>
          <w:szCs w:val="20"/>
        </w:rPr>
        <w:t>Occupational Injury: Risk Prevention and Intervention</w:t>
      </w:r>
      <w:r w:rsidRPr="007B43ED">
        <w:rPr>
          <w:szCs w:val="20"/>
        </w:rPr>
        <w:t>. London</w:t>
      </w:r>
      <w:r>
        <w:rPr>
          <w:szCs w:val="20"/>
        </w:rPr>
        <w:t>:</w:t>
      </w:r>
      <w:r w:rsidRPr="007B43ED">
        <w:rPr>
          <w:szCs w:val="20"/>
        </w:rPr>
        <w:t xml:space="preserve"> Taylor and Francis.</w:t>
      </w:r>
    </w:p>
    <w:p w:rsidR="0090086F" w:rsidRPr="000C5F4B" w:rsidRDefault="0090086F" w:rsidP="00373CBD">
      <w:pPr>
        <w:spacing w:after="120" w:line="240" w:lineRule="auto"/>
        <w:ind w:left="720" w:hanging="720"/>
        <w:rPr>
          <w:rFonts w:ascii="Calibri" w:hAnsi="Calibri"/>
          <w:noProof/>
          <w:szCs w:val="20"/>
        </w:rPr>
      </w:pPr>
      <w:r w:rsidRPr="000C5F4B">
        <w:rPr>
          <w:rFonts w:ascii="Calibri" w:hAnsi="Calibri"/>
          <w:noProof/>
          <w:szCs w:val="20"/>
        </w:rPr>
        <w:t>Health and Safety Professionals Alliance</w:t>
      </w:r>
      <w:r>
        <w:rPr>
          <w:rFonts w:ascii="Calibri" w:hAnsi="Calibri"/>
          <w:noProof/>
          <w:szCs w:val="20"/>
        </w:rPr>
        <w:t xml:space="preserve"> (HaSPA</w:t>
      </w:r>
      <w:r w:rsidRPr="000C5F4B">
        <w:rPr>
          <w:rFonts w:ascii="Calibri" w:hAnsi="Calibri"/>
          <w:noProof/>
          <w:szCs w:val="20"/>
        </w:rPr>
        <w:t>)</w:t>
      </w:r>
      <w:r>
        <w:rPr>
          <w:rFonts w:ascii="Calibri" w:hAnsi="Calibri"/>
          <w:noProof/>
          <w:szCs w:val="20"/>
        </w:rPr>
        <w:t>.</w:t>
      </w:r>
      <w:r w:rsidRPr="000C5F4B">
        <w:rPr>
          <w:rFonts w:ascii="Calibri" w:hAnsi="Calibri"/>
          <w:noProof/>
          <w:szCs w:val="20"/>
        </w:rPr>
        <w:t xml:space="preserve"> (2012). </w:t>
      </w:r>
      <w:r w:rsidRPr="000C5F4B">
        <w:rPr>
          <w:rFonts w:ascii="Calibri" w:hAnsi="Calibri"/>
          <w:i/>
          <w:noProof/>
          <w:szCs w:val="20"/>
        </w:rPr>
        <w:t>The Core Body of Knowledge for Generalist OHS Professionals</w:t>
      </w:r>
      <w:r w:rsidRPr="000C5F4B">
        <w:rPr>
          <w:rFonts w:ascii="Calibri" w:hAnsi="Calibri"/>
          <w:noProof/>
          <w:szCs w:val="20"/>
        </w:rPr>
        <w:t>. Tullamarine, VIC., Safety Institute of Australia.</w:t>
      </w:r>
    </w:p>
    <w:p w:rsidR="00B826FC" w:rsidRDefault="00B826FC" w:rsidP="00373CBD">
      <w:pPr>
        <w:spacing w:after="120" w:line="240" w:lineRule="auto"/>
        <w:ind w:left="567" w:hanging="567"/>
        <w:rPr>
          <w:szCs w:val="20"/>
        </w:rPr>
      </w:pPr>
      <w:r>
        <w:rPr>
          <w:szCs w:val="20"/>
        </w:rPr>
        <w:t xml:space="preserve">Hecimovic, A. and O’Neill, S. (2011). Are Non-financial Corporate Social Material to Assurance Providers? </w:t>
      </w:r>
      <w:r w:rsidRPr="00292D08">
        <w:rPr>
          <w:i/>
          <w:szCs w:val="20"/>
        </w:rPr>
        <w:t>Centre for Social &amp; Environmental Accounting Research</w:t>
      </w:r>
      <w:r>
        <w:rPr>
          <w:szCs w:val="20"/>
        </w:rPr>
        <w:t xml:space="preserve"> summer school</w:t>
      </w:r>
      <w:r w:rsidR="008D7DA6">
        <w:rPr>
          <w:szCs w:val="20"/>
        </w:rPr>
        <w:t>.</w:t>
      </w:r>
      <w:r>
        <w:rPr>
          <w:szCs w:val="20"/>
        </w:rPr>
        <w:t xml:space="preserve"> </w:t>
      </w:r>
      <w:r w:rsidR="008D7DA6">
        <w:rPr>
          <w:szCs w:val="20"/>
        </w:rPr>
        <w:t>St Andrews</w:t>
      </w:r>
      <w:r>
        <w:rPr>
          <w:szCs w:val="20"/>
        </w:rPr>
        <w:t xml:space="preserve">, </w:t>
      </w:r>
      <w:r w:rsidR="008D7DA6">
        <w:rPr>
          <w:szCs w:val="20"/>
        </w:rPr>
        <w:t>Scotland.</w:t>
      </w:r>
    </w:p>
    <w:p w:rsidR="0090086F" w:rsidRPr="007B43ED" w:rsidRDefault="0090086F" w:rsidP="00373CBD">
      <w:pPr>
        <w:spacing w:after="120" w:line="240" w:lineRule="auto"/>
        <w:ind w:left="567" w:hanging="567"/>
        <w:rPr>
          <w:szCs w:val="20"/>
        </w:rPr>
      </w:pPr>
      <w:r w:rsidRPr="007B43ED">
        <w:rPr>
          <w:szCs w:val="20"/>
        </w:rPr>
        <w:t xml:space="preserve">Herr, M. L. (1998). Occupational Illness: Where is the Outrage? </w:t>
      </w:r>
      <w:r w:rsidRPr="007B43ED">
        <w:rPr>
          <w:i/>
          <w:szCs w:val="20"/>
        </w:rPr>
        <w:t>American Industrial Hygiene</w:t>
      </w:r>
      <w:r>
        <w:rPr>
          <w:i/>
          <w:szCs w:val="20"/>
        </w:rPr>
        <w:t xml:space="preserve"> </w:t>
      </w:r>
      <w:r w:rsidRPr="007B43ED">
        <w:rPr>
          <w:i/>
          <w:szCs w:val="20"/>
        </w:rPr>
        <w:t>Association Journal</w:t>
      </w:r>
      <w:r>
        <w:rPr>
          <w:szCs w:val="20"/>
        </w:rPr>
        <w:t>,</w:t>
      </w:r>
      <w:r w:rsidRPr="007B43ED">
        <w:rPr>
          <w:szCs w:val="20"/>
        </w:rPr>
        <w:t xml:space="preserve"> </w:t>
      </w:r>
      <w:r w:rsidRPr="007A3E05">
        <w:rPr>
          <w:i/>
          <w:szCs w:val="20"/>
        </w:rPr>
        <w:t>59</w:t>
      </w:r>
      <w:r w:rsidRPr="007B43ED">
        <w:rPr>
          <w:szCs w:val="20"/>
        </w:rPr>
        <w:t>(2)</w:t>
      </w:r>
      <w:r>
        <w:rPr>
          <w:szCs w:val="20"/>
        </w:rPr>
        <w:t>,</w:t>
      </w:r>
      <w:r w:rsidRPr="007B43ED">
        <w:rPr>
          <w:szCs w:val="20"/>
        </w:rPr>
        <w:t xml:space="preserve"> 83-84.</w:t>
      </w:r>
    </w:p>
    <w:p w:rsidR="0090086F" w:rsidRPr="007B43ED" w:rsidRDefault="0090086F" w:rsidP="00373CBD">
      <w:pPr>
        <w:spacing w:after="120" w:line="240" w:lineRule="auto"/>
        <w:ind w:left="567" w:hanging="567"/>
        <w:rPr>
          <w:szCs w:val="20"/>
        </w:rPr>
      </w:pPr>
      <w:r w:rsidRPr="007B43ED">
        <w:rPr>
          <w:szCs w:val="20"/>
        </w:rPr>
        <w:t>Hopkins, A. (1994). The Limits of Lost Time Injury Frequency Rates.</w:t>
      </w:r>
      <w:r>
        <w:rPr>
          <w:szCs w:val="20"/>
        </w:rPr>
        <w:t xml:space="preserve"> </w:t>
      </w:r>
      <w:r w:rsidRPr="007B43ED">
        <w:rPr>
          <w:i/>
          <w:szCs w:val="20"/>
        </w:rPr>
        <w:t>Positive Performance Indicators for OHS: Beyond Lost Time Injuries</w:t>
      </w:r>
      <w:r w:rsidRPr="007B43ED">
        <w:rPr>
          <w:szCs w:val="20"/>
        </w:rPr>
        <w:t xml:space="preserve">. </w:t>
      </w:r>
      <w:r>
        <w:rPr>
          <w:szCs w:val="20"/>
        </w:rPr>
        <w:t xml:space="preserve">Canberra: </w:t>
      </w:r>
      <w:r w:rsidRPr="007B43ED">
        <w:rPr>
          <w:szCs w:val="20"/>
        </w:rPr>
        <w:t>Australian Government Publishing Servic</w:t>
      </w:r>
      <w:r>
        <w:rPr>
          <w:szCs w:val="20"/>
        </w:rPr>
        <w:t>e,</w:t>
      </w:r>
      <w:r w:rsidRPr="007B43ED">
        <w:rPr>
          <w:szCs w:val="20"/>
        </w:rPr>
        <w:t xml:space="preserve"> Commonwealth of Australia.</w:t>
      </w:r>
    </w:p>
    <w:p w:rsidR="0090086F" w:rsidRPr="007B43ED" w:rsidRDefault="0090086F" w:rsidP="00373CBD">
      <w:pPr>
        <w:spacing w:after="120" w:line="240" w:lineRule="auto"/>
        <w:ind w:left="567" w:hanging="567"/>
        <w:rPr>
          <w:szCs w:val="20"/>
        </w:rPr>
      </w:pPr>
      <w:r w:rsidRPr="007B43ED">
        <w:rPr>
          <w:szCs w:val="20"/>
        </w:rPr>
        <w:t xml:space="preserve">Hopkins, A. (2000). </w:t>
      </w:r>
      <w:r w:rsidRPr="007B43ED">
        <w:rPr>
          <w:i/>
          <w:szCs w:val="20"/>
        </w:rPr>
        <w:t>Lessons from Longford: The Esso Gas Plant Explosion</w:t>
      </w:r>
      <w:r w:rsidRPr="007B43ED">
        <w:rPr>
          <w:szCs w:val="20"/>
        </w:rPr>
        <w:t>. Sydney</w:t>
      </w:r>
      <w:r>
        <w:rPr>
          <w:szCs w:val="20"/>
        </w:rPr>
        <w:t>:</w:t>
      </w:r>
      <w:r w:rsidRPr="007B43ED">
        <w:rPr>
          <w:szCs w:val="20"/>
        </w:rPr>
        <w:t xml:space="preserve"> CCH Australia Ltd.</w:t>
      </w:r>
    </w:p>
    <w:p w:rsidR="0090086F" w:rsidRPr="007B43ED" w:rsidRDefault="0090086F" w:rsidP="00373CBD">
      <w:pPr>
        <w:spacing w:after="120" w:line="240" w:lineRule="auto"/>
        <w:ind w:left="567" w:right="-166" w:hanging="567"/>
        <w:rPr>
          <w:szCs w:val="20"/>
        </w:rPr>
      </w:pPr>
      <w:r w:rsidRPr="007B43ED">
        <w:rPr>
          <w:szCs w:val="20"/>
        </w:rPr>
        <w:t xml:space="preserve">Hopkins, A. (2005). </w:t>
      </w:r>
      <w:r w:rsidRPr="007B43ED">
        <w:rPr>
          <w:i/>
          <w:szCs w:val="20"/>
        </w:rPr>
        <w:t>Safety Culture and Risk: The Organisational Causes of Disasters</w:t>
      </w:r>
      <w:r w:rsidRPr="007B43ED">
        <w:rPr>
          <w:szCs w:val="20"/>
        </w:rPr>
        <w:t xml:space="preserve">, </w:t>
      </w:r>
      <w:r>
        <w:rPr>
          <w:szCs w:val="20"/>
        </w:rPr>
        <w:t xml:space="preserve">Sydney: </w:t>
      </w:r>
      <w:r w:rsidRPr="007B43ED">
        <w:rPr>
          <w:szCs w:val="20"/>
        </w:rPr>
        <w:t>CCH Australia Ltd.</w:t>
      </w:r>
    </w:p>
    <w:p w:rsidR="0090086F" w:rsidRPr="007B43ED" w:rsidRDefault="0090086F" w:rsidP="00373CBD">
      <w:pPr>
        <w:spacing w:after="120" w:line="240" w:lineRule="auto"/>
        <w:ind w:left="567" w:hanging="567"/>
        <w:rPr>
          <w:szCs w:val="20"/>
        </w:rPr>
      </w:pPr>
      <w:r>
        <w:rPr>
          <w:szCs w:val="20"/>
        </w:rPr>
        <w:t>International Association of Oil and Gas Producers (</w:t>
      </w:r>
      <w:r w:rsidRPr="007B43ED">
        <w:rPr>
          <w:szCs w:val="20"/>
        </w:rPr>
        <w:t>IAOGP</w:t>
      </w:r>
      <w:r>
        <w:rPr>
          <w:szCs w:val="20"/>
        </w:rPr>
        <w:t>).</w:t>
      </w:r>
      <w:r w:rsidRPr="007B43ED">
        <w:rPr>
          <w:szCs w:val="20"/>
        </w:rPr>
        <w:t xml:space="preserve"> (2011)</w:t>
      </w:r>
      <w:r>
        <w:rPr>
          <w:szCs w:val="20"/>
        </w:rPr>
        <w:t>.</w:t>
      </w:r>
      <w:r w:rsidRPr="007B43ED">
        <w:rPr>
          <w:szCs w:val="20"/>
        </w:rPr>
        <w:t xml:space="preserve"> </w:t>
      </w:r>
      <w:r w:rsidRPr="007B43ED">
        <w:rPr>
          <w:i/>
          <w:szCs w:val="20"/>
        </w:rPr>
        <w:t>Process Safety - Recommended practice on key performance indicators</w:t>
      </w:r>
      <w:r w:rsidRPr="007B43ED">
        <w:rPr>
          <w:szCs w:val="20"/>
        </w:rPr>
        <w:t>. Report No. 456.</w:t>
      </w:r>
    </w:p>
    <w:p w:rsidR="0090086F" w:rsidRPr="007B43ED" w:rsidRDefault="0090086F" w:rsidP="00373CBD">
      <w:pPr>
        <w:spacing w:after="120" w:line="240" w:lineRule="auto"/>
        <w:ind w:left="567" w:hanging="567"/>
        <w:rPr>
          <w:szCs w:val="20"/>
        </w:rPr>
      </w:pPr>
      <w:r>
        <w:rPr>
          <w:szCs w:val="20"/>
        </w:rPr>
        <w:t>International Council on Mining and Metals (</w:t>
      </w:r>
      <w:r w:rsidRPr="007B43ED">
        <w:rPr>
          <w:szCs w:val="20"/>
        </w:rPr>
        <w:t>ICMM</w:t>
      </w:r>
      <w:r>
        <w:rPr>
          <w:szCs w:val="20"/>
        </w:rPr>
        <w:t>).</w:t>
      </w:r>
      <w:r w:rsidRPr="007B43ED">
        <w:rPr>
          <w:szCs w:val="20"/>
        </w:rPr>
        <w:t xml:space="preserve"> (2012).</w:t>
      </w:r>
      <w:r w:rsidRPr="007B43ED">
        <w:rPr>
          <w:i/>
          <w:szCs w:val="20"/>
        </w:rPr>
        <w:t>Overview of leading indicators for occupational health and safety in mining</w:t>
      </w:r>
      <w:r w:rsidRPr="007B43ED">
        <w:rPr>
          <w:szCs w:val="20"/>
        </w:rPr>
        <w:t>.</w:t>
      </w:r>
      <w:r>
        <w:rPr>
          <w:szCs w:val="20"/>
        </w:rPr>
        <w:t xml:space="preserve"> </w:t>
      </w:r>
      <w:r w:rsidRPr="007B43ED">
        <w:rPr>
          <w:szCs w:val="20"/>
        </w:rPr>
        <w:t>London</w:t>
      </w:r>
      <w:r>
        <w:rPr>
          <w:szCs w:val="20"/>
        </w:rPr>
        <w:t>: ICMM.</w:t>
      </w:r>
    </w:p>
    <w:p w:rsidR="0090086F" w:rsidRPr="0007314B" w:rsidRDefault="0090086F" w:rsidP="00373CBD">
      <w:pPr>
        <w:spacing w:after="120" w:line="240" w:lineRule="auto"/>
        <w:ind w:left="567" w:hanging="567"/>
        <w:rPr>
          <w:szCs w:val="20"/>
        </w:rPr>
      </w:pPr>
      <w:r w:rsidRPr="0007314B">
        <w:rPr>
          <w:szCs w:val="20"/>
        </w:rPr>
        <w:t>Institute for Work &amp; Health (IWH)</w:t>
      </w:r>
      <w:r>
        <w:rPr>
          <w:szCs w:val="20"/>
        </w:rPr>
        <w:t>.</w:t>
      </w:r>
      <w:r w:rsidRPr="0007314B">
        <w:rPr>
          <w:szCs w:val="20"/>
        </w:rPr>
        <w:t xml:space="preserve"> (2011). </w:t>
      </w:r>
      <w:r w:rsidRPr="0007314B">
        <w:rPr>
          <w:i/>
          <w:szCs w:val="20"/>
        </w:rPr>
        <w:t>Benchmarking organizational leading indicators for the prevention and management of injuries and illnesses</w:t>
      </w:r>
      <w:r>
        <w:rPr>
          <w:szCs w:val="20"/>
        </w:rPr>
        <w:t>. Toronto: IWH.</w:t>
      </w:r>
    </w:p>
    <w:p w:rsidR="0090086F" w:rsidRPr="007B43ED" w:rsidRDefault="0090086F" w:rsidP="00373CBD">
      <w:pPr>
        <w:spacing w:after="120" w:line="240" w:lineRule="auto"/>
        <w:ind w:left="567" w:hanging="567"/>
        <w:rPr>
          <w:szCs w:val="20"/>
        </w:rPr>
      </w:pPr>
      <w:r w:rsidRPr="007B43ED">
        <w:rPr>
          <w:szCs w:val="20"/>
        </w:rPr>
        <w:t xml:space="preserve">Janicak, C. (2010). </w:t>
      </w:r>
      <w:r w:rsidRPr="007B43ED">
        <w:rPr>
          <w:i/>
          <w:szCs w:val="20"/>
        </w:rPr>
        <w:t>Safety Metrics: Tools and Techniques for Measuring Safety Performance</w:t>
      </w:r>
      <w:r w:rsidRPr="007B43ED">
        <w:rPr>
          <w:szCs w:val="20"/>
        </w:rPr>
        <w:t xml:space="preserve">. </w:t>
      </w:r>
      <w:r>
        <w:rPr>
          <w:szCs w:val="20"/>
        </w:rPr>
        <w:t xml:space="preserve">Plymouth, UK: </w:t>
      </w:r>
      <w:r w:rsidRPr="007B43ED">
        <w:rPr>
          <w:szCs w:val="20"/>
        </w:rPr>
        <w:t>Government Institutes.</w:t>
      </w:r>
    </w:p>
    <w:p w:rsidR="0090086F" w:rsidRPr="007B43ED" w:rsidRDefault="0090086F" w:rsidP="00373CBD">
      <w:pPr>
        <w:spacing w:after="120" w:line="240" w:lineRule="auto"/>
        <w:ind w:left="567" w:hanging="567"/>
        <w:rPr>
          <w:szCs w:val="20"/>
        </w:rPr>
      </w:pPr>
      <w:r w:rsidRPr="007B43ED">
        <w:rPr>
          <w:szCs w:val="20"/>
        </w:rPr>
        <w:t xml:space="preserve">Jung, C. G. (1971). </w:t>
      </w:r>
      <w:r w:rsidRPr="007B43ED">
        <w:rPr>
          <w:i/>
          <w:szCs w:val="20"/>
        </w:rPr>
        <w:t>Psychological types</w:t>
      </w:r>
      <w:r w:rsidRPr="007B43ED">
        <w:rPr>
          <w:szCs w:val="20"/>
        </w:rPr>
        <w:t>.</w:t>
      </w:r>
      <w:r>
        <w:rPr>
          <w:szCs w:val="20"/>
        </w:rPr>
        <w:t xml:space="preserve"> </w:t>
      </w:r>
      <w:r w:rsidRPr="007B43ED">
        <w:rPr>
          <w:szCs w:val="20"/>
        </w:rPr>
        <w:t>Princeton, New Jersey</w:t>
      </w:r>
      <w:r>
        <w:rPr>
          <w:szCs w:val="20"/>
        </w:rPr>
        <w:t>:</w:t>
      </w:r>
      <w:r w:rsidRPr="007B43ED">
        <w:rPr>
          <w:szCs w:val="20"/>
        </w:rPr>
        <w:t xml:space="preserve"> Princeton University Press.</w:t>
      </w:r>
    </w:p>
    <w:p w:rsidR="0090086F" w:rsidRPr="007B43ED" w:rsidRDefault="0090086F" w:rsidP="00373CBD">
      <w:pPr>
        <w:spacing w:after="120" w:line="240" w:lineRule="auto"/>
        <w:ind w:left="567" w:hanging="567"/>
        <w:rPr>
          <w:szCs w:val="20"/>
        </w:rPr>
      </w:pPr>
      <w:r w:rsidRPr="007B43ED">
        <w:rPr>
          <w:szCs w:val="20"/>
        </w:rPr>
        <w:t>Kahneman, D., Slovic, P.</w:t>
      </w:r>
      <w:r>
        <w:rPr>
          <w:szCs w:val="20"/>
        </w:rPr>
        <w:t xml:space="preserve"> &amp; Tversky, A.</w:t>
      </w:r>
      <w:r w:rsidRPr="007B43ED">
        <w:rPr>
          <w:szCs w:val="20"/>
        </w:rPr>
        <w:t xml:space="preserve"> (1982). </w:t>
      </w:r>
      <w:r w:rsidRPr="007B43ED">
        <w:rPr>
          <w:i/>
          <w:szCs w:val="20"/>
        </w:rPr>
        <w:t>Judgement under uncertainty: Heuristics and biases</w:t>
      </w:r>
      <w:r w:rsidRPr="007B43ED">
        <w:rPr>
          <w:szCs w:val="20"/>
        </w:rPr>
        <w:t>. Cambridge</w:t>
      </w:r>
      <w:r>
        <w:rPr>
          <w:szCs w:val="20"/>
        </w:rPr>
        <w:t>:</w:t>
      </w:r>
      <w:r w:rsidRPr="007B43ED">
        <w:rPr>
          <w:szCs w:val="20"/>
        </w:rPr>
        <w:t xml:space="preserve"> Cambridge University Press</w:t>
      </w:r>
      <w:r>
        <w:rPr>
          <w:szCs w:val="20"/>
        </w:rPr>
        <w:t>.</w:t>
      </w:r>
    </w:p>
    <w:p w:rsidR="0090086F" w:rsidRPr="007B43ED" w:rsidRDefault="0090086F" w:rsidP="00373CBD">
      <w:pPr>
        <w:spacing w:after="120" w:line="240" w:lineRule="auto"/>
        <w:ind w:left="567" w:hanging="567"/>
        <w:rPr>
          <w:szCs w:val="20"/>
        </w:rPr>
      </w:pPr>
      <w:r w:rsidRPr="007B43ED">
        <w:rPr>
          <w:szCs w:val="20"/>
        </w:rPr>
        <w:t xml:space="preserve">Manuele, F. A. (2002). </w:t>
      </w:r>
      <w:r w:rsidRPr="007B43ED">
        <w:rPr>
          <w:i/>
          <w:szCs w:val="20"/>
        </w:rPr>
        <w:t>Heinrich Revisited: Truisms or Myths</w:t>
      </w:r>
      <w:r>
        <w:rPr>
          <w:szCs w:val="20"/>
        </w:rPr>
        <w:t>.</w:t>
      </w:r>
      <w:r w:rsidRPr="007B43ED">
        <w:rPr>
          <w:szCs w:val="20"/>
        </w:rPr>
        <w:t xml:space="preserve"> National Safety Council.</w:t>
      </w:r>
    </w:p>
    <w:p w:rsidR="0090086F" w:rsidRPr="007B43ED" w:rsidRDefault="0090086F" w:rsidP="00373CBD">
      <w:pPr>
        <w:spacing w:after="120" w:line="240" w:lineRule="auto"/>
        <w:ind w:left="567" w:hanging="567"/>
        <w:rPr>
          <w:szCs w:val="20"/>
        </w:rPr>
      </w:pPr>
      <w:r w:rsidRPr="007B43ED">
        <w:rPr>
          <w:szCs w:val="20"/>
        </w:rPr>
        <w:t xml:space="preserve">McDonald, G. L. (1985). </w:t>
      </w:r>
      <w:r w:rsidRPr="007B43ED">
        <w:rPr>
          <w:i/>
          <w:szCs w:val="20"/>
        </w:rPr>
        <w:t>Defining the Objectives - Immediate and Future</w:t>
      </w:r>
      <w:r w:rsidRPr="007B43ED">
        <w:rPr>
          <w:szCs w:val="20"/>
        </w:rPr>
        <w:t>. University of New South Wales</w:t>
      </w:r>
      <w:r>
        <w:rPr>
          <w:szCs w:val="20"/>
        </w:rPr>
        <w:t xml:space="preserve"> </w:t>
      </w:r>
      <w:r w:rsidRPr="007B43ED">
        <w:rPr>
          <w:szCs w:val="20"/>
        </w:rPr>
        <w:t xml:space="preserve">Occasional Paper No. 10. Sydney. </w:t>
      </w:r>
    </w:p>
    <w:p w:rsidR="0090086F" w:rsidRPr="007B43ED" w:rsidRDefault="0090086F" w:rsidP="00373CBD">
      <w:pPr>
        <w:spacing w:after="120" w:line="240" w:lineRule="auto"/>
        <w:ind w:left="567" w:hanging="567"/>
        <w:rPr>
          <w:szCs w:val="20"/>
        </w:rPr>
      </w:pPr>
      <w:r w:rsidRPr="007B43ED">
        <w:rPr>
          <w:szCs w:val="20"/>
        </w:rPr>
        <w:t xml:space="preserve">McDonald, G. L. (1994). </w:t>
      </w:r>
      <w:r w:rsidRPr="007B43ED">
        <w:rPr>
          <w:i/>
          <w:szCs w:val="20"/>
        </w:rPr>
        <w:t>Occupational Personal Damage Causation: Causes of Occupational Injury, Illness and Disease in Australia</w:t>
      </w:r>
      <w:r w:rsidRPr="007B43ED">
        <w:rPr>
          <w:szCs w:val="20"/>
        </w:rPr>
        <w:t xml:space="preserve">. Report commissioned by Industry Commission, Sydney, 1985. </w:t>
      </w:r>
    </w:p>
    <w:p w:rsidR="0090086F" w:rsidRPr="007B43ED" w:rsidRDefault="0090086F" w:rsidP="00373CBD">
      <w:pPr>
        <w:spacing w:after="120" w:line="240" w:lineRule="auto"/>
        <w:ind w:left="567" w:hanging="567"/>
        <w:rPr>
          <w:szCs w:val="20"/>
        </w:rPr>
      </w:pPr>
      <w:r w:rsidRPr="007B43ED">
        <w:rPr>
          <w:szCs w:val="20"/>
        </w:rPr>
        <w:t>McDonald, G. L. (2001). Measuring Safety Performance: Measuring "A" while Hoping for "B".</w:t>
      </w:r>
      <w:r>
        <w:rPr>
          <w:szCs w:val="20"/>
        </w:rPr>
        <w:t xml:space="preserve"> </w:t>
      </w:r>
      <w:r w:rsidRPr="002134F8">
        <w:rPr>
          <w:szCs w:val="20"/>
        </w:rPr>
        <w:t>Minesafe  Conference.</w:t>
      </w:r>
      <w:r w:rsidRPr="007B43ED">
        <w:rPr>
          <w:szCs w:val="20"/>
        </w:rPr>
        <w:t xml:space="preserve"> Perth, WA.</w:t>
      </w:r>
    </w:p>
    <w:p w:rsidR="0090086F" w:rsidRPr="007B43ED" w:rsidRDefault="0090086F" w:rsidP="00373CBD">
      <w:pPr>
        <w:spacing w:after="120" w:line="240" w:lineRule="auto"/>
        <w:ind w:left="567" w:hanging="567"/>
        <w:rPr>
          <w:szCs w:val="20"/>
        </w:rPr>
      </w:pPr>
      <w:r w:rsidRPr="007B43ED">
        <w:rPr>
          <w:szCs w:val="20"/>
        </w:rPr>
        <w:t xml:space="preserve">McDonald, G. L. (2006). Better Words, Models and Concepts - Better </w:t>
      </w:r>
      <w:r w:rsidRPr="001B21A3">
        <w:rPr>
          <w:szCs w:val="20"/>
        </w:rPr>
        <w:t>Safety. The Safety Conference.</w:t>
      </w:r>
      <w:r w:rsidRPr="007B43ED">
        <w:rPr>
          <w:szCs w:val="20"/>
        </w:rPr>
        <w:t xml:space="preserve"> Sydney.</w:t>
      </w:r>
    </w:p>
    <w:p w:rsidR="0090086F" w:rsidRPr="007B43ED" w:rsidRDefault="0090086F" w:rsidP="00373CBD">
      <w:pPr>
        <w:spacing w:after="120" w:line="240" w:lineRule="auto"/>
        <w:ind w:left="567" w:hanging="567"/>
        <w:rPr>
          <w:szCs w:val="20"/>
        </w:rPr>
      </w:pPr>
      <w:r w:rsidRPr="007B43ED">
        <w:rPr>
          <w:szCs w:val="20"/>
        </w:rPr>
        <w:t xml:space="preserve">McDonald, G. L. (2012). </w:t>
      </w:r>
      <w:r w:rsidRPr="007B43ED">
        <w:rPr>
          <w:i/>
          <w:szCs w:val="20"/>
        </w:rPr>
        <w:t>Information Organisers</w:t>
      </w:r>
      <w:r w:rsidRPr="007B43ED">
        <w:rPr>
          <w:szCs w:val="20"/>
        </w:rPr>
        <w:t>.</w:t>
      </w:r>
      <w:r>
        <w:rPr>
          <w:szCs w:val="20"/>
        </w:rPr>
        <w:t xml:space="preserve"> </w:t>
      </w:r>
      <w:r w:rsidRPr="007B43ED">
        <w:rPr>
          <w:szCs w:val="20"/>
        </w:rPr>
        <w:t>Brisbane</w:t>
      </w:r>
      <w:r>
        <w:rPr>
          <w:szCs w:val="20"/>
        </w:rPr>
        <w:t xml:space="preserve">: </w:t>
      </w:r>
      <w:r w:rsidRPr="007B43ED">
        <w:rPr>
          <w:szCs w:val="20"/>
        </w:rPr>
        <w:t>Geoff McDonald and Associates Pty Ltd.</w:t>
      </w:r>
    </w:p>
    <w:p w:rsidR="0090086F" w:rsidRPr="007B43ED" w:rsidRDefault="0090086F" w:rsidP="00373CBD">
      <w:pPr>
        <w:spacing w:after="120" w:line="240" w:lineRule="auto"/>
        <w:ind w:left="567" w:hanging="567"/>
        <w:rPr>
          <w:szCs w:val="20"/>
        </w:rPr>
      </w:pPr>
      <w:r>
        <w:rPr>
          <w:szCs w:val="20"/>
        </w:rPr>
        <w:t>National Occupational Health and Safety Commission (</w:t>
      </w:r>
      <w:r w:rsidRPr="007B43ED">
        <w:rPr>
          <w:szCs w:val="20"/>
        </w:rPr>
        <w:t>NOHSC</w:t>
      </w:r>
      <w:r>
        <w:rPr>
          <w:szCs w:val="20"/>
        </w:rPr>
        <w:t>).</w:t>
      </w:r>
      <w:r w:rsidRPr="007B43ED">
        <w:rPr>
          <w:szCs w:val="20"/>
        </w:rPr>
        <w:t xml:space="preserve"> (2004).</w:t>
      </w:r>
      <w:r>
        <w:rPr>
          <w:szCs w:val="20"/>
        </w:rPr>
        <w:t xml:space="preserve"> </w:t>
      </w:r>
      <w:r w:rsidRPr="007B43ED">
        <w:rPr>
          <w:i/>
          <w:szCs w:val="20"/>
        </w:rPr>
        <w:t>The Cost of Work-Related Injury and Illness for Australian Employers, Workers and the Community.</w:t>
      </w:r>
      <w:r w:rsidRPr="007B43ED">
        <w:rPr>
          <w:szCs w:val="20"/>
        </w:rPr>
        <w:t xml:space="preserve"> </w:t>
      </w:r>
      <w:r>
        <w:rPr>
          <w:szCs w:val="20"/>
        </w:rPr>
        <w:t xml:space="preserve">Canberra: </w:t>
      </w:r>
      <w:r w:rsidRPr="007B43ED">
        <w:rPr>
          <w:szCs w:val="20"/>
        </w:rPr>
        <w:t>Australian Government.</w:t>
      </w:r>
    </w:p>
    <w:p w:rsidR="0090086F" w:rsidRDefault="0090086F" w:rsidP="00373CBD">
      <w:pPr>
        <w:spacing w:after="120" w:line="240" w:lineRule="auto"/>
        <w:ind w:left="709" w:hanging="709"/>
        <w:rPr>
          <w:szCs w:val="20"/>
        </w:rPr>
      </w:pPr>
      <w:r w:rsidRPr="000C5F4B">
        <w:rPr>
          <w:szCs w:val="20"/>
        </w:rPr>
        <w:t xml:space="preserve">Nichol, K. (2012). The Safety Triangle Explained. Safety 101. Retrieved July 8, 2013, from </w:t>
      </w:r>
      <w:r w:rsidRPr="001B21A3">
        <w:rPr>
          <w:szCs w:val="20"/>
        </w:rPr>
        <w:t>http://crsp-safety101.blogspot.com.au/2012/07/the-safety-triangle-explained.html</w:t>
      </w:r>
      <w:r>
        <w:rPr>
          <w:szCs w:val="20"/>
        </w:rPr>
        <w:t>.</w:t>
      </w:r>
    </w:p>
    <w:p w:rsidR="0090086F" w:rsidRPr="007B43ED" w:rsidRDefault="0090086F" w:rsidP="00373CBD">
      <w:pPr>
        <w:spacing w:after="120" w:line="240" w:lineRule="auto"/>
        <w:ind w:left="567" w:hanging="567"/>
        <w:rPr>
          <w:szCs w:val="20"/>
        </w:rPr>
      </w:pPr>
      <w:r w:rsidRPr="007B43ED">
        <w:rPr>
          <w:szCs w:val="20"/>
        </w:rPr>
        <w:t xml:space="preserve">O'Neill, S. (2010). </w:t>
      </w:r>
      <w:r w:rsidRPr="007B43ED">
        <w:rPr>
          <w:i/>
          <w:szCs w:val="20"/>
        </w:rPr>
        <w:t>Accounting for Lost Time: Examining Corporate Accountability to Stakeholders for Occupational Health and Safety</w:t>
      </w:r>
      <w:r w:rsidRPr="007B43ED">
        <w:rPr>
          <w:szCs w:val="20"/>
        </w:rPr>
        <w:t>. School of Accounting and Law, RMIT, Melbourne, PhD Thesis.</w:t>
      </w:r>
    </w:p>
    <w:p w:rsidR="0090086F" w:rsidRPr="007B43ED" w:rsidRDefault="0090086F" w:rsidP="00373CBD">
      <w:pPr>
        <w:spacing w:after="120" w:line="240" w:lineRule="auto"/>
        <w:ind w:left="567" w:hanging="567"/>
        <w:rPr>
          <w:szCs w:val="20"/>
        </w:rPr>
      </w:pPr>
      <w:r w:rsidRPr="007B43ED">
        <w:rPr>
          <w:szCs w:val="20"/>
        </w:rPr>
        <w:t xml:space="preserve">O'Neill, S., Clarke, K. </w:t>
      </w:r>
      <w:r w:rsidR="008413C1">
        <w:rPr>
          <w:szCs w:val="20"/>
        </w:rPr>
        <w:t>&amp;</w:t>
      </w:r>
      <w:r w:rsidR="008413C1" w:rsidRPr="007B43ED">
        <w:rPr>
          <w:szCs w:val="20"/>
        </w:rPr>
        <w:t xml:space="preserve"> </w:t>
      </w:r>
      <w:r w:rsidR="008413C1">
        <w:rPr>
          <w:szCs w:val="20"/>
        </w:rPr>
        <w:t>Flanagan, J.</w:t>
      </w:r>
      <w:r w:rsidR="008413C1" w:rsidRPr="007B43ED">
        <w:rPr>
          <w:szCs w:val="20"/>
        </w:rPr>
        <w:t xml:space="preserve"> </w:t>
      </w:r>
      <w:r w:rsidRPr="007B43ED">
        <w:rPr>
          <w:szCs w:val="20"/>
        </w:rPr>
        <w:t xml:space="preserve">(2011). The Risk Paradox of Work Health and Safety - Are Investors Adequately Informed? </w:t>
      </w:r>
      <w:r w:rsidRPr="00292D08">
        <w:rPr>
          <w:i/>
          <w:szCs w:val="20"/>
        </w:rPr>
        <w:t>UNPRI Dynamics of Responsible Investing Conference</w:t>
      </w:r>
      <w:r w:rsidRPr="00763CFF">
        <w:rPr>
          <w:szCs w:val="20"/>
        </w:rPr>
        <w:t>. University of Sydney,</w:t>
      </w:r>
      <w:r w:rsidRPr="007B43ED">
        <w:rPr>
          <w:szCs w:val="20"/>
        </w:rPr>
        <w:t xml:space="preserve"> Australia.</w:t>
      </w:r>
    </w:p>
    <w:p w:rsidR="00E316EF" w:rsidRPr="007B43ED" w:rsidRDefault="00E316EF" w:rsidP="00E316EF">
      <w:pPr>
        <w:spacing w:after="120" w:line="240" w:lineRule="auto"/>
        <w:ind w:left="567" w:hanging="567"/>
        <w:rPr>
          <w:szCs w:val="20"/>
        </w:rPr>
      </w:pPr>
      <w:r w:rsidRPr="007B43ED">
        <w:rPr>
          <w:szCs w:val="20"/>
        </w:rPr>
        <w:t xml:space="preserve">O'Neill, S., Clarke, K. </w:t>
      </w:r>
      <w:r>
        <w:rPr>
          <w:szCs w:val="20"/>
        </w:rPr>
        <w:t>&amp;</w:t>
      </w:r>
      <w:r w:rsidRPr="007B43ED">
        <w:rPr>
          <w:szCs w:val="20"/>
        </w:rPr>
        <w:t xml:space="preserve"> </w:t>
      </w:r>
      <w:r>
        <w:rPr>
          <w:szCs w:val="20"/>
        </w:rPr>
        <w:t>Flanagan, J.</w:t>
      </w:r>
      <w:r w:rsidRPr="007B43ED">
        <w:rPr>
          <w:szCs w:val="20"/>
        </w:rPr>
        <w:t xml:space="preserve"> (2013).</w:t>
      </w:r>
      <w:r>
        <w:rPr>
          <w:szCs w:val="20"/>
        </w:rPr>
        <w:t xml:space="preserve"> Mis-</w:t>
      </w:r>
      <w:r w:rsidRPr="007B43ED">
        <w:rPr>
          <w:szCs w:val="20"/>
        </w:rPr>
        <w:t>reporting of corporate social (health and safety) performance.</w:t>
      </w:r>
      <w:r>
        <w:rPr>
          <w:szCs w:val="20"/>
        </w:rPr>
        <w:t xml:space="preserve"> </w:t>
      </w:r>
      <w:r w:rsidRPr="006A77CE">
        <w:rPr>
          <w:i/>
          <w:szCs w:val="20"/>
        </w:rPr>
        <w:t>Macquarie University</w:t>
      </w:r>
      <w:r w:rsidRPr="007B43ED">
        <w:rPr>
          <w:szCs w:val="20"/>
        </w:rPr>
        <w:t>.</w:t>
      </w:r>
      <w:r>
        <w:rPr>
          <w:szCs w:val="20"/>
        </w:rPr>
        <w:t xml:space="preserve"> (Working Paper).</w:t>
      </w:r>
    </w:p>
    <w:p w:rsidR="0090086F" w:rsidRPr="007B43ED" w:rsidRDefault="0090086F" w:rsidP="00373CBD">
      <w:pPr>
        <w:spacing w:after="120" w:line="240" w:lineRule="auto"/>
        <w:ind w:left="567" w:hanging="567"/>
        <w:rPr>
          <w:szCs w:val="20"/>
        </w:rPr>
      </w:pPr>
      <w:r w:rsidRPr="007B43ED">
        <w:rPr>
          <w:szCs w:val="20"/>
        </w:rPr>
        <w:t xml:space="preserve">O'Neill, S.,  </w:t>
      </w:r>
      <w:r>
        <w:rPr>
          <w:szCs w:val="20"/>
        </w:rPr>
        <w:t xml:space="preserve">McDonald, G. </w:t>
      </w:r>
      <w:r w:rsidR="00E316EF">
        <w:rPr>
          <w:szCs w:val="20"/>
        </w:rPr>
        <w:t xml:space="preserve">&amp; </w:t>
      </w:r>
      <w:r w:rsidR="00E316EF" w:rsidRPr="007B43ED">
        <w:rPr>
          <w:szCs w:val="20"/>
        </w:rPr>
        <w:t>Deegan,</w:t>
      </w:r>
      <w:r w:rsidR="00E316EF">
        <w:rPr>
          <w:szCs w:val="20"/>
        </w:rPr>
        <w:t xml:space="preserve"> C. </w:t>
      </w:r>
      <w:r w:rsidRPr="007B43ED">
        <w:rPr>
          <w:szCs w:val="20"/>
        </w:rPr>
        <w:t>(2012).</w:t>
      </w:r>
      <w:r>
        <w:rPr>
          <w:szCs w:val="20"/>
        </w:rPr>
        <w:t xml:space="preserve"> </w:t>
      </w:r>
      <w:r w:rsidRPr="007B43ED">
        <w:rPr>
          <w:szCs w:val="20"/>
        </w:rPr>
        <w:t>Lost in Translation: Institutionalized Logic and the Problemati</w:t>
      </w:r>
      <w:r>
        <w:rPr>
          <w:szCs w:val="20"/>
        </w:rPr>
        <w:t>z</w:t>
      </w:r>
      <w:r w:rsidRPr="007B43ED">
        <w:rPr>
          <w:szCs w:val="20"/>
        </w:rPr>
        <w:t xml:space="preserve">ation of Accounting </w:t>
      </w:r>
      <w:r w:rsidRPr="00FE4EB7">
        <w:rPr>
          <w:szCs w:val="20"/>
        </w:rPr>
        <w:t xml:space="preserve">for Injury. </w:t>
      </w:r>
      <w:r w:rsidRPr="00292D08">
        <w:rPr>
          <w:i/>
          <w:szCs w:val="20"/>
        </w:rPr>
        <w:t>RMIT Sustainability Conference</w:t>
      </w:r>
      <w:r w:rsidRPr="00FE4EB7">
        <w:rPr>
          <w:szCs w:val="20"/>
        </w:rPr>
        <w:t>. Melbourne.</w:t>
      </w:r>
    </w:p>
    <w:p w:rsidR="0090086F" w:rsidRPr="007B43ED" w:rsidRDefault="0090086F" w:rsidP="00373CBD">
      <w:pPr>
        <w:spacing w:after="120" w:line="240" w:lineRule="auto"/>
        <w:ind w:left="567" w:hanging="567"/>
        <w:rPr>
          <w:szCs w:val="20"/>
        </w:rPr>
      </w:pPr>
      <w:r>
        <w:rPr>
          <w:szCs w:val="20"/>
        </w:rPr>
        <w:t>Occupational Safety and Health Administration (</w:t>
      </w:r>
      <w:r w:rsidRPr="007B43ED">
        <w:rPr>
          <w:szCs w:val="20"/>
        </w:rPr>
        <w:t>OSHA</w:t>
      </w:r>
      <w:r>
        <w:rPr>
          <w:szCs w:val="20"/>
        </w:rPr>
        <w:t>).</w:t>
      </w:r>
      <w:r w:rsidRPr="007B43ED">
        <w:rPr>
          <w:szCs w:val="20"/>
        </w:rPr>
        <w:t xml:space="preserve"> (1996).</w:t>
      </w:r>
      <w:r>
        <w:rPr>
          <w:szCs w:val="20"/>
        </w:rPr>
        <w:t xml:space="preserve"> </w:t>
      </w:r>
      <w:r w:rsidRPr="007B43ED">
        <w:rPr>
          <w:i/>
          <w:szCs w:val="20"/>
        </w:rPr>
        <w:t>Occupational Injury and Illness Recording and Reporting Requirements - 61:4029-4067</w:t>
      </w:r>
      <w:r w:rsidRPr="007B43ED">
        <w:rPr>
          <w:szCs w:val="20"/>
        </w:rPr>
        <w:t>. Retrieved August 12</w:t>
      </w:r>
      <w:r>
        <w:rPr>
          <w:szCs w:val="20"/>
        </w:rPr>
        <w:t>,</w:t>
      </w:r>
      <w:r w:rsidRPr="007B43ED">
        <w:rPr>
          <w:szCs w:val="20"/>
        </w:rPr>
        <w:t xml:space="preserve"> 2008, from http://www.osha.gov/pls/oshaweb/.</w:t>
      </w:r>
    </w:p>
    <w:p w:rsidR="0090086F" w:rsidRPr="007B43ED" w:rsidRDefault="0090086F" w:rsidP="00373CBD">
      <w:pPr>
        <w:spacing w:after="120" w:line="240" w:lineRule="auto"/>
        <w:ind w:left="567" w:hanging="567"/>
        <w:rPr>
          <w:szCs w:val="20"/>
        </w:rPr>
      </w:pPr>
      <w:r w:rsidRPr="007B43ED">
        <w:rPr>
          <w:i/>
          <w:szCs w:val="20"/>
        </w:rPr>
        <w:t xml:space="preserve">Australian Concise Oxford Dictionary </w:t>
      </w:r>
      <w:r w:rsidRPr="00763CFF">
        <w:rPr>
          <w:szCs w:val="20"/>
        </w:rPr>
        <w:t>(4</w:t>
      </w:r>
      <w:r>
        <w:rPr>
          <w:szCs w:val="20"/>
        </w:rPr>
        <w:t xml:space="preserve"> ed.</w:t>
      </w:r>
      <w:r w:rsidRPr="00763CFF">
        <w:rPr>
          <w:szCs w:val="20"/>
        </w:rPr>
        <w:t>)</w:t>
      </w:r>
      <w:r w:rsidRPr="007B43ED">
        <w:rPr>
          <w:szCs w:val="20"/>
        </w:rPr>
        <w:t>.</w:t>
      </w:r>
      <w:r>
        <w:rPr>
          <w:szCs w:val="20"/>
        </w:rPr>
        <w:t xml:space="preserve"> </w:t>
      </w:r>
      <w:r w:rsidRPr="007B43ED">
        <w:rPr>
          <w:szCs w:val="20"/>
        </w:rPr>
        <w:t>Melbourne</w:t>
      </w:r>
      <w:r>
        <w:rPr>
          <w:szCs w:val="20"/>
        </w:rPr>
        <w:t xml:space="preserve">: </w:t>
      </w:r>
      <w:r w:rsidRPr="007B43ED">
        <w:rPr>
          <w:szCs w:val="20"/>
        </w:rPr>
        <w:t>Oxford University Press.</w:t>
      </w:r>
    </w:p>
    <w:p w:rsidR="0090086F" w:rsidRPr="007B43ED" w:rsidRDefault="0090086F" w:rsidP="00373CBD">
      <w:pPr>
        <w:spacing w:after="120" w:line="240" w:lineRule="auto"/>
        <w:ind w:left="567" w:hanging="567"/>
        <w:rPr>
          <w:szCs w:val="20"/>
        </w:rPr>
      </w:pPr>
      <w:r w:rsidRPr="007B43ED">
        <w:rPr>
          <w:szCs w:val="20"/>
        </w:rPr>
        <w:t xml:space="preserve">Petersen, D. (1989). </w:t>
      </w:r>
      <w:r w:rsidRPr="007B43ED">
        <w:rPr>
          <w:i/>
          <w:szCs w:val="20"/>
        </w:rPr>
        <w:t xml:space="preserve">Techniques of safety management: A systems approach </w:t>
      </w:r>
      <w:r w:rsidRPr="00763CFF">
        <w:rPr>
          <w:szCs w:val="20"/>
        </w:rPr>
        <w:t>(3</w:t>
      </w:r>
      <w:r>
        <w:rPr>
          <w:szCs w:val="20"/>
        </w:rPr>
        <w:t xml:space="preserve"> ed.)</w:t>
      </w:r>
      <w:r w:rsidRPr="007B43ED">
        <w:rPr>
          <w:szCs w:val="20"/>
        </w:rPr>
        <w:t>. New York</w:t>
      </w:r>
      <w:r>
        <w:rPr>
          <w:szCs w:val="20"/>
        </w:rPr>
        <w:t xml:space="preserve">: </w:t>
      </w:r>
      <w:r w:rsidRPr="007B43ED">
        <w:rPr>
          <w:szCs w:val="20"/>
        </w:rPr>
        <w:t>Aloray</w:t>
      </w:r>
      <w:r>
        <w:rPr>
          <w:szCs w:val="20"/>
        </w:rPr>
        <w:t xml:space="preserve"> </w:t>
      </w:r>
      <w:r w:rsidRPr="007B43ED">
        <w:rPr>
          <w:szCs w:val="20"/>
        </w:rPr>
        <w:t>Inc.</w:t>
      </w:r>
    </w:p>
    <w:p w:rsidR="0090086F" w:rsidRPr="007B43ED" w:rsidRDefault="0090086F" w:rsidP="00373CBD">
      <w:pPr>
        <w:spacing w:after="120" w:line="240" w:lineRule="auto"/>
        <w:ind w:left="567" w:hanging="567"/>
        <w:rPr>
          <w:szCs w:val="20"/>
        </w:rPr>
      </w:pPr>
      <w:r w:rsidRPr="007B43ED">
        <w:rPr>
          <w:szCs w:val="20"/>
        </w:rPr>
        <w:t xml:space="preserve">Petersen, D. (1996). </w:t>
      </w:r>
      <w:r w:rsidRPr="007B43ED">
        <w:rPr>
          <w:i/>
          <w:szCs w:val="20"/>
        </w:rPr>
        <w:t xml:space="preserve">Analysing Safety System Effectiveness </w:t>
      </w:r>
      <w:r w:rsidRPr="00763CFF">
        <w:rPr>
          <w:szCs w:val="20"/>
        </w:rPr>
        <w:t>(3</w:t>
      </w:r>
      <w:r>
        <w:rPr>
          <w:szCs w:val="20"/>
          <w:vertAlign w:val="superscript"/>
        </w:rPr>
        <w:t xml:space="preserve"> </w:t>
      </w:r>
      <w:r>
        <w:rPr>
          <w:szCs w:val="20"/>
        </w:rPr>
        <w:t>e</w:t>
      </w:r>
      <w:r w:rsidRPr="00763CFF">
        <w:rPr>
          <w:szCs w:val="20"/>
        </w:rPr>
        <w:t>d.)</w:t>
      </w:r>
      <w:r w:rsidRPr="007B43ED">
        <w:rPr>
          <w:szCs w:val="20"/>
        </w:rPr>
        <w:t>. New York</w:t>
      </w:r>
      <w:r>
        <w:rPr>
          <w:szCs w:val="20"/>
        </w:rPr>
        <w:t xml:space="preserve">: </w:t>
      </w:r>
      <w:r w:rsidRPr="007B43ED">
        <w:rPr>
          <w:szCs w:val="20"/>
        </w:rPr>
        <w:t>International Thomson Publishing.</w:t>
      </w:r>
    </w:p>
    <w:p w:rsidR="0090086F" w:rsidRPr="007B43ED" w:rsidRDefault="0090086F" w:rsidP="00373CBD">
      <w:pPr>
        <w:spacing w:after="120" w:line="240" w:lineRule="auto"/>
        <w:ind w:left="567" w:hanging="567"/>
        <w:rPr>
          <w:szCs w:val="20"/>
        </w:rPr>
      </w:pPr>
      <w:r w:rsidRPr="007B43ED">
        <w:rPr>
          <w:szCs w:val="20"/>
        </w:rPr>
        <w:t>Petersen, D. (1999). Behaviour-based Safety: Build a Culture or Attack Behaviour.</w:t>
      </w:r>
      <w:r>
        <w:rPr>
          <w:szCs w:val="20"/>
        </w:rPr>
        <w:t xml:space="preserve"> </w:t>
      </w:r>
      <w:r w:rsidRPr="007B43ED">
        <w:rPr>
          <w:i/>
          <w:szCs w:val="20"/>
        </w:rPr>
        <w:t>Occupational Hazards</w:t>
      </w:r>
      <w:r w:rsidRPr="007B43ED">
        <w:rPr>
          <w:szCs w:val="20"/>
        </w:rPr>
        <w:t xml:space="preserve"> 61(1): 29-32.</w:t>
      </w:r>
    </w:p>
    <w:p w:rsidR="0090086F" w:rsidRPr="007B43ED" w:rsidRDefault="0090086F" w:rsidP="00373CBD">
      <w:pPr>
        <w:spacing w:after="120" w:line="240" w:lineRule="auto"/>
        <w:ind w:left="567" w:hanging="567"/>
        <w:rPr>
          <w:szCs w:val="20"/>
        </w:rPr>
      </w:pPr>
      <w:r>
        <w:rPr>
          <w:szCs w:val="20"/>
        </w:rPr>
        <w:t>Public Sector Accounting Standards Board (</w:t>
      </w:r>
      <w:r w:rsidRPr="007B43ED">
        <w:rPr>
          <w:szCs w:val="20"/>
        </w:rPr>
        <w:t>PSASB</w:t>
      </w:r>
      <w:r>
        <w:rPr>
          <w:szCs w:val="20"/>
        </w:rPr>
        <w:t>).</w:t>
      </w:r>
      <w:r w:rsidRPr="007B43ED">
        <w:rPr>
          <w:szCs w:val="20"/>
        </w:rPr>
        <w:t xml:space="preserve"> (1990).</w:t>
      </w:r>
      <w:r>
        <w:rPr>
          <w:szCs w:val="20"/>
        </w:rPr>
        <w:t xml:space="preserve"> </w:t>
      </w:r>
      <w:r w:rsidRPr="007B43ED">
        <w:rPr>
          <w:i/>
          <w:szCs w:val="20"/>
        </w:rPr>
        <w:t>Statement of Accounting Concepts (SAC 3): Qualitative characteristics of financial information</w:t>
      </w:r>
      <w:r w:rsidRPr="007B43ED">
        <w:rPr>
          <w:szCs w:val="20"/>
        </w:rPr>
        <w:t xml:space="preserve"> Australia.</w:t>
      </w:r>
    </w:p>
    <w:p w:rsidR="0090086F" w:rsidRPr="007B43ED" w:rsidRDefault="0090086F" w:rsidP="00373CBD">
      <w:pPr>
        <w:spacing w:after="120" w:line="240" w:lineRule="auto"/>
        <w:ind w:left="567" w:hanging="567"/>
        <w:rPr>
          <w:szCs w:val="20"/>
        </w:rPr>
      </w:pPr>
      <w:r w:rsidRPr="007B43ED">
        <w:rPr>
          <w:szCs w:val="20"/>
        </w:rPr>
        <w:t>Reason, J. (1997).</w:t>
      </w:r>
      <w:r>
        <w:rPr>
          <w:szCs w:val="20"/>
        </w:rPr>
        <w:t xml:space="preserve"> </w:t>
      </w:r>
      <w:r w:rsidRPr="007B43ED">
        <w:rPr>
          <w:i/>
          <w:szCs w:val="20"/>
        </w:rPr>
        <w:t>Managing the Risks of Organizational Accidents</w:t>
      </w:r>
      <w:r w:rsidRPr="007B43ED">
        <w:rPr>
          <w:szCs w:val="20"/>
        </w:rPr>
        <w:t>. London</w:t>
      </w:r>
      <w:r>
        <w:rPr>
          <w:szCs w:val="20"/>
        </w:rPr>
        <w:t>:</w:t>
      </w:r>
      <w:r w:rsidRPr="007B43ED">
        <w:rPr>
          <w:szCs w:val="20"/>
        </w:rPr>
        <w:t xml:space="preserve"> Ashgate Publishing Ltd.</w:t>
      </w:r>
    </w:p>
    <w:p w:rsidR="0090086F" w:rsidRPr="007B43ED" w:rsidRDefault="0090086F" w:rsidP="00373CBD">
      <w:pPr>
        <w:spacing w:after="120" w:line="240" w:lineRule="auto"/>
        <w:ind w:left="567" w:hanging="567"/>
        <w:rPr>
          <w:szCs w:val="20"/>
        </w:rPr>
      </w:pPr>
      <w:r w:rsidRPr="007B43ED">
        <w:rPr>
          <w:szCs w:val="20"/>
        </w:rPr>
        <w:t>Safe Work Australia</w:t>
      </w:r>
      <w:r>
        <w:rPr>
          <w:szCs w:val="20"/>
        </w:rPr>
        <w:t>.</w:t>
      </w:r>
      <w:r w:rsidRPr="007B43ED">
        <w:rPr>
          <w:szCs w:val="20"/>
        </w:rPr>
        <w:t xml:space="preserve"> (2009).</w:t>
      </w:r>
      <w:r>
        <w:rPr>
          <w:szCs w:val="20"/>
        </w:rPr>
        <w:t xml:space="preserve"> </w:t>
      </w:r>
      <w:r w:rsidRPr="007B43ED">
        <w:rPr>
          <w:i/>
          <w:szCs w:val="20"/>
        </w:rPr>
        <w:t>Work-related Injuries in Australia 2005-2006: Comparison of compensation data with all incurred work-related injuries</w:t>
      </w:r>
      <w:r w:rsidRPr="007B43ED">
        <w:rPr>
          <w:szCs w:val="20"/>
        </w:rPr>
        <w:t xml:space="preserve">. Canberra. </w:t>
      </w:r>
      <w:r>
        <w:rPr>
          <w:szCs w:val="20"/>
        </w:rPr>
        <w:t xml:space="preserve">Retrieved July 3, 2013, from </w:t>
      </w:r>
      <w:r w:rsidRPr="007B43ED">
        <w:rPr>
          <w:szCs w:val="20"/>
        </w:rPr>
        <w:t>http://www.safeworkaustralia.gov.au/sites/SWA/about/Publications/Documents/215/ComparisonOfCompensationData_AllIncurredWorkRelatedInjuries_2009_PDF.pdf</w:t>
      </w:r>
      <w:r>
        <w:rPr>
          <w:szCs w:val="20"/>
        </w:rPr>
        <w:t>.</w:t>
      </w:r>
    </w:p>
    <w:p w:rsidR="0090086F" w:rsidRPr="007B43ED" w:rsidRDefault="007233A5" w:rsidP="00373CBD">
      <w:pPr>
        <w:spacing w:after="120" w:line="240" w:lineRule="auto"/>
        <w:ind w:left="567" w:hanging="567"/>
        <w:rPr>
          <w:szCs w:val="20"/>
        </w:rPr>
      </w:pPr>
      <w:r w:rsidRPr="007B43ED">
        <w:rPr>
          <w:szCs w:val="20"/>
        </w:rPr>
        <w:t>Safe Work Australia</w:t>
      </w:r>
      <w:r w:rsidR="0090086F">
        <w:rPr>
          <w:szCs w:val="20"/>
        </w:rPr>
        <w:t>.</w:t>
      </w:r>
      <w:r w:rsidR="0090086F" w:rsidRPr="007B43ED">
        <w:rPr>
          <w:szCs w:val="20"/>
        </w:rPr>
        <w:t xml:space="preserve"> (2011).</w:t>
      </w:r>
      <w:r w:rsidR="0090086F" w:rsidRPr="007B43ED">
        <w:rPr>
          <w:i/>
          <w:szCs w:val="20"/>
        </w:rPr>
        <w:t>Work-related injurie</w:t>
      </w:r>
      <w:r w:rsidR="0090086F">
        <w:rPr>
          <w:i/>
          <w:szCs w:val="20"/>
        </w:rPr>
        <w:t>s</w:t>
      </w:r>
      <w:r w:rsidR="0090086F" w:rsidRPr="007B43ED">
        <w:rPr>
          <w:i/>
          <w:szCs w:val="20"/>
        </w:rPr>
        <w:t xml:space="preserve"> in Australia: Who did and didn’t receive workers’ compensation in 2009-10</w:t>
      </w:r>
      <w:r w:rsidR="0090086F" w:rsidRPr="007B43ED">
        <w:rPr>
          <w:szCs w:val="20"/>
        </w:rPr>
        <w:t>. Canberra.</w:t>
      </w:r>
    </w:p>
    <w:p w:rsidR="0090086F" w:rsidRPr="007B43ED" w:rsidRDefault="007233A5" w:rsidP="00373CBD">
      <w:pPr>
        <w:spacing w:after="120" w:line="240" w:lineRule="auto"/>
        <w:ind w:left="567" w:hanging="567"/>
        <w:rPr>
          <w:szCs w:val="20"/>
        </w:rPr>
      </w:pPr>
      <w:r w:rsidRPr="007B43ED">
        <w:rPr>
          <w:szCs w:val="20"/>
        </w:rPr>
        <w:t>Safe Work Australia</w:t>
      </w:r>
      <w:r w:rsidR="0090086F">
        <w:rPr>
          <w:szCs w:val="20"/>
        </w:rPr>
        <w:t xml:space="preserve">. </w:t>
      </w:r>
      <w:r w:rsidR="0090086F" w:rsidRPr="007B43ED">
        <w:rPr>
          <w:szCs w:val="20"/>
        </w:rPr>
        <w:t>(2012a).</w:t>
      </w:r>
      <w:r w:rsidR="0090086F">
        <w:rPr>
          <w:szCs w:val="20"/>
        </w:rPr>
        <w:t xml:space="preserve"> </w:t>
      </w:r>
      <w:r w:rsidR="0090086F" w:rsidRPr="007B43ED">
        <w:rPr>
          <w:i/>
          <w:szCs w:val="20"/>
        </w:rPr>
        <w:t>Comparative performance monitoring report: Comparison of work health and safety and workers' compensation schemes in Australia and New Zealand Safe Work Australia</w:t>
      </w:r>
      <w:r w:rsidR="0090086F" w:rsidRPr="007B43ED">
        <w:rPr>
          <w:szCs w:val="20"/>
        </w:rPr>
        <w:t>, Canberra.</w:t>
      </w:r>
      <w:r w:rsidR="0090086F">
        <w:rPr>
          <w:szCs w:val="20"/>
        </w:rPr>
        <w:t xml:space="preserve"> Retrieved June 30, 2013, from</w:t>
      </w:r>
      <w:r w:rsidR="0090086F" w:rsidRPr="007B43ED">
        <w:rPr>
          <w:szCs w:val="20"/>
        </w:rPr>
        <w:t xml:space="preserve"> http://www.safeworkaustralia.gov.au/sites/SWA/about/Publications/Documents/716/CPM_14.pdf</w:t>
      </w:r>
      <w:r w:rsidR="0090086F">
        <w:rPr>
          <w:szCs w:val="20"/>
        </w:rPr>
        <w:t>.</w:t>
      </w:r>
    </w:p>
    <w:p w:rsidR="0090086F" w:rsidRPr="007B43ED" w:rsidRDefault="007233A5" w:rsidP="00373CBD">
      <w:pPr>
        <w:spacing w:after="120" w:line="240" w:lineRule="auto"/>
        <w:ind w:left="567" w:hanging="567"/>
        <w:rPr>
          <w:szCs w:val="20"/>
        </w:rPr>
      </w:pPr>
      <w:r w:rsidRPr="007B43ED">
        <w:rPr>
          <w:szCs w:val="20"/>
        </w:rPr>
        <w:t>Safe Work Australia</w:t>
      </w:r>
      <w:r w:rsidR="0090086F">
        <w:rPr>
          <w:szCs w:val="20"/>
        </w:rPr>
        <w:t>.</w:t>
      </w:r>
      <w:r w:rsidR="0090086F" w:rsidRPr="007B43ED">
        <w:rPr>
          <w:szCs w:val="20"/>
        </w:rPr>
        <w:t xml:space="preserve"> (2012b).</w:t>
      </w:r>
      <w:r w:rsidR="0090086F">
        <w:rPr>
          <w:szCs w:val="20"/>
        </w:rPr>
        <w:t xml:space="preserve"> </w:t>
      </w:r>
      <w:r w:rsidR="0090086F" w:rsidRPr="007B43ED">
        <w:rPr>
          <w:i/>
          <w:szCs w:val="20"/>
        </w:rPr>
        <w:t>The</w:t>
      </w:r>
      <w:r w:rsidR="0090086F">
        <w:rPr>
          <w:i/>
          <w:szCs w:val="20"/>
        </w:rPr>
        <w:t xml:space="preserve"> </w:t>
      </w:r>
      <w:r w:rsidR="0090086F" w:rsidRPr="007B43ED">
        <w:rPr>
          <w:i/>
          <w:szCs w:val="20"/>
        </w:rPr>
        <w:t>cost of work-related injury and illness for Australian Employers, workers and the community: 2008-09</w:t>
      </w:r>
      <w:r w:rsidR="0090086F" w:rsidRPr="007B43ED">
        <w:rPr>
          <w:szCs w:val="20"/>
        </w:rPr>
        <w:t xml:space="preserve">. Canberra. </w:t>
      </w:r>
    </w:p>
    <w:p w:rsidR="0090086F" w:rsidRPr="007B43ED" w:rsidRDefault="007233A5" w:rsidP="00373CBD">
      <w:pPr>
        <w:spacing w:after="120" w:line="240" w:lineRule="auto"/>
        <w:ind w:left="567" w:hanging="567"/>
        <w:rPr>
          <w:szCs w:val="20"/>
        </w:rPr>
      </w:pPr>
      <w:r w:rsidRPr="007B43ED">
        <w:rPr>
          <w:szCs w:val="20"/>
        </w:rPr>
        <w:t>Safe Work Australia</w:t>
      </w:r>
      <w:r w:rsidR="0090086F">
        <w:rPr>
          <w:szCs w:val="20"/>
        </w:rPr>
        <w:t xml:space="preserve">. </w:t>
      </w:r>
      <w:r w:rsidR="0090086F" w:rsidRPr="007B43ED">
        <w:rPr>
          <w:szCs w:val="20"/>
        </w:rPr>
        <w:t>(2013).</w:t>
      </w:r>
      <w:r w:rsidR="0090086F">
        <w:rPr>
          <w:szCs w:val="20"/>
        </w:rPr>
        <w:t xml:space="preserve"> </w:t>
      </w:r>
      <w:r w:rsidR="0090086F" w:rsidRPr="007B43ED">
        <w:rPr>
          <w:i/>
          <w:szCs w:val="20"/>
        </w:rPr>
        <w:t>Compendium of workers’ compensation statistics Australia 2010-11</w:t>
      </w:r>
      <w:r w:rsidR="0090086F" w:rsidRPr="007B43ED">
        <w:rPr>
          <w:szCs w:val="20"/>
        </w:rPr>
        <w:t xml:space="preserve">. Canberra. </w:t>
      </w:r>
    </w:p>
    <w:p w:rsidR="0090086F" w:rsidRPr="007B43ED" w:rsidRDefault="007233A5" w:rsidP="00373CBD">
      <w:pPr>
        <w:spacing w:after="120" w:line="240" w:lineRule="auto"/>
        <w:ind w:left="567" w:hanging="567"/>
        <w:rPr>
          <w:szCs w:val="20"/>
        </w:rPr>
      </w:pPr>
      <w:r w:rsidRPr="007B43ED">
        <w:rPr>
          <w:szCs w:val="20"/>
        </w:rPr>
        <w:t>Safe Work Australia</w:t>
      </w:r>
      <w:r w:rsidR="0090086F">
        <w:rPr>
          <w:szCs w:val="20"/>
        </w:rPr>
        <w:t xml:space="preserve">. </w:t>
      </w:r>
      <w:r w:rsidR="0090086F" w:rsidRPr="007B43ED">
        <w:rPr>
          <w:szCs w:val="20"/>
        </w:rPr>
        <w:t>(2013).</w:t>
      </w:r>
      <w:r w:rsidR="0090086F">
        <w:rPr>
          <w:szCs w:val="20"/>
        </w:rPr>
        <w:t xml:space="preserve"> </w:t>
      </w:r>
      <w:r w:rsidR="0090086F" w:rsidRPr="007B43ED">
        <w:rPr>
          <w:i/>
          <w:szCs w:val="20"/>
        </w:rPr>
        <w:t>The incidence of accepted workers’ compensation claims for mental stress in Australia</w:t>
      </w:r>
      <w:r w:rsidR="0090086F" w:rsidRPr="007B43ED">
        <w:rPr>
          <w:szCs w:val="20"/>
        </w:rPr>
        <w:t xml:space="preserve">. Canberra. </w:t>
      </w:r>
    </w:p>
    <w:p w:rsidR="0090086F" w:rsidRPr="000C5F4B" w:rsidRDefault="0090086F" w:rsidP="00373CBD">
      <w:pPr>
        <w:spacing w:after="120" w:line="240" w:lineRule="auto"/>
        <w:ind w:left="709" w:hanging="709"/>
        <w:rPr>
          <w:rFonts w:ascii="Calibri" w:hAnsi="Calibri"/>
          <w:noProof/>
          <w:szCs w:val="20"/>
        </w:rPr>
      </w:pPr>
      <w:r w:rsidRPr="000C5F4B">
        <w:rPr>
          <w:rFonts w:ascii="Calibri" w:hAnsi="Calibri"/>
          <w:noProof/>
          <w:szCs w:val="20"/>
        </w:rPr>
        <w:t>Safety, Health and E</w:t>
      </w:r>
      <w:r>
        <w:rPr>
          <w:rFonts w:ascii="Calibri" w:hAnsi="Calibri"/>
          <w:noProof/>
          <w:szCs w:val="20"/>
        </w:rPr>
        <w:t>nvironmental Body of Knowledge.</w:t>
      </w:r>
      <w:r w:rsidRPr="000C5F4B">
        <w:rPr>
          <w:rFonts w:ascii="Calibri" w:hAnsi="Calibri"/>
          <w:noProof/>
          <w:szCs w:val="20"/>
        </w:rPr>
        <w:t xml:space="preserve"> 2011. Retrieved July 5, 2013, from http://www.safetybok.org/.</w:t>
      </w:r>
    </w:p>
    <w:p w:rsidR="0090086F" w:rsidRPr="007B43ED" w:rsidRDefault="0090086F" w:rsidP="00373CBD">
      <w:pPr>
        <w:spacing w:after="120" w:line="240" w:lineRule="auto"/>
        <w:ind w:left="567" w:hanging="567"/>
        <w:rPr>
          <w:szCs w:val="20"/>
        </w:rPr>
      </w:pPr>
      <w:r w:rsidRPr="007B43ED">
        <w:rPr>
          <w:szCs w:val="20"/>
        </w:rPr>
        <w:t xml:space="preserve">Tilt, C. A. (1994). The Influence of External Pressure Groups on Corporate Social Disclosure: Some empirical evidence. </w:t>
      </w:r>
      <w:r w:rsidRPr="007B43ED">
        <w:rPr>
          <w:i/>
          <w:szCs w:val="20"/>
        </w:rPr>
        <w:t>Accounting, Auditing and Accountability Journal</w:t>
      </w:r>
      <w:r>
        <w:rPr>
          <w:szCs w:val="20"/>
        </w:rPr>
        <w:t>,</w:t>
      </w:r>
      <w:r w:rsidRPr="007B43ED">
        <w:rPr>
          <w:szCs w:val="20"/>
        </w:rPr>
        <w:t xml:space="preserve"> </w:t>
      </w:r>
      <w:r w:rsidRPr="00D95764">
        <w:rPr>
          <w:i/>
          <w:szCs w:val="20"/>
        </w:rPr>
        <w:t>7</w:t>
      </w:r>
      <w:r w:rsidRPr="007B43ED">
        <w:rPr>
          <w:szCs w:val="20"/>
        </w:rPr>
        <w:t>(4)</w:t>
      </w:r>
      <w:r>
        <w:rPr>
          <w:szCs w:val="20"/>
        </w:rPr>
        <w:t>,</w:t>
      </w:r>
      <w:r w:rsidRPr="007B43ED">
        <w:rPr>
          <w:szCs w:val="20"/>
        </w:rPr>
        <w:t xml:space="preserve"> 47.</w:t>
      </w:r>
    </w:p>
    <w:p w:rsidR="0090086F" w:rsidRPr="007B43ED" w:rsidRDefault="0090086F" w:rsidP="00373CBD">
      <w:pPr>
        <w:spacing w:after="120" w:line="240" w:lineRule="auto"/>
        <w:ind w:left="567" w:hanging="567"/>
        <w:rPr>
          <w:szCs w:val="20"/>
        </w:rPr>
      </w:pPr>
      <w:r w:rsidRPr="007B43ED">
        <w:rPr>
          <w:szCs w:val="20"/>
        </w:rPr>
        <w:t xml:space="preserve">Vuontisjarva, T. (2006). Corporate Social Reporting in the European Context and Human Resource Disclosures: An Analysis of Finnish Companies. </w:t>
      </w:r>
      <w:r w:rsidRPr="007B43ED">
        <w:rPr>
          <w:i/>
          <w:szCs w:val="20"/>
        </w:rPr>
        <w:t>Journal of Business Ethics</w:t>
      </w:r>
      <w:r>
        <w:rPr>
          <w:szCs w:val="20"/>
        </w:rPr>
        <w:t>,</w:t>
      </w:r>
      <w:r w:rsidRPr="007B43ED">
        <w:rPr>
          <w:szCs w:val="20"/>
        </w:rPr>
        <w:t xml:space="preserve"> </w:t>
      </w:r>
      <w:r w:rsidRPr="00745A6B">
        <w:rPr>
          <w:i/>
          <w:szCs w:val="20"/>
        </w:rPr>
        <w:t>69</w:t>
      </w:r>
      <w:r>
        <w:rPr>
          <w:i/>
          <w:szCs w:val="20"/>
        </w:rPr>
        <w:t>,</w:t>
      </w:r>
      <w:r w:rsidRPr="007B43ED">
        <w:rPr>
          <w:szCs w:val="20"/>
        </w:rPr>
        <w:t>331-354.</w:t>
      </w:r>
    </w:p>
    <w:p w:rsidR="001D43AA" w:rsidRPr="00857EF4" w:rsidRDefault="001D43AA" w:rsidP="00373CBD">
      <w:pPr>
        <w:spacing w:after="120" w:line="240" w:lineRule="auto"/>
        <w:ind w:left="567" w:hanging="567"/>
        <w:rPr>
          <w:szCs w:val="20"/>
        </w:rPr>
      </w:pPr>
      <w:r w:rsidRPr="00857EF4">
        <w:rPr>
          <w:szCs w:val="20"/>
        </w:rPr>
        <w:t>Watson, I., J. Buchanan,</w:t>
      </w:r>
      <w:r>
        <w:rPr>
          <w:szCs w:val="20"/>
        </w:rPr>
        <w:t xml:space="preserve"> J., Campbell, I. &amp; Briggs, C.</w:t>
      </w:r>
      <w:r w:rsidRPr="00857EF4">
        <w:rPr>
          <w:szCs w:val="20"/>
        </w:rPr>
        <w:t xml:space="preserve"> (2003). </w:t>
      </w:r>
      <w:r w:rsidRPr="00857EF4">
        <w:rPr>
          <w:i/>
          <w:szCs w:val="20"/>
        </w:rPr>
        <w:t>Fragmented Futures: New Challenges in Working Life.</w:t>
      </w:r>
      <w:r>
        <w:rPr>
          <w:szCs w:val="20"/>
        </w:rPr>
        <w:t xml:space="preserve"> Leichhardt:</w:t>
      </w:r>
      <w:r w:rsidRPr="00857EF4">
        <w:rPr>
          <w:szCs w:val="20"/>
        </w:rPr>
        <w:t xml:space="preserve"> The Federation Press</w:t>
      </w:r>
      <w:r>
        <w:rPr>
          <w:szCs w:val="20"/>
        </w:rPr>
        <w:t>.</w:t>
      </w:r>
    </w:p>
    <w:p w:rsidR="0090086F" w:rsidRPr="007B43ED" w:rsidRDefault="0090086F" w:rsidP="00373CBD">
      <w:pPr>
        <w:spacing w:after="120" w:line="240" w:lineRule="auto"/>
        <w:ind w:left="567" w:hanging="567"/>
        <w:rPr>
          <w:szCs w:val="20"/>
        </w:rPr>
      </w:pPr>
      <w:r w:rsidRPr="007B43ED">
        <w:rPr>
          <w:szCs w:val="20"/>
        </w:rPr>
        <w:t>Willingham, R. (2013)</w:t>
      </w:r>
      <w:r>
        <w:rPr>
          <w:szCs w:val="20"/>
        </w:rPr>
        <w:t>.</w:t>
      </w:r>
      <w:r w:rsidRPr="007B43ED">
        <w:rPr>
          <w:szCs w:val="20"/>
        </w:rPr>
        <w:t xml:space="preserve"> Fire fighters front Wells. </w:t>
      </w:r>
      <w:r w:rsidRPr="007B43ED">
        <w:rPr>
          <w:i/>
          <w:szCs w:val="20"/>
        </w:rPr>
        <w:t>The Age,</w:t>
      </w:r>
      <w:r w:rsidRPr="007B43ED">
        <w:rPr>
          <w:szCs w:val="20"/>
        </w:rPr>
        <w:t xml:space="preserve"> 17 May.</w:t>
      </w:r>
    </w:p>
    <w:p w:rsidR="0090086F" w:rsidRPr="007B43ED" w:rsidRDefault="0090086F" w:rsidP="00373CBD">
      <w:pPr>
        <w:spacing w:after="120" w:line="240" w:lineRule="auto"/>
        <w:ind w:left="567" w:hanging="567"/>
        <w:rPr>
          <w:szCs w:val="20"/>
        </w:rPr>
      </w:pPr>
      <w:r w:rsidRPr="007B43ED">
        <w:rPr>
          <w:szCs w:val="20"/>
        </w:rPr>
        <w:t xml:space="preserve">WorkCover NSW (2008). </w:t>
      </w:r>
      <w:r w:rsidRPr="007B43ED">
        <w:rPr>
          <w:i/>
          <w:szCs w:val="20"/>
        </w:rPr>
        <w:t>Statistical Bulletin 2006/2007</w:t>
      </w:r>
      <w:r w:rsidRPr="007B43ED">
        <w:rPr>
          <w:szCs w:val="20"/>
        </w:rPr>
        <w:t xml:space="preserve">. </w:t>
      </w:r>
      <w:r>
        <w:rPr>
          <w:szCs w:val="20"/>
        </w:rPr>
        <w:t xml:space="preserve">Sydney: </w:t>
      </w:r>
      <w:r w:rsidRPr="007B43ED">
        <w:rPr>
          <w:szCs w:val="20"/>
        </w:rPr>
        <w:t>Knowledge Management Branch</w:t>
      </w:r>
      <w:r>
        <w:rPr>
          <w:szCs w:val="20"/>
        </w:rPr>
        <w:t>,</w:t>
      </w:r>
      <w:r w:rsidRPr="007B43ED">
        <w:rPr>
          <w:szCs w:val="20"/>
        </w:rPr>
        <w:t xml:space="preserve"> Workcover </w:t>
      </w:r>
      <w:r>
        <w:rPr>
          <w:szCs w:val="20"/>
        </w:rPr>
        <w:t>NSW</w:t>
      </w:r>
      <w:r w:rsidRPr="007B43ED">
        <w:rPr>
          <w:szCs w:val="20"/>
        </w:rPr>
        <w:t>.</w:t>
      </w:r>
    </w:p>
    <w:p w:rsidR="0090086F" w:rsidRPr="007B43ED" w:rsidRDefault="0090086F" w:rsidP="00373CBD">
      <w:pPr>
        <w:spacing w:after="120" w:line="240" w:lineRule="auto"/>
        <w:ind w:left="567" w:hanging="567"/>
        <w:rPr>
          <w:szCs w:val="20"/>
        </w:rPr>
      </w:pPr>
      <w:r w:rsidRPr="007B43ED">
        <w:rPr>
          <w:szCs w:val="20"/>
        </w:rPr>
        <w:t>Worksafe Australia</w:t>
      </w:r>
      <w:r>
        <w:rPr>
          <w:szCs w:val="20"/>
        </w:rPr>
        <w:t>.</w:t>
      </w:r>
      <w:r w:rsidRPr="007B43ED">
        <w:rPr>
          <w:szCs w:val="20"/>
        </w:rPr>
        <w:t xml:space="preserve"> (1994).</w:t>
      </w:r>
      <w:r>
        <w:rPr>
          <w:szCs w:val="20"/>
        </w:rPr>
        <w:t xml:space="preserve"> </w:t>
      </w:r>
      <w:r w:rsidRPr="007B43ED">
        <w:rPr>
          <w:i/>
          <w:szCs w:val="20"/>
        </w:rPr>
        <w:t>Positive performance indicators for OHS - Beyond lost time injuries</w:t>
      </w:r>
      <w:r w:rsidRPr="007B43ED">
        <w:rPr>
          <w:szCs w:val="20"/>
        </w:rPr>
        <w:t>. Canberra</w:t>
      </w:r>
      <w:r>
        <w:rPr>
          <w:szCs w:val="20"/>
        </w:rPr>
        <w:t>:</w:t>
      </w:r>
      <w:r w:rsidRPr="007B43ED">
        <w:rPr>
          <w:szCs w:val="20"/>
        </w:rPr>
        <w:t xml:space="preserve"> Commonwealth of Australia</w:t>
      </w:r>
      <w:r>
        <w:rPr>
          <w:szCs w:val="20"/>
        </w:rPr>
        <w:t>.</w:t>
      </w:r>
    </w:p>
    <w:p w:rsidR="0090086F" w:rsidRDefault="0090086F" w:rsidP="00373CBD">
      <w:pPr>
        <w:spacing w:after="120" w:line="240" w:lineRule="auto"/>
        <w:ind w:left="567" w:hanging="567"/>
        <w:rPr>
          <w:i/>
          <w:szCs w:val="20"/>
        </w:rPr>
      </w:pPr>
      <w:r w:rsidRPr="007B43ED">
        <w:rPr>
          <w:szCs w:val="20"/>
        </w:rPr>
        <w:t xml:space="preserve">Wright, H. </w:t>
      </w:r>
      <w:r>
        <w:rPr>
          <w:szCs w:val="20"/>
        </w:rPr>
        <w:t>&amp;</w:t>
      </w:r>
      <w:r w:rsidRPr="007B43ED">
        <w:rPr>
          <w:szCs w:val="20"/>
        </w:rPr>
        <w:t xml:space="preserve"> Barker</w:t>
      </w:r>
      <w:r>
        <w:rPr>
          <w:szCs w:val="20"/>
        </w:rPr>
        <w:t xml:space="preserve">, </w:t>
      </w:r>
      <w:r w:rsidRPr="007B43ED">
        <w:rPr>
          <w:szCs w:val="20"/>
        </w:rPr>
        <w:t>M. (2012).</w:t>
      </w:r>
      <w:r>
        <w:rPr>
          <w:szCs w:val="20"/>
        </w:rPr>
        <w:t xml:space="preserve"> </w:t>
      </w:r>
      <w:r w:rsidRPr="007B43ED">
        <w:rPr>
          <w:szCs w:val="20"/>
        </w:rPr>
        <w:t>OSHA's Stance on Safety Incentive Programs.</w:t>
      </w:r>
      <w:r>
        <w:rPr>
          <w:szCs w:val="20"/>
        </w:rPr>
        <w:t xml:space="preserve"> </w:t>
      </w:r>
      <w:r w:rsidRPr="007B43ED">
        <w:rPr>
          <w:i/>
          <w:szCs w:val="20"/>
        </w:rPr>
        <w:t>Occupational Health and Safety</w:t>
      </w:r>
      <w:r>
        <w:rPr>
          <w:szCs w:val="20"/>
        </w:rPr>
        <w:t>.</w:t>
      </w:r>
      <w:r w:rsidRPr="007B43ED">
        <w:rPr>
          <w:i/>
          <w:szCs w:val="20"/>
        </w:rPr>
        <w:t xml:space="preserve"> </w:t>
      </w:r>
    </w:p>
    <w:p w:rsidR="00C67AA6" w:rsidRDefault="00C67AA6">
      <w:pPr>
        <w:rPr>
          <w:rFonts w:eastAsiaTheme="majorEastAsia" w:cstheme="majorBidi"/>
          <w:b/>
          <w:bCs/>
          <w:color w:val="365F91" w:themeColor="accent1" w:themeShade="BF"/>
        </w:rPr>
      </w:pPr>
      <w:bookmarkStart w:id="36" w:name="_Toc361068611"/>
      <w:bookmarkEnd w:id="36"/>
      <w:r>
        <w:br w:type="page"/>
      </w:r>
    </w:p>
    <w:p w:rsidR="0004784A" w:rsidRDefault="0004784A" w:rsidP="00D10D12">
      <w:pPr>
        <w:pStyle w:val="Heading1"/>
        <w:numPr>
          <w:ilvl w:val="0"/>
          <w:numId w:val="23"/>
        </w:numPr>
        <w:tabs>
          <w:tab w:val="center" w:pos="4607"/>
        </w:tabs>
        <w:spacing w:before="360" w:after="120"/>
        <w:ind w:left="426" w:hanging="426"/>
        <w:rPr>
          <w:rFonts w:asciiTheme="minorHAnsi" w:hAnsiTheme="minorHAnsi"/>
          <w:sz w:val="30"/>
          <w:szCs w:val="30"/>
        </w:rPr>
      </w:pPr>
      <w:bookmarkStart w:id="37" w:name="_Toc361068612"/>
      <w:bookmarkStart w:id="38" w:name="_Toc361068613"/>
      <w:bookmarkStart w:id="39" w:name="_Toc361068614"/>
      <w:bookmarkStart w:id="40" w:name="_Toc361068615"/>
      <w:bookmarkStart w:id="41" w:name="_Toc361068616"/>
      <w:bookmarkStart w:id="42" w:name="_Toc361068617"/>
      <w:bookmarkStart w:id="43" w:name="_Toc361068618"/>
      <w:bookmarkStart w:id="44" w:name="_Toc361068619"/>
      <w:bookmarkStart w:id="45" w:name="_Toc361068620"/>
      <w:bookmarkStart w:id="46" w:name="_Toc361068621"/>
      <w:bookmarkStart w:id="47" w:name="_Toc361068622"/>
      <w:bookmarkStart w:id="48" w:name="_Toc361068623"/>
      <w:bookmarkStart w:id="49" w:name="_Toc361068624"/>
      <w:bookmarkStart w:id="50" w:name="_Toc361068625"/>
      <w:bookmarkStart w:id="51" w:name="_Toc361068626"/>
      <w:bookmarkStart w:id="52" w:name="_Toc361068627"/>
      <w:bookmarkStart w:id="53" w:name="_Toc361068628"/>
      <w:bookmarkStart w:id="54" w:name="_Toc361068629"/>
      <w:bookmarkStart w:id="55" w:name="_Toc361068630"/>
      <w:bookmarkStart w:id="56" w:name="_Toc361068631"/>
      <w:bookmarkStart w:id="57" w:name="_Toc361068632"/>
      <w:bookmarkStart w:id="58" w:name="_Toc361068633"/>
      <w:bookmarkStart w:id="59" w:name="_Toc361068634"/>
      <w:bookmarkStart w:id="60" w:name="_Toc361068635"/>
      <w:bookmarkStart w:id="61" w:name="_Toc361068636"/>
      <w:bookmarkStart w:id="62" w:name="_Toc361068637"/>
      <w:bookmarkStart w:id="63" w:name="_Toc361068638"/>
      <w:bookmarkStart w:id="64" w:name="_Toc361068639"/>
      <w:bookmarkStart w:id="65" w:name="_Toc361068640"/>
      <w:bookmarkStart w:id="66" w:name="_Toc361068641"/>
      <w:bookmarkStart w:id="67" w:name="_Toc361068642"/>
      <w:bookmarkStart w:id="68" w:name="_Toc361068643"/>
      <w:bookmarkStart w:id="69" w:name="_Toc361068644"/>
      <w:bookmarkStart w:id="70" w:name="_Toc361068645"/>
      <w:bookmarkStart w:id="71" w:name="_Toc361068646"/>
      <w:bookmarkStart w:id="72" w:name="_Toc361068647"/>
      <w:bookmarkStart w:id="73" w:name="_Toc361068648"/>
      <w:bookmarkStart w:id="74" w:name="_Toc361068649"/>
      <w:bookmarkStart w:id="75" w:name="_Toc361068650"/>
      <w:bookmarkStart w:id="76" w:name="_Toc361068651"/>
      <w:bookmarkStart w:id="77" w:name="_Toc361068652"/>
      <w:bookmarkStart w:id="78" w:name="_Toc361068653"/>
      <w:bookmarkStart w:id="79" w:name="_Toc361068654"/>
      <w:bookmarkStart w:id="80" w:name="_Toc361068655"/>
      <w:bookmarkStart w:id="81" w:name="_Toc361068656"/>
      <w:bookmarkStart w:id="82" w:name="_Toc361068657"/>
      <w:bookmarkStart w:id="83" w:name="_Toc361068658"/>
      <w:bookmarkStart w:id="84" w:name="_Toc361068659"/>
      <w:bookmarkStart w:id="85" w:name="_Toc361068660"/>
      <w:bookmarkStart w:id="86" w:name="_Toc361068661"/>
      <w:bookmarkStart w:id="87" w:name="_Toc361068662"/>
      <w:bookmarkStart w:id="88" w:name="_Toc361068663"/>
      <w:bookmarkStart w:id="89" w:name="_Toc361068664"/>
      <w:bookmarkStart w:id="90" w:name="_Toc361068665"/>
      <w:bookmarkStart w:id="91" w:name="_Toc361068666"/>
      <w:bookmarkStart w:id="92" w:name="_Toc361068667"/>
      <w:bookmarkStart w:id="93" w:name="_Toc361068668"/>
      <w:bookmarkStart w:id="94" w:name="_Toc361068669"/>
      <w:bookmarkStart w:id="95" w:name="_Toc361068670"/>
      <w:bookmarkStart w:id="96" w:name="_Toc361068671"/>
      <w:bookmarkStart w:id="97" w:name="_Toc361068672"/>
      <w:bookmarkStart w:id="98" w:name="_Toc361068673"/>
      <w:bookmarkStart w:id="99" w:name="_Toc361068674"/>
      <w:bookmarkStart w:id="100" w:name="_Toc361068675"/>
      <w:bookmarkStart w:id="101" w:name="_Toc361068676"/>
      <w:bookmarkStart w:id="102" w:name="_Toc361068677"/>
      <w:bookmarkStart w:id="103" w:name="_Toc36108532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Theme="minorHAnsi" w:hAnsiTheme="minorHAnsi"/>
          <w:sz w:val="30"/>
          <w:szCs w:val="30"/>
        </w:rPr>
        <w:t>Appendices</w:t>
      </w:r>
      <w:bookmarkEnd w:id="103"/>
    </w:p>
    <w:p w:rsidR="004B6FE9" w:rsidRDefault="004B6FE9" w:rsidP="004B6FE9">
      <w:pPr>
        <w:pStyle w:val="Caption"/>
        <w:keepNext/>
        <w:jc w:val="center"/>
        <w:rPr>
          <w:sz w:val="28"/>
          <w:szCs w:val="28"/>
        </w:rPr>
      </w:pPr>
      <w:r w:rsidRPr="004B6FE9">
        <w:rPr>
          <w:sz w:val="28"/>
          <w:szCs w:val="28"/>
        </w:rPr>
        <w:t xml:space="preserve">Appendix </w:t>
      </w:r>
      <w:r w:rsidR="00D515BB" w:rsidRPr="004B6FE9">
        <w:rPr>
          <w:sz w:val="28"/>
          <w:szCs w:val="28"/>
        </w:rPr>
        <w:fldChar w:fldCharType="begin"/>
      </w:r>
      <w:r w:rsidRPr="004B6FE9">
        <w:rPr>
          <w:sz w:val="28"/>
          <w:szCs w:val="28"/>
        </w:rPr>
        <w:instrText xml:space="preserve"> SEQ Appendix \* ARABIC </w:instrText>
      </w:r>
      <w:r w:rsidR="00D515BB" w:rsidRPr="004B6FE9">
        <w:rPr>
          <w:sz w:val="28"/>
          <w:szCs w:val="28"/>
        </w:rPr>
        <w:fldChar w:fldCharType="separate"/>
      </w:r>
      <w:r w:rsidR="00E6242C">
        <w:rPr>
          <w:noProof/>
          <w:sz w:val="28"/>
          <w:szCs w:val="28"/>
        </w:rPr>
        <w:t>1</w:t>
      </w:r>
      <w:r w:rsidR="00D515BB" w:rsidRPr="004B6FE9">
        <w:rPr>
          <w:sz w:val="28"/>
          <w:szCs w:val="28"/>
        </w:rPr>
        <w:fldChar w:fldCharType="end"/>
      </w:r>
      <w:r w:rsidRPr="004B6FE9">
        <w:rPr>
          <w:sz w:val="28"/>
          <w:szCs w:val="28"/>
        </w:rPr>
        <w:t>: Notifiable incidents for mandatory reporting</w:t>
      </w:r>
    </w:p>
    <w:p w:rsidR="002673BD" w:rsidRDefault="00410BC0" w:rsidP="00A26DCC">
      <w:pPr>
        <w:ind w:left="-1276"/>
      </w:pPr>
      <w:r>
        <w:rPr>
          <w:noProof/>
        </w:rPr>
        <mc:AlternateContent>
          <mc:Choice Requires="wps">
            <w:drawing>
              <wp:anchor distT="0" distB="0" distL="114300" distR="114300" simplePos="0" relativeHeight="251681792" behindDoc="0" locked="0" layoutInCell="1" allowOverlap="1" wp14:anchorId="1B32EA4A" wp14:editId="0B52E5FD">
                <wp:simplePos x="0" y="0"/>
                <wp:positionH relativeFrom="column">
                  <wp:posOffset>2954020</wp:posOffset>
                </wp:positionH>
                <wp:positionV relativeFrom="paragraph">
                  <wp:posOffset>2099310</wp:posOffset>
                </wp:positionV>
                <wp:extent cx="146050" cy="76200"/>
                <wp:effectExtent l="0" t="0" r="25400" b="19050"/>
                <wp:wrapNone/>
                <wp:docPr id="319" name="Oval 319" descr="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76200"/>
                        </a:xfrm>
                        <a:prstGeom prst="ellipse">
                          <a:avLst/>
                        </a:prstGeom>
                        <a:noFill/>
                        <a:ln w="31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19" o:spid="_x0000_s1026" alt="19" style="position:absolute;margin-left:232.6pt;margin-top:165.3pt;width:11.5pt;height: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" filled="f" strokecolor="#c0504d [3205]" strokeweight=".25pt">
                <v:path arrowok="t"/>
              </v:oval>
            </w:pict>
          </mc:Fallback>
        </mc:AlternateContent>
      </w:r>
      <w:r>
        <w:rPr>
          <w:noProof/>
        </w:rPr>
        <mc:AlternateContent>
          <mc:Choice Requires="wps">
            <w:drawing>
              <wp:anchor distT="0" distB="0" distL="114300" distR="114300" simplePos="0" relativeHeight="251678720" behindDoc="0" locked="0" layoutInCell="1" allowOverlap="1" wp14:anchorId="064DCADE" wp14:editId="716C63B6">
                <wp:simplePos x="0" y="0"/>
                <wp:positionH relativeFrom="column">
                  <wp:posOffset>883920</wp:posOffset>
                </wp:positionH>
                <wp:positionV relativeFrom="paragraph">
                  <wp:posOffset>1045210</wp:posOffset>
                </wp:positionV>
                <wp:extent cx="146050" cy="76200"/>
                <wp:effectExtent l="0" t="0" r="25400" b="19050"/>
                <wp:wrapNone/>
                <wp:docPr id="315" name="Oval 315" descr="12" title="Appendix 1: Notifiable incidents for mandatory report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76200"/>
                        </a:xfrm>
                        <a:prstGeom prst="ellipse">
                          <a:avLst/>
                        </a:prstGeom>
                        <a:noFill/>
                        <a:ln w="31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15" o:spid="_x0000_s1026" alt="Title: Appendix 1: Notifiable incidents for mandatory reporting - Description: 12" style="position:absolute;margin-left:69.6pt;margin-top:82.3pt;width:11.5pt;height: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" filled="f" strokecolor="#c0504d [3205]" strokeweight=".25pt">
                <v:path arrowok="t"/>
              </v:oval>
            </w:pict>
          </mc:Fallback>
        </mc:AlternateContent>
      </w:r>
      <w:r>
        <w:rPr>
          <w:noProof/>
        </w:rPr>
        <mc:AlternateContent>
          <mc:Choice Requires="wps">
            <w:drawing>
              <wp:anchor distT="0" distB="0" distL="114300" distR="114300" simplePos="0" relativeHeight="251680768" behindDoc="0" locked="0" layoutInCell="1" allowOverlap="1" wp14:anchorId="663A3EBE" wp14:editId="6385E200">
                <wp:simplePos x="0" y="0"/>
                <wp:positionH relativeFrom="column">
                  <wp:posOffset>883920</wp:posOffset>
                </wp:positionH>
                <wp:positionV relativeFrom="paragraph">
                  <wp:posOffset>1388110</wp:posOffset>
                </wp:positionV>
                <wp:extent cx="146050" cy="76200"/>
                <wp:effectExtent l="0" t="0" r="25400" b="19050"/>
                <wp:wrapNone/>
                <wp:docPr id="317" name="Oval 317" descr="28" title="Appendix 1: Notifiable incidents for mandatory report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76200"/>
                        </a:xfrm>
                        <a:prstGeom prst="ellipse">
                          <a:avLst/>
                        </a:prstGeom>
                        <a:noFill/>
                        <a:ln w="31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17" o:spid="_x0000_s1026" alt="Title: Appendix 1: Notifiable incidents for mandatory reporting - Description: 28" style="position:absolute;margin-left:69.6pt;margin-top:109.3pt;width:11.5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" filled="f" strokecolor="#c0504d [3205]" strokeweight=".25pt">
                <v:path arrowok="t"/>
              </v:oval>
            </w:pict>
          </mc:Fallback>
        </mc:AlternateContent>
      </w:r>
      <w:r>
        <w:rPr>
          <w:noProof/>
        </w:rPr>
        <mc:AlternateContent>
          <mc:Choice Requires="wps">
            <w:drawing>
              <wp:anchor distT="0" distB="0" distL="114300" distR="114300" simplePos="0" relativeHeight="251679744" behindDoc="0" locked="0" layoutInCell="1" allowOverlap="1" wp14:anchorId="223C182E" wp14:editId="7678720D">
                <wp:simplePos x="0" y="0"/>
                <wp:positionH relativeFrom="column">
                  <wp:posOffset>883920</wp:posOffset>
                </wp:positionH>
                <wp:positionV relativeFrom="paragraph">
                  <wp:posOffset>1616710</wp:posOffset>
                </wp:positionV>
                <wp:extent cx="146050" cy="76200"/>
                <wp:effectExtent l="0" t="0" r="25400" b="19050"/>
                <wp:wrapNone/>
                <wp:docPr id="316" name="Oval 316" descr="12" title="Appendix 1: Notifiable incidents for mandatory report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76200"/>
                        </a:xfrm>
                        <a:prstGeom prst="ellipse">
                          <a:avLst/>
                        </a:prstGeom>
                        <a:noFill/>
                        <a:ln w="31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16" o:spid="_x0000_s1026" alt="Title: Appendix 1: Notifiable incidents for mandatory reporting - Description: 12" style="position:absolute;margin-left:69.6pt;margin-top:127.3pt;width:11.5pt;height: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" filled="f" strokecolor="#c0504d [3205]" strokeweight=".25pt">
                <v:path arrowok="t"/>
              </v:oval>
            </w:pict>
          </mc:Fallback>
        </mc:AlternateContent>
      </w:r>
      <w:r>
        <w:rPr>
          <w:noProof/>
        </w:rPr>
        <mc:AlternateContent>
          <mc:Choice Requires="wps">
            <w:drawing>
              <wp:anchor distT="0" distB="0" distL="114300" distR="114300" simplePos="0" relativeHeight="251677696" behindDoc="0" locked="0" layoutInCell="1" allowOverlap="1" wp14:anchorId="05BC58A8" wp14:editId="25A1E925">
                <wp:simplePos x="0" y="0"/>
                <wp:positionH relativeFrom="column">
                  <wp:posOffset>883920</wp:posOffset>
                </wp:positionH>
                <wp:positionV relativeFrom="paragraph">
                  <wp:posOffset>1273810</wp:posOffset>
                </wp:positionV>
                <wp:extent cx="146050" cy="76200"/>
                <wp:effectExtent l="0" t="0" r="25400" b="19050"/>
                <wp:wrapNone/>
                <wp:docPr id="314" name="Oval 314" descr="12" title="Appendix 1: Notifiable incidents for mandatory report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76200"/>
                        </a:xfrm>
                        <a:prstGeom prst="ellipse">
                          <a:avLst/>
                        </a:prstGeom>
                        <a:noFill/>
                        <a:ln w="31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14" o:spid="_x0000_s1026" alt="Title: Appendix 1: Notifiable incidents for mandatory reporting - Description: 12" style="position:absolute;margin-left:69.6pt;margin-top:100.3pt;width:11.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" filled="f" strokecolor="#c0504d [3205]" strokeweight=".25pt">
                <v:path arrowok="t"/>
              </v:oval>
            </w:pict>
          </mc:Fallback>
        </mc:AlternateContent>
      </w:r>
      <w:r>
        <w:rPr>
          <w:noProof/>
        </w:rPr>
        <mc:AlternateContent>
          <mc:Choice Requires="wps">
            <w:drawing>
              <wp:anchor distT="0" distB="0" distL="114300" distR="114300" simplePos="0" relativeHeight="251676672" behindDoc="0" locked="0" layoutInCell="1" allowOverlap="1" wp14:anchorId="4F79E830" wp14:editId="12CD58AD">
                <wp:simplePos x="0" y="0"/>
                <wp:positionH relativeFrom="column">
                  <wp:posOffset>5633720</wp:posOffset>
                </wp:positionH>
                <wp:positionV relativeFrom="paragraph">
                  <wp:posOffset>2099310</wp:posOffset>
                </wp:positionV>
                <wp:extent cx="146050" cy="76200"/>
                <wp:effectExtent l="0" t="0" r="25400" b="19050"/>
                <wp:wrapNone/>
                <wp:docPr id="23" name="Oval 23" descr="27" titl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76200"/>
                        </a:xfrm>
                        <a:prstGeom prst="ellipse">
                          <a:avLst/>
                        </a:prstGeom>
                        <a:noFill/>
                        <a:ln w="31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3" o:spid="_x0000_s1026" alt="Title: 27 - Description: 27" style="position:absolute;margin-left:443.6pt;margin-top:165.3pt;width:11.5pt;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" filled="f" strokecolor="#c0504d [3205]" strokeweight=".25pt">
                <v:path arrowok="t"/>
              </v:oval>
            </w:pict>
          </mc:Fallback>
        </mc:AlternateContent>
      </w:r>
      <w:r>
        <w:rPr>
          <w:noProof/>
        </w:rPr>
        <mc:AlternateContent>
          <mc:Choice Requires="wps">
            <w:drawing>
              <wp:anchor distT="0" distB="0" distL="114300" distR="114300" simplePos="0" relativeHeight="251675648" behindDoc="0" locked="0" layoutInCell="1" allowOverlap="1" wp14:anchorId="6ACF9327" wp14:editId="384D22C0">
                <wp:simplePos x="0" y="0"/>
                <wp:positionH relativeFrom="column">
                  <wp:posOffset>2420620</wp:posOffset>
                </wp:positionH>
                <wp:positionV relativeFrom="paragraph">
                  <wp:posOffset>1159510</wp:posOffset>
                </wp:positionV>
                <wp:extent cx="146050" cy="76200"/>
                <wp:effectExtent l="0" t="0" r="25400" b="19050"/>
                <wp:wrapNone/>
                <wp:docPr id="21" name="Oval 21" descr="20" titl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76200"/>
                        </a:xfrm>
                        <a:prstGeom prst="ellipse">
                          <a:avLst/>
                        </a:prstGeom>
                        <a:noFill/>
                        <a:ln w="31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1" o:spid="_x0000_s1026" alt="Title: 20 - Description: 20" style="position:absolute;margin-left:190.6pt;margin-top:91.3pt;width:11.5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" filled="f" strokecolor="#c0504d [3205]" strokeweight=".25pt">
                <v:path arrowok="t"/>
              </v:oval>
            </w:pict>
          </mc:Fallback>
        </mc:AlternateContent>
      </w:r>
      <w:r>
        <w:rPr>
          <w:noProof/>
        </w:rPr>
        <mc:AlternateContent>
          <mc:Choice Requires="wps">
            <w:drawing>
              <wp:anchor distT="0" distB="0" distL="114300" distR="114300" simplePos="0" relativeHeight="251674624" behindDoc="0" locked="0" layoutInCell="1" allowOverlap="1" wp14:anchorId="023AE2AA" wp14:editId="28164F1A">
                <wp:simplePos x="0" y="0"/>
                <wp:positionH relativeFrom="column">
                  <wp:posOffset>1899920</wp:posOffset>
                </wp:positionH>
                <wp:positionV relativeFrom="paragraph">
                  <wp:posOffset>1280160</wp:posOffset>
                </wp:positionV>
                <wp:extent cx="146050" cy="76200"/>
                <wp:effectExtent l="0" t="0" r="25400" b="19050"/>
                <wp:wrapNone/>
                <wp:docPr id="11" name="Oval 11" descr="25" title="Appendix 1: Notifiable incidents for mandatory report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76200"/>
                        </a:xfrm>
                        <a:prstGeom prst="ellipse">
                          <a:avLst/>
                        </a:prstGeom>
                        <a:noFill/>
                        <a:ln w="31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1" o:spid="_x0000_s1026" alt="Title: Appendix 1: Notifiable incidents for mandatory reporting - Description: 25" style="position:absolute;margin-left:149.6pt;margin-top:100.8pt;width:11.5pt;height: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" filled="f" strokecolor="#c0504d [3205]" strokeweight=".25pt">
                <v:path arrowok="t"/>
              </v:oval>
            </w:pict>
          </mc:Fallback>
        </mc:AlternateContent>
      </w:r>
      <w:r>
        <w:rPr>
          <w:noProof/>
        </w:rPr>
        <mc:AlternateContent>
          <mc:Choice Requires="wps">
            <w:drawing>
              <wp:anchor distT="0" distB="0" distL="114300" distR="114300" simplePos="0" relativeHeight="251673600" behindDoc="0" locked="0" layoutInCell="1" allowOverlap="1" wp14:anchorId="7AE56CE3" wp14:editId="4E8F4C81">
                <wp:simplePos x="0" y="0"/>
                <wp:positionH relativeFrom="column">
                  <wp:posOffset>1372870</wp:posOffset>
                </wp:positionH>
                <wp:positionV relativeFrom="paragraph">
                  <wp:posOffset>1534160</wp:posOffset>
                </wp:positionV>
                <wp:extent cx="146050" cy="76200"/>
                <wp:effectExtent l="0" t="0" r="25400" b="19050"/>
                <wp:wrapNone/>
                <wp:docPr id="6" name="Oval 6" descr="25" title="Appendix 1: Notifiable incidents for mandatory report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76200"/>
                        </a:xfrm>
                        <a:prstGeom prst="ellipse">
                          <a:avLst/>
                        </a:prstGeom>
                        <a:noFill/>
                        <a:ln w="31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 o:spid="_x0000_s1026" alt="Title: Appendix 1: Notifiable incidents for mandatory reporting - Description: 25" style="position:absolute;margin-left:108.1pt;margin-top:120.8pt;width:11.5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" filled="f" strokecolor="#c0504d [3205]" strokeweight=".25pt">
                <v:path arrowok="t"/>
              </v:oval>
            </w:pict>
          </mc:Fallback>
        </mc:AlternateContent>
      </w:r>
      <w:r>
        <w:rPr>
          <w:noProof/>
        </w:rPr>
        <mc:AlternateContent>
          <mc:Choice Requires="wps">
            <w:drawing>
              <wp:anchor distT="0" distB="0" distL="114300" distR="114300" simplePos="0" relativeHeight="251672576" behindDoc="0" locked="0" layoutInCell="1" allowOverlap="1" wp14:anchorId="6A76DD6F" wp14:editId="6D19CCBB">
                <wp:simplePos x="0" y="0"/>
                <wp:positionH relativeFrom="column">
                  <wp:posOffset>1366520</wp:posOffset>
                </wp:positionH>
                <wp:positionV relativeFrom="paragraph">
                  <wp:posOffset>1159510</wp:posOffset>
                </wp:positionV>
                <wp:extent cx="146050" cy="76200"/>
                <wp:effectExtent l="0" t="0" r="25400" b="19050"/>
                <wp:wrapNone/>
                <wp:docPr id="1" name="Oval 1" descr="24" title="Appendix 1: Notifiable incidents for mandatory report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76200"/>
                        </a:xfrm>
                        <a:prstGeom prst="ellipse">
                          <a:avLst/>
                        </a:prstGeom>
                        <a:noFill/>
                        <a:ln w="31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 o:spid="_x0000_s1026" alt="Title: Appendix 1: Notifiable incidents for mandatory reporting - Description: 24" style="position:absolute;margin-left:107.6pt;margin-top:91.3pt;width:11.5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" filled="f" strokecolor="#c0504d [3205]" strokeweight=".25pt">
                <v:path arrowok="t"/>
              </v:oval>
            </w:pict>
          </mc:Fallback>
        </mc:AlternateContent>
      </w:r>
      <w:r w:rsidR="00A26DCC">
        <w:rPr>
          <w:noProof/>
        </w:rPr>
        <w:drawing>
          <wp:inline distT="0" distB="0" distL="0" distR="0" wp14:anchorId="11D000DF" wp14:editId="73BE23E1">
            <wp:extent cx="7346163" cy="4681108"/>
            <wp:effectExtent l="0" t="0" r="7620" b="5715"/>
            <wp:docPr id="334" name="Picture 334" descr="Appendix 1 is two tables of notifiable incidents for mandatory reporting, broken down by the mechanism of injury on the horizontal axis and by agency on the vertical axis.&#10;&#10;The first table examines the relationship between the mechanism of injury and agency.&#10;&#10;On the horizontal axis are claims by mechanism of injury, including: manual handling, falls on the same level, repetitive movement, low muscle loading, falls from height, muscle stress with no objects being handled, hitting stationary objects, being hit by moving objects, being trapped between stationary and moving objects, stepping, kneeling or sitting on objects, other and total claims.&#10;&#10;On the vertical axis the are claims by agency, including: furniture, indoor environment, office and electrical equipment, fastening, packing and packaging equipment, outdoor environment, other materials and objects, road transport, other non-powered equipment, human agency, other and total claims.&#10;&#10;For mechanism of injury, there are a total of: &#10;78 claims for manual handling, &#10;64 claims for falls on the same level, &#10;35 claims for repetitive movement, low muscle loading, &#10;33  claims for falls from height, &#10;33 claims for muscle stress with no objects being handled, 9  claims for hitting stationary objects, &#10;12 claims for being hit by moving objects, &#10;9 claims for being trapped between stationary and moving objects, &#10;5 claims for stepping, kneeling or sitting on objects, &#10;46 claims for other and &#10;120 total claims.&#10;&#10;For agency, there are a total of:&#10;58 claims for furniture and fittigns,&#10;45 claims for indoor environment, &#10;44 claims for office and electrical equipment, &#10;30 claims for fastening, packing and packaging equipment, &#10;29 claims for outdoor environment, &#10;22 claims for other materials and objects, &#10;11 claims for road transport, &#10;7 claims for other non-powered equipment, &#10;6 claims for human agency, &#10;68 claims for other and &#10;120 total claims.&#10;&#10;In manual handling, there are 12 claims for furniture ands fittings, 12 claims for office and ecetrical equipment, 28 claims for fastening, packing and pacjkaging materials, 17 claims for other materials and objects, 1 claim for road transport, 1 claim for other non-powered equipment, 7 claims for other agency.&#10;&#10;In falls on the same level, there are 6 claims for furniture and fittings. 24 claims for indoor environment, 1 claim for office and electrical equipment, 25 claims for outdoor environment and 6 claims for other agency.&#10;&#10;In repetitive movement, low muscle loading, there are 4 claims for furniture and fittings, 25 claims for office and electircal equipment, 2 claims for other materials and objects and 4 claims for other agency.&#10;&#10;In falls from height, there are 8 claims for furniture and fittings, 20 claims for indoor environment, 1 claim for office and electricalequipment, 2 claims for otdoor environment and 2 claims for other agency.&#10;&#10;In muscle stress with no objects being handled, there are 6 claims for furniture and fittings, 4 claims for office and electrical equipment, 1 claim for the outdoor environment, 1 claim for road transport, 1 claim for other non-powered equipment, 1 claim for human agency and 19 for other agency.&#10;&#10;In hitting stationary objects, there are 8 claims for furniture and fittings, 1 claim for office and electrical equipment, 1 claim for other materials and objects and 1 claim for other non-powered equipment.&#10;&#10;In being hit by moving objects, there are 3 claims for furniture and fittings, 1 claim for other materials and objects, 2 claims for road transport, 1 claim for other non-powered equipment and 2 claims for other agency.&#10;&#10;In being trapped between stationary and moving objects, there are 4 claims for furntiutre and fittings and 1 claim for road transport.&#10;&#10;In stepping, kneeling or sitting on objects, there are 2 claims for furniture and fittings, 1 claim for indoor environment, 1 claim for other non-powred equipment and 1 for other agency.&#10;&#10;In other mechanism of injury, there are 5 claims for furniture and fittings, 2 for fastening, packing ands packaging, 1 claim for other materials and objects, 5 claims for road transport, 1 claim for other non-powered epuipment, 5 claims for human agency and 27 claims for other agency.&#10;&#10;The second table examines the relationship between the nature of injury and body location of the injury.&#10;&#10;On the horizontal axis are claims by nature of injury, including: sprains and strains of joints and adjacent muscles, fractures, contusions with intatct skin surface and crushing injury excluding those with facture, poisoning and toxic effects of substances, open wound not involving traumatic amputation, other and unsepcified injuries, superficial injury, burns dislocation, multiple injutries, other and total claims.&#10;&#10;On the vertical axis are body location including: back, miltiple locations, wrist, ankle, knee, hand (including fingers and thumb), shoulder, head, neck, foot (including toes) and other location.&#10;&#10;The total number of claims for nature of injury are: &#10;222 sprains and strains of joints and adjacent muscles, &#10;36 fractures, &#10;25 contusions with intatct skin surface and crushing injury excluding those with facture, &#10;8 poisoning and toxic effects of substances, &#10;7 open wound not involving traumatic amputation, &#10;6 other and unsepcified injuries, &#10;4 superficial injury, &#10;3 burns &#10;3 dislocation, &#10;3 multiple injutries, &#10;3 other and &#10;320 total claims.&#10;&#10;The total number of claims by body location are: &#10;80 back, &#10;41 multiple locations, &#10;28 wrist, &#10;24 ankle, &#10;23 knee, &#10;21 hand (including fingers and thumb), &#10;16 shoulder, &#10;15 head, &#10;12 neck, &#10;11 foot (including toes) and &#10;49 other location.&#10;&#10;The numbers of claims by nature of injury and by body location are: &#10;&#10;For sprains and strains of joints and adjacent muscles,  76 claims involved an injury to the back, 27 claims involved an injury to multiple locations, 17 claims involved an injury to the wrist, 16 claims involved an injury to the ankle, 18 claims involved an injury to the knee, 9 claims involved an injury to the hand, 16 claims involved an injury to the shoulder, 12 claims involved an injury to the neck, 5 claims involved an injury to the foot and 26 claims involved an injury to another location.&#10;&#10;For fractures,  1 claim involved an injury to the back, 1 claim involved an injury to the knee, 2  claims involved an injury to multi0ple locations, 8 claims involved an injury to the wrist, 7 claims involved an injury to the ankle, 4 claims involved an injury to the hand, 3 claims involved an injury to the head, 3 claims involved an injury to the foot and 7 claims involved an injury to another location.&#10;&#10;For contusions with intatct skin surface and crushing injury excluding those with facture, 5 claims involved an injury to multiple locations, claims involved an injury to the back, 3 claims involved an injury to the knee, 3 claims involved an injury to the hand, 5 claims involved an injury to the head, 5 claims involved an injury to another location, 1 claim involved an injury to the wrist and 1 claim involved an injury to the ankle.&#10;&#10;For poisoning and toxic effects of substances, 4 claims involved an injury to multiple locations, 1 claim involved an injury to the hand, 1 claim involved an injury to the head and 2 claims involved an injury to another location.&#10;&#10;For open wound not involving traumatic amputation, 4 claims involved an injury to multiple locations, 2 claims involved an injury to the head and 1 claim involved an injury to the foot and toes.&#10;&#10;For other and unsepcified injuries, 1 claim involved an injury to the back, 1 claim involved an injury to the head and 3 claims involved an injury to another location.&#10;&#10;For superficial injury, 1 claim involved an injury to muliple locations, 1 claim involved an injury to the head and 2 claims involved an injury to another location. &#10;&#10;For burns, 1 claim involved an injury to multiple locations, 1 claim involved an injury to the wrist, and 1 claim involved an injury to another location.&#10;&#10;For dislocation, 1 claim involved an injury to the wrist , 1 claim involved an injury to the knee and 1 claim involved an injury tothe foot and toes.&#10;&#10;For multiple injuries, 1 claim involved an injury to multiple locations and 1 claim involved an injury to the head.&#10;&#10;For other injuries, 1 claim involved an injury to the head.&#10;" title="Appendix 1: Notifiable incidents for mandatory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344693" cy="4680171"/>
                    </a:xfrm>
                    <a:prstGeom prst="rect">
                      <a:avLst/>
                    </a:prstGeom>
                    <a:noFill/>
                    <a:ln>
                      <a:noFill/>
                    </a:ln>
                  </pic:spPr>
                </pic:pic>
              </a:graphicData>
            </a:graphic>
          </wp:inline>
        </w:drawing>
      </w:r>
    </w:p>
    <w:p w:rsidR="00A26DCC" w:rsidRPr="000D1925" w:rsidRDefault="00DE2E7B" w:rsidP="00A26DCC">
      <w:pPr>
        <w:jc w:val="center"/>
        <w:rPr>
          <w:i/>
          <w:sz w:val="18"/>
          <w:szCs w:val="18"/>
        </w:rPr>
      </w:pPr>
      <w:r w:rsidRPr="000D1925">
        <w:rPr>
          <w:i/>
          <w:sz w:val="18"/>
          <w:szCs w:val="18"/>
        </w:rPr>
        <w:t>(Source: WorkCover NSW</w:t>
      </w:r>
      <w:r w:rsidR="00C67AA6" w:rsidRPr="000D1925">
        <w:rPr>
          <w:i/>
          <w:sz w:val="18"/>
          <w:szCs w:val="18"/>
        </w:rPr>
        <w:t xml:space="preserve"> (</w:t>
      </w:r>
      <w:r w:rsidRPr="000D1925">
        <w:rPr>
          <w:i/>
          <w:sz w:val="18"/>
          <w:szCs w:val="18"/>
        </w:rPr>
        <w:t>2008) Statistical Bulletin, p122)</w:t>
      </w:r>
    </w:p>
    <w:p w:rsidR="00A26DCC" w:rsidRDefault="00A26DCC">
      <w:pPr>
        <w:rPr>
          <w:sz w:val="28"/>
          <w:szCs w:val="28"/>
        </w:rPr>
      </w:pPr>
      <w:r>
        <w:rPr>
          <w:sz w:val="28"/>
          <w:szCs w:val="28"/>
        </w:rPr>
        <w:br w:type="page"/>
      </w:r>
    </w:p>
    <w:p w:rsidR="005C052A" w:rsidRDefault="005C052A" w:rsidP="005C052A">
      <w:pPr>
        <w:pStyle w:val="Caption"/>
        <w:keepNext/>
        <w:jc w:val="center"/>
        <w:rPr>
          <w:sz w:val="28"/>
          <w:szCs w:val="28"/>
        </w:rPr>
      </w:pPr>
      <w:r w:rsidRPr="004B6FE9">
        <w:rPr>
          <w:sz w:val="28"/>
          <w:szCs w:val="28"/>
        </w:rPr>
        <w:t xml:space="preserve">Appendix </w:t>
      </w:r>
      <w:r w:rsidR="00D515BB" w:rsidRPr="004B6FE9">
        <w:rPr>
          <w:sz w:val="28"/>
          <w:szCs w:val="28"/>
        </w:rPr>
        <w:fldChar w:fldCharType="begin"/>
      </w:r>
      <w:r w:rsidRPr="004B6FE9">
        <w:rPr>
          <w:sz w:val="28"/>
          <w:szCs w:val="28"/>
        </w:rPr>
        <w:instrText xml:space="preserve"> SEQ Appendix \* ARABIC </w:instrText>
      </w:r>
      <w:r w:rsidR="00D515BB" w:rsidRPr="004B6FE9">
        <w:rPr>
          <w:sz w:val="28"/>
          <w:szCs w:val="28"/>
        </w:rPr>
        <w:fldChar w:fldCharType="separate"/>
      </w:r>
      <w:r w:rsidR="00E6242C">
        <w:rPr>
          <w:noProof/>
          <w:sz w:val="28"/>
          <w:szCs w:val="28"/>
        </w:rPr>
        <w:t>2</w:t>
      </w:r>
      <w:r w:rsidR="00D515BB" w:rsidRPr="004B6FE9">
        <w:rPr>
          <w:sz w:val="28"/>
          <w:szCs w:val="28"/>
        </w:rPr>
        <w:fldChar w:fldCharType="end"/>
      </w:r>
      <w:r w:rsidRPr="004B6FE9">
        <w:rPr>
          <w:sz w:val="28"/>
          <w:szCs w:val="28"/>
        </w:rPr>
        <w:t xml:space="preserve">: </w:t>
      </w:r>
      <w:r>
        <w:rPr>
          <w:sz w:val="28"/>
          <w:szCs w:val="28"/>
        </w:rPr>
        <w:t>Guidance for developing PPIs</w:t>
      </w:r>
    </w:p>
    <w:tbl>
      <w:tblPr>
        <w:tblStyle w:val="TableGrid"/>
        <w:tblW w:w="9072" w:type="dxa"/>
        <w:tblInd w:w="108" w:type="dxa"/>
        <w:tblLayout w:type="fixed"/>
        <w:tblLook w:val="04A0" w:firstRow="1" w:lastRow="0" w:firstColumn="1" w:lastColumn="0" w:noHBand="0" w:noVBand="1"/>
        <w:tblCaption w:val="Appendix 2: Guidance for developing PPIs"/>
        <w:tblDescription w:val="Sources of further information&#10;Guidance for developing leading indicators of WHS&#10;International Council on Mining and Metals Overview of leading indicators for occupational health and safety in mining http://www.icmm.com/leading-indicators&#10;Comcare Positive performance indicators: measuring safety, rehabilitation &amp; compensation performance http://www.comcare.gov.au/__data/assets/pdf_file/0018/41346/Positive_performance_indicators_PUB_10_sept04_v3.pdf&#10;Institute for Work and Health Benchmarking organizational leading indicators for the prevention and management of injuries and illnesses: Final report http://www.iwh.on.ca/benchmarking-organizational-leading-indicators&#10;Australian Safety &amp; Compensation Council Guidance on the use of positive performance indicators to improve workplace health and safety http://www.safeworkaustralia.gov.au/sites/SWA/about/Publications/Documents/150/GuidanceOnUseOfPPIs_2005_PDF.pdf&#10;Step Change in Safety Leading (safety) performance indicators: Guidance for effective use http://www.lustedconsulting.ltd.uk/step%20change%20-%20leading%20performance%20indicators.pdf&#10;Guidance for evaluating safety (including process safety)&#10;CME &amp; WISB Business results through health and safety http://www.wsib.on.ca/files/Content/Downloadable%20FileBusiness%20Results%20Through%20Health%20&amp;%20Safety/Biz.pdf&#10;Institute of Directors and UK HSE Leading health and safety at work &#10;UK Health &amp; Safety Executive (HSE) A guide to measuring health and safety performance http://www.hse.gov.uk/opsunit/perfmeas.pdf&#10;Oil and Gas Producers Process safety – recommended practice on key performance indicators http://www.ogp.org.uk/pubs/456.pdf&#10;European Chemical Industry Council Guidance on process safety performance indicators http://www.cefic.org/Documents/IndustrySupport/RC%20tools%20for%20SMEs/Document%20Tool%20Box/Guidance%20on%20Process%20Safety%20Performance%20Indicators.pdf&#10;Generic guidance on performance measurement &#10;UK Audit Commission On Target: the practice of performance indicators &#10; http://archive.audit-commission.gov.uk/auditcommission/nationalstudies/localgov/Pages/ontarget.aspx.htmlUK Audit Commission Aiming to Improve: the principles of performance measurement  http://archive.audit-commission.gov.uk/auditcommission/nationalstudies/localgov/Pages/aimingtoimprove.aspx.html"/>
      </w:tblPr>
      <w:tblGrid>
        <w:gridCol w:w="1843"/>
        <w:gridCol w:w="3544"/>
        <w:gridCol w:w="3685"/>
      </w:tblGrid>
      <w:tr w:rsidR="00C67AA6" w:rsidTr="00D418A4">
        <w:trPr>
          <w:tblHeader/>
        </w:trPr>
        <w:tc>
          <w:tcPr>
            <w:tcW w:w="9072" w:type="dxa"/>
            <w:gridSpan w:val="3"/>
            <w:shd w:val="clear" w:color="auto" w:fill="8DB3E2" w:themeFill="text2" w:themeFillTint="66"/>
          </w:tcPr>
          <w:p w:rsidR="00C67AA6" w:rsidRDefault="00C67AA6" w:rsidP="000D1925">
            <w:pPr>
              <w:spacing w:line="360" w:lineRule="auto"/>
              <w:rPr>
                <w:rFonts w:eastAsia="Times New Roman" w:cs="Arial"/>
                <w:sz w:val="24"/>
                <w:szCs w:val="24"/>
              </w:rPr>
            </w:pPr>
            <w:r>
              <w:rPr>
                <w:rFonts w:eastAsia="Times New Roman" w:cs="Arial"/>
                <w:sz w:val="24"/>
                <w:szCs w:val="24"/>
              </w:rPr>
              <w:t>Sources of further information</w:t>
            </w:r>
          </w:p>
        </w:tc>
      </w:tr>
      <w:tr w:rsidR="00C67AA6" w:rsidRPr="00373CBD" w:rsidTr="00373CBD">
        <w:trPr>
          <w:trHeight w:val="414"/>
        </w:trPr>
        <w:tc>
          <w:tcPr>
            <w:tcW w:w="9072" w:type="dxa"/>
            <w:gridSpan w:val="3"/>
            <w:shd w:val="clear" w:color="auto" w:fill="C6D9F1" w:themeFill="text2" w:themeFillTint="33"/>
            <w:vAlign w:val="center"/>
          </w:tcPr>
          <w:p w:rsidR="00C67AA6" w:rsidRPr="00373CBD" w:rsidRDefault="00C67AA6" w:rsidP="00373CBD">
            <w:pPr>
              <w:rPr>
                <w:rFonts w:eastAsia="Times New Roman" w:cs="Arial"/>
                <w:b/>
              </w:rPr>
            </w:pPr>
            <w:r w:rsidRPr="00373CBD">
              <w:rPr>
                <w:rFonts w:eastAsia="Times New Roman" w:cs="Arial"/>
                <w:b/>
              </w:rPr>
              <w:t>Guidance for developing leading ind</w:t>
            </w:r>
            <w:r w:rsidRPr="006F25C3">
              <w:rPr>
                <w:rFonts w:eastAsia="Times New Roman" w:cs="Arial"/>
                <w:b/>
              </w:rPr>
              <w:t xml:space="preserve">icators of </w:t>
            </w:r>
            <w:r w:rsidR="006F25C3" w:rsidRPr="006F25C3">
              <w:rPr>
                <w:rFonts w:eastAsia="Times New Roman" w:cs="Arial"/>
                <w:b/>
              </w:rPr>
              <w:t>work health and safety</w:t>
            </w:r>
          </w:p>
        </w:tc>
      </w:tr>
      <w:tr w:rsidR="00C67AA6" w:rsidRPr="00BD2222" w:rsidTr="000D1925">
        <w:tc>
          <w:tcPr>
            <w:tcW w:w="1843" w:type="dxa"/>
            <w:shd w:val="clear" w:color="auto" w:fill="C6D9F1" w:themeFill="text2" w:themeFillTint="33"/>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International Council on Mining and Metals</w:t>
            </w:r>
          </w:p>
        </w:tc>
        <w:tc>
          <w:tcPr>
            <w:tcW w:w="3544"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Overview of leading indicators for occupational health and safety in mining</w:t>
            </w:r>
          </w:p>
        </w:tc>
        <w:tc>
          <w:tcPr>
            <w:tcW w:w="3685"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http://www.icmm.com/leading-indicators</w:t>
            </w:r>
          </w:p>
        </w:tc>
      </w:tr>
      <w:tr w:rsidR="00C67AA6" w:rsidRPr="00BD2222" w:rsidTr="000D1925">
        <w:tc>
          <w:tcPr>
            <w:tcW w:w="1843" w:type="dxa"/>
            <w:shd w:val="clear" w:color="auto" w:fill="C6D9F1" w:themeFill="text2" w:themeFillTint="33"/>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Comcare</w:t>
            </w:r>
          </w:p>
        </w:tc>
        <w:tc>
          <w:tcPr>
            <w:tcW w:w="3544"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Positive performance indicators: measuring safety, rehabilitation &amp; compensation performance</w:t>
            </w:r>
          </w:p>
        </w:tc>
        <w:tc>
          <w:tcPr>
            <w:tcW w:w="3685"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http://www.comcare.gov.au/__data/assets/pdf_file/0018/41346/Positive_performance_indicators_PUB_10_sept04_v3.pdf</w:t>
            </w:r>
          </w:p>
        </w:tc>
      </w:tr>
      <w:tr w:rsidR="00C67AA6" w:rsidRPr="00BD2222" w:rsidTr="000D1925">
        <w:tc>
          <w:tcPr>
            <w:tcW w:w="1843" w:type="dxa"/>
            <w:shd w:val="clear" w:color="auto" w:fill="C6D9F1" w:themeFill="text2" w:themeFillTint="33"/>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Institute for Work and Health</w:t>
            </w:r>
          </w:p>
        </w:tc>
        <w:tc>
          <w:tcPr>
            <w:tcW w:w="3544"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Benchmarking organizational leading indicators for the prevention and management of injuries and illnesses: Final report</w:t>
            </w:r>
          </w:p>
        </w:tc>
        <w:tc>
          <w:tcPr>
            <w:tcW w:w="3685"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http://www.iwh.on.ca/benchmarking-organizational-leading-indicators</w:t>
            </w:r>
          </w:p>
        </w:tc>
      </w:tr>
      <w:tr w:rsidR="00C67AA6" w:rsidRPr="00BD2222" w:rsidTr="000D1925">
        <w:tc>
          <w:tcPr>
            <w:tcW w:w="1843" w:type="dxa"/>
            <w:shd w:val="clear" w:color="auto" w:fill="C6D9F1" w:themeFill="text2" w:themeFillTint="33"/>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Australian Safety &amp; Compensation Council</w:t>
            </w:r>
          </w:p>
        </w:tc>
        <w:tc>
          <w:tcPr>
            <w:tcW w:w="3544"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Guidance on the use of positive performance indicators to improve workplace health and safety</w:t>
            </w:r>
          </w:p>
        </w:tc>
        <w:tc>
          <w:tcPr>
            <w:tcW w:w="3685"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http://www.safeworkaustralia.gov.au/sites/SWA/about/Publications/Documents/150/GuidanceOnUseOfPPIs_2005_PDF.pdf</w:t>
            </w:r>
          </w:p>
        </w:tc>
      </w:tr>
      <w:tr w:rsidR="00C67AA6" w:rsidRPr="00BD2222" w:rsidTr="000D1925">
        <w:tc>
          <w:tcPr>
            <w:tcW w:w="1843" w:type="dxa"/>
            <w:shd w:val="clear" w:color="auto" w:fill="C6D9F1" w:themeFill="text2" w:themeFillTint="33"/>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Step Change in Safety</w:t>
            </w:r>
          </w:p>
        </w:tc>
        <w:tc>
          <w:tcPr>
            <w:tcW w:w="3544"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Leading (safety) performance indicators: Guidance for effective use</w:t>
            </w:r>
          </w:p>
        </w:tc>
        <w:tc>
          <w:tcPr>
            <w:tcW w:w="3685"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http://www.lustedconsulting.ltd.uk/step%20change%20-%20leading%20performance%20indicators.pdf</w:t>
            </w:r>
          </w:p>
        </w:tc>
      </w:tr>
      <w:tr w:rsidR="00C67AA6" w:rsidRPr="00373CBD" w:rsidTr="00373CBD">
        <w:trPr>
          <w:trHeight w:val="325"/>
        </w:trPr>
        <w:tc>
          <w:tcPr>
            <w:tcW w:w="9072" w:type="dxa"/>
            <w:gridSpan w:val="3"/>
            <w:shd w:val="clear" w:color="auto" w:fill="C6D9F1" w:themeFill="text2" w:themeFillTint="33"/>
            <w:vAlign w:val="center"/>
          </w:tcPr>
          <w:p w:rsidR="00C67AA6" w:rsidRPr="00373CBD" w:rsidRDefault="00C67AA6" w:rsidP="00373CBD">
            <w:pPr>
              <w:rPr>
                <w:rFonts w:eastAsia="Times New Roman" w:cs="Arial"/>
                <w:b/>
              </w:rPr>
            </w:pPr>
            <w:r w:rsidRPr="00373CBD">
              <w:rPr>
                <w:rFonts w:eastAsia="Times New Roman" w:cs="Arial"/>
                <w:b/>
              </w:rPr>
              <w:t>Guidance for evaluating safety (including process safety)</w:t>
            </w:r>
          </w:p>
        </w:tc>
      </w:tr>
      <w:tr w:rsidR="00C67AA6" w:rsidRPr="00BD2222" w:rsidTr="000D1925">
        <w:tc>
          <w:tcPr>
            <w:tcW w:w="1843" w:type="dxa"/>
            <w:shd w:val="clear" w:color="auto" w:fill="C6D9F1" w:themeFill="text2" w:themeFillTint="33"/>
          </w:tcPr>
          <w:p w:rsidR="00C67AA6" w:rsidRPr="00BD2222" w:rsidRDefault="00C67AA6" w:rsidP="00373CBD">
            <w:pPr>
              <w:spacing w:before="40" w:after="40"/>
              <w:rPr>
                <w:rFonts w:eastAsia="Times New Roman" w:cs="Arial"/>
                <w:sz w:val="18"/>
                <w:szCs w:val="18"/>
              </w:rPr>
            </w:pPr>
            <w:r>
              <w:rPr>
                <w:rFonts w:eastAsia="Times New Roman" w:cs="Arial"/>
                <w:sz w:val="18"/>
                <w:szCs w:val="18"/>
              </w:rPr>
              <w:t>CME &amp; WISB</w:t>
            </w:r>
          </w:p>
        </w:tc>
        <w:tc>
          <w:tcPr>
            <w:tcW w:w="3544" w:type="dxa"/>
          </w:tcPr>
          <w:p w:rsidR="00C67AA6" w:rsidRPr="00BD2222" w:rsidRDefault="00C67AA6" w:rsidP="00373CBD">
            <w:pPr>
              <w:spacing w:before="40" w:after="40"/>
              <w:rPr>
                <w:rFonts w:eastAsia="Times New Roman" w:cs="Arial"/>
                <w:sz w:val="18"/>
                <w:szCs w:val="18"/>
              </w:rPr>
            </w:pPr>
            <w:r>
              <w:rPr>
                <w:rFonts w:eastAsia="Times New Roman" w:cs="Arial"/>
                <w:sz w:val="18"/>
                <w:szCs w:val="18"/>
              </w:rPr>
              <w:t>Business results through health and safety</w:t>
            </w:r>
          </w:p>
        </w:tc>
        <w:tc>
          <w:tcPr>
            <w:tcW w:w="3685" w:type="dxa"/>
          </w:tcPr>
          <w:p w:rsidR="00C67AA6" w:rsidRPr="00BD2222" w:rsidRDefault="00C67AA6" w:rsidP="00373CBD">
            <w:pPr>
              <w:spacing w:before="40" w:after="40"/>
              <w:rPr>
                <w:rFonts w:eastAsia="Times New Roman" w:cs="Arial"/>
                <w:sz w:val="18"/>
                <w:szCs w:val="18"/>
              </w:rPr>
            </w:pPr>
            <w:r w:rsidRPr="00045E73">
              <w:rPr>
                <w:rFonts w:eastAsia="Times New Roman" w:cs="Arial"/>
                <w:sz w:val="18"/>
                <w:szCs w:val="18"/>
              </w:rPr>
              <w:t>http://www.wsib.on.ca/files/Content/Downloadable%20FileBusiness%20Results%20Through%20Health%20&amp;%20Safety/Biz.pdf</w:t>
            </w:r>
          </w:p>
        </w:tc>
      </w:tr>
      <w:tr w:rsidR="00C67AA6" w:rsidRPr="00BD2222" w:rsidTr="000D1925">
        <w:tc>
          <w:tcPr>
            <w:tcW w:w="1843" w:type="dxa"/>
            <w:shd w:val="clear" w:color="auto" w:fill="C6D9F1" w:themeFill="text2" w:themeFillTint="33"/>
          </w:tcPr>
          <w:p w:rsidR="00C67AA6" w:rsidRDefault="00C67AA6" w:rsidP="00373CBD">
            <w:pPr>
              <w:spacing w:before="40" w:after="40"/>
              <w:rPr>
                <w:rFonts w:eastAsia="Times New Roman" w:cs="Arial"/>
                <w:sz w:val="18"/>
                <w:szCs w:val="18"/>
              </w:rPr>
            </w:pPr>
            <w:r>
              <w:rPr>
                <w:rFonts w:eastAsia="Times New Roman" w:cs="Arial"/>
                <w:sz w:val="18"/>
                <w:szCs w:val="18"/>
              </w:rPr>
              <w:t>Institute of Directors and UK HSE</w:t>
            </w:r>
          </w:p>
        </w:tc>
        <w:tc>
          <w:tcPr>
            <w:tcW w:w="3544" w:type="dxa"/>
          </w:tcPr>
          <w:p w:rsidR="00C67AA6" w:rsidRDefault="00C67AA6" w:rsidP="00373CBD">
            <w:pPr>
              <w:spacing w:before="40" w:after="40"/>
              <w:rPr>
                <w:rFonts w:eastAsia="Times New Roman" w:cs="Arial"/>
                <w:sz w:val="18"/>
                <w:szCs w:val="18"/>
              </w:rPr>
            </w:pPr>
            <w:r>
              <w:rPr>
                <w:rFonts w:eastAsia="Times New Roman" w:cs="Arial"/>
                <w:sz w:val="18"/>
                <w:szCs w:val="18"/>
              </w:rPr>
              <w:t>Leading health and safety at work</w:t>
            </w:r>
          </w:p>
        </w:tc>
        <w:tc>
          <w:tcPr>
            <w:tcW w:w="3685" w:type="dxa"/>
          </w:tcPr>
          <w:p w:rsidR="00C67AA6" w:rsidRPr="00045E73" w:rsidRDefault="00C67AA6" w:rsidP="00373CBD">
            <w:pPr>
              <w:spacing w:before="40" w:after="40"/>
              <w:rPr>
                <w:rFonts w:eastAsia="Times New Roman" w:cs="Arial"/>
                <w:sz w:val="18"/>
                <w:szCs w:val="18"/>
              </w:rPr>
            </w:pPr>
          </w:p>
        </w:tc>
      </w:tr>
      <w:tr w:rsidR="00C67AA6" w:rsidRPr="00BD2222" w:rsidTr="000D1925">
        <w:tc>
          <w:tcPr>
            <w:tcW w:w="1843" w:type="dxa"/>
            <w:shd w:val="clear" w:color="auto" w:fill="C6D9F1" w:themeFill="text2" w:themeFillTint="33"/>
          </w:tcPr>
          <w:p w:rsidR="00C67AA6" w:rsidRDefault="00C67AA6" w:rsidP="00373CBD">
            <w:pPr>
              <w:spacing w:before="40" w:after="40"/>
              <w:rPr>
                <w:rFonts w:eastAsia="Times New Roman" w:cs="Arial"/>
                <w:sz w:val="18"/>
                <w:szCs w:val="18"/>
              </w:rPr>
            </w:pPr>
            <w:r>
              <w:rPr>
                <w:rFonts w:eastAsia="Times New Roman" w:cs="Arial"/>
                <w:sz w:val="18"/>
                <w:szCs w:val="18"/>
              </w:rPr>
              <w:t>UK Health &amp; Safety Executive (HSE)</w:t>
            </w:r>
          </w:p>
        </w:tc>
        <w:tc>
          <w:tcPr>
            <w:tcW w:w="3544" w:type="dxa"/>
          </w:tcPr>
          <w:p w:rsidR="00C67AA6" w:rsidRDefault="00C67AA6" w:rsidP="00373CBD">
            <w:pPr>
              <w:spacing w:before="40" w:after="40"/>
              <w:rPr>
                <w:rFonts w:eastAsia="Times New Roman" w:cs="Arial"/>
                <w:sz w:val="18"/>
                <w:szCs w:val="18"/>
              </w:rPr>
            </w:pPr>
            <w:r>
              <w:rPr>
                <w:rFonts w:eastAsia="Times New Roman" w:cs="Arial"/>
                <w:sz w:val="18"/>
                <w:szCs w:val="18"/>
              </w:rPr>
              <w:t>A guide to measuring health and safety performance</w:t>
            </w:r>
          </w:p>
        </w:tc>
        <w:tc>
          <w:tcPr>
            <w:tcW w:w="3685" w:type="dxa"/>
          </w:tcPr>
          <w:p w:rsidR="00C67AA6" w:rsidRPr="00045E73" w:rsidRDefault="00C67AA6" w:rsidP="00373CBD">
            <w:pPr>
              <w:spacing w:before="40" w:after="40"/>
              <w:rPr>
                <w:rFonts w:eastAsia="Times New Roman" w:cs="Arial"/>
                <w:sz w:val="18"/>
                <w:szCs w:val="18"/>
              </w:rPr>
            </w:pPr>
            <w:r w:rsidRPr="00045E73">
              <w:rPr>
                <w:rFonts w:eastAsia="Times New Roman" w:cs="Arial"/>
                <w:sz w:val="18"/>
                <w:szCs w:val="18"/>
              </w:rPr>
              <w:t>http://www.hse.gov.uk/opsunit/perfmeas.pdf</w:t>
            </w:r>
          </w:p>
        </w:tc>
      </w:tr>
      <w:tr w:rsidR="00C67AA6" w:rsidRPr="00BD2222" w:rsidTr="000D1925">
        <w:tc>
          <w:tcPr>
            <w:tcW w:w="1843" w:type="dxa"/>
            <w:shd w:val="clear" w:color="auto" w:fill="C6D9F1" w:themeFill="text2" w:themeFillTint="33"/>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Oil and Gas Producers</w:t>
            </w:r>
          </w:p>
        </w:tc>
        <w:tc>
          <w:tcPr>
            <w:tcW w:w="3544"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Process safety – recommended practice on key performance indicators</w:t>
            </w:r>
          </w:p>
        </w:tc>
        <w:tc>
          <w:tcPr>
            <w:tcW w:w="3685"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http://www.ogp.org.uk/pubs/456.pdf</w:t>
            </w:r>
          </w:p>
        </w:tc>
      </w:tr>
      <w:tr w:rsidR="00C67AA6" w:rsidRPr="00BD2222" w:rsidTr="000D1925">
        <w:tc>
          <w:tcPr>
            <w:tcW w:w="1843" w:type="dxa"/>
            <w:shd w:val="clear" w:color="auto" w:fill="C6D9F1" w:themeFill="text2" w:themeFillTint="33"/>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European Chemical Industry Council</w:t>
            </w:r>
          </w:p>
        </w:tc>
        <w:tc>
          <w:tcPr>
            <w:tcW w:w="3544"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Guidance on process safety performance indicators</w:t>
            </w:r>
          </w:p>
        </w:tc>
        <w:tc>
          <w:tcPr>
            <w:tcW w:w="3685"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http://www.cefic.org/Documents/IndustrySupport/RC%20tools%20for%20SMEs/Document%20Tool%20Box/Guidance%20on%20Process%20Safety%20Performance%20Indicators.pdf</w:t>
            </w:r>
          </w:p>
        </w:tc>
      </w:tr>
      <w:tr w:rsidR="00C67AA6" w:rsidRPr="00373CBD" w:rsidTr="00373CBD">
        <w:trPr>
          <w:trHeight w:val="344"/>
        </w:trPr>
        <w:tc>
          <w:tcPr>
            <w:tcW w:w="9072" w:type="dxa"/>
            <w:gridSpan w:val="3"/>
            <w:shd w:val="clear" w:color="auto" w:fill="C6D9F1" w:themeFill="text2" w:themeFillTint="33"/>
            <w:vAlign w:val="center"/>
          </w:tcPr>
          <w:p w:rsidR="00C67AA6" w:rsidRPr="00373CBD" w:rsidRDefault="00C67AA6" w:rsidP="00373CBD">
            <w:pPr>
              <w:rPr>
                <w:rFonts w:eastAsia="Times New Roman" w:cs="Arial"/>
                <w:b/>
              </w:rPr>
            </w:pPr>
            <w:r w:rsidRPr="00373CBD">
              <w:rPr>
                <w:rFonts w:eastAsia="Times New Roman" w:cs="Arial"/>
                <w:b/>
              </w:rPr>
              <w:t xml:space="preserve">Generic guidance on performance measurement </w:t>
            </w:r>
          </w:p>
        </w:tc>
      </w:tr>
      <w:tr w:rsidR="00C67AA6" w:rsidRPr="00BD2222" w:rsidTr="000D1925">
        <w:tc>
          <w:tcPr>
            <w:tcW w:w="1843" w:type="dxa"/>
            <w:shd w:val="clear" w:color="auto" w:fill="C6D9F1" w:themeFill="text2" w:themeFillTint="33"/>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UK Audit Commission</w:t>
            </w:r>
          </w:p>
        </w:tc>
        <w:tc>
          <w:tcPr>
            <w:tcW w:w="3544"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 xml:space="preserve">On Target: the practice of performance indicators </w:t>
            </w:r>
          </w:p>
          <w:p w:rsidR="00C67AA6" w:rsidRPr="00BD2222" w:rsidRDefault="00C67AA6" w:rsidP="00373CBD">
            <w:pPr>
              <w:spacing w:before="40" w:after="40"/>
              <w:rPr>
                <w:rFonts w:eastAsia="Times New Roman" w:cs="Arial"/>
                <w:sz w:val="18"/>
                <w:szCs w:val="18"/>
              </w:rPr>
            </w:pPr>
          </w:p>
        </w:tc>
        <w:tc>
          <w:tcPr>
            <w:tcW w:w="3685" w:type="dxa"/>
          </w:tcPr>
          <w:p w:rsidR="00C67AA6" w:rsidRPr="00BD2222" w:rsidRDefault="00130887" w:rsidP="00373CBD">
            <w:pPr>
              <w:spacing w:before="40" w:after="40"/>
              <w:rPr>
                <w:rFonts w:eastAsia="Times New Roman" w:cs="Arial"/>
                <w:sz w:val="18"/>
                <w:szCs w:val="18"/>
              </w:rPr>
            </w:pPr>
            <w:hyperlink r:id="rId73" w:history="1">
              <w:r w:rsidR="00C67AA6" w:rsidRPr="00BD2222">
                <w:rPr>
                  <w:rFonts w:eastAsia="Times New Roman" w:cs="Arial"/>
                  <w:sz w:val="18"/>
                  <w:szCs w:val="18"/>
                </w:rPr>
                <w:t>http://archive.audit-commission.gov.uk/auditcommission/nationalstudies/localgov/Pages/ontarget.aspx.html</w:t>
              </w:r>
            </w:hyperlink>
          </w:p>
        </w:tc>
      </w:tr>
      <w:tr w:rsidR="00C67AA6" w:rsidRPr="00BD2222" w:rsidTr="000D1925">
        <w:tc>
          <w:tcPr>
            <w:tcW w:w="1843" w:type="dxa"/>
            <w:shd w:val="clear" w:color="auto" w:fill="C6D9F1" w:themeFill="text2" w:themeFillTint="33"/>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UK Audit Commission</w:t>
            </w:r>
          </w:p>
        </w:tc>
        <w:tc>
          <w:tcPr>
            <w:tcW w:w="3544" w:type="dxa"/>
          </w:tcPr>
          <w:p w:rsidR="00C67AA6" w:rsidRPr="00BD2222" w:rsidRDefault="00C67AA6" w:rsidP="00373CBD">
            <w:pPr>
              <w:spacing w:before="40" w:after="40"/>
              <w:rPr>
                <w:rFonts w:eastAsia="Times New Roman" w:cs="Arial"/>
                <w:sz w:val="18"/>
                <w:szCs w:val="18"/>
              </w:rPr>
            </w:pPr>
            <w:r w:rsidRPr="00BD2222">
              <w:rPr>
                <w:rFonts w:eastAsia="Times New Roman" w:cs="Arial"/>
                <w:sz w:val="18"/>
                <w:szCs w:val="18"/>
              </w:rPr>
              <w:t xml:space="preserve">Aiming to Improve: the principles of performance measurement </w:t>
            </w:r>
          </w:p>
        </w:tc>
        <w:tc>
          <w:tcPr>
            <w:tcW w:w="3685" w:type="dxa"/>
          </w:tcPr>
          <w:p w:rsidR="00C67AA6" w:rsidRPr="00BD2222" w:rsidRDefault="00130887" w:rsidP="00373CBD">
            <w:pPr>
              <w:spacing w:before="40" w:after="40"/>
              <w:rPr>
                <w:rFonts w:eastAsia="Times New Roman" w:cs="Arial"/>
                <w:sz w:val="18"/>
                <w:szCs w:val="18"/>
              </w:rPr>
            </w:pPr>
            <w:hyperlink r:id="rId74" w:history="1">
              <w:r w:rsidR="00C67AA6" w:rsidRPr="00BD2222">
                <w:rPr>
                  <w:rFonts w:eastAsia="Times New Roman" w:cs="Arial"/>
                  <w:sz w:val="18"/>
                  <w:szCs w:val="18"/>
                </w:rPr>
                <w:t>http://archive.audit-commission.gov.uk/auditcommission/nationalstudies/localgov/Pages/aimingtoimprove.aspx.html</w:t>
              </w:r>
            </w:hyperlink>
          </w:p>
        </w:tc>
      </w:tr>
    </w:tbl>
    <w:p w:rsidR="005C052A" w:rsidRDefault="005C052A">
      <w:pPr>
        <w:rPr>
          <w:b/>
          <w:bCs/>
          <w:color w:val="4F81BD" w:themeColor="accent1"/>
          <w:sz w:val="28"/>
          <w:szCs w:val="28"/>
        </w:rPr>
      </w:pPr>
    </w:p>
    <w:p w:rsidR="00C67AA6" w:rsidRDefault="00C67AA6">
      <w:pPr>
        <w:rPr>
          <w:b/>
          <w:bCs/>
          <w:color w:val="4F81BD" w:themeColor="accent1"/>
          <w:sz w:val="28"/>
          <w:szCs w:val="28"/>
        </w:rPr>
      </w:pPr>
      <w:r>
        <w:rPr>
          <w:sz w:val="28"/>
          <w:szCs w:val="28"/>
        </w:rPr>
        <w:br w:type="page"/>
      </w:r>
    </w:p>
    <w:p w:rsidR="002673BD" w:rsidRDefault="002673BD" w:rsidP="002673BD">
      <w:pPr>
        <w:pStyle w:val="Caption"/>
        <w:keepNext/>
        <w:jc w:val="center"/>
        <w:rPr>
          <w:sz w:val="28"/>
          <w:szCs w:val="28"/>
        </w:rPr>
      </w:pPr>
      <w:r w:rsidRPr="004B6FE9">
        <w:rPr>
          <w:sz w:val="28"/>
          <w:szCs w:val="28"/>
        </w:rPr>
        <w:t xml:space="preserve">Appendix </w:t>
      </w:r>
      <w:r w:rsidR="00D515BB" w:rsidRPr="004B6FE9">
        <w:rPr>
          <w:sz w:val="28"/>
          <w:szCs w:val="28"/>
        </w:rPr>
        <w:fldChar w:fldCharType="begin"/>
      </w:r>
      <w:r w:rsidRPr="004B6FE9">
        <w:rPr>
          <w:sz w:val="28"/>
          <w:szCs w:val="28"/>
        </w:rPr>
        <w:instrText xml:space="preserve"> SEQ Appendix \* ARABIC </w:instrText>
      </w:r>
      <w:r w:rsidR="00D515BB" w:rsidRPr="004B6FE9">
        <w:rPr>
          <w:sz w:val="28"/>
          <w:szCs w:val="28"/>
        </w:rPr>
        <w:fldChar w:fldCharType="separate"/>
      </w:r>
      <w:r w:rsidR="00E6242C">
        <w:rPr>
          <w:noProof/>
          <w:sz w:val="28"/>
          <w:szCs w:val="28"/>
        </w:rPr>
        <w:t>3</w:t>
      </w:r>
      <w:r w:rsidR="00D515BB" w:rsidRPr="004B6FE9">
        <w:rPr>
          <w:sz w:val="28"/>
          <w:szCs w:val="28"/>
        </w:rPr>
        <w:fldChar w:fldCharType="end"/>
      </w:r>
      <w:r w:rsidRPr="004B6FE9">
        <w:rPr>
          <w:sz w:val="28"/>
          <w:szCs w:val="28"/>
        </w:rPr>
        <w:t>: Notifiable incidents for mandatory reporting</w:t>
      </w:r>
    </w:p>
    <w:tbl>
      <w:tblPr>
        <w:tblStyle w:val="MediumShading1-Accent11"/>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endix 3: Notifiable incidents for mandatory reporting"/>
        <w:tblDescription w:val="Appendix 3: Notifiable incidents for mandatory reporting"/>
      </w:tblPr>
      <w:tblGrid>
        <w:gridCol w:w="1134"/>
        <w:gridCol w:w="2977"/>
        <w:gridCol w:w="2977"/>
        <w:gridCol w:w="2977"/>
      </w:tblGrid>
      <w:tr w:rsidR="00C67AA6" w:rsidRPr="00D35EF4" w:rsidTr="00D41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4" w:type="dxa"/>
            <w:shd w:val="clear" w:color="auto" w:fill="8DB3E2" w:themeFill="text2" w:themeFillTint="66"/>
            <w:hideMark/>
          </w:tcPr>
          <w:p w:rsidR="00C67AA6" w:rsidRPr="00D35EF4" w:rsidRDefault="00C67AA6" w:rsidP="000D1925">
            <w:pPr>
              <w:rPr>
                <w:szCs w:val="20"/>
                <w:lang w:eastAsia="zh-TW"/>
              </w:rPr>
            </w:pPr>
            <w:r w:rsidRPr="00D35EF4">
              <w:br w:type="page"/>
            </w:r>
            <w:r w:rsidRPr="00D35EF4">
              <w:rPr>
                <w:szCs w:val="20"/>
              </w:rPr>
              <w:t>Category</w:t>
            </w:r>
          </w:p>
        </w:tc>
        <w:tc>
          <w:tcPr>
            <w:tcW w:w="2977" w:type="dxa"/>
            <w:shd w:val="clear" w:color="auto" w:fill="8DB3E2" w:themeFill="text2" w:themeFillTint="66"/>
            <w:hideMark/>
          </w:tcPr>
          <w:p w:rsidR="00C67AA6" w:rsidRPr="00D35EF4" w:rsidRDefault="00C67AA6" w:rsidP="000D1925">
            <w:pPr>
              <w:jc w:val="center"/>
              <w:cnfStyle w:val="100000000000" w:firstRow="1" w:lastRow="0" w:firstColumn="0" w:lastColumn="0" w:oddVBand="0" w:evenVBand="0" w:oddHBand="0" w:evenHBand="0" w:firstRowFirstColumn="0" w:firstRowLastColumn="0" w:lastRowFirstColumn="0" w:lastRowLastColumn="0"/>
              <w:rPr>
                <w:szCs w:val="20"/>
              </w:rPr>
            </w:pPr>
            <w:r w:rsidRPr="00D35EF4">
              <w:rPr>
                <w:szCs w:val="20"/>
              </w:rPr>
              <w:t>WHS Act</w:t>
            </w:r>
          </w:p>
          <w:p w:rsidR="00C67AA6" w:rsidRPr="00D35EF4" w:rsidRDefault="00C67AA6" w:rsidP="000D1925">
            <w:pPr>
              <w:jc w:val="center"/>
              <w:cnfStyle w:val="100000000000" w:firstRow="1" w:lastRow="0" w:firstColumn="0" w:lastColumn="0" w:oddVBand="0" w:evenVBand="0" w:oddHBand="0" w:evenHBand="0" w:firstRowFirstColumn="0" w:firstRowLastColumn="0" w:lastRowFirstColumn="0" w:lastRowLastColumn="0"/>
              <w:rPr>
                <w:sz w:val="16"/>
                <w:szCs w:val="16"/>
                <w:lang w:eastAsia="zh-TW"/>
              </w:rPr>
            </w:pPr>
            <w:r w:rsidRPr="00D35EF4">
              <w:rPr>
                <w:sz w:val="16"/>
                <w:szCs w:val="16"/>
              </w:rPr>
              <w:t xml:space="preserve">(ACT, C’wlth, NSW, NT, QLD, SA, TAS) </w:t>
            </w:r>
          </w:p>
        </w:tc>
        <w:tc>
          <w:tcPr>
            <w:tcW w:w="2977" w:type="dxa"/>
            <w:shd w:val="clear" w:color="auto" w:fill="8DB3E2" w:themeFill="text2" w:themeFillTint="66"/>
            <w:hideMark/>
          </w:tcPr>
          <w:p w:rsidR="00C67AA6" w:rsidRPr="00D35EF4" w:rsidRDefault="00C67AA6" w:rsidP="000D1925">
            <w:pPr>
              <w:jc w:val="center"/>
              <w:cnfStyle w:val="100000000000" w:firstRow="1" w:lastRow="0" w:firstColumn="0" w:lastColumn="0" w:oddVBand="0" w:evenVBand="0" w:oddHBand="0" w:evenHBand="0" w:firstRowFirstColumn="0" w:firstRowLastColumn="0" w:lastRowFirstColumn="0" w:lastRowLastColumn="0"/>
              <w:rPr>
                <w:sz w:val="18"/>
                <w:szCs w:val="18"/>
                <w:lang w:eastAsia="zh-TW"/>
              </w:rPr>
            </w:pPr>
            <w:r w:rsidRPr="00D35EF4">
              <w:rPr>
                <w:szCs w:val="20"/>
              </w:rPr>
              <w:t>Victoria</w:t>
            </w:r>
          </w:p>
        </w:tc>
        <w:tc>
          <w:tcPr>
            <w:tcW w:w="2977" w:type="dxa"/>
            <w:shd w:val="clear" w:color="auto" w:fill="8DB3E2" w:themeFill="text2" w:themeFillTint="66"/>
            <w:hideMark/>
          </w:tcPr>
          <w:p w:rsidR="00C67AA6" w:rsidRPr="00D35EF4" w:rsidRDefault="00C67AA6" w:rsidP="000D1925">
            <w:pPr>
              <w:jc w:val="center"/>
              <w:cnfStyle w:val="100000000000" w:firstRow="1" w:lastRow="0" w:firstColumn="0" w:lastColumn="0" w:oddVBand="0" w:evenVBand="0" w:oddHBand="0" w:evenHBand="0" w:firstRowFirstColumn="0" w:firstRowLastColumn="0" w:lastRowFirstColumn="0" w:lastRowLastColumn="0"/>
              <w:rPr>
                <w:sz w:val="18"/>
                <w:szCs w:val="18"/>
                <w:lang w:eastAsia="zh-TW"/>
              </w:rPr>
            </w:pPr>
            <w:r w:rsidRPr="00D35EF4">
              <w:rPr>
                <w:szCs w:val="20"/>
              </w:rPr>
              <w:t>WA</w:t>
            </w:r>
          </w:p>
        </w:tc>
      </w:tr>
      <w:tr w:rsidR="00C67AA6" w:rsidTr="00373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C6D9F1" w:themeFill="text2" w:themeFillTint="33"/>
            <w:hideMark/>
          </w:tcPr>
          <w:p w:rsidR="00C67AA6" w:rsidRPr="00373CBD" w:rsidRDefault="00C67AA6" w:rsidP="000D1925">
            <w:pPr>
              <w:spacing w:before="60" w:after="60"/>
              <w:rPr>
                <w:b w:val="0"/>
                <w:sz w:val="18"/>
                <w:szCs w:val="18"/>
                <w:lang w:eastAsia="zh-TW"/>
              </w:rPr>
            </w:pPr>
            <w:r w:rsidRPr="00373CBD">
              <w:rPr>
                <w:sz w:val="18"/>
                <w:szCs w:val="18"/>
              </w:rPr>
              <w:t>Death</w:t>
            </w:r>
          </w:p>
        </w:tc>
        <w:tc>
          <w:tcPr>
            <w:tcW w:w="2977" w:type="dxa"/>
            <w:shd w:val="clear" w:color="auto" w:fill="FFFFFF" w:themeFill="background1"/>
            <w:hideMark/>
          </w:tcPr>
          <w:p w:rsidR="00C67AA6" w:rsidRPr="00373CBD" w:rsidRDefault="00C67AA6" w:rsidP="000D1925">
            <w:pPr>
              <w:spacing w:before="60" w:after="60"/>
              <w:jc w:val="both"/>
              <w:cnfStyle w:val="000000100000" w:firstRow="0" w:lastRow="0" w:firstColumn="0" w:lastColumn="0" w:oddVBand="0" w:evenVBand="0" w:oddHBand="1" w:evenHBand="0" w:firstRowFirstColumn="0" w:firstRowLastColumn="0" w:lastRowFirstColumn="0" w:lastRowLastColumn="0"/>
              <w:rPr>
                <w:sz w:val="18"/>
                <w:szCs w:val="18"/>
                <w:lang w:eastAsia="zh-TW"/>
              </w:rPr>
            </w:pPr>
            <w:r w:rsidRPr="00373CBD">
              <w:rPr>
                <w:sz w:val="18"/>
                <w:szCs w:val="18"/>
              </w:rPr>
              <w:t>Death of a person</w:t>
            </w:r>
          </w:p>
        </w:tc>
        <w:tc>
          <w:tcPr>
            <w:tcW w:w="2977" w:type="dxa"/>
            <w:shd w:val="clear" w:color="auto" w:fill="FFFFFF" w:themeFill="background1"/>
            <w:hideMark/>
          </w:tcPr>
          <w:p w:rsidR="00C67AA6" w:rsidRPr="00373CBD" w:rsidRDefault="00C67AA6" w:rsidP="000D1925">
            <w:pPr>
              <w:spacing w:before="60" w:after="60"/>
              <w:ind w:left="238" w:hanging="218"/>
              <w:cnfStyle w:val="000000100000" w:firstRow="0" w:lastRow="0" w:firstColumn="0" w:lastColumn="0" w:oddVBand="0" w:evenVBand="0" w:oddHBand="1" w:evenHBand="0" w:firstRowFirstColumn="0" w:firstRowLastColumn="0" w:lastRowFirstColumn="0" w:lastRowLastColumn="0"/>
              <w:rPr>
                <w:sz w:val="18"/>
                <w:szCs w:val="18"/>
                <w:lang w:eastAsia="zh-TW"/>
              </w:rPr>
            </w:pPr>
            <w:r w:rsidRPr="00373CBD">
              <w:rPr>
                <w:sz w:val="18"/>
                <w:szCs w:val="18"/>
              </w:rPr>
              <w:t>Death of a person</w:t>
            </w:r>
          </w:p>
        </w:tc>
        <w:tc>
          <w:tcPr>
            <w:tcW w:w="2977" w:type="dxa"/>
            <w:shd w:val="clear" w:color="auto" w:fill="FFFFFF" w:themeFill="background1"/>
            <w:hideMark/>
          </w:tcPr>
          <w:p w:rsidR="00C67AA6" w:rsidRPr="00373CBD" w:rsidRDefault="00C67AA6" w:rsidP="000D1925">
            <w:pPr>
              <w:spacing w:before="60" w:after="60"/>
              <w:ind w:left="238" w:hanging="218"/>
              <w:cnfStyle w:val="000000100000" w:firstRow="0" w:lastRow="0" w:firstColumn="0" w:lastColumn="0" w:oddVBand="0" w:evenVBand="0" w:oddHBand="1" w:evenHBand="0" w:firstRowFirstColumn="0" w:firstRowLastColumn="0" w:lastRowFirstColumn="0" w:lastRowLastColumn="0"/>
              <w:rPr>
                <w:sz w:val="18"/>
                <w:szCs w:val="18"/>
                <w:lang w:eastAsia="zh-TW"/>
              </w:rPr>
            </w:pPr>
            <w:r w:rsidRPr="00373CBD">
              <w:rPr>
                <w:sz w:val="18"/>
                <w:szCs w:val="18"/>
              </w:rPr>
              <w:t>Death of a person</w:t>
            </w:r>
          </w:p>
        </w:tc>
      </w:tr>
      <w:tr w:rsidR="00C67AA6" w:rsidTr="00373C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C6D9F1" w:themeFill="text2" w:themeFillTint="33"/>
            <w:hideMark/>
          </w:tcPr>
          <w:p w:rsidR="00C67AA6" w:rsidRPr="00373CBD" w:rsidRDefault="00C67AA6" w:rsidP="000D1925">
            <w:pPr>
              <w:spacing w:before="60" w:after="60"/>
              <w:rPr>
                <w:b w:val="0"/>
                <w:sz w:val="18"/>
                <w:szCs w:val="18"/>
                <w:lang w:eastAsia="zh-TW"/>
              </w:rPr>
            </w:pPr>
            <w:r w:rsidRPr="00373CBD">
              <w:rPr>
                <w:sz w:val="18"/>
                <w:szCs w:val="18"/>
              </w:rPr>
              <w:t>Serious injury or illness</w:t>
            </w:r>
          </w:p>
        </w:tc>
        <w:tc>
          <w:tcPr>
            <w:tcW w:w="2977" w:type="dxa"/>
            <w:shd w:val="clear" w:color="auto" w:fill="FFFFFF" w:themeFill="background1"/>
            <w:hideMark/>
          </w:tcPr>
          <w:p w:rsidR="00C67AA6" w:rsidRPr="00373CBD" w:rsidRDefault="00C67AA6" w:rsidP="000D1925">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immediate hospital treatment as an in-patient required</w:t>
            </w:r>
          </w:p>
          <w:p w:rsidR="00C67AA6" w:rsidRPr="00373CBD" w:rsidRDefault="00C67AA6" w:rsidP="000D1925">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 xml:space="preserve">immediate treatment required for: </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amputation of any body part</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serious head injury</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serious eye injury</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serious burn</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separation of skin from underlying tissue (e.g. degloving or scalping)</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spinal injury</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loss of a bodily function</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serious lacerations</w:t>
            </w:r>
          </w:p>
          <w:p w:rsidR="00C67AA6" w:rsidRPr="00373CBD" w:rsidRDefault="00C67AA6" w:rsidP="000D1925">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lang w:eastAsia="zh-TW"/>
              </w:rPr>
            </w:pPr>
            <w:r w:rsidRPr="00373CBD">
              <w:rPr>
                <w:sz w:val="18"/>
                <w:szCs w:val="18"/>
              </w:rPr>
              <w:t>medical treatment with 48 hours of exposure to a substance required.</w:t>
            </w:r>
          </w:p>
        </w:tc>
        <w:tc>
          <w:tcPr>
            <w:tcW w:w="2977" w:type="dxa"/>
            <w:shd w:val="clear" w:color="auto" w:fill="FFFFFF" w:themeFill="background1"/>
          </w:tcPr>
          <w:p w:rsidR="00C67AA6" w:rsidRPr="00373CBD" w:rsidRDefault="00C67AA6" w:rsidP="000D1925">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immediate hospital treatment as an in-patient required</w:t>
            </w:r>
          </w:p>
          <w:p w:rsidR="00C67AA6" w:rsidRPr="00373CBD" w:rsidRDefault="00C67AA6" w:rsidP="000D1925">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immediate treatment required for:</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amputation of any body part</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serious head injury</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serious eye injury</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separation of skin from underlying tissue (e.g. degloving or scapping)</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electric shock</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spinal injury</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loss of a bodily function</w:t>
            </w:r>
          </w:p>
          <w:p w:rsidR="00C67AA6" w:rsidRPr="00373CBD" w:rsidRDefault="00C67AA6" w:rsidP="000D1925">
            <w:pPr>
              <w:pStyle w:val="ListParagraph"/>
              <w:numPr>
                <w:ilvl w:val="1"/>
                <w:numId w:val="13"/>
              </w:numPr>
              <w:spacing w:before="60" w:after="60"/>
              <w:ind w:left="239"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serious lacerations</w:t>
            </w:r>
          </w:p>
          <w:p w:rsidR="00C67AA6" w:rsidRPr="00373CBD" w:rsidRDefault="00C67AA6" w:rsidP="00373CBD">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lang w:eastAsia="zh-TW"/>
              </w:rPr>
            </w:pPr>
            <w:r w:rsidRPr="00373CBD">
              <w:rPr>
                <w:sz w:val="18"/>
                <w:szCs w:val="18"/>
              </w:rPr>
              <w:t>medical treatment with 48 hours of exposure to a substance required.</w:t>
            </w:r>
          </w:p>
        </w:tc>
        <w:tc>
          <w:tcPr>
            <w:tcW w:w="2977" w:type="dxa"/>
            <w:shd w:val="clear" w:color="auto" w:fill="FFFFFF" w:themeFill="background1"/>
          </w:tcPr>
          <w:p w:rsidR="00C67AA6" w:rsidRPr="00373CBD" w:rsidRDefault="00C67AA6" w:rsidP="000D1925">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fracture of the skull, spine or pelvis</w:t>
            </w:r>
          </w:p>
          <w:p w:rsidR="00C67AA6" w:rsidRPr="00373CBD" w:rsidRDefault="00C67AA6" w:rsidP="000D1925">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fracture of any bone in the arm (other than wrist or hand) or leg (other than ankle or foot)</w:t>
            </w:r>
          </w:p>
          <w:p w:rsidR="00C67AA6" w:rsidRPr="00373CBD" w:rsidRDefault="00C67AA6" w:rsidP="000D1925">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amputation of an arm, hand, finger, finger joint, leg, foot, toe, toe joint</w:t>
            </w:r>
          </w:p>
          <w:p w:rsidR="00C67AA6" w:rsidRPr="00373CBD" w:rsidRDefault="00C67AA6" w:rsidP="000D1925">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loss of sight of an eye</w:t>
            </w:r>
          </w:p>
          <w:p w:rsidR="00C67AA6" w:rsidRPr="00373CBD" w:rsidRDefault="00C67AA6" w:rsidP="000D1925">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in the opinion of a medical practitioner, is likely to prevent the employee from being able to work within 10 days from the date of injury</w:t>
            </w:r>
          </w:p>
          <w:p w:rsidR="00C67AA6" w:rsidRPr="00373CBD" w:rsidRDefault="00C67AA6" w:rsidP="000D1925">
            <w:pPr>
              <w:spacing w:before="60" w:after="60"/>
              <w:cnfStyle w:val="000000010000" w:firstRow="0" w:lastRow="0" w:firstColumn="0" w:lastColumn="0" w:oddVBand="0" w:evenVBand="0" w:oddHBand="0" w:evenHBand="1" w:firstRowFirstColumn="0" w:firstRowLastColumn="0" w:lastRowFirstColumn="0" w:lastRowLastColumn="0"/>
              <w:rPr>
                <w:sz w:val="18"/>
                <w:szCs w:val="18"/>
                <w:lang w:eastAsia="zh-TW"/>
              </w:rPr>
            </w:pPr>
          </w:p>
        </w:tc>
      </w:tr>
      <w:tr w:rsidR="00C67AA6" w:rsidTr="00373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C6D9F1" w:themeFill="text2" w:themeFillTint="33"/>
            <w:hideMark/>
          </w:tcPr>
          <w:p w:rsidR="00C67AA6" w:rsidRPr="00373CBD" w:rsidRDefault="00C67AA6" w:rsidP="000D1925">
            <w:pPr>
              <w:spacing w:before="60" w:after="60"/>
              <w:rPr>
                <w:b w:val="0"/>
                <w:sz w:val="18"/>
                <w:szCs w:val="18"/>
              </w:rPr>
            </w:pPr>
            <w:r w:rsidRPr="00373CBD">
              <w:rPr>
                <w:sz w:val="18"/>
                <w:szCs w:val="18"/>
              </w:rPr>
              <w:t>Dangerous incidents</w:t>
            </w:r>
          </w:p>
          <w:p w:rsidR="00C67AA6" w:rsidRPr="00373CBD" w:rsidRDefault="00C67AA6" w:rsidP="000D1925">
            <w:pPr>
              <w:spacing w:before="60" w:after="60"/>
              <w:rPr>
                <w:sz w:val="18"/>
                <w:szCs w:val="18"/>
                <w:lang w:eastAsia="zh-TW"/>
              </w:rPr>
            </w:pPr>
            <w:r w:rsidRPr="00373CBD">
              <w:rPr>
                <w:sz w:val="18"/>
                <w:szCs w:val="18"/>
              </w:rPr>
              <w:t>(‘near misses’)</w:t>
            </w:r>
          </w:p>
        </w:tc>
        <w:tc>
          <w:tcPr>
            <w:tcW w:w="2977" w:type="dxa"/>
            <w:shd w:val="clear" w:color="auto" w:fill="FFFFFF" w:themeFill="background1"/>
            <w:hideMark/>
          </w:tcPr>
          <w:p w:rsidR="00C67AA6" w:rsidRPr="00373CBD" w:rsidRDefault="00C67AA6" w:rsidP="000D1925">
            <w:pPr>
              <w:spacing w:before="60" w:after="60"/>
              <w:ind w:firstLine="20"/>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Covers incidents in relation to a workplace that expose persons to a “serious risk” to health or safety from immediate or imminent exposure, including the following:</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escape, spill or leakage of a substance</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implosion, explosion or fire</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escape of gas or steam</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escape of a pressurised substance</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electric shock</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fall or release from height of any plant, substance or thing</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damage or malfunction of plant that requires authorisation to operate</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collapse or partial collapse of a structure</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collapse or failure of an excavation or supporting shoring</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inrush of water, mud or gas in workings, underground excavation or tunnel</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lang w:eastAsia="zh-TW"/>
              </w:rPr>
            </w:pPr>
            <w:r w:rsidRPr="00373CBD">
              <w:rPr>
                <w:sz w:val="18"/>
                <w:szCs w:val="18"/>
              </w:rPr>
              <w:t>interruption to main ventilation system in an underground excavation or tunnel.</w:t>
            </w:r>
          </w:p>
        </w:tc>
        <w:tc>
          <w:tcPr>
            <w:tcW w:w="2977" w:type="dxa"/>
            <w:shd w:val="clear" w:color="auto" w:fill="FFFFFF" w:themeFill="background1"/>
            <w:hideMark/>
          </w:tcPr>
          <w:p w:rsidR="00C67AA6" w:rsidRPr="00373CBD" w:rsidRDefault="00C67AA6" w:rsidP="000D1925">
            <w:pPr>
              <w:spacing w:before="60" w:after="60"/>
              <w:cnfStyle w:val="000000100000" w:firstRow="0" w:lastRow="0" w:firstColumn="0" w:lastColumn="0" w:oddVBand="0" w:evenVBand="0" w:oddHBand="1" w:evenHBand="0" w:firstRowFirstColumn="0" w:firstRowLastColumn="0" w:lastRowFirstColumn="0" w:lastRowLastColumn="0"/>
              <w:rPr>
                <w:sz w:val="18"/>
                <w:szCs w:val="18"/>
                <w:vertAlign w:val="superscript"/>
              </w:rPr>
            </w:pPr>
            <w:r w:rsidRPr="00373CBD">
              <w:rPr>
                <w:sz w:val="18"/>
                <w:szCs w:val="18"/>
              </w:rPr>
              <w:t>Incidents that expose persons in the immediate vicinity to an “immediate risk” to health or safety, including the following:</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 xml:space="preserve">escape, spill or leakage of any substance, including dangerous goods under the Dangerous Goods Act 1936 (VIC) </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implosion, explosion or fire</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fall or release from height of any plant, substance or object</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damage or malfunction of plant that requires a licence or registration to operate</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collapse or partial collapse of all or part of a building or structure</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collapse or failure of an excavation or supporting shoring</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in relation to mines:</w:t>
            </w:r>
          </w:p>
          <w:p w:rsidR="00C67AA6" w:rsidRPr="00373CBD" w:rsidRDefault="00C67AA6" w:rsidP="000D1925">
            <w:pPr>
              <w:pStyle w:val="ListParagraph"/>
              <w:numPr>
                <w:ilvl w:val="1"/>
                <w:numId w:val="13"/>
              </w:numPr>
              <w:spacing w:before="60" w:after="60"/>
              <w:ind w:left="239"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overturning or collapse of any plant</w:t>
            </w:r>
          </w:p>
          <w:p w:rsidR="00C67AA6" w:rsidRPr="00373CBD" w:rsidRDefault="00C67AA6" w:rsidP="000D1925">
            <w:pPr>
              <w:pStyle w:val="ListParagraph"/>
              <w:numPr>
                <w:ilvl w:val="1"/>
                <w:numId w:val="13"/>
              </w:numPr>
              <w:spacing w:before="60" w:after="60"/>
              <w:ind w:left="239"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inrush of water, mud or gas</w:t>
            </w:r>
          </w:p>
          <w:p w:rsidR="00C67AA6" w:rsidRPr="00373CBD" w:rsidRDefault="00C67AA6" w:rsidP="000D1925">
            <w:pPr>
              <w:pStyle w:val="ListParagraph"/>
              <w:numPr>
                <w:ilvl w:val="1"/>
                <w:numId w:val="13"/>
              </w:numPr>
              <w:spacing w:before="60" w:after="60"/>
              <w:ind w:left="239" w:hanging="141"/>
              <w:cnfStyle w:val="000000100000" w:firstRow="0" w:lastRow="0" w:firstColumn="0" w:lastColumn="0" w:oddVBand="0" w:evenVBand="0" w:oddHBand="1" w:evenHBand="0" w:firstRowFirstColumn="0" w:firstRowLastColumn="0" w:lastRowFirstColumn="0" w:lastRowLastColumn="0"/>
              <w:rPr>
                <w:sz w:val="18"/>
                <w:szCs w:val="18"/>
                <w:lang w:eastAsia="zh-TW"/>
              </w:rPr>
            </w:pPr>
            <w:r w:rsidRPr="00373CBD">
              <w:rPr>
                <w:sz w:val="18"/>
                <w:szCs w:val="18"/>
              </w:rPr>
              <w:t>interruption to main ventilation system.</w:t>
            </w:r>
          </w:p>
        </w:tc>
        <w:tc>
          <w:tcPr>
            <w:tcW w:w="2977" w:type="dxa"/>
            <w:shd w:val="clear" w:color="auto" w:fill="FFFFFF" w:themeFill="background1"/>
            <w:hideMark/>
          </w:tcPr>
          <w:p w:rsidR="00C67AA6" w:rsidRPr="00373CBD" w:rsidRDefault="00C67AA6" w:rsidP="000D1925">
            <w:pPr>
              <w:spacing w:before="60" w:after="60"/>
              <w:ind w:left="358" w:hanging="338"/>
              <w:cnfStyle w:val="000000100000" w:firstRow="0" w:lastRow="0" w:firstColumn="0" w:lastColumn="0" w:oddVBand="0" w:evenVBand="0" w:oddHBand="1" w:evenHBand="0" w:firstRowFirstColumn="0" w:firstRowLastColumn="0" w:lastRowFirstColumn="0" w:lastRowLastColumn="0"/>
              <w:rPr>
                <w:i/>
                <w:sz w:val="18"/>
                <w:szCs w:val="18"/>
                <w:lang w:eastAsia="zh-TW"/>
              </w:rPr>
            </w:pPr>
            <w:r w:rsidRPr="00373CBD">
              <w:rPr>
                <w:i/>
                <w:sz w:val="18"/>
                <w:szCs w:val="18"/>
              </w:rPr>
              <w:t>None</w:t>
            </w:r>
          </w:p>
        </w:tc>
      </w:tr>
      <w:tr w:rsidR="00C67AA6" w:rsidTr="00373C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C6D9F1" w:themeFill="text2" w:themeFillTint="33"/>
            <w:hideMark/>
          </w:tcPr>
          <w:p w:rsidR="00A50AA3" w:rsidRDefault="00C67AA6" w:rsidP="000D1925">
            <w:pPr>
              <w:spacing w:before="60" w:after="60"/>
              <w:rPr>
                <w:b w:val="0"/>
                <w:sz w:val="18"/>
                <w:szCs w:val="18"/>
              </w:rPr>
            </w:pPr>
            <w:r w:rsidRPr="00373CBD">
              <w:rPr>
                <w:sz w:val="18"/>
                <w:szCs w:val="18"/>
              </w:rPr>
              <w:t>Diseases</w:t>
            </w:r>
          </w:p>
          <w:p w:rsidR="00C67AA6" w:rsidRPr="00373CBD" w:rsidRDefault="00A50AA3" w:rsidP="000D1925">
            <w:pPr>
              <w:spacing w:before="60" w:after="60"/>
              <w:rPr>
                <w:b w:val="0"/>
                <w:sz w:val="16"/>
                <w:szCs w:val="16"/>
                <w:lang w:eastAsia="zh-TW"/>
              </w:rPr>
            </w:pPr>
            <w:r w:rsidRPr="00373CBD">
              <w:rPr>
                <w:i/>
                <w:sz w:val="16"/>
                <w:szCs w:val="16"/>
              </w:rPr>
              <w:t>(These are prescribed as ‘serious illnesses’ under the WHS regulations)</w:t>
            </w:r>
          </w:p>
        </w:tc>
        <w:tc>
          <w:tcPr>
            <w:tcW w:w="2977" w:type="dxa"/>
            <w:shd w:val="clear" w:color="auto" w:fill="FFFFFF" w:themeFill="background1"/>
            <w:hideMark/>
          </w:tcPr>
          <w:p w:rsidR="00C67AA6" w:rsidRPr="00373CBD" w:rsidRDefault="00C67AA6" w:rsidP="000D1925">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An infection from which work is “a significant contributing factor”, including infections “reliably attributable” to work that involves providing human care or treatment, contact with human body substances or the handling animals and animal products</w:t>
            </w:r>
          </w:p>
          <w:p w:rsidR="00C67AA6" w:rsidRPr="00373CBD" w:rsidRDefault="00C67AA6" w:rsidP="00373CBD">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i/>
                <w:sz w:val="18"/>
                <w:szCs w:val="18"/>
                <w:lang w:eastAsia="zh-TW"/>
              </w:rPr>
            </w:pPr>
            <w:r w:rsidRPr="00373CBD">
              <w:rPr>
                <w:sz w:val="18"/>
                <w:szCs w:val="18"/>
              </w:rPr>
              <w:t>Occupational zoonoses: Q fever, anthrax, leptospirosis, brucellosis, Hendra virus, avian influenza and psittacosis, contracted from work involving contact with animals or animal products.</w:t>
            </w:r>
          </w:p>
        </w:tc>
        <w:tc>
          <w:tcPr>
            <w:tcW w:w="2977" w:type="dxa"/>
            <w:shd w:val="clear" w:color="auto" w:fill="FFFFFF" w:themeFill="background1"/>
          </w:tcPr>
          <w:p w:rsidR="00C67AA6" w:rsidRPr="00373CBD" w:rsidRDefault="00C67AA6" w:rsidP="000D1925">
            <w:pPr>
              <w:spacing w:before="60" w:after="60"/>
              <w:cnfStyle w:val="000000010000" w:firstRow="0" w:lastRow="0" w:firstColumn="0" w:lastColumn="0" w:oddVBand="0" w:evenVBand="0" w:oddHBand="0" w:evenHBand="1" w:firstRowFirstColumn="0" w:firstRowLastColumn="0" w:lastRowFirstColumn="0" w:lastRowLastColumn="0"/>
              <w:rPr>
                <w:i/>
                <w:sz w:val="18"/>
                <w:szCs w:val="18"/>
              </w:rPr>
            </w:pPr>
            <w:r w:rsidRPr="00373CBD">
              <w:rPr>
                <w:i/>
                <w:sz w:val="18"/>
                <w:szCs w:val="18"/>
              </w:rPr>
              <w:t>None</w:t>
            </w:r>
          </w:p>
          <w:p w:rsidR="00C67AA6" w:rsidRPr="00373CBD" w:rsidRDefault="00C67AA6" w:rsidP="000D1925">
            <w:pPr>
              <w:spacing w:before="60" w:after="60"/>
              <w:ind w:left="238" w:hanging="218"/>
              <w:cnfStyle w:val="000000010000" w:firstRow="0" w:lastRow="0" w:firstColumn="0" w:lastColumn="0" w:oddVBand="0" w:evenVBand="0" w:oddHBand="0" w:evenHBand="1" w:firstRowFirstColumn="0" w:firstRowLastColumn="0" w:lastRowFirstColumn="0" w:lastRowLastColumn="0"/>
              <w:rPr>
                <w:sz w:val="18"/>
                <w:szCs w:val="18"/>
                <w:lang w:eastAsia="zh-TW"/>
              </w:rPr>
            </w:pPr>
          </w:p>
        </w:tc>
        <w:tc>
          <w:tcPr>
            <w:tcW w:w="2977" w:type="dxa"/>
            <w:shd w:val="clear" w:color="auto" w:fill="FFFFFF" w:themeFill="background1"/>
          </w:tcPr>
          <w:p w:rsidR="00C67AA6" w:rsidRPr="00373CBD" w:rsidRDefault="00C67AA6" w:rsidP="000D1925">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Infectious diseases: tuberculosis,  viral hepatitis, legionnaire’s disease, HIV from work involving exposure to human bodily fluids or other material that may be a source of infection</w:t>
            </w:r>
          </w:p>
          <w:p w:rsidR="00C67AA6" w:rsidRPr="00373CBD" w:rsidRDefault="00C67AA6" w:rsidP="000D1925">
            <w:pPr>
              <w:pStyle w:val="ListParagraph"/>
              <w:numPr>
                <w:ilvl w:val="0"/>
                <w:numId w:val="12"/>
              </w:numPr>
              <w:spacing w:before="60" w:after="60"/>
              <w:ind w:left="121" w:hanging="141"/>
              <w:cnfStyle w:val="000000010000" w:firstRow="0" w:lastRow="0" w:firstColumn="0" w:lastColumn="0" w:oddVBand="0" w:evenVBand="0" w:oddHBand="0" w:evenHBand="1" w:firstRowFirstColumn="0" w:firstRowLastColumn="0" w:lastRowFirstColumn="0" w:lastRowLastColumn="0"/>
              <w:rPr>
                <w:sz w:val="18"/>
                <w:szCs w:val="18"/>
              </w:rPr>
            </w:pPr>
            <w:r w:rsidRPr="00373CBD">
              <w:rPr>
                <w:sz w:val="18"/>
                <w:szCs w:val="18"/>
              </w:rPr>
              <w:t>Occupational zoonoses: Q fever, anthrax, leptospirosis, brucellosis, contracted from work involving contact with animals or animal products.</w:t>
            </w:r>
          </w:p>
          <w:p w:rsidR="00C67AA6" w:rsidRPr="00373CBD" w:rsidRDefault="00C67AA6" w:rsidP="000D1925">
            <w:pPr>
              <w:spacing w:before="60" w:after="60"/>
              <w:cnfStyle w:val="000000010000" w:firstRow="0" w:lastRow="0" w:firstColumn="0" w:lastColumn="0" w:oddVBand="0" w:evenVBand="0" w:oddHBand="0" w:evenHBand="1" w:firstRowFirstColumn="0" w:firstRowLastColumn="0" w:lastRowFirstColumn="0" w:lastRowLastColumn="0"/>
              <w:rPr>
                <w:sz w:val="18"/>
                <w:szCs w:val="18"/>
                <w:lang w:eastAsia="zh-TW"/>
              </w:rPr>
            </w:pPr>
          </w:p>
        </w:tc>
      </w:tr>
    </w:tbl>
    <w:p w:rsidR="005F18CC" w:rsidRDefault="005F18CC">
      <w:r>
        <w:rPr>
          <w:b/>
          <w:bCs/>
        </w:rPr>
        <w:br w:type="page"/>
      </w:r>
    </w:p>
    <w:tbl>
      <w:tblPr>
        <w:tblStyle w:val="MediumShading1-Accent11"/>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endix 3: Notifiable incidents for mandatory reporting"/>
        <w:tblDescription w:val="Appendix 3: Notifiable incidents for mandatory reporting"/>
      </w:tblPr>
      <w:tblGrid>
        <w:gridCol w:w="1134"/>
        <w:gridCol w:w="2977"/>
        <w:gridCol w:w="2977"/>
        <w:gridCol w:w="2977"/>
      </w:tblGrid>
      <w:tr w:rsidR="005F18CC" w:rsidRPr="00D35EF4" w:rsidTr="00D418A4">
        <w:trPr>
          <w:cnfStyle w:val="100000000000" w:firstRow="1" w:lastRow="0" w:firstColumn="0" w:lastColumn="0" w:oddVBand="0" w:evenVBand="0" w:oddHBand="0" w:evenHBand="0" w:firstRowFirstColumn="0" w:firstRowLastColumn="0" w:lastRowFirstColumn="0" w:lastRowLastColumn="0"/>
          <w:trHeight w:val="546"/>
          <w:tblHeader/>
        </w:trPr>
        <w:tc>
          <w:tcPr>
            <w:cnfStyle w:val="001000000000" w:firstRow="0" w:lastRow="0" w:firstColumn="1" w:lastColumn="0" w:oddVBand="0" w:evenVBand="0" w:oddHBand="0" w:evenHBand="0" w:firstRowFirstColumn="0" w:firstRowLastColumn="0" w:lastRowFirstColumn="0" w:lastRowLastColumn="0"/>
            <w:tcW w:w="1134" w:type="dxa"/>
            <w:shd w:val="clear" w:color="auto" w:fill="8DB3E2" w:themeFill="text2" w:themeFillTint="66"/>
            <w:hideMark/>
          </w:tcPr>
          <w:p w:rsidR="005F18CC" w:rsidRDefault="005F18CC" w:rsidP="00373CBD">
            <w:pPr>
              <w:ind w:left="33"/>
              <w:rPr>
                <w:szCs w:val="20"/>
              </w:rPr>
            </w:pPr>
            <w:r w:rsidRPr="00D35EF4">
              <w:br w:type="page"/>
            </w:r>
            <w:r w:rsidRPr="00D35EF4">
              <w:rPr>
                <w:szCs w:val="20"/>
              </w:rPr>
              <w:t>Category</w:t>
            </w:r>
          </w:p>
          <w:p w:rsidR="005F18CC" w:rsidRPr="00D35EF4" w:rsidRDefault="005F18CC" w:rsidP="00373CBD">
            <w:pPr>
              <w:ind w:left="33" w:right="-108"/>
              <w:rPr>
                <w:szCs w:val="20"/>
                <w:lang w:eastAsia="zh-TW"/>
              </w:rPr>
            </w:pPr>
            <w:r>
              <w:rPr>
                <w:szCs w:val="20"/>
              </w:rPr>
              <w:t>(continued)</w:t>
            </w:r>
          </w:p>
        </w:tc>
        <w:tc>
          <w:tcPr>
            <w:tcW w:w="2977" w:type="dxa"/>
            <w:shd w:val="clear" w:color="auto" w:fill="8DB3E2" w:themeFill="text2" w:themeFillTint="66"/>
            <w:hideMark/>
          </w:tcPr>
          <w:p w:rsidR="005F18CC" w:rsidRPr="00D35EF4" w:rsidRDefault="005F18CC" w:rsidP="00331D20">
            <w:pPr>
              <w:jc w:val="center"/>
              <w:cnfStyle w:val="100000000000" w:firstRow="1" w:lastRow="0" w:firstColumn="0" w:lastColumn="0" w:oddVBand="0" w:evenVBand="0" w:oddHBand="0" w:evenHBand="0" w:firstRowFirstColumn="0" w:firstRowLastColumn="0" w:lastRowFirstColumn="0" w:lastRowLastColumn="0"/>
              <w:rPr>
                <w:szCs w:val="20"/>
              </w:rPr>
            </w:pPr>
            <w:r w:rsidRPr="00D35EF4">
              <w:rPr>
                <w:szCs w:val="20"/>
              </w:rPr>
              <w:t>WHS Act</w:t>
            </w:r>
          </w:p>
          <w:p w:rsidR="005F18CC" w:rsidRPr="00D35EF4" w:rsidRDefault="005F18CC" w:rsidP="00331D20">
            <w:pPr>
              <w:jc w:val="center"/>
              <w:cnfStyle w:val="100000000000" w:firstRow="1" w:lastRow="0" w:firstColumn="0" w:lastColumn="0" w:oddVBand="0" w:evenVBand="0" w:oddHBand="0" w:evenHBand="0" w:firstRowFirstColumn="0" w:firstRowLastColumn="0" w:lastRowFirstColumn="0" w:lastRowLastColumn="0"/>
              <w:rPr>
                <w:sz w:val="16"/>
                <w:szCs w:val="16"/>
                <w:lang w:eastAsia="zh-TW"/>
              </w:rPr>
            </w:pPr>
          </w:p>
        </w:tc>
        <w:tc>
          <w:tcPr>
            <w:tcW w:w="2977" w:type="dxa"/>
            <w:shd w:val="clear" w:color="auto" w:fill="8DB3E2" w:themeFill="text2" w:themeFillTint="66"/>
            <w:hideMark/>
          </w:tcPr>
          <w:p w:rsidR="005F18CC" w:rsidRPr="00D35EF4" w:rsidRDefault="005F18CC" w:rsidP="00331D20">
            <w:pPr>
              <w:jc w:val="center"/>
              <w:cnfStyle w:val="100000000000" w:firstRow="1" w:lastRow="0" w:firstColumn="0" w:lastColumn="0" w:oddVBand="0" w:evenVBand="0" w:oddHBand="0" w:evenHBand="0" w:firstRowFirstColumn="0" w:firstRowLastColumn="0" w:lastRowFirstColumn="0" w:lastRowLastColumn="0"/>
              <w:rPr>
                <w:sz w:val="18"/>
                <w:szCs w:val="18"/>
                <w:lang w:eastAsia="zh-TW"/>
              </w:rPr>
            </w:pPr>
            <w:r w:rsidRPr="00D35EF4">
              <w:rPr>
                <w:szCs w:val="20"/>
              </w:rPr>
              <w:t>Victoria</w:t>
            </w:r>
          </w:p>
        </w:tc>
        <w:tc>
          <w:tcPr>
            <w:tcW w:w="2977" w:type="dxa"/>
            <w:shd w:val="clear" w:color="auto" w:fill="8DB3E2" w:themeFill="text2" w:themeFillTint="66"/>
            <w:hideMark/>
          </w:tcPr>
          <w:p w:rsidR="005F18CC" w:rsidRPr="00D35EF4" w:rsidRDefault="005F18CC" w:rsidP="00331D20">
            <w:pPr>
              <w:jc w:val="center"/>
              <w:cnfStyle w:val="100000000000" w:firstRow="1" w:lastRow="0" w:firstColumn="0" w:lastColumn="0" w:oddVBand="0" w:evenVBand="0" w:oddHBand="0" w:evenHBand="0" w:firstRowFirstColumn="0" w:firstRowLastColumn="0" w:lastRowFirstColumn="0" w:lastRowLastColumn="0"/>
              <w:rPr>
                <w:sz w:val="18"/>
                <w:szCs w:val="18"/>
                <w:lang w:eastAsia="zh-TW"/>
              </w:rPr>
            </w:pPr>
            <w:r w:rsidRPr="00D35EF4">
              <w:rPr>
                <w:szCs w:val="20"/>
              </w:rPr>
              <w:t>WA</w:t>
            </w:r>
          </w:p>
        </w:tc>
      </w:tr>
      <w:tr w:rsidR="00C67AA6" w:rsidTr="00373CBD">
        <w:trPr>
          <w:cnfStyle w:val="000000100000" w:firstRow="0" w:lastRow="0" w:firstColumn="0" w:lastColumn="0" w:oddVBand="0" w:evenVBand="0" w:oddHBand="1" w:evenHBand="0" w:firstRowFirstColumn="0" w:firstRowLastColumn="0" w:lastRowFirstColumn="0" w:lastRowLastColumn="0"/>
          <w:trHeight w:val="3447"/>
        </w:trPr>
        <w:tc>
          <w:tcPr>
            <w:cnfStyle w:val="001000000000" w:firstRow="0" w:lastRow="0" w:firstColumn="1" w:lastColumn="0" w:oddVBand="0" w:evenVBand="0" w:oddHBand="0" w:evenHBand="0" w:firstRowFirstColumn="0" w:firstRowLastColumn="0" w:lastRowFirstColumn="0" w:lastRowLastColumn="0"/>
            <w:tcW w:w="1134" w:type="dxa"/>
            <w:shd w:val="clear" w:color="auto" w:fill="C6D9F1" w:themeFill="text2" w:themeFillTint="33"/>
            <w:hideMark/>
          </w:tcPr>
          <w:p w:rsidR="00C67AA6" w:rsidRPr="00373CBD" w:rsidRDefault="00C67AA6" w:rsidP="000D1925">
            <w:pPr>
              <w:spacing w:before="60" w:after="60"/>
              <w:rPr>
                <w:b w:val="0"/>
                <w:sz w:val="18"/>
                <w:szCs w:val="18"/>
                <w:lang w:eastAsia="zh-TW"/>
              </w:rPr>
            </w:pPr>
            <w:r w:rsidRPr="00373CBD">
              <w:rPr>
                <w:sz w:val="18"/>
                <w:szCs w:val="18"/>
              </w:rPr>
              <w:t>Other</w:t>
            </w:r>
          </w:p>
        </w:tc>
        <w:tc>
          <w:tcPr>
            <w:tcW w:w="2977" w:type="dxa"/>
            <w:shd w:val="clear" w:color="auto" w:fill="FFFFFF" w:themeFill="background1"/>
            <w:hideMark/>
          </w:tcPr>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Licensed asbestos removalists must notify the regulator at least 5 days prior to commencing the work</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Lead risk work, once it is identified as such, must be notified of within 7 days. This is defined as work conducted in a lead process that is likely to cause blood lead levels to exceed a threshold stipulated in the regulations</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lang w:eastAsia="zh-TW"/>
              </w:rPr>
            </w:pPr>
            <w:r w:rsidRPr="00373CBD">
              <w:rPr>
                <w:sz w:val="18"/>
                <w:szCs w:val="18"/>
              </w:rPr>
              <w:t>Schedule 15 chemicals are present or likely to be present in a quantity that exceeds 10% of their threshold quantity.</w:t>
            </w:r>
          </w:p>
        </w:tc>
        <w:tc>
          <w:tcPr>
            <w:tcW w:w="2977" w:type="dxa"/>
            <w:shd w:val="clear" w:color="auto" w:fill="FFFFFF" w:themeFill="background1"/>
            <w:hideMark/>
          </w:tcPr>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Asbestos removal work:</w:t>
            </w:r>
          </w:p>
          <w:p w:rsidR="00C67AA6" w:rsidRPr="00373CBD" w:rsidRDefault="00C67AA6" w:rsidP="000D1925">
            <w:pPr>
              <w:pStyle w:val="ListParagraph"/>
              <w:numPr>
                <w:ilvl w:val="1"/>
                <w:numId w:val="13"/>
              </w:numPr>
              <w:spacing w:before="60" w:after="60"/>
              <w:ind w:left="239"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 xml:space="preserve"> involving the removal of a total area of maximum 10 square metres of non-friable asbestos-containing material that is fixed or installed in a building, structure, ship or plant must be notified of at least 24 hours prior to commencing the work, or  at least 5 days before commencing the work in any other asbestos-related case </w:t>
            </w:r>
          </w:p>
          <w:p w:rsidR="00C67AA6" w:rsidRPr="00373CBD" w:rsidRDefault="00C67AA6" w:rsidP="000D1925">
            <w:pPr>
              <w:pStyle w:val="ListParagraph"/>
              <w:numPr>
                <w:ilvl w:val="1"/>
                <w:numId w:val="13"/>
              </w:numPr>
              <w:spacing w:before="60" w:after="60"/>
              <w:ind w:left="239"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a sudden, unexpected event, including non-routine equipment failures that may expose persons to airborne asbestos fibres, or failures of essential services (e.g. utilities), must be notified of within 24 hours of commencing the work</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Lead risk work, once it is identified to be such, must be notified of within 7 days. This is defined as work conducted in a lead process that is likely to cause blood lead levels to exceed a threshold stipulated in the regulations</w:t>
            </w:r>
          </w:p>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bCs/>
                <w:sz w:val="18"/>
                <w:szCs w:val="18"/>
                <w:lang w:eastAsia="zh-TW"/>
              </w:rPr>
            </w:pPr>
            <w:r w:rsidRPr="00373CBD">
              <w:rPr>
                <w:sz w:val="18"/>
                <w:szCs w:val="18"/>
              </w:rPr>
              <w:t>Schedule 9 materials are present or likely to be present in a quantity that exceeds 10% of their threshold quantity but less than their threshold quantity must be notified of within 30 days after becoming aware or reasonably ought to have become aware.</w:t>
            </w:r>
          </w:p>
        </w:tc>
        <w:tc>
          <w:tcPr>
            <w:tcW w:w="2977" w:type="dxa"/>
            <w:shd w:val="clear" w:color="auto" w:fill="FFFFFF" w:themeFill="background1"/>
            <w:hideMark/>
          </w:tcPr>
          <w:p w:rsidR="00C67AA6" w:rsidRPr="00373CBD" w:rsidRDefault="00C67AA6" w:rsidP="000D1925">
            <w:pPr>
              <w:pStyle w:val="ListParagraph"/>
              <w:numPr>
                <w:ilvl w:val="0"/>
                <w:numId w:val="12"/>
              </w:numPr>
              <w:spacing w:before="60" w:after="60"/>
              <w:ind w:left="121"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Carcinogenic substances:</w:t>
            </w:r>
          </w:p>
          <w:p w:rsidR="00C67AA6" w:rsidRPr="00373CBD" w:rsidRDefault="00C67AA6" w:rsidP="000D1925">
            <w:pPr>
              <w:pStyle w:val="ListParagraph"/>
              <w:numPr>
                <w:ilvl w:val="1"/>
                <w:numId w:val="13"/>
              </w:numPr>
              <w:spacing w:before="60" w:after="60"/>
              <w:ind w:left="239" w:hanging="141"/>
              <w:cnfStyle w:val="000000100000" w:firstRow="0" w:lastRow="0" w:firstColumn="0" w:lastColumn="0" w:oddVBand="0" w:evenVBand="0" w:oddHBand="1" w:evenHBand="0" w:firstRowFirstColumn="0" w:firstRowLastColumn="0" w:lastRowFirstColumn="0" w:lastRowLastColumn="0"/>
              <w:rPr>
                <w:sz w:val="18"/>
                <w:szCs w:val="18"/>
              </w:rPr>
            </w:pPr>
            <w:r w:rsidRPr="00373CBD">
              <w:rPr>
                <w:sz w:val="18"/>
                <w:szCs w:val="18"/>
              </w:rPr>
              <w:t>employers proposing to use carcinogenic substances listed in Schedule 5.5 must notify of the intended use beforehand</w:t>
            </w:r>
          </w:p>
          <w:p w:rsidR="00C67AA6" w:rsidRPr="00373CBD" w:rsidRDefault="00C67AA6" w:rsidP="000D1925">
            <w:pPr>
              <w:pStyle w:val="ListParagraph"/>
              <w:numPr>
                <w:ilvl w:val="1"/>
                <w:numId w:val="13"/>
              </w:numPr>
              <w:spacing w:before="60" w:after="60"/>
              <w:ind w:left="239" w:hanging="141"/>
              <w:cnfStyle w:val="000000100000" w:firstRow="0" w:lastRow="0" w:firstColumn="0" w:lastColumn="0" w:oddVBand="0" w:evenVBand="0" w:oddHBand="1" w:evenHBand="0" w:firstRowFirstColumn="0" w:firstRowLastColumn="0" w:lastRowFirstColumn="0" w:lastRowLastColumn="0"/>
              <w:rPr>
                <w:bCs/>
                <w:sz w:val="18"/>
                <w:szCs w:val="18"/>
                <w:lang w:eastAsia="zh-TW"/>
              </w:rPr>
            </w:pPr>
            <w:r w:rsidRPr="00373CBD">
              <w:rPr>
                <w:sz w:val="18"/>
                <w:szCs w:val="18"/>
              </w:rPr>
              <w:t xml:space="preserve">If a person is exposed at a workplace to a carcinogenic substance from a spill or incident, or monitoring/health surveillance results indicate excessive exposure at a workplace to a carcinogenic substance, this </w:t>
            </w:r>
            <w:r w:rsidRPr="00373CBD">
              <w:rPr>
                <w:bCs/>
                <w:sz w:val="18"/>
                <w:szCs w:val="18"/>
              </w:rPr>
              <w:t>must be reported as soon as practicable</w:t>
            </w:r>
            <w:r w:rsidRPr="00373CBD">
              <w:rPr>
                <w:sz w:val="18"/>
                <w:szCs w:val="18"/>
              </w:rPr>
              <w:t>.</w:t>
            </w:r>
          </w:p>
        </w:tc>
      </w:tr>
      <w:tr w:rsidR="00C67AA6" w:rsidTr="00373C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C6D9F1" w:themeFill="text2" w:themeFillTint="33"/>
            <w:hideMark/>
          </w:tcPr>
          <w:p w:rsidR="00C67AA6" w:rsidRPr="00373CBD" w:rsidRDefault="00C67AA6" w:rsidP="000D1925">
            <w:pPr>
              <w:spacing w:before="60" w:after="60"/>
              <w:rPr>
                <w:b w:val="0"/>
                <w:i/>
                <w:sz w:val="18"/>
                <w:szCs w:val="18"/>
                <w:lang w:eastAsia="zh-TW"/>
              </w:rPr>
            </w:pPr>
            <w:r w:rsidRPr="00373CBD">
              <w:rPr>
                <w:i/>
                <w:sz w:val="18"/>
                <w:szCs w:val="18"/>
              </w:rPr>
              <w:t>Source</w:t>
            </w:r>
          </w:p>
        </w:tc>
        <w:tc>
          <w:tcPr>
            <w:tcW w:w="2977" w:type="dxa"/>
            <w:shd w:val="clear" w:color="auto" w:fill="FFFFFF" w:themeFill="background1"/>
            <w:hideMark/>
          </w:tcPr>
          <w:p w:rsidR="00C67AA6" w:rsidRPr="00373CBD" w:rsidRDefault="00C67AA6" w:rsidP="000D1925">
            <w:pPr>
              <w:spacing w:before="60" w:after="60"/>
              <w:ind w:firstLine="20"/>
              <w:cnfStyle w:val="000000010000" w:firstRow="0" w:lastRow="0" w:firstColumn="0" w:lastColumn="0" w:oddVBand="0" w:evenVBand="0" w:oddHBand="0" w:evenHBand="1" w:firstRowFirstColumn="0" w:firstRowLastColumn="0" w:lastRowFirstColumn="0" w:lastRowLastColumn="0"/>
              <w:rPr>
                <w:sz w:val="18"/>
                <w:szCs w:val="18"/>
                <w:lang w:eastAsia="zh-TW"/>
              </w:rPr>
            </w:pPr>
            <w:r w:rsidRPr="00373CBD">
              <w:rPr>
                <w:sz w:val="18"/>
                <w:szCs w:val="18"/>
              </w:rPr>
              <w:t xml:space="preserve">WHS Act, ss35-38; </w:t>
            </w:r>
            <w:r w:rsidRPr="00373CBD">
              <w:rPr>
                <w:i/>
                <w:sz w:val="18"/>
                <w:szCs w:val="18"/>
              </w:rPr>
              <w:t>Work Health and Safety Regulation 2011</w:t>
            </w:r>
            <w:r w:rsidRPr="00373CBD">
              <w:rPr>
                <w:sz w:val="18"/>
                <w:szCs w:val="18"/>
              </w:rPr>
              <w:t xml:space="preserve"> (Cth), regs 394, 403, 466, 536, 699 &amp; 752.</w:t>
            </w:r>
          </w:p>
        </w:tc>
        <w:tc>
          <w:tcPr>
            <w:tcW w:w="2977" w:type="dxa"/>
            <w:shd w:val="clear" w:color="auto" w:fill="FFFFFF" w:themeFill="background1"/>
            <w:hideMark/>
          </w:tcPr>
          <w:p w:rsidR="00C67AA6" w:rsidRPr="00373CBD" w:rsidRDefault="00C67AA6" w:rsidP="000D1925">
            <w:pPr>
              <w:spacing w:before="60" w:after="60"/>
              <w:ind w:firstLine="20"/>
              <w:cnfStyle w:val="000000010000" w:firstRow="0" w:lastRow="0" w:firstColumn="0" w:lastColumn="0" w:oddVBand="0" w:evenVBand="0" w:oddHBand="0" w:evenHBand="1" w:firstRowFirstColumn="0" w:firstRowLastColumn="0" w:lastRowFirstColumn="0" w:lastRowLastColumn="0"/>
              <w:rPr>
                <w:sz w:val="18"/>
                <w:szCs w:val="18"/>
                <w:lang w:eastAsia="zh-TW"/>
              </w:rPr>
            </w:pPr>
            <w:r w:rsidRPr="00373CBD">
              <w:rPr>
                <w:i/>
                <w:sz w:val="18"/>
                <w:szCs w:val="18"/>
              </w:rPr>
              <w:t xml:space="preserve">Occupational Health and Safety Act 2004 </w:t>
            </w:r>
            <w:r w:rsidRPr="00373CBD">
              <w:rPr>
                <w:sz w:val="18"/>
                <w:szCs w:val="18"/>
              </w:rPr>
              <w:t xml:space="preserve">(VIC), ss37-38; </w:t>
            </w:r>
            <w:r w:rsidRPr="00373CBD">
              <w:rPr>
                <w:i/>
                <w:sz w:val="18"/>
                <w:szCs w:val="18"/>
              </w:rPr>
              <w:t xml:space="preserve">Occupational Health and Safety Regulations 2007 </w:t>
            </w:r>
            <w:r w:rsidRPr="00373CBD">
              <w:rPr>
                <w:sz w:val="18"/>
                <w:szCs w:val="18"/>
              </w:rPr>
              <w:t>(VIC), regs 4.3.97, 4.3.98, 4.4.19 &amp; 5.2.27.</w:t>
            </w:r>
          </w:p>
        </w:tc>
        <w:tc>
          <w:tcPr>
            <w:tcW w:w="2977" w:type="dxa"/>
            <w:shd w:val="clear" w:color="auto" w:fill="FFFFFF" w:themeFill="background1"/>
            <w:hideMark/>
          </w:tcPr>
          <w:p w:rsidR="00C67AA6" w:rsidRPr="00373CBD" w:rsidRDefault="00C67AA6" w:rsidP="000D1925">
            <w:pPr>
              <w:spacing w:before="60" w:after="60"/>
              <w:ind w:firstLine="20"/>
              <w:cnfStyle w:val="000000010000" w:firstRow="0" w:lastRow="0" w:firstColumn="0" w:lastColumn="0" w:oddVBand="0" w:evenVBand="0" w:oddHBand="0" w:evenHBand="1" w:firstRowFirstColumn="0" w:firstRowLastColumn="0" w:lastRowFirstColumn="0" w:lastRowLastColumn="0"/>
              <w:rPr>
                <w:sz w:val="18"/>
                <w:szCs w:val="18"/>
                <w:lang w:eastAsia="zh-TW"/>
              </w:rPr>
            </w:pPr>
            <w:r w:rsidRPr="00373CBD">
              <w:rPr>
                <w:i/>
                <w:sz w:val="18"/>
                <w:szCs w:val="18"/>
              </w:rPr>
              <w:t xml:space="preserve">Occupational Safety and Health Act1984 </w:t>
            </w:r>
            <w:r w:rsidRPr="00373CBD">
              <w:rPr>
                <w:sz w:val="18"/>
                <w:szCs w:val="18"/>
              </w:rPr>
              <w:t xml:space="preserve">(WA), s23I; </w:t>
            </w:r>
            <w:r w:rsidRPr="00373CBD">
              <w:rPr>
                <w:i/>
                <w:sz w:val="18"/>
                <w:szCs w:val="18"/>
              </w:rPr>
              <w:t>Occupational Safety and Health Regulations 1996</w:t>
            </w:r>
            <w:r w:rsidRPr="00373CBD">
              <w:rPr>
                <w:sz w:val="18"/>
                <w:szCs w:val="18"/>
              </w:rPr>
              <w:t xml:space="preserve"> (WA), regs 2.4, 2.5, 5.30 &amp; 5.40.</w:t>
            </w:r>
          </w:p>
        </w:tc>
      </w:tr>
    </w:tbl>
    <w:p w:rsidR="00C67AA6" w:rsidRDefault="00C67AA6" w:rsidP="000D1925"/>
    <w:p w:rsidR="00C67AA6" w:rsidRPr="000D1925" w:rsidRDefault="00C67AA6" w:rsidP="000D1925"/>
    <w:p w:rsidR="004B6FE9" w:rsidRDefault="004B6FE9" w:rsidP="004B6FE9">
      <w:pPr>
        <w:rPr>
          <w:lang w:eastAsia="zh-TW"/>
        </w:rPr>
      </w:pPr>
    </w:p>
    <w:p w:rsidR="005C052A" w:rsidRDefault="005C052A">
      <w:pPr>
        <w:rPr>
          <w:lang w:eastAsia="zh-TW"/>
        </w:rPr>
      </w:pPr>
      <w:r>
        <w:rPr>
          <w:lang w:eastAsia="zh-TW"/>
        </w:rPr>
        <w:br w:type="page"/>
      </w:r>
    </w:p>
    <w:p w:rsidR="005C052A" w:rsidRDefault="005C052A" w:rsidP="005C052A">
      <w:pPr>
        <w:pStyle w:val="Caption"/>
        <w:keepNext/>
        <w:jc w:val="center"/>
        <w:rPr>
          <w:sz w:val="28"/>
          <w:szCs w:val="28"/>
        </w:rPr>
      </w:pPr>
      <w:r w:rsidRPr="004B6FE9">
        <w:rPr>
          <w:sz w:val="28"/>
          <w:szCs w:val="28"/>
        </w:rPr>
        <w:t xml:space="preserve">Appendix </w:t>
      </w:r>
      <w:r w:rsidR="00D515BB" w:rsidRPr="004B6FE9">
        <w:rPr>
          <w:sz w:val="28"/>
          <w:szCs w:val="28"/>
        </w:rPr>
        <w:fldChar w:fldCharType="begin"/>
      </w:r>
      <w:r w:rsidRPr="004B6FE9">
        <w:rPr>
          <w:sz w:val="28"/>
          <w:szCs w:val="28"/>
        </w:rPr>
        <w:instrText xml:space="preserve"> SEQ Appendix \* ARABIC </w:instrText>
      </w:r>
      <w:r w:rsidR="00D515BB" w:rsidRPr="004B6FE9">
        <w:rPr>
          <w:sz w:val="28"/>
          <w:szCs w:val="28"/>
        </w:rPr>
        <w:fldChar w:fldCharType="separate"/>
      </w:r>
      <w:r w:rsidR="00E6242C">
        <w:rPr>
          <w:noProof/>
          <w:sz w:val="28"/>
          <w:szCs w:val="28"/>
        </w:rPr>
        <w:t>4</w:t>
      </w:r>
      <w:r w:rsidR="00D515BB" w:rsidRPr="004B6FE9">
        <w:rPr>
          <w:sz w:val="28"/>
          <w:szCs w:val="28"/>
        </w:rPr>
        <w:fldChar w:fldCharType="end"/>
      </w:r>
      <w:r w:rsidRPr="004B6FE9">
        <w:rPr>
          <w:sz w:val="28"/>
          <w:szCs w:val="28"/>
        </w:rPr>
        <w:t xml:space="preserve">: </w:t>
      </w:r>
      <w:r>
        <w:rPr>
          <w:sz w:val="28"/>
          <w:szCs w:val="28"/>
        </w:rPr>
        <w:t xml:space="preserve">Guidance for reporting on </w:t>
      </w:r>
      <w:r w:rsidR="006F25C3">
        <w:rPr>
          <w:sz w:val="28"/>
          <w:szCs w:val="28"/>
        </w:rPr>
        <w:t>work health and safety</w:t>
      </w:r>
      <w:r>
        <w:rPr>
          <w:sz w:val="28"/>
          <w:szCs w:val="28"/>
        </w:rPr>
        <w:t xml:space="preserve"> performance</w:t>
      </w:r>
    </w:p>
    <w:tbl>
      <w:tblPr>
        <w:tblStyle w:val="TableGrid"/>
        <w:tblW w:w="9072" w:type="dxa"/>
        <w:tblInd w:w="108" w:type="dxa"/>
        <w:tblLayout w:type="fixed"/>
        <w:tblLook w:val="04A0" w:firstRow="1" w:lastRow="0" w:firstColumn="1" w:lastColumn="0" w:noHBand="0" w:noVBand="1"/>
        <w:tblCaption w:val="Appendix 4: Guidance for reporting on WHS performance"/>
        <w:tblDescription w:val="Appendix 4: Guidance for reporting on WHS performance"/>
      </w:tblPr>
      <w:tblGrid>
        <w:gridCol w:w="1843"/>
        <w:gridCol w:w="3544"/>
        <w:gridCol w:w="3685"/>
      </w:tblGrid>
      <w:tr w:rsidR="00C67AA6" w:rsidTr="00D418A4">
        <w:trPr>
          <w:tblHeader/>
        </w:trPr>
        <w:tc>
          <w:tcPr>
            <w:tcW w:w="9072" w:type="dxa"/>
            <w:gridSpan w:val="3"/>
            <w:shd w:val="clear" w:color="auto" w:fill="8DB3E2" w:themeFill="text2" w:themeFillTint="66"/>
          </w:tcPr>
          <w:p w:rsidR="00C67AA6" w:rsidRDefault="00C67AA6" w:rsidP="000D1925">
            <w:pPr>
              <w:spacing w:line="360" w:lineRule="auto"/>
              <w:rPr>
                <w:rFonts w:eastAsia="Times New Roman" w:cs="Arial"/>
                <w:sz w:val="24"/>
                <w:szCs w:val="24"/>
              </w:rPr>
            </w:pPr>
            <w:r>
              <w:rPr>
                <w:rFonts w:eastAsia="Times New Roman" w:cs="Arial"/>
                <w:sz w:val="24"/>
                <w:szCs w:val="24"/>
              </w:rPr>
              <w:t>Sources of further information</w:t>
            </w:r>
          </w:p>
        </w:tc>
      </w:tr>
      <w:tr w:rsidR="00C67AA6" w:rsidRPr="00373CBD" w:rsidTr="000D1925">
        <w:trPr>
          <w:trHeight w:val="327"/>
        </w:trPr>
        <w:tc>
          <w:tcPr>
            <w:tcW w:w="9072" w:type="dxa"/>
            <w:gridSpan w:val="3"/>
            <w:shd w:val="clear" w:color="auto" w:fill="C6D9F1" w:themeFill="text2" w:themeFillTint="33"/>
            <w:vAlign w:val="center"/>
          </w:tcPr>
          <w:p w:rsidR="00C67AA6" w:rsidRPr="00373CBD" w:rsidRDefault="00C67AA6" w:rsidP="006F25C3">
            <w:pPr>
              <w:rPr>
                <w:rFonts w:eastAsia="Times New Roman" w:cs="Arial"/>
                <w:b/>
              </w:rPr>
            </w:pPr>
            <w:r w:rsidRPr="00373CBD">
              <w:rPr>
                <w:rFonts w:eastAsia="Times New Roman" w:cs="Arial"/>
                <w:b/>
              </w:rPr>
              <w:t xml:space="preserve">Guidance for reporting on </w:t>
            </w:r>
            <w:r w:rsidR="006F25C3">
              <w:rPr>
                <w:rFonts w:eastAsia="Times New Roman" w:cs="Arial"/>
                <w:b/>
              </w:rPr>
              <w:t>work health and safety</w:t>
            </w:r>
          </w:p>
        </w:tc>
      </w:tr>
      <w:tr w:rsidR="00C67AA6" w:rsidRPr="00D010C4" w:rsidTr="000D1925">
        <w:tc>
          <w:tcPr>
            <w:tcW w:w="1843" w:type="dxa"/>
            <w:shd w:val="clear" w:color="auto" w:fill="C6D9F1" w:themeFill="text2" w:themeFillTint="33"/>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 xml:space="preserve">Health </w:t>
            </w:r>
            <w:r>
              <w:rPr>
                <w:rFonts w:eastAsia="Times New Roman" w:cs="Arial"/>
                <w:sz w:val="18"/>
                <w:szCs w:val="18"/>
              </w:rPr>
              <w:t>&amp;</w:t>
            </w:r>
            <w:r w:rsidRPr="00D010C4">
              <w:rPr>
                <w:rFonts w:eastAsia="Times New Roman" w:cs="Arial"/>
                <w:sz w:val="18"/>
                <w:szCs w:val="18"/>
              </w:rPr>
              <w:t xml:space="preserve"> Safety Executive (UK)</w:t>
            </w:r>
          </w:p>
        </w:tc>
        <w:tc>
          <w:tcPr>
            <w:tcW w:w="3544" w:type="dxa"/>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A guide to measuring health and safety performance</w:t>
            </w:r>
          </w:p>
        </w:tc>
        <w:tc>
          <w:tcPr>
            <w:tcW w:w="3685" w:type="dxa"/>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http://www.hse.gov.uk/opsunit/perfmeas.pdf</w:t>
            </w:r>
          </w:p>
        </w:tc>
      </w:tr>
      <w:tr w:rsidR="00C67AA6" w:rsidRPr="00D010C4" w:rsidTr="000D1925">
        <w:tc>
          <w:tcPr>
            <w:tcW w:w="1843" w:type="dxa"/>
            <w:shd w:val="clear" w:color="auto" w:fill="C6D9F1" w:themeFill="text2" w:themeFillTint="33"/>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Institution of Occupational Health and Safety (IOSH)</w:t>
            </w:r>
          </w:p>
        </w:tc>
        <w:tc>
          <w:tcPr>
            <w:tcW w:w="3544" w:type="dxa"/>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Reporting performance: Guidance on including health and safety performance in annual reports</w:t>
            </w:r>
          </w:p>
        </w:tc>
        <w:tc>
          <w:tcPr>
            <w:tcW w:w="3685" w:type="dxa"/>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http://www.iosh.co.uk/books_and_resources/guidance_and_tools.aspx#Making</w:t>
            </w:r>
          </w:p>
        </w:tc>
      </w:tr>
      <w:tr w:rsidR="00C67AA6" w:rsidRPr="00D010C4" w:rsidTr="000D1925">
        <w:tc>
          <w:tcPr>
            <w:tcW w:w="1843" w:type="dxa"/>
            <w:shd w:val="clear" w:color="auto" w:fill="C6D9F1" w:themeFill="text2" w:themeFillTint="33"/>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Safe Work Australia</w:t>
            </w:r>
          </w:p>
        </w:tc>
        <w:tc>
          <w:tcPr>
            <w:tcW w:w="3544" w:type="dxa"/>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Benchmarking occupational health and safety</w:t>
            </w:r>
          </w:p>
        </w:tc>
        <w:tc>
          <w:tcPr>
            <w:tcW w:w="3685" w:type="dxa"/>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http://www.safeworkaustralia.gov.au/sites/swa/about/publications/pages/gm1996benchmarkingohs</w:t>
            </w:r>
          </w:p>
        </w:tc>
      </w:tr>
      <w:tr w:rsidR="00C67AA6" w:rsidRPr="00D010C4" w:rsidTr="000D1925">
        <w:tc>
          <w:tcPr>
            <w:tcW w:w="1843" w:type="dxa"/>
            <w:shd w:val="clear" w:color="auto" w:fill="C6D9F1" w:themeFill="text2" w:themeFillTint="33"/>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Safe Work Australia</w:t>
            </w:r>
          </w:p>
        </w:tc>
        <w:tc>
          <w:tcPr>
            <w:tcW w:w="3544" w:type="dxa"/>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Guidance on OHS reporting in annual reports</w:t>
            </w:r>
          </w:p>
        </w:tc>
        <w:tc>
          <w:tcPr>
            <w:tcW w:w="3685" w:type="dxa"/>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http://www.safeworkaustralia.gov.au/sites/SWA/about/Publications/Documents/151/GuidanceOnOHSReportingInAnnualReports_2004_PDF.pdf</w:t>
            </w:r>
          </w:p>
        </w:tc>
      </w:tr>
      <w:tr w:rsidR="00C67AA6" w:rsidRPr="00D010C4" w:rsidTr="000D1925">
        <w:tc>
          <w:tcPr>
            <w:tcW w:w="1843" w:type="dxa"/>
            <w:shd w:val="clear" w:color="auto" w:fill="C6D9F1" w:themeFill="text2" w:themeFillTint="33"/>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Worksafe Victoria</w:t>
            </w:r>
          </w:p>
        </w:tc>
        <w:tc>
          <w:tcPr>
            <w:tcW w:w="3544" w:type="dxa"/>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 xml:space="preserve">Performance standards and indicators </w:t>
            </w:r>
            <w:r w:rsidRPr="00D010C4">
              <w:rPr>
                <w:rFonts w:eastAsia="Times New Roman" w:cs="Arial"/>
                <w:i/>
                <w:sz w:val="18"/>
                <w:szCs w:val="18"/>
              </w:rPr>
              <w:t>(a guide for operators of major hazard facilities)</w:t>
            </w:r>
          </w:p>
        </w:tc>
        <w:tc>
          <w:tcPr>
            <w:tcW w:w="3685" w:type="dxa"/>
          </w:tcPr>
          <w:p w:rsidR="00C67AA6" w:rsidRPr="00D010C4" w:rsidRDefault="00130887" w:rsidP="00373CBD">
            <w:pPr>
              <w:spacing w:before="40" w:after="40"/>
              <w:rPr>
                <w:rFonts w:eastAsia="Times New Roman" w:cs="Arial"/>
                <w:sz w:val="18"/>
                <w:szCs w:val="18"/>
              </w:rPr>
            </w:pPr>
            <w:hyperlink r:id="rId75" w:history="1">
              <w:r w:rsidR="00C67AA6" w:rsidRPr="00D010C4">
                <w:rPr>
                  <w:rFonts w:eastAsia="Times New Roman" w:cs="Arial"/>
                  <w:sz w:val="18"/>
                  <w:szCs w:val="18"/>
                </w:rPr>
                <w:t>http://www.worksafe.vic.gov.au/__data/assets/pdf_file/0019/12394/Performance_standards_and_indicators_FINAL.pdf</w:t>
              </w:r>
            </w:hyperlink>
          </w:p>
        </w:tc>
      </w:tr>
      <w:tr w:rsidR="00D000C5" w:rsidRPr="00D010C4" w:rsidTr="00236F73">
        <w:tc>
          <w:tcPr>
            <w:tcW w:w="1843" w:type="dxa"/>
            <w:shd w:val="clear" w:color="auto" w:fill="C6D9F1" w:themeFill="text2" w:themeFillTint="33"/>
          </w:tcPr>
          <w:p w:rsidR="00D000C5" w:rsidRPr="00D010C4" w:rsidRDefault="00D000C5" w:rsidP="00236F73">
            <w:pPr>
              <w:spacing w:before="40" w:after="40"/>
              <w:rPr>
                <w:rFonts w:eastAsia="Times New Roman" w:cs="Arial"/>
                <w:sz w:val="18"/>
                <w:szCs w:val="18"/>
              </w:rPr>
            </w:pPr>
            <w:r w:rsidRPr="00D010C4">
              <w:rPr>
                <w:rFonts w:eastAsia="Times New Roman" w:cs="Arial"/>
                <w:sz w:val="18"/>
                <w:szCs w:val="18"/>
              </w:rPr>
              <w:t>Global reporting initiative (GRI)</w:t>
            </w:r>
          </w:p>
        </w:tc>
        <w:tc>
          <w:tcPr>
            <w:tcW w:w="3544" w:type="dxa"/>
          </w:tcPr>
          <w:p w:rsidR="00D000C5" w:rsidRPr="00D010C4" w:rsidRDefault="00D000C5" w:rsidP="006F25C3">
            <w:pPr>
              <w:spacing w:before="40" w:after="40"/>
              <w:rPr>
                <w:rFonts w:eastAsia="Times New Roman" w:cs="Arial"/>
                <w:sz w:val="18"/>
                <w:szCs w:val="18"/>
              </w:rPr>
            </w:pPr>
            <w:r w:rsidRPr="00D010C4">
              <w:rPr>
                <w:rFonts w:eastAsia="Times New Roman" w:cs="Arial"/>
                <w:sz w:val="18"/>
                <w:szCs w:val="18"/>
              </w:rPr>
              <w:t xml:space="preserve">GRI’s Sustainability Reporting Guidelines </w:t>
            </w:r>
            <w:r w:rsidRPr="00D010C4">
              <w:rPr>
                <w:rFonts w:eastAsia="Times New Roman" w:cs="Arial"/>
                <w:i/>
                <w:sz w:val="18"/>
                <w:szCs w:val="18"/>
              </w:rPr>
              <w:t>(</w:t>
            </w:r>
            <w:r>
              <w:rPr>
                <w:rFonts w:eastAsia="Times New Roman" w:cs="Arial"/>
                <w:i/>
                <w:sz w:val="18"/>
                <w:szCs w:val="18"/>
              </w:rPr>
              <w:t>includes a number of</w:t>
            </w:r>
            <w:r w:rsidRPr="00D010C4">
              <w:rPr>
                <w:rFonts w:eastAsia="Times New Roman" w:cs="Arial"/>
                <w:i/>
                <w:sz w:val="18"/>
                <w:szCs w:val="18"/>
              </w:rPr>
              <w:t xml:space="preserve"> </w:t>
            </w:r>
            <w:r w:rsidR="006F25C3">
              <w:rPr>
                <w:rFonts w:eastAsia="Times New Roman" w:cs="Arial"/>
                <w:i/>
                <w:sz w:val="18"/>
                <w:szCs w:val="18"/>
              </w:rPr>
              <w:t xml:space="preserve">work health and safety </w:t>
            </w:r>
            <w:r w:rsidRPr="00D010C4">
              <w:rPr>
                <w:rFonts w:eastAsia="Times New Roman" w:cs="Arial"/>
                <w:i/>
                <w:sz w:val="18"/>
                <w:szCs w:val="18"/>
              </w:rPr>
              <w:t>indicators).</w:t>
            </w:r>
          </w:p>
        </w:tc>
        <w:tc>
          <w:tcPr>
            <w:tcW w:w="3685" w:type="dxa"/>
          </w:tcPr>
          <w:p w:rsidR="00D000C5" w:rsidRPr="00D010C4" w:rsidRDefault="00D000C5" w:rsidP="00236F73">
            <w:pPr>
              <w:spacing w:before="40" w:after="40"/>
              <w:rPr>
                <w:rFonts w:eastAsia="Times New Roman" w:cs="Arial"/>
                <w:sz w:val="18"/>
                <w:szCs w:val="18"/>
              </w:rPr>
            </w:pPr>
            <w:r w:rsidRPr="00D010C4">
              <w:rPr>
                <w:rFonts w:eastAsia="Times New Roman" w:cs="Arial"/>
                <w:sz w:val="18"/>
                <w:szCs w:val="18"/>
              </w:rPr>
              <w:t>https://www.globalreporting.org/</w:t>
            </w:r>
          </w:p>
        </w:tc>
      </w:tr>
      <w:tr w:rsidR="00C67AA6" w:rsidRPr="00373CBD" w:rsidTr="000D1925">
        <w:trPr>
          <w:trHeight w:val="348"/>
        </w:trPr>
        <w:tc>
          <w:tcPr>
            <w:tcW w:w="9072" w:type="dxa"/>
            <w:gridSpan w:val="3"/>
            <w:shd w:val="clear" w:color="auto" w:fill="C6D9F1" w:themeFill="text2" w:themeFillTint="33"/>
            <w:vAlign w:val="center"/>
          </w:tcPr>
          <w:p w:rsidR="00C67AA6" w:rsidRPr="00373CBD" w:rsidRDefault="00C67AA6" w:rsidP="000D1925">
            <w:pPr>
              <w:rPr>
                <w:rFonts w:eastAsia="Times New Roman" w:cs="Arial"/>
                <w:b/>
              </w:rPr>
            </w:pPr>
            <w:r w:rsidRPr="00373CBD">
              <w:rPr>
                <w:rFonts w:eastAsia="Times New Roman" w:cs="Arial"/>
                <w:b/>
              </w:rPr>
              <w:t>Generic guidance on external reporting on corporate social responsibility</w:t>
            </w:r>
          </w:p>
        </w:tc>
      </w:tr>
      <w:tr w:rsidR="00C67AA6" w:rsidRPr="00D010C4" w:rsidTr="000D1925">
        <w:tc>
          <w:tcPr>
            <w:tcW w:w="1843" w:type="dxa"/>
            <w:shd w:val="clear" w:color="auto" w:fill="C6D9F1" w:themeFill="text2" w:themeFillTint="33"/>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KPMG</w:t>
            </w:r>
            <w:r w:rsidR="00A50AA3">
              <w:rPr>
                <w:rFonts w:eastAsia="Times New Roman" w:cs="Arial"/>
                <w:sz w:val="18"/>
                <w:szCs w:val="18"/>
              </w:rPr>
              <w:t xml:space="preserve"> &amp; Group of 100</w:t>
            </w:r>
          </w:p>
        </w:tc>
        <w:tc>
          <w:tcPr>
            <w:tcW w:w="3544" w:type="dxa"/>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 xml:space="preserve">Sustainability Reporting: A Guide </w:t>
            </w:r>
          </w:p>
          <w:p w:rsidR="00C67AA6" w:rsidRPr="00D010C4" w:rsidRDefault="00C67AA6" w:rsidP="00373CBD">
            <w:pPr>
              <w:spacing w:before="40" w:after="40"/>
              <w:rPr>
                <w:rFonts w:eastAsia="Times New Roman" w:cs="Arial"/>
                <w:sz w:val="18"/>
                <w:szCs w:val="18"/>
              </w:rPr>
            </w:pPr>
          </w:p>
        </w:tc>
        <w:tc>
          <w:tcPr>
            <w:tcW w:w="3685" w:type="dxa"/>
          </w:tcPr>
          <w:p w:rsidR="00C67AA6" w:rsidRPr="00D010C4" w:rsidRDefault="00A50AA3" w:rsidP="00373CBD">
            <w:pPr>
              <w:spacing w:before="40" w:after="40"/>
              <w:rPr>
                <w:rFonts w:eastAsia="Times New Roman" w:cs="Arial"/>
                <w:sz w:val="18"/>
                <w:szCs w:val="18"/>
              </w:rPr>
            </w:pPr>
            <w:r w:rsidRPr="00A50AA3">
              <w:rPr>
                <w:rFonts w:eastAsia="Times New Roman" w:cs="Arial"/>
                <w:sz w:val="18"/>
                <w:szCs w:val="18"/>
              </w:rPr>
              <w:t>http://www.group100.com.au/publications/kpmg_g100_SustainabilityRep200805.pdf</w:t>
            </w:r>
          </w:p>
        </w:tc>
      </w:tr>
      <w:tr w:rsidR="00C67AA6" w:rsidRPr="00373CBD" w:rsidTr="000D1925">
        <w:trPr>
          <w:trHeight w:val="246"/>
        </w:trPr>
        <w:tc>
          <w:tcPr>
            <w:tcW w:w="9072" w:type="dxa"/>
            <w:gridSpan w:val="3"/>
            <w:shd w:val="clear" w:color="auto" w:fill="C6D9F1" w:themeFill="text2" w:themeFillTint="33"/>
          </w:tcPr>
          <w:p w:rsidR="00C67AA6" w:rsidRPr="00373CBD" w:rsidRDefault="00C67AA6" w:rsidP="000D1925">
            <w:pPr>
              <w:rPr>
                <w:rFonts w:eastAsia="Times New Roman" w:cs="Arial"/>
                <w:b/>
              </w:rPr>
            </w:pPr>
            <w:r w:rsidRPr="00373CBD">
              <w:rPr>
                <w:rFonts w:eastAsia="Times New Roman" w:cs="Arial"/>
                <w:b/>
              </w:rPr>
              <w:t>Other</w:t>
            </w:r>
          </w:p>
        </w:tc>
      </w:tr>
      <w:tr w:rsidR="00C67AA6" w:rsidRPr="00D010C4" w:rsidTr="000D1925">
        <w:tc>
          <w:tcPr>
            <w:tcW w:w="1843" w:type="dxa"/>
            <w:shd w:val="clear" w:color="auto" w:fill="C6D9F1" w:themeFill="text2" w:themeFillTint="33"/>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U.S.  O.H.&amp;S. administration</w:t>
            </w:r>
          </w:p>
        </w:tc>
        <w:tc>
          <w:tcPr>
            <w:tcW w:w="3544" w:type="dxa"/>
          </w:tcPr>
          <w:p w:rsidR="00C67AA6" w:rsidRPr="00072EC1" w:rsidRDefault="00C67AA6" w:rsidP="00373CBD">
            <w:pPr>
              <w:spacing w:before="40" w:after="40"/>
              <w:rPr>
                <w:rFonts w:eastAsia="Times New Roman" w:cs="Arial"/>
                <w:sz w:val="18"/>
                <w:szCs w:val="18"/>
              </w:rPr>
            </w:pPr>
            <w:r w:rsidRPr="00D010C4">
              <w:rPr>
                <w:rFonts w:eastAsia="Times New Roman" w:cs="Arial"/>
                <w:sz w:val="18"/>
                <w:szCs w:val="18"/>
              </w:rPr>
              <w:t>Employer safety incentive and disincentive po</w:t>
            </w:r>
            <w:r>
              <w:rPr>
                <w:rFonts w:eastAsia="Times New Roman" w:cs="Arial"/>
                <w:sz w:val="18"/>
                <w:szCs w:val="18"/>
              </w:rPr>
              <w:t>licies and practices</w:t>
            </w:r>
          </w:p>
        </w:tc>
        <w:tc>
          <w:tcPr>
            <w:tcW w:w="3685" w:type="dxa"/>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https://www.osha.gov/as/opa/whistleblowermemo.html</w:t>
            </w:r>
          </w:p>
        </w:tc>
      </w:tr>
      <w:tr w:rsidR="00C67AA6" w:rsidRPr="00D010C4" w:rsidTr="000D1925">
        <w:tc>
          <w:tcPr>
            <w:tcW w:w="1843" w:type="dxa"/>
            <w:shd w:val="clear" w:color="auto" w:fill="C6D9F1" w:themeFill="text2" w:themeFillTint="33"/>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OHS Online</w:t>
            </w:r>
          </w:p>
        </w:tc>
        <w:tc>
          <w:tcPr>
            <w:tcW w:w="3544" w:type="dxa"/>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OSHA's Stance on Safety Incentive Programs</w:t>
            </w:r>
          </w:p>
        </w:tc>
        <w:tc>
          <w:tcPr>
            <w:tcW w:w="3685" w:type="dxa"/>
          </w:tcPr>
          <w:p w:rsidR="00C67AA6" w:rsidRPr="00D010C4" w:rsidRDefault="00C67AA6" w:rsidP="00373CBD">
            <w:pPr>
              <w:spacing w:before="40" w:after="40"/>
              <w:rPr>
                <w:rFonts w:eastAsia="Times New Roman" w:cs="Arial"/>
                <w:sz w:val="18"/>
                <w:szCs w:val="18"/>
              </w:rPr>
            </w:pPr>
            <w:r w:rsidRPr="00D010C4">
              <w:rPr>
                <w:rFonts w:eastAsia="Times New Roman" w:cs="Arial"/>
                <w:sz w:val="18"/>
                <w:szCs w:val="18"/>
              </w:rPr>
              <w:t>http://ohsonline.com/articles/2012/09/01/oshas-stance-on-safety-incentive-programs.aspx</w:t>
            </w:r>
          </w:p>
        </w:tc>
      </w:tr>
    </w:tbl>
    <w:p w:rsidR="00C67AA6" w:rsidRDefault="00C67AA6" w:rsidP="000D1925"/>
    <w:p w:rsidR="00C67AA6" w:rsidRDefault="00C67AA6" w:rsidP="000D1925"/>
    <w:p w:rsidR="00C67AA6" w:rsidRPr="000D1925" w:rsidRDefault="00C67AA6" w:rsidP="000D1925"/>
    <w:p w:rsidR="005C052A" w:rsidRPr="00295401" w:rsidRDefault="005C052A" w:rsidP="00295401">
      <w:pPr>
        <w:ind w:left="567" w:hanging="567"/>
      </w:pPr>
    </w:p>
    <w:sectPr w:rsidR="005C052A" w:rsidRPr="00295401" w:rsidSect="00292D08">
      <w:type w:val="continuous"/>
      <w:pgSz w:w="11906" w:h="16838"/>
      <w:pgMar w:top="993" w:right="1440" w:bottom="1276" w:left="1418" w:header="708"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06" w:rsidRDefault="00123706" w:rsidP="002908E3">
      <w:pPr>
        <w:spacing w:after="0" w:line="240" w:lineRule="auto"/>
      </w:pPr>
      <w:r>
        <w:separator/>
      </w:r>
    </w:p>
  </w:endnote>
  <w:endnote w:type="continuationSeparator" w:id="0">
    <w:p w:rsidR="00123706" w:rsidRDefault="00123706" w:rsidP="0029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410395"/>
      <w:docPartObj>
        <w:docPartGallery w:val="Page Numbers (Bottom of Page)"/>
        <w:docPartUnique/>
      </w:docPartObj>
    </w:sdtPr>
    <w:sdtEndPr>
      <w:rPr>
        <w:noProof/>
      </w:rPr>
    </w:sdtEndPr>
    <w:sdtContent>
      <w:p w:rsidR="00123706" w:rsidRDefault="00123706">
        <w:pPr>
          <w:pStyle w:val="Footer"/>
          <w:jc w:val="right"/>
        </w:pPr>
        <w:r>
          <w:fldChar w:fldCharType="begin"/>
        </w:r>
        <w:r>
          <w:instrText xml:space="preserve"> PAGE   \* MERGEFORMAT </w:instrText>
        </w:r>
        <w:r>
          <w:fldChar w:fldCharType="separate"/>
        </w:r>
        <w:r w:rsidR="00130887">
          <w:rPr>
            <w:noProof/>
          </w:rPr>
          <w:t>2</w:t>
        </w:r>
        <w:r>
          <w:rPr>
            <w:noProof/>
          </w:rPr>
          <w:fldChar w:fldCharType="end"/>
        </w:r>
      </w:p>
    </w:sdtContent>
  </w:sdt>
  <w:p w:rsidR="00123706" w:rsidRDefault="00123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06" w:rsidRDefault="00123706" w:rsidP="002908E3">
      <w:pPr>
        <w:spacing w:after="0" w:line="240" w:lineRule="auto"/>
      </w:pPr>
      <w:r>
        <w:separator/>
      </w:r>
    </w:p>
  </w:footnote>
  <w:footnote w:type="continuationSeparator" w:id="0">
    <w:p w:rsidR="00123706" w:rsidRDefault="00123706" w:rsidP="002908E3">
      <w:pPr>
        <w:spacing w:after="0" w:line="240" w:lineRule="auto"/>
      </w:pPr>
      <w:r>
        <w:continuationSeparator/>
      </w:r>
    </w:p>
  </w:footnote>
  <w:footnote w:id="1">
    <w:p w:rsidR="00123706" w:rsidRPr="00723046" w:rsidRDefault="00123706" w:rsidP="0090086F">
      <w:pPr>
        <w:pStyle w:val="FootnoteText"/>
        <w:rPr>
          <w:sz w:val="18"/>
          <w:szCs w:val="18"/>
        </w:rPr>
      </w:pPr>
      <w:r>
        <w:rPr>
          <w:rStyle w:val="FootnoteReference"/>
        </w:rPr>
        <w:footnoteRef/>
      </w:r>
      <w:r>
        <w:rPr>
          <w:sz w:val="18"/>
          <w:szCs w:val="18"/>
        </w:rPr>
        <w:t xml:space="preserve"> F</w:t>
      </w:r>
      <w:r w:rsidRPr="00723046">
        <w:rPr>
          <w:sz w:val="18"/>
          <w:szCs w:val="18"/>
        </w:rPr>
        <w:t xml:space="preserve">or example, </w:t>
      </w:r>
      <w:r>
        <w:rPr>
          <w:sz w:val="18"/>
          <w:szCs w:val="18"/>
        </w:rPr>
        <w:t xml:space="preserve">HaSPA, 2012 </w:t>
      </w:r>
      <w:r w:rsidRPr="00723046">
        <w:rPr>
          <w:sz w:val="18"/>
          <w:szCs w:val="18"/>
        </w:rPr>
        <w:t>(</w:t>
      </w:r>
      <w:r w:rsidRPr="00157C8F">
        <w:rPr>
          <w:i/>
          <w:sz w:val="18"/>
          <w:szCs w:val="18"/>
        </w:rPr>
        <w:t>Australia</w:t>
      </w:r>
      <w:r w:rsidRPr="00723046">
        <w:rPr>
          <w:sz w:val="18"/>
          <w:szCs w:val="18"/>
        </w:rPr>
        <w:t>)</w:t>
      </w:r>
      <w:r>
        <w:rPr>
          <w:sz w:val="18"/>
          <w:szCs w:val="18"/>
        </w:rPr>
        <w:t xml:space="preserve">; </w:t>
      </w:r>
      <w:r w:rsidRPr="00157C8F">
        <w:rPr>
          <w:sz w:val="18"/>
          <w:szCs w:val="18"/>
        </w:rPr>
        <w:t>Safety, Health and Environmental Body of Knowledge, 2011 (</w:t>
      </w:r>
      <w:r w:rsidRPr="00157C8F">
        <w:rPr>
          <w:i/>
          <w:sz w:val="18"/>
          <w:szCs w:val="18"/>
        </w:rPr>
        <w:t>USA</w:t>
      </w:r>
      <w:r w:rsidRPr="00723046">
        <w:rPr>
          <w:sz w:val="18"/>
          <w:szCs w:val="18"/>
        </w:rPr>
        <w:t>)</w:t>
      </w:r>
      <w:r>
        <w:rPr>
          <w:sz w:val="18"/>
          <w:szCs w:val="18"/>
        </w:rPr>
        <w:t>.</w:t>
      </w:r>
    </w:p>
  </w:footnote>
  <w:footnote w:id="2">
    <w:p w:rsidR="00123706" w:rsidRDefault="00123706" w:rsidP="00C13244">
      <w:pPr>
        <w:pStyle w:val="FootnoteText"/>
      </w:pPr>
      <w:r>
        <w:rPr>
          <w:rStyle w:val="FootnoteReference"/>
        </w:rPr>
        <w:footnoteRef/>
      </w:r>
      <w:r>
        <w:rPr>
          <w:sz w:val="18"/>
          <w:szCs w:val="18"/>
        </w:rPr>
        <w:t xml:space="preserve"> </w:t>
      </w:r>
      <w:r w:rsidRPr="003C7A1B">
        <w:rPr>
          <w:sz w:val="18"/>
          <w:szCs w:val="18"/>
        </w:rPr>
        <w:t>Watson et.al.</w:t>
      </w:r>
      <w:r>
        <w:rPr>
          <w:sz w:val="18"/>
          <w:szCs w:val="18"/>
        </w:rPr>
        <w:t>,</w:t>
      </w:r>
      <w:r w:rsidRPr="003C7A1B">
        <w:rPr>
          <w:sz w:val="18"/>
          <w:szCs w:val="18"/>
        </w:rPr>
        <w:t xml:space="preserve"> 2003; Frederick and Lessen</w:t>
      </w:r>
      <w:r>
        <w:rPr>
          <w:sz w:val="18"/>
          <w:szCs w:val="18"/>
        </w:rPr>
        <w:t>,</w:t>
      </w:r>
      <w:r w:rsidRPr="003C7A1B">
        <w:rPr>
          <w:sz w:val="18"/>
          <w:szCs w:val="18"/>
        </w:rPr>
        <w:t xml:space="preserve"> 2000.</w:t>
      </w:r>
    </w:p>
  </w:footnote>
  <w:footnote w:id="3">
    <w:p w:rsidR="00123706" w:rsidRDefault="00123706" w:rsidP="002E4D8A">
      <w:pPr>
        <w:pStyle w:val="FootnoteText"/>
      </w:pPr>
      <w:r>
        <w:rPr>
          <w:rStyle w:val="FootnoteReference"/>
        </w:rPr>
        <w:footnoteRef/>
      </w:r>
      <w:r>
        <w:rPr>
          <w:sz w:val="18"/>
          <w:szCs w:val="18"/>
        </w:rPr>
        <w:t xml:space="preserve"> For example, </w:t>
      </w:r>
      <w:r w:rsidRPr="00651322">
        <w:rPr>
          <w:sz w:val="18"/>
          <w:szCs w:val="18"/>
        </w:rPr>
        <w:t>Chhokar</w:t>
      </w:r>
      <w:r>
        <w:rPr>
          <w:sz w:val="18"/>
          <w:szCs w:val="18"/>
        </w:rPr>
        <w:t>,</w:t>
      </w:r>
      <w:r w:rsidRPr="00651322">
        <w:rPr>
          <w:sz w:val="18"/>
          <w:szCs w:val="18"/>
        </w:rPr>
        <w:t xml:space="preserve"> 1987; Ginter</w:t>
      </w:r>
      <w:r>
        <w:rPr>
          <w:sz w:val="18"/>
          <w:szCs w:val="18"/>
        </w:rPr>
        <w:t>,</w:t>
      </w:r>
      <w:r w:rsidRPr="00651322">
        <w:rPr>
          <w:sz w:val="18"/>
          <w:szCs w:val="18"/>
        </w:rPr>
        <w:t xml:space="preserve"> 1979; Chelius</w:t>
      </w:r>
      <w:r>
        <w:rPr>
          <w:sz w:val="18"/>
          <w:szCs w:val="18"/>
        </w:rPr>
        <w:t>,</w:t>
      </w:r>
      <w:r w:rsidRPr="00651322">
        <w:rPr>
          <w:sz w:val="18"/>
          <w:szCs w:val="18"/>
        </w:rPr>
        <w:t xml:space="preserve"> 1991; Borys</w:t>
      </w:r>
      <w:r>
        <w:rPr>
          <w:sz w:val="18"/>
          <w:szCs w:val="18"/>
        </w:rPr>
        <w:t>,</w:t>
      </w:r>
      <w:r w:rsidRPr="00651322">
        <w:rPr>
          <w:sz w:val="18"/>
          <w:szCs w:val="18"/>
        </w:rPr>
        <w:t xml:space="preserve"> 2000; Reason</w:t>
      </w:r>
      <w:r>
        <w:rPr>
          <w:sz w:val="18"/>
          <w:szCs w:val="18"/>
        </w:rPr>
        <w:t>,</w:t>
      </w:r>
      <w:r w:rsidRPr="00651322">
        <w:rPr>
          <w:sz w:val="18"/>
          <w:szCs w:val="18"/>
        </w:rPr>
        <w:t xml:space="preserve"> 1993.</w:t>
      </w:r>
    </w:p>
  </w:footnote>
  <w:footnote w:id="4">
    <w:p w:rsidR="00123706" w:rsidRDefault="00123706" w:rsidP="006A3177">
      <w:pPr>
        <w:pStyle w:val="FootnoteText"/>
      </w:pPr>
      <w:r>
        <w:rPr>
          <w:rStyle w:val="FootnoteReference"/>
        </w:rPr>
        <w:footnoteRef/>
      </w:r>
      <w:r>
        <w:rPr>
          <w:sz w:val="18"/>
          <w:szCs w:val="18"/>
        </w:rPr>
        <w:t xml:space="preserve"> </w:t>
      </w:r>
      <w:r w:rsidRPr="000E705E">
        <w:rPr>
          <w:sz w:val="18"/>
          <w:szCs w:val="18"/>
        </w:rPr>
        <w:t>Stricoff</w:t>
      </w:r>
      <w:r>
        <w:rPr>
          <w:sz w:val="18"/>
          <w:szCs w:val="18"/>
        </w:rPr>
        <w:t>,</w:t>
      </w:r>
      <w:r w:rsidRPr="000E705E">
        <w:rPr>
          <w:sz w:val="18"/>
          <w:szCs w:val="18"/>
        </w:rPr>
        <w:t xml:space="preserve"> 2000, p36</w:t>
      </w:r>
      <w:r>
        <w:rPr>
          <w:sz w:val="18"/>
          <w:szCs w:val="18"/>
        </w:rPr>
        <w:t>; Hopkins, 1994, 2000, 2005</w:t>
      </w:r>
      <w:r w:rsidRPr="000E705E">
        <w:rPr>
          <w:sz w:val="18"/>
          <w:szCs w:val="18"/>
        </w:rPr>
        <w:t>.</w:t>
      </w:r>
    </w:p>
  </w:footnote>
  <w:footnote w:id="5">
    <w:p w:rsidR="00123706" w:rsidRDefault="00123706" w:rsidP="00AF7D43">
      <w:pPr>
        <w:pStyle w:val="FootnoteText"/>
      </w:pPr>
      <w:r>
        <w:rPr>
          <w:rStyle w:val="FootnoteReference"/>
        </w:rPr>
        <w:footnoteRef/>
      </w:r>
      <w:r>
        <w:rPr>
          <w:sz w:val="18"/>
          <w:szCs w:val="18"/>
        </w:rPr>
        <w:t xml:space="preserve"> </w:t>
      </w:r>
      <w:r w:rsidRPr="00B14BE0">
        <w:rPr>
          <w:sz w:val="18"/>
          <w:szCs w:val="18"/>
        </w:rPr>
        <w:t>Oxford Dictionary</w:t>
      </w:r>
      <w:r>
        <w:rPr>
          <w:sz w:val="18"/>
          <w:szCs w:val="18"/>
        </w:rPr>
        <w:t>.</w:t>
      </w:r>
    </w:p>
  </w:footnote>
  <w:footnote w:id="6">
    <w:p w:rsidR="00123706" w:rsidRDefault="00123706" w:rsidP="002F2F7D">
      <w:pPr>
        <w:pStyle w:val="FootnoteText"/>
      </w:pPr>
      <w:r>
        <w:rPr>
          <w:rStyle w:val="FootnoteReference"/>
        </w:rPr>
        <w:footnoteRef/>
      </w:r>
      <w:r>
        <w:rPr>
          <w:sz w:val="18"/>
          <w:szCs w:val="18"/>
        </w:rPr>
        <w:t xml:space="preserve"> </w:t>
      </w:r>
      <w:r w:rsidRPr="00B14BE0">
        <w:rPr>
          <w:sz w:val="18"/>
          <w:szCs w:val="18"/>
        </w:rPr>
        <w:t>For example, customers, suppliers, and bystanders may be present in a workplace</w:t>
      </w:r>
      <w:r>
        <w:t>.</w:t>
      </w:r>
    </w:p>
  </w:footnote>
  <w:footnote w:id="7">
    <w:p w:rsidR="00123706" w:rsidRDefault="00123706" w:rsidP="00AF7D43">
      <w:pPr>
        <w:pStyle w:val="FootnoteText"/>
      </w:pPr>
      <w:r>
        <w:rPr>
          <w:rStyle w:val="FootnoteReference"/>
        </w:rPr>
        <w:footnoteRef/>
      </w:r>
      <w:r>
        <w:rPr>
          <w:sz w:val="18"/>
          <w:szCs w:val="18"/>
        </w:rPr>
        <w:t xml:space="preserve"> </w:t>
      </w:r>
      <w:r w:rsidRPr="007B6DC8">
        <w:rPr>
          <w:sz w:val="18"/>
          <w:szCs w:val="18"/>
        </w:rPr>
        <w:t>Serious injury in this context refers to cases involving one week or more absence from work</w:t>
      </w:r>
      <w:r>
        <w:rPr>
          <w:sz w:val="18"/>
          <w:szCs w:val="18"/>
        </w:rPr>
        <w:t xml:space="preserve">: </w:t>
      </w:r>
      <w:r w:rsidRPr="007B6DC8">
        <w:rPr>
          <w:sz w:val="18"/>
          <w:szCs w:val="18"/>
        </w:rPr>
        <w:t xml:space="preserve">Safe </w:t>
      </w:r>
      <w:r>
        <w:rPr>
          <w:sz w:val="18"/>
          <w:szCs w:val="18"/>
        </w:rPr>
        <w:t>W</w:t>
      </w:r>
      <w:r w:rsidRPr="007B6DC8">
        <w:rPr>
          <w:sz w:val="18"/>
          <w:szCs w:val="18"/>
        </w:rPr>
        <w:t>ork Australia</w:t>
      </w:r>
      <w:r>
        <w:rPr>
          <w:sz w:val="18"/>
          <w:szCs w:val="18"/>
        </w:rPr>
        <w:t>, 2012.</w:t>
      </w:r>
    </w:p>
  </w:footnote>
  <w:footnote w:id="8">
    <w:p w:rsidR="00123706" w:rsidRPr="007B6DC8" w:rsidRDefault="00123706" w:rsidP="00AF7D43">
      <w:pPr>
        <w:pStyle w:val="FootnoteText"/>
        <w:rPr>
          <w:sz w:val="18"/>
          <w:szCs w:val="18"/>
        </w:rPr>
      </w:pPr>
      <w:r>
        <w:rPr>
          <w:rStyle w:val="FootnoteReference"/>
        </w:rPr>
        <w:footnoteRef/>
      </w:r>
      <w:r>
        <w:rPr>
          <w:sz w:val="18"/>
          <w:szCs w:val="18"/>
        </w:rPr>
        <w:t xml:space="preserve"> ASCC, 2009; NOHSC, 2004; Safe Work Australia, 2012b.</w:t>
      </w:r>
    </w:p>
  </w:footnote>
  <w:footnote w:id="9">
    <w:p w:rsidR="00123706" w:rsidRPr="00FE7E3A" w:rsidRDefault="00123706" w:rsidP="00C15767">
      <w:pPr>
        <w:pStyle w:val="FootnoteText"/>
        <w:ind w:left="142" w:hanging="142"/>
      </w:pPr>
      <w:r>
        <w:rPr>
          <w:rStyle w:val="FootnoteReference"/>
        </w:rPr>
        <w:footnoteRef/>
      </w:r>
      <w:r>
        <w:rPr>
          <w:noProof/>
          <w:sz w:val="18"/>
          <w:szCs w:val="18"/>
        </w:rPr>
        <w:t xml:space="preserve"> </w:t>
      </w:r>
      <w:r w:rsidRPr="000D1925">
        <w:rPr>
          <w:i/>
          <w:noProof/>
          <w:sz w:val="18"/>
          <w:szCs w:val="18"/>
        </w:rPr>
        <w:t>Ibid</w:t>
      </w:r>
      <w:r>
        <w:rPr>
          <w:noProof/>
          <w:sz w:val="18"/>
          <w:szCs w:val="18"/>
        </w:rPr>
        <w:t>. Note the red bar (2008/9) reflects a corrected methodology around the analysis of permament disability and the blue (2008/9) bar therefore is provided only to facilitate a reliable comparison between 200/1, 2005/6 and 2008/9 data.</w:t>
      </w:r>
    </w:p>
  </w:footnote>
  <w:footnote w:id="10">
    <w:p w:rsidR="00123706" w:rsidRPr="007B6DC8" w:rsidRDefault="00123706">
      <w:pPr>
        <w:pStyle w:val="FootnoteText"/>
        <w:rPr>
          <w:sz w:val="18"/>
          <w:szCs w:val="18"/>
        </w:rPr>
      </w:pPr>
      <w:r w:rsidRPr="007B6DC8">
        <w:rPr>
          <w:rStyle w:val="FootnoteReference"/>
          <w:sz w:val="18"/>
          <w:szCs w:val="18"/>
        </w:rPr>
        <w:footnoteRef/>
      </w:r>
      <w:r w:rsidRPr="007B6DC8">
        <w:rPr>
          <w:sz w:val="18"/>
          <w:szCs w:val="18"/>
        </w:rPr>
        <w:t xml:space="preserve"> </w:t>
      </w:r>
      <w:r>
        <w:rPr>
          <w:sz w:val="18"/>
          <w:szCs w:val="18"/>
        </w:rPr>
        <w:t>NOHSC, 2004.</w:t>
      </w:r>
    </w:p>
  </w:footnote>
  <w:footnote w:id="11">
    <w:p w:rsidR="00123706" w:rsidRDefault="00123706" w:rsidP="008F6895">
      <w:pPr>
        <w:pStyle w:val="FootnoteText"/>
      </w:pPr>
      <w:r>
        <w:rPr>
          <w:rStyle w:val="FootnoteReference"/>
        </w:rPr>
        <w:footnoteRef/>
      </w:r>
      <w:r>
        <w:rPr>
          <w:noProof/>
          <w:sz w:val="18"/>
          <w:szCs w:val="18"/>
        </w:rPr>
        <w:t xml:space="preserve"> </w:t>
      </w:r>
      <w:r w:rsidRPr="00FA696C">
        <w:rPr>
          <w:noProof/>
          <w:sz w:val="18"/>
          <w:szCs w:val="18"/>
        </w:rPr>
        <w:t>Hopkins</w:t>
      </w:r>
      <w:r>
        <w:rPr>
          <w:noProof/>
          <w:sz w:val="18"/>
          <w:szCs w:val="18"/>
        </w:rPr>
        <w:t>, 2005;</w:t>
      </w:r>
      <w:r w:rsidRPr="00FA696C">
        <w:rPr>
          <w:noProof/>
          <w:sz w:val="18"/>
          <w:szCs w:val="18"/>
        </w:rPr>
        <w:t xml:space="preserve"> McDonald</w:t>
      </w:r>
      <w:r>
        <w:rPr>
          <w:noProof/>
          <w:sz w:val="18"/>
          <w:szCs w:val="18"/>
        </w:rPr>
        <w:t>, 1994.</w:t>
      </w:r>
    </w:p>
  </w:footnote>
  <w:footnote w:id="12">
    <w:p w:rsidR="00123706" w:rsidRDefault="00123706" w:rsidP="008F6895">
      <w:pPr>
        <w:pStyle w:val="FootnoteText"/>
      </w:pPr>
      <w:r>
        <w:rPr>
          <w:rStyle w:val="FootnoteReference"/>
        </w:rPr>
        <w:footnoteRef/>
      </w:r>
      <w:r>
        <w:rPr>
          <w:noProof/>
          <w:sz w:val="18"/>
          <w:szCs w:val="18"/>
        </w:rPr>
        <w:t xml:space="preserve"> </w:t>
      </w:r>
      <w:r w:rsidRPr="00AE53B3">
        <w:rPr>
          <w:noProof/>
          <w:sz w:val="18"/>
          <w:szCs w:val="18"/>
        </w:rPr>
        <w:t>O'Ne</w:t>
      </w:r>
      <w:r>
        <w:rPr>
          <w:noProof/>
          <w:sz w:val="18"/>
          <w:szCs w:val="18"/>
        </w:rPr>
        <w:t>ill, Deegan and McDonald, 2012; McDonald, 2001, 2006.</w:t>
      </w:r>
    </w:p>
  </w:footnote>
  <w:footnote w:id="13">
    <w:p w:rsidR="00123706" w:rsidRDefault="00123706" w:rsidP="00D90193">
      <w:pPr>
        <w:pStyle w:val="FootnoteText"/>
        <w:ind w:left="142" w:hanging="142"/>
      </w:pPr>
      <w:r>
        <w:rPr>
          <w:rStyle w:val="FootnoteReference"/>
        </w:rPr>
        <w:footnoteRef/>
      </w:r>
      <w:r>
        <w:rPr>
          <w:noProof/>
          <w:sz w:val="18"/>
          <w:szCs w:val="18"/>
        </w:rPr>
        <w:t xml:space="preserve"> </w:t>
      </w:r>
      <w:r w:rsidRPr="00AE53B3">
        <w:rPr>
          <w:noProof/>
          <w:sz w:val="18"/>
          <w:szCs w:val="18"/>
        </w:rPr>
        <w:t>Cooper and Emory</w:t>
      </w:r>
      <w:r>
        <w:rPr>
          <w:noProof/>
          <w:sz w:val="18"/>
          <w:szCs w:val="18"/>
        </w:rPr>
        <w:t>,</w:t>
      </w:r>
      <w:r w:rsidRPr="00AE53B3">
        <w:rPr>
          <w:noProof/>
          <w:sz w:val="18"/>
          <w:szCs w:val="18"/>
        </w:rPr>
        <w:t xml:space="preserve"> 1995; Creswell</w:t>
      </w:r>
      <w:r>
        <w:rPr>
          <w:noProof/>
          <w:sz w:val="18"/>
          <w:szCs w:val="18"/>
        </w:rPr>
        <w:t>,</w:t>
      </w:r>
      <w:r w:rsidRPr="00AE53B3">
        <w:rPr>
          <w:noProof/>
          <w:sz w:val="18"/>
          <w:szCs w:val="18"/>
        </w:rPr>
        <w:t xml:space="preserve"> 1994; PSASB</w:t>
      </w:r>
      <w:r>
        <w:rPr>
          <w:noProof/>
          <w:sz w:val="18"/>
          <w:szCs w:val="18"/>
        </w:rPr>
        <w:t>,</w:t>
      </w:r>
      <w:r w:rsidRPr="00AE53B3">
        <w:rPr>
          <w:noProof/>
          <w:sz w:val="18"/>
          <w:szCs w:val="18"/>
        </w:rPr>
        <w:t xml:space="preserve"> 1990</w:t>
      </w:r>
      <w:r>
        <w:rPr>
          <w:noProof/>
          <w:sz w:val="18"/>
          <w:szCs w:val="18"/>
        </w:rPr>
        <w:t>. Note,</w:t>
      </w:r>
      <w:r w:rsidRPr="007057C6">
        <w:rPr>
          <w:noProof/>
          <w:sz w:val="18"/>
          <w:szCs w:val="18"/>
        </w:rPr>
        <w:t xml:space="preserve"> additional characteristics </w:t>
      </w:r>
      <w:r>
        <w:rPr>
          <w:noProof/>
          <w:sz w:val="18"/>
          <w:szCs w:val="18"/>
        </w:rPr>
        <w:t xml:space="preserve">for </w:t>
      </w:r>
      <w:r w:rsidRPr="007057C6">
        <w:rPr>
          <w:noProof/>
          <w:sz w:val="18"/>
          <w:szCs w:val="18"/>
        </w:rPr>
        <w:t xml:space="preserve">performance reporting </w:t>
      </w:r>
      <w:r>
        <w:rPr>
          <w:noProof/>
          <w:sz w:val="18"/>
          <w:szCs w:val="18"/>
        </w:rPr>
        <w:t xml:space="preserve">(i.e. </w:t>
      </w:r>
      <w:r w:rsidRPr="007057C6">
        <w:rPr>
          <w:noProof/>
          <w:sz w:val="18"/>
          <w:szCs w:val="18"/>
        </w:rPr>
        <w:t>materiality, comparability, understandability, timeliness and cost/benefit</w:t>
      </w:r>
      <w:r>
        <w:rPr>
          <w:noProof/>
          <w:sz w:val="18"/>
          <w:szCs w:val="18"/>
        </w:rPr>
        <w:t>) are addressed inSection 5.</w:t>
      </w:r>
    </w:p>
  </w:footnote>
  <w:footnote w:id="14">
    <w:p w:rsidR="00123706" w:rsidRPr="00617A5B" w:rsidRDefault="00123706" w:rsidP="00CF5DA5">
      <w:pPr>
        <w:pStyle w:val="FootnoteText"/>
        <w:rPr>
          <w:sz w:val="18"/>
          <w:szCs w:val="18"/>
        </w:rPr>
      </w:pPr>
      <w:r>
        <w:rPr>
          <w:rStyle w:val="FootnoteReference"/>
        </w:rPr>
        <w:footnoteRef/>
      </w:r>
      <w:r>
        <w:rPr>
          <w:sz w:val="18"/>
          <w:szCs w:val="18"/>
        </w:rPr>
        <w:t xml:space="preserve"> F</w:t>
      </w:r>
      <w:r w:rsidRPr="00617A5B">
        <w:rPr>
          <w:sz w:val="18"/>
          <w:szCs w:val="18"/>
        </w:rPr>
        <w:t>or examples,</w:t>
      </w:r>
      <w:r>
        <w:rPr>
          <w:sz w:val="18"/>
          <w:szCs w:val="18"/>
        </w:rPr>
        <w:t xml:space="preserve"> </w:t>
      </w:r>
      <w:r w:rsidRPr="00AE53B3">
        <w:rPr>
          <w:sz w:val="18"/>
          <w:szCs w:val="18"/>
        </w:rPr>
        <w:t>Brown and Butcher 2005; O'Neill 2010; O'Neill, Flanagan and Clarke 2013; Safe Work Australia 2012</w:t>
      </w:r>
      <w:r>
        <w:rPr>
          <w:sz w:val="18"/>
          <w:szCs w:val="18"/>
        </w:rPr>
        <w:t>.</w:t>
      </w:r>
    </w:p>
  </w:footnote>
  <w:footnote w:id="15">
    <w:p w:rsidR="00123706" w:rsidRPr="00617A5B" w:rsidRDefault="00123706" w:rsidP="00CF5DA5">
      <w:pPr>
        <w:pStyle w:val="FootnoteText"/>
        <w:rPr>
          <w:sz w:val="18"/>
          <w:szCs w:val="18"/>
        </w:rPr>
      </w:pPr>
      <w:r w:rsidRPr="00617A5B">
        <w:rPr>
          <w:rStyle w:val="FootnoteReference"/>
          <w:sz w:val="18"/>
          <w:szCs w:val="18"/>
        </w:rPr>
        <w:footnoteRef/>
      </w:r>
      <w:r w:rsidRPr="00617A5B">
        <w:rPr>
          <w:sz w:val="18"/>
          <w:szCs w:val="18"/>
        </w:rPr>
        <w:t xml:space="preserve"> </w:t>
      </w:r>
      <w:r>
        <w:rPr>
          <w:sz w:val="18"/>
          <w:szCs w:val="18"/>
        </w:rPr>
        <w:t>Furter 2011and</w:t>
      </w:r>
      <w:r w:rsidRPr="00617A5B">
        <w:rPr>
          <w:sz w:val="18"/>
          <w:szCs w:val="18"/>
        </w:rPr>
        <w:t xml:space="preserve"> http://crsp-safety101.blogspot.com.au/2012/07/the-safety-triangle-explained.html</w:t>
      </w:r>
    </w:p>
  </w:footnote>
  <w:footnote w:id="16">
    <w:p w:rsidR="00123706" w:rsidRDefault="00123706" w:rsidP="003C5E42">
      <w:pPr>
        <w:pStyle w:val="FootnoteText"/>
      </w:pPr>
      <w:r w:rsidRPr="00617A5B">
        <w:rPr>
          <w:rStyle w:val="FootnoteReference"/>
          <w:sz w:val="18"/>
          <w:szCs w:val="18"/>
        </w:rPr>
        <w:footnoteRef/>
      </w:r>
      <w:r w:rsidRPr="00617A5B">
        <w:rPr>
          <w:sz w:val="18"/>
          <w:szCs w:val="18"/>
        </w:rPr>
        <w:t xml:space="preserve"> Frequency </w:t>
      </w:r>
      <w:r>
        <w:rPr>
          <w:sz w:val="18"/>
          <w:szCs w:val="18"/>
        </w:rPr>
        <w:t>rates are</w:t>
      </w:r>
      <w:r w:rsidRPr="00617A5B">
        <w:rPr>
          <w:sz w:val="18"/>
          <w:szCs w:val="18"/>
        </w:rPr>
        <w:t xml:space="preserve"> used rather than incidence </w:t>
      </w:r>
      <w:r>
        <w:rPr>
          <w:sz w:val="18"/>
          <w:szCs w:val="18"/>
        </w:rPr>
        <w:t xml:space="preserve">rates </w:t>
      </w:r>
      <w:r w:rsidRPr="00617A5B">
        <w:rPr>
          <w:sz w:val="18"/>
          <w:szCs w:val="18"/>
        </w:rPr>
        <w:t>as incidence can be easily manipulated through employment policy.</w:t>
      </w:r>
    </w:p>
  </w:footnote>
  <w:footnote w:id="17">
    <w:p w:rsidR="00123706" w:rsidRPr="00CA6644" w:rsidRDefault="00123706" w:rsidP="009D36DF">
      <w:pPr>
        <w:pStyle w:val="FootnoteText"/>
        <w:tabs>
          <w:tab w:val="left" w:pos="284"/>
        </w:tabs>
        <w:ind w:left="142" w:hanging="142"/>
        <w:rPr>
          <w:sz w:val="18"/>
          <w:szCs w:val="18"/>
        </w:rPr>
      </w:pPr>
      <w:r w:rsidRPr="000610D1">
        <w:rPr>
          <w:rStyle w:val="FootnoteReference"/>
          <w:sz w:val="18"/>
          <w:szCs w:val="18"/>
        </w:rPr>
        <w:footnoteRef/>
      </w:r>
      <w:r>
        <w:rPr>
          <w:sz w:val="18"/>
          <w:szCs w:val="18"/>
        </w:rPr>
        <w:t xml:space="preserve"> </w:t>
      </w:r>
      <w:r w:rsidRPr="00CA6644">
        <w:rPr>
          <w:sz w:val="18"/>
          <w:szCs w:val="18"/>
        </w:rPr>
        <w:t>S</w:t>
      </w:r>
      <w:r w:rsidRPr="00CA6644">
        <w:rPr>
          <w:rFonts w:eastAsia="Times New Roman" w:cs="Arial"/>
          <w:sz w:val="18"/>
          <w:szCs w:val="18"/>
        </w:rPr>
        <w:t>ome criticism of the research premises and methodology has also been evident. See</w:t>
      </w:r>
      <w:r w:rsidRPr="00CA6644">
        <w:rPr>
          <w:sz w:val="18"/>
          <w:szCs w:val="18"/>
        </w:rPr>
        <w:t xml:space="preserve"> for example: </w:t>
      </w:r>
      <w:r>
        <w:rPr>
          <w:sz w:val="18"/>
          <w:szCs w:val="18"/>
        </w:rPr>
        <w:t>Manuele 2002.</w:t>
      </w:r>
    </w:p>
  </w:footnote>
  <w:footnote w:id="18">
    <w:p w:rsidR="00123706" w:rsidRPr="00CA6644" w:rsidRDefault="00123706" w:rsidP="003C5E42">
      <w:pPr>
        <w:pStyle w:val="FootnoteText"/>
        <w:rPr>
          <w:sz w:val="18"/>
          <w:szCs w:val="18"/>
        </w:rPr>
      </w:pPr>
      <w:r w:rsidRPr="00CA6644">
        <w:rPr>
          <w:rStyle w:val="FootnoteReference"/>
          <w:sz w:val="18"/>
          <w:szCs w:val="18"/>
        </w:rPr>
        <w:footnoteRef/>
      </w:r>
      <w:r w:rsidRPr="00CA6644">
        <w:rPr>
          <w:sz w:val="18"/>
          <w:szCs w:val="18"/>
        </w:rPr>
        <w:t xml:space="preserve"> </w:t>
      </w:r>
      <w:r>
        <w:rPr>
          <w:sz w:val="18"/>
          <w:szCs w:val="18"/>
        </w:rPr>
        <w:t>McDonald 2006.</w:t>
      </w:r>
    </w:p>
  </w:footnote>
  <w:footnote w:id="19">
    <w:p w:rsidR="00123706" w:rsidRPr="00CA6644" w:rsidRDefault="00123706" w:rsidP="00034297">
      <w:pPr>
        <w:pStyle w:val="FootnoteText"/>
        <w:rPr>
          <w:sz w:val="18"/>
          <w:szCs w:val="18"/>
        </w:rPr>
      </w:pPr>
      <w:r w:rsidRPr="00CA6644">
        <w:rPr>
          <w:rStyle w:val="FootnoteReference"/>
          <w:sz w:val="18"/>
          <w:szCs w:val="18"/>
        </w:rPr>
        <w:footnoteRef/>
      </w:r>
      <w:r>
        <w:rPr>
          <w:sz w:val="18"/>
          <w:szCs w:val="18"/>
        </w:rPr>
        <w:t xml:space="preserve"> </w:t>
      </w:r>
      <w:r w:rsidRPr="005950BE">
        <w:rPr>
          <w:sz w:val="18"/>
          <w:szCs w:val="18"/>
        </w:rPr>
        <w:t>Gilovich, Griffin and Kahneman 2002; Jung 1971; McDonald 2012</w:t>
      </w:r>
      <w:r>
        <w:rPr>
          <w:sz w:val="18"/>
          <w:szCs w:val="18"/>
        </w:rPr>
        <w:t>.</w:t>
      </w:r>
    </w:p>
  </w:footnote>
  <w:footnote w:id="20">
    <w:p w:rsidR="00123706" w:rsidRPr="00CA6644" w:rsidRDefault="00123706" w:rsidP="003C5E42">
      <w:pPr>
        <w:pStyle w:val="FootnoteText"/>
        <w:rPr>
          <w:sz w:val="18"/>
          <w:szCs w:val="18"/>
        </w:rPr>
      </w:pPr>
      <w:r w:rsidRPr="00CA6644">
        <w:rPr>
          <w:rStyle w:val="FootnoteReference"/>
          <w:sz w:val="18"/>
          <w:szCs w:val="18"/>
        </w:rPr>
        <w:footnoteRef/>
      </w:r>
      <w:r w:rsidRPr="00CA6644">
        <w:rPr>
          <w:sz w:val="18"/>
          <w:szCs w:val="18"/>
        </w:rPr>
        <w:t xml:space="preserve"> Recordable injuries are essentially the combination of lost time plus medical treatment injuries.</w:t>
      </w:r>
    </w:p>
  </w:footnote>
  <w:footnote w:id="21">
    <w:p w:rsidR="00123706" w:rsidRPr="00CA6644" w:rsidRDefault="00123706" w:rsidP="00034297">
      <w:pPr>
        <w:pStyle w:val="FootnoteText"/>
        <w:rPr>
          <w:sz w:val="18"/>
          <w:szCs w:val="18"/>
        </w:rPr>
      </w:pPr>
      <w:r w:rsidRPr="00CA6644">
        <w:rPr>
          <w:rStyle w:val="FootnoteReference"/>
          <w:sz w:val="18"/>
          <w:szCs w:val="18"/>
        </w:rPr>
        <w:footnoteRef/>
      </w:r>
      <w:r w:rsidRPr="00CA6644">
        <w:rPr>
          <w:sz w:val="18"/>
          <w:szCs w:val="18"/>
        </w:rPr>
        <w:t xml:space="preserve"> </w:t>
      </w:r>
      <w:r w:rsidRPr="005950BE">
        <w:rPr>
          <w:sz w:val="18"/>
          <w:szCs w:val="18"/>
        </w:rPr>
        <w:t>Blewett 1994; Bottomley 2000</w:t>
      </w:r>
      <w:r>
        <w:rPr>
          <w:sz w:val="18"/>
          <w:szCs w:val="18"/>
        </w:rPr>
        <w:t>.</w:t>
      </w:r>
    </w:p>
  </w:footnote>
  <w:footnote w:id="22">
    <w:p w:rsidR="00123706" w:rsidRDefault="00123706" w:rsidP="00034297">
      <w:pPr>
        <w:pStyle w:val="FootnoteText"/>
      </w:pPr>
      <w:r>
        <w:rPr>
          <w:rStyle w:val="FootnoteReference"/>
        </w:rPr>
        <w:footnoteRef/>
      </w:r>
      <w:r>
        <w:rPr>
          <w:sz w:val="18"/>
          <w:szCs w:val="18"/>
        </w:rPr>
        <w:t xml:space="preserve"> </w:t>
      </w:r>
      <w:r w:rsidRPr="003008B0">
        <w:rPr>
          <w:sz w:val="18"/>
          <w:szCs w:val="18"/>
        </w:rPr>
        <w:t>This is the latest year for which this level of compensation data is publicly available (see Safe Work Australia 2012)</w:t>
      </w:r>
      <w:r>
        <w:rPr>
          <w:sz w:val="18"/>
          <w:szCs w:val="18"/>
        </w:rPr>
        <w:t>.</w:t>
      </w:r>
    </w:p>
  </w:footnote>
  <w:footnote w:id="23">
    <w:p w:rsidR="00123706" w:rsidRDefault="00123706">
      <w:pPr>
        <w:pStyle w:val="FootnoteText"/>
      </w:pPr>
      <w:r>
        <w:rPr>
          <w:rStyle w:val="FootnoteReference"/>
        </w:rPr>
        <w:footnoteRef/>
      </w:r>
      <w:r>
        <w:rPr>
          <w:sz w:val="18"/>
          <w:szCs w:val="18"/>
        </w:rPr>
        <w:t xml:space="preserve"> Furthermore, the</w:t>
      </w:r>
      <w:r w:rsidRPr="00BD1B98">
        <w:rPr>
          <w:sz w:val="18"/>
          <w:szCs w:val="18"/>
        </w:rPr>
        <w:t xml:space="preserve"> average economic cost of </w:t>
      </w:r>
      <w:r>
        <w:rPr>
          <w:sz w:val="18"/>
          <w:szCs w:val="18"/>
        </w:rPr>
        <w:t xml:space="preserve">a totally disabling </w:t>
      </w:r>
      <w:r w:rsidRPr="00BD1B98">
        <w:rPr>
          <w:sz w:val="18"/>
          <w:szCs w:val="18"/>
        </w:rPr>
        <w:t>injury</w:t>
      </w:r>
      <w:r>
        <w:rPr>
          <w:sz w:val="18"/>
          <w:szCs w:val="18"/>
        </w:rPr>
        <w:t xml:space="preserve"> wa</w:t>
      </w:r>
      <w:r w:rsidRPr="00BD1B98">
        <w:rPr>
          <w:sz w:val="18"/>
          <w:szCs w:val="18"/>
        </w:rPr>
        <w:t>s $3,037,070 versus $2</w:t>
      </w:r>
      <w:r>
        <w:rPr>
          <w:sz w:val="18"/>
          <w:szCs w:val="18"/>
        </w:rPr>
        <w:t>,</w:t>
      </w:r>
      <w:r w:rsidRPr="00BD1B98">
        <w:rPr>
          <w:sz w:val="18"/>
          <w:szCs w:val="18"/>
        </w:rPr>
        <w:t>700 for</w:t>
      </w:r>
      <w:r>
        <w:rPr>
          <w:sz w:val="18"/>
          <w:szCs w:val="18"/>
        </w:rPr>
        <w:t xml:space="preserve"> a short ab</w:t>
      </w:r>
      <w:r w:rsidRPr="00BD1B98">
        <w:rPr>
          <w:sz w:val="18"/>
          <w:szCs w:val="18"/>
        </w:rPr>
        <w:t>sence</w:t>
      </w:r>
      <w:r>
        <w:t>.</w:t>
      </w:r>
    </w:p>
  </w:footnote>
  <w:footnote w:id="24">
    <w:p w:rsidR="00123706" w:rsidRPr="0073724C" w:rsidRDefault="00123706" w:rsidP="003C5E42">
      <w:pPr>
        <w:pStyle w:val="FootnoteText"/>
        <w:rPr>
          <w:sz w:val="18"/>
          <w:szCs w:val="18"/>
        </w:rPr>
      </w:pPr>
      <w:r>
        <w:rPr>
          <w:rStyle w:val="FootnoteReference"/>
        </w:rPr>
        <w:footnoteRef/>
      </w:r>
      <w:r>
        <w:rPr>
          <w:sz w:val="18"/>
          <w:szCs w:val="18"/>
        </w:rPr>
        <w:t xml:space="preserve"> D</w:t>
      </w:r>
      <w:r w:rsidRPr="0073724C">
        <w:rPr>
          <w:sz w:val="18"/>
          <w:szCs w:val="18"/>
        </w:rPr>
        <w:t xml:space="preserve">iscussion of McDonald’s (1985) temporary versus permanent impairment classifications is provided </w:t>
      </w:r>
      <w:r w:rsidRPr="00461419">
        <w:rPr>
          <w:sz w:val="18"/>
          <w:szCs w:val="18"/>
        </w:rPr>
        <w:t>on page 14</w:t>
      </w:r>
      <w:r>
        <w:rPr>
          <w:sz w:val="18"/>
          <w:szCs w:val="18"/>
        </w:rPr>
        <w:t>.</w:t>
      </w:r>
    </w:p>
  </w:footnote>
  <w:footnote w:id="25">
    <w:p w:rsidR="00123706" w:rsidRDefault="00123706" w:rsidP="0065428A">
      <w:pPr>
        <w:pStyle w:val="FootnoteText"/>
        <w:ind w:left="142" w:hanging="142"/>
      </w:pPr>
      <w:r>
        <w:rPr>
          <w:rStyle w:val="FootnoteReference"/>
        </w:rPr>
        <w:footnoteRef/>
      </w:r>
      <w:r>
        <w:rPr>
          <w:sz w:val="18"/>
          <w:szCs w:val="18"/>
        </w:rPr>
        <w:t xml:space="preserve"> </w:t>
      </w:r>
      <w:r w:rsidRPr="005950BE">
        <w:rPr>
          <w:sz w:val="18"/>
          <w:szCs w:val="18"/>
        </w:rPr>
        <w:t>McDonald 1985; 2001; O'Neill, Deegan and McDonald 2012</w:t>
      </w:r>
      <w:r>
        <w:rPr>
          <w:sz w:val="18"/>
          <w:szCs w:val="18"/>
        </w:rPr>
        <w:t>.</w:t>
      </w:r>
    </w:p>
  </w:footnote>
  <w:footnote w:id="26">
    <w:p w:rsidR="00123706" w:rsidRDefault="00123706" w:rsidP="0080400D">
      <w:pPr>
        <w:pStyle w:val="FootnoteText"/>
      </w:pPr>
      <w:r>
        <w:rPr>
          <w:rStyle w:val="FootnoteReference"/>
        </w:rPr>
        <w:footnoteRef/>
      </w:r>
      <w:r>
        <w:rPr>
          <w:sz w:val="18"/>
          <w:szCs w:val="18"/>
        </w:rPr>
        <w:t xml:space="preserve"> </w:t>
      </w:r>
      <w:r w:rsidRPr="003F475A">
        <w:rPr>
          <w:sz w:val="18"/>
          <w:szCs w:val="18"/>
        </w:rPr>
        <w:t>http://crsp-safety101.blogspot.com.au/2012/07/the-safety-triangle-explained.html</w:t>
      </w:r>
    </w:p>
  </w:footnote>
  <w:footnote w:id="27">
    <w:p w:rsidR="00123706" w:rsidRDefault="00123706" w:rsidP="0080400D">
      <w:pPr>
        <w:pStyle w:val="FootnoteText"/>
      </w:pPr>
      <w:r>
        <w:rPr>
          <w:rStyle w:val="FootnoteReference"/>
        </w:rPr>
        <w:footnoteRef/>
      </w:r>
      <w:r>
        <w:rPr>
          <w:sz w:val="18"/>
          <w:szCs w:val="18"/>
        </w:rPr>
        <w:t xml:space="preserve"> </w:t>
      </w:r>
      <w:r w:rsidRPr="00616761">
        <w:rPr>
          <w:sz w:val="18"/>
          <w:szCs w:val="18"/>
        </w:rPr>
        <w:t>McDonald</w:t>
      </w:r>
      <w:r>
        <w:rPr>
          <w:sz w:val="18"/>
          <w:szCs w:val="18"/>
        </w:rPr>
        <w:t>,</w:t>
      </w:r>
      <w:r w:rsidRPr="00616761">
        <w:rPr>
          <w:sz w:val="18"/>
          <w:szCs w:val="18"/>
        </w:rPr>
        <w:t xml:space="preserve"> 2006</w:t>
      </w:r>
      <w:r>
        <w:rPr>
          <w:sz w:val="18"/>
          <w:szCs w:val="18"/>
        </w:rPr>
        <w:t>.</w:t>
      </w:r>
    </w:p>
  </w:footnote>
  <w:footnote w:id="28">
    <w:p w:rsidR="00123706" w:rsidRPr="008F4424" w:rsidRDefault="00123706" w:rsidP="0080400D">
      <w:pPr>
        <w:pStyle w:val="FootnoteText"/>
        <w:rPr>
          <w:sz w:val="18"/>
          <w:szCs w:val="18"/>
        </w:rPr>
      </w:pPr>
      <w:r>
        <w:rPr>
          <w:rStyle w:val="FootnoteReference"/>
        </w:rPr>
        <w:footnoteRef/>
      </w:r>
      <w:r>
        <w:rPr>
          <w:sz w:val="18"/>
          <w:szCs w:val="18"/>
        </w:rPr>
        <w:t xml:space="preserve"> </w:t>
      </w:r>
      <w:r w:rsidRPr="008F4424">
        <w:rPr>
          <w:sz w:val="18"/>
          <w:szCs w:val="18"/>
        </w:rPr>
        <w:t>Th</w:t>
      </w:r>
      <w:r>
        <w:rPr>
          <w:sz w:val="18"/>
          <w:szCs w:val="18"/>
        </w:rPr>
        <w:t xml:space="preserve">e subject </w:t>
      </w:r>
      <w:r w:rsidRPr="008F4424">
        <w:rPr>
          <w:sz w:val="18"/>
          <w:szCs w:val="18"/>
        </w:rPr>
        <w:t>allocated 6</w:t>
      </w:r>
      <w:r>
        <w:rPr>
          <w:sz w:val="18"/>
          <w:szCs w:val="18"/>
        </w:rPr>
        <w:t>,</w:t>
      </w:r>
      <w:r w:rsidRPr="008F4424">
        <w:rPr>
          <w:sz w:val="18"/>
          <w:szCs w:val="18"/>
        </w:rPr>
        <w:t>000 days for a fatality and 3</w:t>
      </w:r>
      <w:r>
        <w:rPr>
          <w:sz w:val="18"/>
          <w:szCs w:val="18"/>
        </w:rPr>
        <w:t>,</w:t>
      </w:r>
      <w:r w:rsidRPr="008F4424">
        <w:rPr>
          <w:sz w:val="18"/>
          <w:szCs w:val="18"/>
        </w:rPr>
        <w:t xml:space="preserve">000 days for a permanent disability </w:t>
      </w:r>
      <w:r>
        <w:rPr>
          <w:sz w:val="18"/>
          <w:szCs w:val="18"/>
        </w:rPr>
        <w:t>as per</w:t>
      </w:r>
      <w:r w:rsidRPr="008F4424">
        <w:rPr>
          <w:sz w:val="18"/>
          <w:szCs w:val="18"/>
        </w:rPr>
        <w:t xml:space="preserve"> the American </w:t>
      </w:r>
      <w:r>
        <w:rPr>
          <w:sz w:val="18"/>
          <w:szCs w:val="18"/>
        </w:rPr>
        <w:t>S</w:t>
      </w:r>
      <w:r w:rsidRPr="008F4424">
        <w:rPr>
          <w:sz w:val="18"/>
          <w:szCs w:val="18"/>
        </w:rPr>
        <w:t>tandard.</w:t>
      </w:r>
    </w:p>
  </w:footnote>
  <w:footnote w:id="29">
    <w:p w:rsidR="00123706" w:rsidRPr="00032BC3" w:rsidRDefault="00123706" w:rsidP="00CB6D91">
      <w:pPr>
        <w:pStyle w:val="FootnoteText"/>
        <w:rPr>
          <w:sz w:val="18"/>
          <w:szCs w:val="18"/>
        </w:rPr>
      </w:pPr>
      <w:r>
        <w:rPr>
          <w:rStyle w:val="FootnoteReference"/>
        </w:rPr>
        <w:footnoteRef/>
      </w:r>
      <w:r>
        <w:rPr>
          <w:sz w:val="18"/>
          <w:szCs w:val="18"/>
        </w:rPr>
        <w:t xml:space="preserve"> </w:t>
      </w:r>
      <w:r w:rsidRPr="00032BC3">
        <w:rPr>
          <w:sz w:val="18"/>
          <w:szCs w:val="18"/>
        </w:rPr>
        <w:t>Note, a performance measure will measure X to understand X. An indicator measures X to understand Y.</w:t>
      </w:r>
    </w:p>
  </w:footnote>
  <w:footnote w:id="30">
    <w:p w:rsidR="00123706" w:rsidRPr="00032BC3" w:rsidRDefault="00123706" w:rsidP="00A00B9E">
      <w:pPr>
        <w:pStyle w:val="FootnoteText"/>
        <w:rPr>
          <w:sz w:val="18"/>
          <w:szCs w:val="18"/>
        </w:rPr>
      </w:pPr>
      <w:r w:rsidRPr="00032BC3">
        <w:rPr>
          <w:rStyle w:val="FootnoteReference"/>
          <w:sz w:val="18"/>
          <w:szCs w:val="18"/>
        </w:rPr>
        <w:footnoteRef/>
      </w:r>
      <w:r w:rsidRPr="00032BC3">
        <w:rPr>
          <w:sz w:val="18"/>
          <w:szCs w:val="18"/>
        </w:rPr>
        <w:t xml:space="preserve"> </w:t>
      </w:r>
      <w:r w:rsidRPr="005950BE">
        <w:rPr>
          <w:sz w:val="18"/>
          <w:szCs w:val="18"/>
        </w:rPr>
        <w:t>Borys, Else and Leggett 2009; Glendon 2009; Hale and Hovden 1998</w:t>
      </w:r>
      <w:r>
        <w:rPr>
          <w:sz w:val="18"/>
          <w:szCs w:val="18"/>
        </w:rPr>
        <w:t>.</w:t>
      </w:r>
    </w:p>
  </w:footnote>
  <w:footnote w:id="31">
    <w:p w:rsidR="00123706" w:rsidRPr="00032BC3" w:rsidRDefault="00123706" w:rsidP="00A00B9E">
      <w:pPr>
        <w:pStyle w:val="FootnoteText"/>
        <w:rPr>
          <w:sz w:val="18"/>
          <w:szCs w:val="18"/>
        </w:rPr>
      </w:pPr>
      <w:r w:rsidRPr="00032BC3">
        <w:rPr>
          <w:rStyle w:val="FootnoteReference"/>
          <w:sz w:val="18"/>
          <w:szCs w:val="18"/>
        </w:rPr>
        <w:footnoteRef/>
      </w:r>
      <w:r w:rsidRPr="00032BC3">
        <w:rPr>
          <w:sz w:val="18"/>
          <w:szCs w:val="18"/>
        </w:rPr>
        <w:t xml:space="preserve"> AS 1885.1-1990, Workplace Injury and Disease Recording Standard, Worksafe Australia, p.6. </w:t>
      </w:r>
    </w:p>
  </w:footnote>
  <w:footnote w:id="32">
    <w:p w:rsidR="00123706" w:rsidRPr="00032BC3" w:rsidRDefault="00123706" w:rsidP="00A00B9E">
      <w:pPr>
        <w:pStyle w:val="FootnoteText"/>
        <w:rPr>
          <w:sz w:val="18"/>
          <w:szCs w:val="18"/>
        </w:rPr>
      </w:pPr>
      <w:r w:rsidRPr="00032BC3">
        <w:rPr>
          <w:rStyle w:val="FootnoteReference"/>
          <w:sz w:val="18"/>
          <w:szCs w:val="18"/>
        </w:rPr>
        <w:footnoteRef/>
      </w:r>
      <w:r w:rsidRPr="00032BC3">
        <w:rPr>
          <w:sz w:val="18"/>
          <w:szCs w:val="18"/>
        </w:rPr>
        <w:t xml:space="preserve"> </w:t>
      </w:r>
      <w:r>
        <w:rPr>
          <w:sz w:val="18"/>
          <w:szCs w:val="18"/>
        </w:rPr>
        <w:t>F</w:t>
      </w:r>
      <w:r w:rsidRPr="00032BC3">
        <w:rPr>
          <w:sz w:val="18"/>
          <w:szCs w:val="18"/>
        </w:rPr>
        <w:t xml:space="preserve">or example </w:t>
      </w:r>
      <w:r w:rsidRPr="005950BE">
        <w:rPr>
          <w:sz w:val="18"/>
          <w:szCs w:val="18"/>
        </w:rPr>
        <w:t>Collins 2013</w:t>
      </w:r>
    </w:p>
  </w:footnote>
  <w:footnote w:id="33">
    <w:p w:rsidR="00123706" w:rsidRPr="004D2CFD" w:rsidRDefault="00123706" w:rsidP="0080400D">
      <w:pPr>
        <w:pStyle w:val="FootnoteText"/>
        <w:rPr>
          <w:sz w:val="18"/>
          <w:szCs w:val="18"/>
        </w:rPr>
      </w:pPr>
      <w:r w:rsidRPr="004D2CFD">
        <w:rPr>
          <w:rStyle w:val="FootnoteReference"/>
          <w:sz w:val="18"/>
          <w:szCs w:val="18"/>
        </w:rPr>
        <w:footnoteRef/>
      </w:r>
      <w:r>
        <w:rPr>
          <w:sz w:val="18"/>
          <w:szCs w:val="18"/>
        </w:rPr>
        <w:t xml:space="preserve"> </w:t>
      </w:r>
      <w:r w:rsidRPr="005950BE">
        <w:rPr>
          <w:sz w:val="18"/>
          <w:szCs w:val="18"/>
        </w:rPr>
        <w:t>Hopkins 1994</w:t>
      </w:r>
      <w:r>
        <w:rPr>
          <w:sz w:val="18"/>
          <w:szCs w:val="18"/>
        </w:rPr>
        <w:t>,</w:t>
      </w:r>
      <w:r w:rsidRPr="005950BE">
        <w:rPr>
          <w:sz w:val="18"/>
          <w:szCs w:val="18"/>
        </w:rPr>
        <w:t xml:space="preserve"> 2005; McDona</w:t>
      </w:r>
      <w:r>
        <w:rPr>
          <w:sz w:val="18"/>
          <w:szCs w:val="18"/>
        </w:rPr>
        <w:t>ld 1994.</w:t>
      </w:r>
    </w:p>
  </w:footnote>
  <w:footnote w:id="34">
    <w:p w:rsidR="00123706" w:rsidRPr="004D2CFD" w:rsidRDefault="00123706" w:rsidP="005C1F88">
      <w:pPr>
        <w:pStyle w:val="FootnoteText"/>
        <w:rPr>
          <w:sz w:val="18"/>
          <w:szCs w:val="18"/>
        </w:rPr>
      </w:pPr>
      <w:r w:rsidRPr="004D2CFD">
        <w:rPr>
          <w:rStyle w:val="FootnoteReference"/>
          <w:sz w:val="18"/>
          <w:szCs w:val="18"/>
        </w:rPr>
        <w:footnoteRef/>
      </w:r>
      <w:r>
        <w:rPr>
          <w:sz w:val="18"/>
          <w:szCs w:val="18"/>
        </w:rPr>
        <w:t xml:space="preserve"> Oxford Dictionary 2004.</w:t>
      </w:r>
    </w:p>
  </w:footnote>
  <w:footnote w:id="35">
    <w:p w:rsidR="00123706" w:rsidRDefault="00123706" w:rsidP="005C1F88">
      <w:pPr>
        <w:pStyle w:val="FootnoteText"/>
      </w:pPr>
      <w:r>
        <w:rPr>
          <w:rStyle w:val="FootnoteReference"/>
        </w:rPr>
        <w:footnoteRef/>
      </w:r>
      <w:r>
        <w:rPr>
          <w:sz w:val="18"/>
          <w:szCs w:val="18"/>
        </w:rPr>
        <w:t xml:space="preserve"> </w:t>
      </w:r>
      <w:r w:rsidRPr="005950BE">
        <w:rPr>
          <w:sz w:val="18"/>
          <w:szCs w:val="18"/>
        </w:rPr>
        <w:t>Hopkins 2005; Reason 1997</w:t>
      </w:r>
      <w:r>
        <w:rPr>
          <w:sz w:val="18"/>
          <w:szCs w:val="18"/>
        </w:rPr>
        <w:t xml:space="preserve">; </w:t>
      </w:r>
      <w:r w:rsidRPr="005950BE">
        <w:rPr>
          <w:sz w:val="18"/>
          <w:szCs w:val="18"/>
        </w:rPr>
        <w:t>Janicak 2010</w:t>
      </w:r>
      <w:r>
        <w:rPr>
          <w:sz w:val="18"/>
          <w:szCs w:val="18"/>
        </w:rPr>
        <w:t>.</w:t>
      </w:r>
    </w:p>
  </w:footnote>
  <w:footnote w:id="36">
    <w:p w:rsidR="00123706" w:rsidRDefault="00123706">
      <w:pPr>
        <w:pStyle w:val="FootnoteText"/>
      </w:pPr>
      <w:r>
        <w:rPr>
          <w:rStyle w:val="FootnoteReference"/>
        </w:rPr>
        <w:footnoteRef/>
      </w:r>
      <w:r>
        <w:t xml:space="preserve"> </w:t>
      </w:r>
      <w:r w:rsidRPr="005950BE">
        <w:rPr>
          <w:sz w:val="18"/>
          <w:szCs w:val="18"/>
        </w:rPr>
        <w:t>Hopkins 2000</w:t>
      </w:r>
      <w:r>
        <w:rPr>
          <w:sz w:val="18"/>
          <w:szCs w:val="18"/>
        </w:rPr>
        <w:t>,</w:t>
      </w:r>
      <w:r w:rsidRPr="005950BE">
        <w:rPr>
          <w:sz w:val="18"/>
          <w:szCs w:val="18"/>
        </w:rPr>
        <w:t xml:space="preserve"> 2005</w:t>
      </w:r>
      <w:r>
        <w:rPr>
          <w:sz w:val="18"/>
          <w:szCs w:val="18"/>
        </w:rPr>
        <w:t>.</w:t>
      </w:r>
    </w:p>
  </w:footnote>
  <w:footnote w:id="37">
    <w:p w:rsidR="00123706" w:rsidRDefault="00123706" w:rsidP="0080400D">
      <w:pPr>
        <w:pStyle w:val="FootnoteText"/>
      </w:pPr>
      <w:r>
        <w:rPr>
          <w:rStyle w:val="FootnoteReference"/>
        </w:rPr>
        <w:footnoteRef/>
      </w:r>
      <w:r w:rsidRPr="00B20302">
        <w:rPr>
          <w:sz w:val="18"/>
          <w:szCs w:val="18"/>
        </w:rPr>
        <w:t xml:space="preserve">Recordable injuries essentially aggregate medical treatment and lost time injuries. See </w:t>
      </w:r>
      <w:r>
        <w:rPr>
          <w:sz w:val="18"/>
          <w:szCs w:val="18"/>
        </w:rPr>
        <w:t>OSHA 1996.</w:t>
      </w:r>
    </w:p>
  </w:footnote>
  <w:footnote w:id="38">
    <w:p w:rsidR="00123706" w:rsidRDefault="00123706" w:rsidP="00C67AA6">
      <w:pPr>
        <w:pStyle w:val="FootnoteText"/>
      </w:pPr>
      <w:r>
        <w:rPr>
          <w:rStyle w:val="FootnoteReference"/>
        </w:rPr>
        <w:footnoteRef/>
      </w:r>
      <w:r>
        <w:rPr>
          <w:sz w:val="18"/>
          <w:szCs w:val="18"/>
        </w:rPr>
        <w:t xml:space="preserve"> For example,</w:t>
      </w:r>
      <w:r w:rsidRPr="00B20302">
        <w:rPr>
          <w:sz w:val="18"/>
          <w:szCs w:val="18"/>
        </w:rPr>
        <w:t xml:space="preserve"> McDonald </w:t>
      </w:r>
      <w:r>
        <w:rPr>
          <w:sz w:val="18"/>
          <w:szCs w:val="18"/>
        </w:rPr>
        <w:t>1985; NOH</w:t>
      </w:r>
      <w:r w:rsidRPr="00B20302">
        <w:rPr>
          <w:sz w:val="18"/>
          <w:szCs w:val="18"/>
        </w:rPr>
        <w:t>SC</w:t>
      </w:r>
      <w:r>
        <w:rPr>
          <w:sz w:val="18"/>
          <w:szCs w:val="18"/>
        </w:rPr>
        <w:t xml:space="preserve"> 2004; Safe Work Australia 2012a, 2012b.</w:t>
      </w:r>
    </w:p>
  </w:footnote>
  <w:footnote w:id="39">
    <w:p w:rsidR="00123706" w:rsidRPr="00A52B2F" w:rsidRDefault="00123706">
      <w:pPr>
        <w:pStyle w:val="FootnoteText"/>
        <w:rPr>
          <w:sz w:val="18"/>
          <w:szCs w:val="18"/>
        </w:rPr>
      </w:pPr>
      <w:r>
        <w:rPr>
          <w:rStyle w:val="FootnoteReference"/>
        </w:rPr>
        <w:footnoteRef/>
      </w:r>
      <w:r>
        <w:rPr>
          <w:sz w:val="18"/>
          <w:szCs w:val="18"/>
        </w:rPr>
        <w:t xml:space="preserve"> </w:t>
      </w:r>
      <w:r w:rsidRPr="00A52B2F">
        <w:rPr>
          <w:sz w:val="18"/>
          <w:szCs w:val="18"/>
        </w:rPr>
        <w:t>Hopkins 2000, pp70-71</w:t>
      </w:r>
      <w:r>
        <w:rPr>
          <w:sz w:val="18"/>
          <w:szCs w:val="18"/>
        </w:rPr>
        <w:t>.</w:t>
      </w:r>
    </w:p>
  </w:footnote>
  <w:footnote w:id="40">
    <w:p w:rsidR="00123706" w:rsidRDefault="00123706">
      <w:pPr>
        <w:pStyle w:val="FootnoteText"/>
      </w:pPr>
      <w:r>
        <w:rPr>
          <w:rStyle w:val="FootnoteReference"/>
        </w:rPr>
        <w:footnoteRef/>
      </w:r>
      <w:r w:rsidRPr="00602C65">
        <w:rPr>
          <w:sz w:val="18"/>
          <w:szCs w:val="18"/>
        </w:rPr>
        <w:t xml:space="preserve">McDonald </w:t>
      </w:r>
      <w:r>
        <w:rPr>
          <w:sz w:val="18"/>
          <w:szCs w:val="18"/>
        </w:rPr>
        <w:t>1985, 2005, 2012.</w:t>
      </w:r>
    </w:p>
  </w:footnote>
  <w:footnote w:id="41">
    <w:p w:rsidR="00123706" w:rsidRDefault="00123706">
      <w:pPr>
        <w:pStyle w:val="FootnoteText"/>
      </w:pPr>
      <w:r>
        <w:rPr>
          <w:rStyle w:val="FootnoteReference"/>
        </w:rPr>
        <w:footnoteRef/>
      </w:r>
      <w:r w:rsidRPr="00602C65">
        <w:rPr>
          <w:sz w:val="18"/>
          <w:szCs w:val="18"/>
        </w:rPr>
        <w:t>Ibid</w:t>
      </w:r>
    </w:p>
  </w:footnote>
  <w:footnote w:id="42">
    <w:p w:rsidR="00123706" w:rsidRPr="008005E2" w:rsidRDefault="00123706" w:rsidP="00457B46">
      <w:pPr>
        <w:pStyle w:val="FootnoteText"/>
        <w:rPr>
          <w:sz w:val="18"/>
          <w:szCs w:val="18"/>
        </w:rPr>
      </w:pPr>
      <w:r w:rsidRPr="008005E2">
        <w:rPr>
          <w:rStyle w:val="FootnoteReference"/>
          <w:sz w:val="18"/>
          <w:szCs w:val="18"/>
        </w:rPr>
        <w:footnoteRef/>
      </w:r>
      <w:r w:rsidRPr="008005E2">
        <w:rPr>
          <w:sz w:val="18"/>
          <w:szCs w:val="18"/>
        </w:rPr>
        <w:t xml:space="preserve"> These include injuries for which workers’ compensation claims have been rejected or not lodged.</w:t>
      </w:r>
    </w:p>
  </w:footnote>
  <w:footnote w:id="43">
    <w:p w:rsidR="00123706" w:rsidRDefault="00123706">
      <w:pPr>
        <w:pStyle w:val="FootnoteText"/>
      </w:pPr>
      <w:r>
        <w:rPr>
          <w:rStyle w:val="FootnoteReference"/>
        </w:rPr>
        <w:footnoteRef/>
      </w:r>
      <w:r>
        <w:rPr>
          <w:sz w:val="18"/>
          <w:szCs w:val="18"/>
        </w:rPr>
        <w:t xml:space="preserve"> </w:t>
      </w:r>
      <w:r w:rsidRPr="00DF3733">
        <w:rPr>
          <w:sz w:val="18"/>
          <w:szCs w:val="18"/>
        </w:rPr>
        <w:t>Petersen 1996, p15</w:t>
      </w:r>
      <w:r>
        <w:t>.</w:t>
      </w:r>
    </w:p>
  </w:footnote>
  <w:footnote w:id="44">
    <w:p w:rsidR="00123706" w:rsidRDefault="00123706">
      <w:pPr>
        <w:pStyle w:val="FootnoteText"/>
      </w:pPr>
      <w:r>
        <w:rPr>
          <w:rStyle w:val="FootnoteReference"/>
        </w:rPr>
        <w:footnoteRef/>
      </w:r>
      <w:r>
        <w:rPr>
          <w:sz w:val="18"/>
          <w:szCs w:val="18"/>
        </w:rPr>
        <w:t xml:space="preserve"> </w:t>
      </w:r>
      <w:r w:rsidRPr="005950BE">
        <w:rPr>
          <w:sz w:val="18"/>
          <w:szCs w:val="18"/>
        </w:rPr>
        <w:t>Kahneman, Slovic and Tve</w:t>
      </w:r>
      <w:r>
        <w:rPr>
          <w:sz w:val="18"/>
          <w:szCs w:val="18"/>
        </w:rPr>
        <w:t>rskey 1982; Petersen 1989, 1996.</w:t>
      </w:r>
    </w:p>
  </w:footnote>
  <w:footnote w:id="45">
    <w:p w:rsidR="00123706" w:rsidRPr="006335BD" w:rsidRDefault="00123706" w:rsidP="007211DF">
      <w:pPr>
        <w:pStyle w:val="FootnoteText"/>
        <w:rPr>
          <w:sz w:val="18"/>
          <w:szCs w:val="18"/>
        </w:rPr>
      </w:pPr>
      <w:r>
        <w:rPr>
          <w:rStyle w:val="FootnoteReference"/>
        </w:rPr>
        <w:footnoteRef/>
      </w:r>
      <w:r>
        <w:rPr>
          <w:sz w:val="18"/>
          <w:szCs w:val="18"/>
        </w:rPr>
        <w:t xml:space="preserve"> </w:t>
      </w:r>
      <w:r w:rsidRPr="005950BE">
        <w:rPr>
          <w:sz w:val="18"/>
          <w:szCs w:val="18"/>
        </w:rPr>
        <w:t>ABS 2001</w:t>
      </w:r>
      <w:r>
        <w:rPr>
          <w:sz w:val="18"/>
          <w:szCs w:val="18"/>
        </w:rPr>
        <w:t>,</w:t>
      </w:r>
      <w:r w:rsidRPr="005950BE">
        <w:rPr>
          <w:sz w:val="18"/>
          <w:szCs w:val="18"/>
        </w:rPr>
        <w:t xml:space="preserve"> 2010; Drexel 1992; Herr 1998; NOHSC 2004</w:t>
      </w:r>
      <w:r>
        <w:rPr>
          <w:sz w:val="18"/>
          <w:szCs w:val="18"/>
        </w:rPr>
        <w:t>.</w:t>
      </w:r>
    </w:p>
  </w:footnote>
  <w:footnote w:id="46">
    <w:p w:rsidR="00123706" w:rsidRDefault="00123706" w:rsidP="007211DF">
      <w:pPr>
        <w:pStyle w:val="FootnoteText"/>
        <w:ind w:left="142" w:hanging="142"/>
      </w:pPr>
      <w:r>
        <w:rPr>
          <w:rStyle w:val="FootnoteReference"/>
        </w:rPr>
        <w:footnoteRef/>
      </w:r>
      <w:r>
        <w:rPr>
          <w:sz w:val="18"/>
          <w:szCs w:val="18"/>
        </w:rPr>
        <w:t xml:space="preserve"> </w:t>
      </w:r>
      <w:r w:rsidRPr="00A27016">
        <w:rPr>
          <w:sz w:val="18"/>
          <w:szCs w:val="18"/>
        </w:rPr>
        <w:t xml:space="preserve">Reasons </w:t>
      </w:r>
      <w:r>
        <w:rPr>
          <w:sz w:val="18"/>
          <w:szCs w:val="18"/>
        </w:rPr>
        <w:t>for</w:t>
      </w:r>
      <w:r w:rsidRPr="00A27016">
        <w:rPr>
          <w:sz w:val="18"/>
          <w:szCs w:val="18"/>
        </w:rPr>
        <w:t xml:space="preserve"> fail</w:t>
      </w:r>
      <w:r>
        <w:rPr>
          <w:sz w:val="18"/>
          <w:szCs w:val="18"/>
        </w:rPr>
        <w:t>ure</w:t>
      </w:r>
      <w:r w:rsidRPr="00A27016">
        <w:rPr>
          <w:sz w:val="18"/>
          <w:szCs w:val="18"/>
        </w:rPr>
        <w:t xml:space="preserve"> to lodge workers’ compensation claims</w:t>
      </w:r>
      <w:r>
        <w:rPr>
          <w:sz w:val="18"/>
          <w:szCs w:val="18"/>
        </w:rPr>
        <w:t xml:space="preserve"> </w:t>
      </w:r>
      <w:r w:rsidRPr="00A27016">
        <w:rPr>
          <w:sz w:val="18"/>
          <w:szCs w:val="18"/>
        </w:rPr>
        <w:t>incl</w:t>
      </w:r>
      <w:r>
        <w:rPr>
          <w:sz w:val="18"/>
          <w:szCs w:val="18"/>
        </w:rPr>
        <w:t>ude</w:t>
      </w:r>
      <w:r w:rsidRPr="00A27016">
        <w:rPr>
          <w:sz w:val="18"/>
          <w:szCs w:val="18"/>
        </w:rPr>
        <w:t xml:space="preserve">: injury being perceived as minor (50%); </w:t>
      </w:r>
      <w:r>
        <w:rPr>
          <w:sz w:val="18"/>
          <w:szCs w:val="18"/>
        </w:rPr>
        <w:t>unaware or ineligible for compensation</w:t>
      </w:r>
      <w:r w:rsidRPr="00A27016">
        <w:rPr>
          <w:sz w:val="18"/>
          <w:szCs w:val="18"/>
        </w:rPr>
        <w:t xml:space="preserve"> (20%); and concerns such as negative impact on current and future employment.</w:t>
      </w:r>
    </w:p>
  </w:footnote>
  <w:footnote w:id="47">
    <w:p w:rsidR="00123706" w:rsidRPr="00935FF5" w:rsidRDefault="00123706" w:rsidP="00935FF5">
      <w:pPr>
        <w:pStyle w:val="FootnoteText"/>
        <w:rPr>
          <w:rStyle w:val="FootnoteReference"/>
        </w:rPr>
      </w:pPr>
      <w:r>
        <w:rPr>
          <w:rStyle w:val="FootnoteReference"/>
        </w:rPr>
        <w:footnoteRef/>
      </w:r>
      <w:r w:rsidRPr="00935FF5">
        <w:rPr>
          <w:rStyle w:val="FootnoteReference"/>
        </w:rPr>
        <w:t xml:space="preserve"> </w:t>
      </w:r>
      <w:r>
        <w:t xml:space="preserve"> </w:t>
      </w:r>
      <w:r w:rsidRPr="00935FF5">
        <w:rPr>
          <w:sz w:val="18"/>
          <w:szCs w:val="18"/>
        </w:rPr>
        <w:t>Safe Work Australia. Comparison of compensation data with all incurred work-related injuries. 2009</w:t>
      </w:r>
    </w:p>
  </w:footnote>
  <w:footnote w:id="48">
    <w:p w:rsidR="00123706" w:rsidRPr="00B11084" w:rsidRDefault="00123706" w:rsidP="00A00B9E">
      <w:pPr>
        <w:pStyle w:val="FootnoteText"/>
        <w:rPr>
          <w:sz w:val="18"/>
          <w:szCs w:val="18"/>
        </w:rPr>
      </w:pPr>
      <w:r>
        <w:rPr>
          <w:rStyle w:val="FootnoteReference"/>
        </w:rPr>
        <w:footnoteRef/>
      </w:r>
      <w:r>
        <w:t xml:space="preserve"> </w:t>
      </w:r>
      <w:r>
        <w:rPr>
          <w:sz w:val="18"/>
          <w:szCs w:val="18"/>
        </w:rPr>
        <w:t>Willingham 2013.</w:t>
      </w:r>
    </w:p>
  </w:footnote>
  <w:footnote w:id="49">
    <w:p w:rsidR="00123706" w:rsidRDefault="00123706">
      <w:pPr>
        <w:pStyle w:val="FootnoteText"/>
      </w:pPr>
      <w:r>
        <w:rPr>
          <w:rStyle w:val="FootnoteReference"/>
        </w:rPr>
        <w:footnoteRef/>
      </w:r>
      <w:r>
        <w:rPr>
          <w:sz w:val="18"/>
          <w:szCs w:val="18"/>
        </w:rPr>
        <w:t xml:space="preserve"> For example, </w:t>
      </w:r>
      <w:r w:rsidRPr="00E53F9C">
        <w:rPr>
          <w:sz w:val="18"/>
          <w:szCs w:val="18"/>
        </w:rPr>
        <w:t>LaMontagne, Sanderson and Cocker 2010; LaMontagne 2010; 2012; Safe Work Australia 2013</w:t>
      </w:r>
      <w:r>
        <w:rPr>
          <w:sz w:val="18"/>
          <w:szCs w:val="18"/>
        </w:rPr>
        <w:t>a, 2013b.</w:t>
      </w:r>
    </w:p>
  </w:footnote>
  <w:footnote w:id="50">
    <w:p w:rsidR="00123706" w:rsidRDefault="00123706" w:rsidP="00106B88">
      <w:pPr>
        <w:pStyle w:val="FootnoteText"/>
      </w:pPr>
      <w:r>
        <w:rPr>
          <w:rStyle w:val="FootnoteReference"/>
        </w:rPr>
        <w:footnoteRef/>
      </w:r>
      <w:r>
        <w:rPr>
          <w:i/>
          <w:sz w:val="18"/>
          <w:szCs w:val="18"/>
        </w:rPr>
        <w:t xml:space="preserve"> Ibid</w:t>
      </w:r>
      <w:r>
        <w:rPr>
          <w:sz w:val="18"/>
          <w:szCs w:val="18"/>
        </w:rPr>
        <w:t>.</w:t>
      </w:r>
    </w:p>
  </w:footnote>
  <w:footnote w:id="51">
    <w:p w:rsidR="00123706" w:rsidRDefault="00123706" w:rsidP="00106B88">
      <w:pPr>
        <w:pStyle w:val="FootnoteText"/>
      </w:pPr>
      <w:r>
        <w:rPr>
          <w:rStyle w:val="FootnoteReference"/>
        </w:rPr>
        <w:footnoteRef/>
      </w:r>
      <w:r>
        <w:rPr>
          <w:sz w:val="18"/>
          <w:szCs w:val="18"/>
        </w:rPr>
        <w:t xml:space="preserve"> </w:t>
      </w:r>
      <w:r>
        <w:rPr>
          <w:i/>
          <w:sz w:val="18"/>
          <w:szCs w:val="18"/>
        </w:rPr>
        <w:t>Ibid</w:t>
      </w:r>
      <w:r>
        <w:rPr>
          <w:sz w:val="18"/>
          <w:szCs w:val="18"/>
        </w:rPr>
        <w:t>.</w:t>
      </w:r>
    </w:p>
  </w:footnote>
  <w:footnote w:id="52">
    <w:p w:rsidR="00123706" w:rsidRDefault="00123706" w:rsidP="00461419">
      <w:pPr>
        <w:pStyle w:val="FootnoteText"/>
        <w:ind w:left="142" w:hanging="142"/>
        <w:rPr>
          <w:sz w:val="18"/>
          <w:szCs w:val="18"/>
        </w:rPr>
      </w:pPr>
      <w:r>
        <w:rPr>
          <w:rStyle w:val="FootnoteReference"/>
        </w:rPr>
        <w:footnoteRef/>
      </w:r>
      <w:r>
        <w:rPr>
          <w:sz w:val="18"/>
          <w:szCs w:val="18"/>
        </w:rPr>
        <w:t xml:space="preserve"> ICMM, 2012; Step Change in Safety, undated. As organisations progress through different levels of maturity, commonality between PPIs of organisations should diminish further (discussed below).</w:t>
      </w:r>
    </w:p>
  </w:footnote>
  <w:footnote w:id="53">
    <w:p w:rsidR="00123706" w:rsidRDefault="00123706" w:rsidP="00106B88">
      <w:pPr>
        <w:pStyle w:val="FootnoteText"/>
      </w:pPr>
      <w:r>
        <w:rPr>
          <w:rStyle w:val="FootnoteReference"/>
        </w:rPr>
        <w:footnoteRef/>
      </w:r>
      <w:r>
        <w:rPr>
          <w:sz w:val="18"/>
          <w:szCs w:val="18"/>
        </w:rPr>
        <w:t xml:space="preserve"> Comcare, 2004; ICMM, 2012.</w:t>
      </w:r>
    </w:p>
  </w:footnote>
  <w:footnote w:id="54">
    <w:p w:rsidR="00123706" w:rsidRDefault="00123706" w:rsidP="00106B88">
      <w:pPr>
        <w:pStyle w:val="FootnoteText"/>
      </w:pPr>
      <w:r>
        <w:rPr>
          <w:rStyle w:val="FootnoteReference"/>
        </w:rPr>
        <w:footnoteRef/>
      </w:r>
      <w:r>
        <w:rPr>
          <w:sz w:val="18"/>
          <w:szCs w:val="18"/>
        </w:rPr>
        <w:t xml:space="preserve"> Australian Government, 2005.</w:t>
      </w:r>
    </w:p>
  </w:footnote>
  <w:footnote w:id="55">
    <w:p w:rsidR="00123706" w:rsidRDefault="00123706" w:rsidP="00106B88">
      <w:pPr>
        <w:pStyle w:val="FootnoteText"/>
      </w:pPr>
      <w:r>
        <w:rPr>
          <w:rStyle w:val="FootnoteReference"/>
        </w:rPr>
        <w:footnoteRef/>
      </w:r>
      <w:r>
        <w:rPr>
          <w:sz w:val="18"/>
          <w:szCs w:val="18"/>
        </w:rPr>
        <w:t xml:space="preserve"> IWH, 2011.</w:t>
      </w:r>
    </w:p>
  </w:footnote>
  <w:footnote w:id="56">
    <w:p w:rsidR="00123706" w:rsidRDefault="00123706" w:rsidP="00106B88">
      <w:pPr>
        <w:pStyle w:val="FootnoteText"/>
      </w:pPr>
      <w:r>
        <w:rPr>
          <w:rStyle w:val="FootnoteReference"/>
        </w:rPr>
        <w:footnoteRef/>
      </w:r>
      <w:r>
        <w:rPr>
          <w:sz w:val="18"/>
          <w:szCs w:val="18"/>
        </w:rPr>
        <w:t xml:space="preserve"> ICMM, 2012.</w:t>
      </w:r>
    </w:p>
  </w:footnote>
  <w:footnote w:id="57">
    <w:p w:rsidR="00123706" w:rsidRDefault="00123706" w:rsidP="00106B88">
      <w:pPr>
        <w:pStyle w:val="FootnoteText"/>
      </w:pPr>
      <w:r>
        <w:rPr>
          <w:rStyle w:val="FootnoteReference"/>
        </w:rPr>
        <w:footnoteRef/>
      </w:r>
      <w:r>
        <w:rPr>
          <w:i/>
          <w:sz w:val="18"/>
          <w:szCs w:val="18"/>
        </w:rPr>
        <w:t xml:space="preserve"> Ibid</w:t>
      </w:r>
      <w:r>
        <w:rPr>
          <w:sz w:val="18"/>
          <w:szCs w:val="18"/>
        </w:rPr>
        <w:t>.</w:t>
      </w:r>
    </w:p>
  </w:footnote>
  <w:footnote w:id="58">
    <w:p w:rsidR="00123706" w:rsidRDefault="00123706" w:rsidP="00106B88">
      <w:pPr>
        <w:pStyle w:val="FootnoteText"/>
      </w:pPr>
      <w:r>
        <w:rPr>
          <w:rStyle w:val="FootnoteReference"/>
        </w:rPr>
        <w:footnoteRef/>
      </w:r>
      <w:r>
        <w:rPr>
          <w:sz w:val="18"/>
          <w:szCs w:val="18"/>
        </w:rPr>
        <w:t xml:space="preserve"> Step Change in Safety, undated.</w:t>
      </w:r>
    </w:p>
  </w:footnote>
  <w:footnote w:id="59">
    <w:p w:rsidR="00123706" w:rsidRDefault="00123706" w:rsidP="00106B88">
      <w:pPr>
        <w:pStyle w:val="FootnoteText"/>
        <w:rPr>
          <w:sz w:val="18"/>
          <w:szCs w:val="18"/>
        </w:rPr>
      </w:pPr>
      <w:r>
        <w:rPr>
          <w:rStyle w:val="FootnoteReference"/>
        </w:rPr>
        <w:footnoteRef/>
      </w:r>
      <w:r>
        <w:rPr>
          <w:sz w:val="18"/>
          <w:szCs w:val="18"/>
        </w:rPr>
        <w:t xml:space="preserve"> Hudson 1999, 2001, 2003, 2007.</w:t>
      </w:r>
    </w:p>
  </w:footnote>
  <w:footnote w:id="60">
    <w:p w:rsidR="00123706" w:rsidRDefault="00123706" w:rsidP="00106B88">
      <w:pPr>
        <w:pStyle w:val="FootnoteText"/>
      </w:pPr>
      <w:r>
        <w:rPr>
          <w:rStyle w:val="FootnoteReference"/>
        </w:rPr>
        <w:footnoteRef/>
      </w:r>
      <w:r>
        <w:rPr>
          <w:sz w:val="18"/>
          <w:szCs w:val="18"/>
        </w:rPr>
        <w:t xml:space="preserve"> Step Change in Safety, undated.</w:t>
      </w:r>
    </w:p>
  </w:footnote>
  <w:footnote w:id="61">
    <w:p w:rsidR="00123706" w:rsidRDefault="00123706" w:rsidP="00106B88">
      <w:pPr>
        <w:pStyle w:val="FootnoteText"/>
      </w:pPr>
      <w:r>
        <w:rPr>
          <w:rStyle w:val="FootnoteReference"/>
        </w:rPr>
        <w:footnoteRef/>
      </w:r>
      <w:r>
        <w:rPr>
          <w:sz w:val="18"/>
          <w:szCs w:val="18"/>
        </w:rPr>
        <w:t xml:space="preserve"> ICMM, 2012, p13.</w:t>
      </w:r>
    </w:p>
  </w:footnote>
  <w:footnote w:id="62">
    <w:p w:rsidR="00123706" w:rsidRDefault="00123706" w:rsidP="00106B88">
      <w:pPr>
        <w:pStyle w:val="FootnoteText"/>
      </w:pPr>
      <w:r>
        <w:rPr>
          <w:rStyle w:val="FootnoteReference"/>
        </w:rPr>
        <w:footnoteRef/>
      </w:r>
      <w:r>
        <w:rPr>
          <w:sz w:val="18"/>
          <w:szCs w:val="18"/>
        </w:rPr>
        <w:t xml:space="preserve"> Janicak, 2003.</w:t>
      </w:r>
    </w:p>
  </w:footnote>
  <w:footnote w:id="63">
    <w:p w:rsidR="00123706" w:rsidRDefault="00123706" w:rsidP="00106B88">
      <w:pPr>
        <w:pStyle w:val="FootnoteText"/>
      </w:pPr>
      <w:r>
        <w:rPr>
          <w:rStyle w:val="FootnoteReference"/>
        </w:rPr>
        <w:footnoteRef/>
      </w:r>
      <w:r>
        <w:rPr>
          <w:sz w:val="18"/>
          <w:szCs w:val="18"/>
        </w:rPr>
        <w:t xml:space="preserve"> ICMM, 2012.</w:t>
      </w:r>
    </w:p>
  </w:footnote>
  <w:footnote w:id="64">
    <w:p w:rsidR="00123706" w:rsidRDefault="00123706" w:rsidP="00106B88">
      <w:pPr>
        <w:pStyle w:val="FootnoteText"/>
      </w:pPr>
      <w:r>
        <w:rPr>
          <w:rStyle w:val="FootnoteReference"/>
        </w:rPr>
        <w:footnoteRef/>
      </w:r>
      <w:r>
        <w:rPr>
          <w:i/>
          <w:sz w:val="18"/>
          <w:szCs w:val="18"/>
        </w:rPr>
        <w:t xml:space="preserve"> Ibid</w:t>
      </w:r>
      <w:r>
        <w:rPr>
          <w:sz w:val="18"/>
          <w:szCs w:val="18"/>
        </w:rPr>
        <w:t>.</w:t>
      </w:r>
    </w:p>
  </w:footnote>
  <w:footnote w:id="65">
    <w:p w:rsidR="00123706" w:rsidRDefault="00123706" w:rsidP="00106B88">
      <w:pPr>
        <w:pStyle w:val="FootnoteText"/>
      </w:pPr>
      <w:r>
        <w:rPr>
          <w:rStyle w:val="FootnoteReference"/>
        </w:rPr>
        <w:footnoteRef/>
      </w:r>
      <w:r>
        <w:rPr>
          <w:i/>
          <w:sz w:val="18"/>
          <w:szCs w:val="18"/>
        </w:rPr>
        <w:t xml:space="preserve"> ICMM, 2012</w:t>
      </w:r>
      <w:r>
        <w:rPr>
          <w:sz w:val="18"/>
          <w:szCs w:val="18"/>
        </w:rPr>
        <w:t>.</w:t>
      </w:r>
    </w:p>
  </w:footnote>
  <w:footnote w:id="66">
    <w:p w:rsidR="00123706" w:rsidRDefault="00123706" w:rsidP="00106B88">
      <w:pPr>
        <w:pStyle w:val="FootnoteText"/>
      </w:pPr>
      <w:r>
        <w:rPr>
          <w:rStyle w:val="FootnoteReference"/>
        </w:rPr>
        <w:footnoteRef/>
      </w:r>
      <w:r>
        <w:rPr>
          <w:sz w:val="18"/>
          <w:szCs w:val="18"/>
        </w:rPr>
        <w:t xml:space="preserve"> Step Change in Safety, undated.</w:t>
      </w:r>
    </w:p>
  </w:footnote>
  <w:footnote w:id="67">
    <w:p w:rsidR="00123706" w:rsidRDefault="00123706" w:rsidP="00106B88">
      <w:pPr>
        <w:pStyle w:val="FootnoteText"/>
      </w:pPr>
      <w:r>
        <w:rPr>
          <w:rStyle w:val="FootnoteReference"/>
        </w:rPr>
        <w:footnoteRef/>
      </w:r>
      <w:r>
        <w:rPr>
          <w:i/>
          <w:sz w:val="18"/>
          <w:szCs w:val="18"/>
        </w:rPr>
        <w:t xml:space="preserve"> Ibid</w:t>
      </w:r>
      <w:r>
        <w:rPr>
          <w:sz w:val="18"/>
          <w:szCs w:val="18"/>
        </w:rPr>
        <w:t>.</w:t>
      </w:r>
    </w:p>
  </w:footnote>
  <w:footnote w:id="68">
    <w:p w:rsidR="00123706" w:rsidRDefault="00123706" w:rsidP="00106B88">
      <w:pPr>
        <w:pStyle w:val="FootnoteText"/>
      </w:pPr>
      <w:r>
        <w:rPr>
          <w:rStyle w:val="FootnoteReference"/>
        </w:rPr>
        <w:footnoteRef/>
      </w:r>
      <w:r>
        <w:rPr>
          <w:sz w:val="18"/>
          <w:szCs w:val="18"/>
        </w:rPr>
        <w:t xml:space="preserve"> ICMM, 2012.</w:t>
      </w:r>
    </w:p>
  </w:footnote>
  <w:footnote w:id="69">
    <w:p w:rsidR="00123706" w:rsidRDefault="00123706" w:rsidP="00106B88">
      <w:pPr>
        <w:pStyle w:val="FootnoteText"/>
      </w:pPr>
      <w:r>
        <w:rPr>
          <w:rStyle w:val="FootnoteReference"/>
        </w:rPr>
        <w:footnoteRef/>
      </w:r>
      <w:r>
        <w:rPr>
          <w:sz w:val="18"/>
          <w:szCs w:val="18"/>
        </w:rPr>
        <w:t xml:space="preserve"> Australian Government, 2005.</w:t>
      </w:r>
    </w:p>
  </w:footnote>
  <w:footnote w:id="70">
    <w:p w:rsidR="00123706" w:rsidRDefault="00123706" w:rsidP="00106B88">
      <w:pPr>
        <w:pStyle w:val="FootnoteText"/>
      </w:pPr>
      <w:r>
        <w:rPr>
          <w:rStyle w:val="FootnoteReference"/>
        </w:rPr>
        <w:footnoteRef/>
      </w:r>
      <w:r>
        <w:rPr>
          <w:sz w:val="18"/>
          <w:szCs w:val="18"/>
        </w:rPr>
        <w:t xml:space="preserve"> ICMM, 2012.</w:t>
      </w:r>
    </w:p>
  </w:footnote>
  <w:footnote w:id="71">
    <w:p w:rsidR="00123706" w:rsidRDefault="00123706" w:rsidP="00106B88">
      <w:pPr>
        <w:pStyle w:val="FootnoteText"/>
      </w:pPr>
      <w:r>
        <w:rPr>
          <w:rStyle w:val="FootnoteReference"/>
        </w:rPr>
        <w:footnoteRef/>
      </w:r>
      <w:r>
        <w:rPr>
          <w:sz w:val="18"/>
          <w:szCs w:val="18"/>
        </w:rPr>
        <w:t xml:space="preserve"> Step Change in Safety, undated.</w:t>
      </w:r>
    </w:p>
  </w:footnote>
  <w:footnote w:id="72">
    <w:p w:rsidR="00123706" w:rsidRDefault="00123706" w:rsidP="00106B88">
      <w:pPr>
        <w:pStyle w:val="FootnoteText"/>
      </w:pPr>
      <w:r>
        <w:rPr>
          <w:rStyle w:val="FootnoteReference"/>
        </w:rPr>
        <w:footnoteRef/>
      </w:r>
      <w:r>
        <w:rPr>
          <w:sz w:val="18"/>
          <w:szCs w:val="18"/>
        </w:rPr>
        <w:t xml:space="preserve"> ICMM, 2012.</w:t>
      </w:r>
    </w:p>
  </w:footnote>
  <w:footnote w:id="73">
    <w:p w:rsidR="00123706" w:rsidRDefault="00123706">
      <w:pPr>
        <w:pStyle w:val="FootnoteText"/>
      </w:pPr>
      <w:r>
        <w:rPr>
          <w:rStyle w:val="FootnoteReference"/>
        </w:rPr>
        <w:footnoteRef/>
      </w:r>
      <w:r>
        <w:t xml:space="preserve"> </w:t>
      </w:r>
      <w:r w:rsidRPr="00236F73">
        <w:rPr>
          <w:sz w:val="18"/>
          <w:szCs w:val="18"/>
        </w:rPr>
        <w:t>McDonald, 2006; Safe Work Australia 2008; 2012</w:t>
      </w:r>
      <w:r>
        <w:t>.</w:t>
      </w:r>
    </w:p>
  </w:footnote>
  <w:footnote w:id="74">
    <w:p w:rsidR="00123706" w:rsidRDefault="00123706">
      <w:pPr>
        <w:pStyle w:val="FootnoteText"/>
      </w:pPr>
      <w:r>
        <w:rPr>
          <w:rStyle w:val="FootnoteReference"/>
        </w:rPr>
        <w:footnoteRef/>
      </w:r>
      <w:r>
        <w:t xml:space="preserve"> </w:t>
      </w:r>
      <w:r w:rsidRPr="00236F73">
        <w:rPr>
          <w:sz w:val="18"/>
          <w:szCs w:val="18"/>
        </w:rPr>
        <w:t>Work Health and Safety Act 2011 (Cth), see Schedule 2, Part 4.</w:t>
      </w:r>
    </w:p>
  </w:footnote>
  <w:footnote w:id="75">
    <w:p w:rsidR="00123706" w:rsidRDefault="00123706">
      <w:pPr>
        <w:pStyle w:val="FootnoteText"/>
      </w:pPr>
      <w:r>
        <w:rPr>
          <w:rStyle w:val="FootnoteReference"/>
        </w:rPr>
        <w:footnoteRef/>
      </w:r>
      <w:r>
        <w:t xml:space="preserve"> Hecimovic and O’Neill, 2012.</w:t>
      </w:r>
    </w:p>
  </w:footnote>
  <w:footnote w:id="76">
    <w:p w:rsidR="00123706" w:rsidRDefault="00123706" w:rsidP="00106B88">
      <w:pPr>
        <w:pStyle w:val="FootnoteText"/>
        <w:rPr>
          <w:sz w:val="18"/>
          <w:szCs w:val="18"/>
        </w:rPr>
      </w:pPr>
      <w:r>
        <w:rPr>
          <w:rStyle w:val="FootnoteReference"/>
        </w:rPr>
        <w:footnoteRef/>
      </w:r>
      <w:r>
        <w:rPr>
          <w:sz w:val="18"/>
          <w:szCs w:val="18"/>
        </w:rPr>
        <w:t xml:space="preserve"> Deegan and Rankin, 1997; O'Neill, 2010; Tilt, 1994.</w:t>
      </w:r>
    </w:p>
  </w:footnote>
  <w:footnote w:id="77">
    <w:p w:rsidR="00123706" w:rsidRDefault="00123706" w:rsidP="00106B88">
      <w:pPr>
        <w:pStyle w:val="FootnoteText"/>
        <w:rPr>
          <w:sz w:val="18"/>
          <w:szCs w:val="18"/>
        </w:rPr>
      </w:pPr>
      <w:r>
        <w:rPr>
          <w:rStyle w:val="FootnoteReference"/>
        </w:rPr>
        <w:footnoteRef/>
      </w:r>
      <w:r>
        <w:rPr>
          <w:sz w:val="18"/>
          <w:szCs w:val="18"/>
        </w:rPr>
        <w:t xml:space="preserve"> Guthrie and Parker, 1989; Gray et al, 1995; Martinov-Bennie, Frost &amp; Soh, 2012.</w:t>
      </w:r>
    </w:p>
  </w:footnote>
  <w:footnote w:id="78">
    <w:p w:rsidR="00123706" w:rsidRDefault="00123706">
      <w:pPr>
        <w:pStyle w:val="FootnoteText"/>
      </w:pPr>
      <w:r>
        <w:rPr>
          <w:rStyle w:val="FootnoteReference"/>
        </w:rPr>
        <w:footnoteRef/>
      </w:r>
      <w:r>
        <w:t xml:space="preserve"> Brown and Butcher, 2005; O’Neill, 2010; O’Neill, Clarke and Flanagan, 2011.</w:t>
      </w:r>
    </w:p>
  </w:footnote>
  <w:footnote w:id="79">
    <w:p w:rsidR="00123706" w:rsidRDefault="00123706" w:rsidP="00D3783B">
      <w:pPr>
        <w:pStyle w:val="FootnoteText"/>
        <w:rPr>
          <w:sz w:val="18"/>
          <w:szCs w:val="18"/>
        </w:rPr>
      </w:pPr>
      <w:r>
        <w:rPr>
          <w:rStyle w:val="FootnoteReference"/>
        </w:rPr>
        <w:footnoteRef/>
      </w:r>
      <w:r>
        <w:rPr>
          <w:sz w:val="18"/>
          <w:szCs w:val="18"/>
        </w:rPr>
        <w:t xml:space="preserve"> Brown and Butcher, 2005; O'Neill 2010; O'Neill, Clarke and Flanagan, 2010; 2011; Vuontisjarva, 2006.</w:t>
      </w:r>
    </w:p>
  </w:footnote>
  <w:footnote w:id="80">
    <w:p w:rsidR="00123706" w:rsidRDefault="00123706" w:rsidP="00860D43">
      <w:pPr>
        <w:pStyle w:val="FootnoteText"/>
      </w:pPr>
      <w:r>
        <w:rPr>
          <w:rStyle w:val="FootnoteReference"/>
        </w:rPr>
        <w:footnoteRef/>
      </w:r>
      <w:r>
        <w:rPr>
          <w:sz w:val="18"/>
          <w:szCs w:val="18"/>
        </w:rPr>
        <w:t xml:space="preserve"> Bottomley, 2000; Work Safe Australia, 1994.</w:t>
      </w:r>
    </w:p>
  </w:footnote>
  <w:footnote w:id="81">
    <w:p w:rsidR="00123706" w:rsidRDefault="00123706" w:rsidP="00860D43">
      <w:pPr>
        <w:pStyle w:val="FootnoteText"/>
        <w:rPr>
          <w:sz w:val="18"/>
          <w:szCs w:val="18"/>
        </w:rPr>
      </w:pPr>
      <w:r>
        <w:rPr>
          <w:rStyle w:val="FootnoteReference"/>
        </w:rPr>
        <w:footnoteRef/>
      </w:r>
      <w:r>
        <w:rPr>
          <w:sz w:val="18"/>
          <w:szCs w:val="18"/>
        </w:rPr>
        <w:t xml:space="preserve"> For example, HaSPA, 2012 (</w:t>
      </w:r>
      <w:r>
        <w:rPr>
          <w:i/>
          <w:sz w:val="18"/>
          <w:szCs w:val="18"/>
        </w:rPr>
        <w:t>Australia</w:t>
      </w:r>
      <w:r>
        <w:rPr>
          <w:sz w:val="18"/>
          <w:szCs w:val="18"/>
        </w:rPr>
        <w:t>); Safety, Health and Environmental Body of Knowledge, 2011 (</w:t>
      </w:r>
      <w:r>
        <w:rPr>
          <w:i/>
          <w:sz w:val="18"/>
          <w:szCs w:val="18"/>
        </w:rPr>
        <w:t>USA</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6A6"/>
    <w:multiLevelType w:val="hybridMultilevel"/>
    <w:tmpl w:val="093A5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D608B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60E02"/>
    <w:multiLevelType w:val="hybridMultilevel"/>
    <w:tmpl w:val="30D82A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8695B95"/>
    <w:multiLevelType w:val="hybridMultilevel"/>
    <w:tmpl w:val="B4E89854"/>
    <w:lvl w:ilvl="0" w:tplc="6AB8ACAE">
      <w:start w:val="1"/>
      <w:numFmt w:val="decimal"/>
      <w:lvlText w:val="4.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7154E1"/>
    <w:multiLevelType w:val="hybridMultilevel"/>
    <w:tmpl w:val="069CD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0C914D98"/>
    <w:multiLevelType w:val="hybridMultilevel"/>
    <w:tmpl w:val="FF4E0434"/>
    <w:lvl w:ilvl="0" w:tplc="0C09000B">
      <w:start w:val="1"/>
      <w:numFmt w:val="bullet"/>
      <w:lvlText w:val=""/>
      <w:lvlJc w:val="left"/>
      <w:pPr>
        <w:ind w:left="1490" w:hanging="360"/>
      </w:pPr>
      <w:rPr>
        <w:rFonts w:ascii="Wingdings" w:hAnsi="Wingdings" w:hint="default"/>
      </w:rPr>
    </w:lvl>
    <w:lvl w:ilvl="1" w:tplc="0C090001">
      <w:start w:val="1"/>
      <w:numFmt w:val="bullet"/>
      <w:lvlText w:val=""/>
      <w:lvlJc w:val="left"/>
      <w:pPr>
        <w:ind w:left="2210" w:hanging="360"/>
      </w:pPr>
      <w:rPr>
        <w:rFonts w:ascii="Symbol" w:hAnsi="Symbol" w:hint="default"/>
      </w:rPr>
    </w:lvl>
    <w:lvl w:ilvl="2" w:tplc="0C090005">
      <w:start w:val="1"/>
      <w:numFmt w:val="bullet"/>
      <w:lvlText w:val=""/>
      <w:lvlJc w:val="left"/>
      <w:pPr>
        <w:ind w:left="2930" w:hanging="360"/>
      </w:pPr>
      <w:rPr>
        <w:rFonts w:ascii="Wingdings" w:hAnsi="Wingdings" w:hint="default"/>
      </w:rPr>
    </w:lvl>
    <w:lvl w:ilvl="3" w:tplc="0C090001">
      <w:start w:val="1"/>
      <w:numFmt w:val="bullet"/>
      <w:lvlText w:val=""/>
      <w:lvlJc w:val="left"/>
      <w:pPr>
        <w:ind w:left="3650" w:hanging="360"/>
      </w:pPr>
      <w:rPr>
        <w:rFonts w:ascii="Symbol" w:hAnsi="Symbol" w:hint="default"/>
      </w:rPr>
    </w:lvl>
    <w:lvl w:ilvl="4" w:tplc="0C090003">
      <w:start w:val="1"/>
      <w:numFmt w:val="bullet"/>
      <w:lvlText w:val="o"/>
      <w:lvlJc w:val="left"/>
      <w:pPr>
        <w:ind w:left="4370" w:hanging="360"/>
      </w:pPr>
      <w:rPr>
        <w:rFonts w:ascii="Courier New" w:hAnsi="Courier New" w:cs="Courier New" w:hint="default"/>
      </w:rPr>
    </w:lvl>
    <w:lvl w:ilvl="5" w:tplc="0C090005">
      <w:start w:val="1"/>
      <w:numFmt w:val="bullet"/>
      <w:lvlText w:val=""/>
      <w:lvlJc w:val="left"/>
      <w:pPr>
        <w:ind w:left="5090" w:hanging="360"/>
      </w:pPr>
      <w:rPr>
        <w:rFonts w:ascii="Wingdings" w:hAnsi="Wingdings" w:hint="default"/>
      </w:rPr>
    </w:lvl>
    <w:lvl w:ilvl="6" w:tplc="0C090001">
      <w:start w:val="1"/>
      <w:numFmt w:val="bullet"/>
      <w:lvlText w:val=""/>
      <w:lvlJc w:val="left"/>
      <w:pPr>
        <w:ind w:left="5810" w:hanging="360"/>
      </w:pPr>
      <w:rPr>
        <w:rFonts w:ascii="Symbol" w:hAnsi="Symbol" w:hint="default"/>
      </w:rPr>
    </w:lvl>
    <w:lvl w:ilvl="7" w:tplc="0C090003">
      <w:start w:val="1"/>
      <w:numFmt w:val="bullet"/>
      <w:lvlText w:val="o"/>
      <w:lvlJc w:val="left"/>
      <w:pPr>
        <w:ind w:left="6530" w:hanging="360"/>
      </w:pPr>
      <w:rPr>
        <w:rFonts w:ascii="Courier New" w:hAnsi="Courier New" w:cs="Courier New" w:hint="default"/>
      </w:rPr>
    </w:lvl>
    <w:lvl w:ilvl="8" w:tplc="0C090005">
      <w:start w:val="1"/>
      <w:numFmt w:val="bullet"/>
      <w:lvlText w:val=""/>
      <w:lvlJc w:val="left"/>
      <w:pPr>
        <w:ind w:left="7250" w:hanging="360"/>
      </w:pPr>
      <w:rPr>
        <w:rFonts w:ascii="Wingdings" w:hAnsi="Wingdings" w:hint="default"/>
      </w:rPr>
    </w:lvl>
  </w:abstractNum>
  <w:abstractNum w:abstractNumId="6">
    <w:nsid w:val="0D1348B2"/>
    <w:multiLevelType w:val="hybridMultilevel"/>
    <w:tmpl w:val="2C528E4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0E8546C0"/>
    <w:multiLevelType w:val="hybridMultilevel"/>
    <w:tmpl w:val="B412919C"/>
    <w:lvl w:ilvl="0" w:tplc="763C56CE">
      <w:numFmt w:val="bullet"/>
      <w:lvlText w:val="-"/>
      <w:lvlJc w:val="left"/>
      <w:pPr>
        <w:ind w:left="405" w:hanging="360"/>
      </w:pPr>
      <w:rPr>
        <w:rFonts w:ascii="Calibri" w:eastAsiaTheme="minorEastAsia"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nsid w:val="0F862952"/>
    <w:multiLevelType w:val="hybridMultilevel"/>
    <w:tmpl w:val="F00EE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14A0A0B"/>
    <w:multiLevelType w:val="hybridMultilevel"/>
    <w:tmpl w:val="E828D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E6F317F"/>
    <w:multiLevelType w:val="hybridMultilevel"/>
    <w:tmpl w:val="FDBE269A"/>
    <w:lvl w:ilvl="0" w:tplc="7C4AA6D6">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1ED93345"/>
    <w:multiLevelType w:val="hybridMultilevel"/>
    <w:tmpl w:val="4894BC22"/>
    <w:lvl w:ilvl="0" w:tplc="D226A398">
      <w:start w:val="1"/>
      <w:numFmt w:val="decimal"/>
      <w:lvlText w:val="3.%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33310CAB"/>
    <w:multiLevelType w:val="hybridMultilevel"/>
    <w:tmpl w:val="5BB80F62"/>
    <w:lvl w:ilvl="0" w:tplc="B0AADB42">
      <w:start w:val="1"/>
      <w:numFmt w:val="decimal"/>
      <w:lvlText w:val="5.%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4351A29"/>
    <w:multiLevelType w:val="hybridMultilevel"/>
    <w:tmpl w:val="7A56D074"/>
    <w:lvl w:ilvl="0" w:tplc="FADC5EAA">
      <w:start w:val="1"/>
      <w:numFmt w:val="decimal"/>
      <w:lvlText w:val="4.%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nsid w:val="3B7E2386"/>
    <w:multiLevelType w:val="hybridMultilevel"/>
    <w:tmpl w:val="FDC8A280"/>
    <w:lvl w:ilvl="0" w:tplc="21DE81FE">
      <w:start w:val="1"/>
      <w:numFmt w:val="decimal"/>
      <w:lvlText w:val="5.%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nsid w:val="45F4633D"/>
    <w:multiLevelType w:val="hybridMultilevel"/>
    <w:tmpl w:val="D4380A40"/>
    <w:lvl w:ilvl="0" w:tplc="09625E62">
      <w:start w:val="1"/>
      <w:numFmt w:val="decimal"/>
      <w:lvlText w:val="3.1.%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nsid w:val="48D37A0E"/>
    <w:multiLevelType w:val="hybridMultilevel"/>
    <w:tmpl w:val="62E20916"/>
    <w:lvl w:ilvl="0" w:tplc="0DD87546">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8EC4D67"/>
    <w:multiLevelType w:val="hybridMultilevel"/>
    <w:tmpl w:val="A9A47B20"/>
    <w:lvl w:ilvl="0" w:tplc="0C09000B">
      <w:start w:val="1"/>
      <w:numFmt w:val="bullet"/>
      <w:lvlText w:val=""/>
      <w:lvlJc w:val="left"/>
      <w:pPr>
        <w:ind w:left="1490" w:hanging="360"/>
      </w:pPr>
      <w:rPr>
        <w:rFonts w:ascii="Wingdings" w:hAnsi="Wingdings" w:hint="default"/>
      </w:rPr>
    </w:lvl>
    <w:lvl w:ilvl="1" w:tplc="0C090003">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8">
    <w:nsid w:val="4B2342E3"/>
    <w:multiLevelType w:val="hybridMultilevel"/>
    <w:tmpl w:val="A216BE5A"/>
    <w:lvl w:ilvl="0" w:tplc="0C09000F">
      <w:start w:val="1"/>
      <w:numFmt w:val="decimal"/>
      <w:lvlText w:val="%1."/>
      <w:lvlJc w:val="left"/>
      <w:pPr>
        <w:ind w:left="767" w:hanging="360"/>
      </w:pPr>
    </w:lvl>
    <w:lvl w:ilvl="1" w:tplc="0C090019">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19">
    <w:nsid w:val="4BFB284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C563FA0"/>
    <w:multiLevelType w:val="hybridMultilevel"/>
    <w:tmpl w:val="291EF030"/>
    <w:lvl w:ilvl="0" w:tplc="E490FA3E">
      <w:start w:val="1"/>
      <w:numFmt w:val="decimal"/>
      <w:lvlText w:val="3.2.%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nsid w:val="51532419"/>
    <w:multiLevelType w:val="hybridMultilevel"/>
    <w:tmpl w:val="3A1A40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nsid w:val="5566735C"/>
    <w:multiLevelType w:val="hybridMultilevel"/>
    <w:tmpl w:val="E66416C4"/>
    <w:lvl w:ilvl="0" w:tplc="71B81B7A">
      <w:start w:val="1"/>
      <w:numFmt w:val="decimal"/>
      <w:lvlText w:val="3.4.%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nsid w:val="5A9E287A"/>
    <w:multiLevelType w:val="hybridMultilevel"/>
    <w:tmpl w:val="0D76C2B8"/>
    <w:lvl w:ilvl="0" w:tplc="0C09001B">
      <w:start w:val="1"/>
      <w:numFmt w:val="lowerRoman"/>
      <w:lvlText w:val="%1."/>
      <w:lvlJc w:val="right"/>
      <w:pPr>
        <w:ind w:left="767" w:hanging="360"/>
      </w:pPr>
    </w:lvl>
    <w:lvl w:ilvl="1" w:tplc="0C090019">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24">
    <w:nsid w:val="5C42073E"/>
    <w:multiLevelType w:val="hybridMultilevel"/>
    <w:tmpl w:val="16484F12"/>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F046B9A"/>
    <w:multiLevelType w:val="hybridMultilevel"/>
    <w:tmpl w:val="EA44F4EA"/>
    <w:lvl w:ilvl="0" w:tplc="C7DE3B38">
      <w:start w:val="1"/>
      <w:numFmt w:val="lowerRoman"/>
      <w:lvlText w:val="%1)"/>
      <w:lvlJc w:val="left"/>
      <w:pPr>
        <w:ind w:left="720" w:hanging="360"/>
      </w:pPr>
      <w:rPr>
        <w:rFonts w:asciiTheme="minorHAnsi" w:eastAsia="Times New Roman" w:hAnsiTheme="minorHAns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nsid w:val="60DF06F7"/>
    <w:multiLevelType w:val="hybridMultilevel"/>
    <w:tmpl w:val="12EA16B2"/>
    <w:lvl w:ilvl="0" w:tplc="FADC5EAA">
      <w:start w:val="1"/>
      <w:numFmt w:val="decimal"/>
      <w:lvlText w:val="4.%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7">
    <w:nsid w:val="60FB4D7D"/>
    <w:multiLevelType w:val="multilevel"/>
    <w:tmpl w:val="FF54BDEA"/>
    <w:lvl w:ilvl="0">
      <w:start w:val="4"/>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nsid w:val="6331270F"/>
    <w:multiLevelType w:val="hybridMultilevel"/>
    <w:tmpl w:val="8382A7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5F3615"/>
    <w:multiLevelType w:val="hybridMultilevel"/>
    <w:tmpl w:val="06123FEE"/>
    <w:lvl w:ilvl="0" w:tplc="B1267B98">
      <w:start w:val="1"/>
      <w:numFmt w:val="decimal"/>
      <w:lvlText w:val="3.3.%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nsid w:val="6D6F183F"/>
    <w:multiLevelType w:val="hybridMultilevel"/>
    <w:tmpl w:val="C2F85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DE53CBE"/>
    <w:multiLevelType w:val="hybridMultilevel"/>
    <w:tmpl w:val="2624A2DE"/>
    <w:lvl w:ilvl="0" w:tplc="3F2499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F8C2B98"/>
    <w:multiLevelType w:val="hybridMultilevel"/>
    <w:tmpl w:val="E812BAA2"/>
    <w:lvl w:ilvl="0" w:tplc="6AB8ACAE">
      <w:start w:val="1"/>
      <w:numFmt w:val="decimal"/>
      <w:lvlText w:val="4.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AF1EA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8342C4"/>
    <w:multiLevelType w:val="hybridMultilevel"/>
    <w:tmpl w:val="49500CA4"/>
    <w:lvl w:ilvl="0" w:tplc="0C09000B">
      <w:start w:val="1"/>
      <w:numFmt w:val="bullet"/>
      <w:lvlText w:val=""/>
      <w:lvlJc w:val="left"/>
      <w:pPr>
        <w:ind w:left="770" w:hanging="360"/>
      </w:pPr>
      <w:rPr>
        <w:rFonts w:ascii="Wingdings" w:hAnsi="Wingdings" w:hint="default"/>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5">
    <w:nsid w:val="73EE3DD3"/>
    <w:multiLevelType w:val="hybridMultilevel"/>
    <w:tmpl w:val="0BEA713C"/>
    <w:lvl w:ilvl="0" w:tplc="4AB45D4E">
      <w:numFmt w:val="bullet"/>
      <w:lvlText w:val="-"/>
      <w:lvlJc w:val="left"/>
      <w:pPr>
        <w:ind w:left="1806" w:hanging="360"/>
      </w:pPr>
      <w:rPr>
        <w:rFonts w:ascii="Calibri" w:eastAsiaTheme="minorEastAsia" w:hAnsi="Calibri" w:cstheme="minorBidi" w:hint="default"/>
      </w:rPr>
    </w:lvl>
    <w:lvl w:ilvl="1" w:tplc="4AB45D4E">
      <w:numFmt w:val="bullet"/>
      <w:lvlText w:val="-"/>
      <w:lvlJc w:val="left"/>
      <w:pPr>
        <w:ind w:left="2526" w:hanging="360"/>
      </w:pPr>
      <w:rPr>
        <w:rFonts w:ascii="Calibri" w:eastAsiaTheme="minorEastAsia" w:hAnsi="Calibri" w:cstheme="minorBidi" w:hint="default"/>
      </w:rPr>
    </w:lvl>
    <w:lvl w:ilvl="2" w:tplc="0C090005">
      <w:start w:val="1"/>
      <w:numFmt w:val="bullet"/>
      <w:lvlText w:val=""/>
      <w:lvlJc w:val="left"/>
      <w:pPr>
        <w:ind w:left="3246" w:hanging="360"/>
      </w:pPr>
      <w:rPr>
        <w:rFonts w:ascii="Wingdings" w:hAnsi="Wingdings" w:hint="default"/>
      </w:rPr>
    </w:lvl>
    <w:lvl w:ilvl="3" w:tplc="0C090001">
      <w:start w:val="1"/>
      <w:numFmt w:val="bullet"/>
      <w:lvlText w:val=""/>
      <w:lvlJc w:val="left"/>
      <w:pPr>
        <w:ind w:left="3966" w:hanging="360"/>
      </w:pPr>
      <w:rPr>
        <w:rFonts w:ascii="Symbol" w:hAnsi="Symbol" w:hint="default"/>
      </w:rPr>
    </w:lvl>
    <w:lvl w:ilvl="4" w:tplc="0C090003">
      <w:start w:val="1"/>
      <w:numFmt w:val="bullet"/>
      <w:lvlText w:val="o"/>
      <w:lvlJc w:val="left"/>
      <w:pPr>
        <w:ind w:left="4686" w:hanging="360"/>
      </w:pPr>
      <w:rPr>
        <w:rFonts w:ascii="Courier New" w:hAnsi="Courier New" w:cs="Courier New" w:hint="default"/>
      </w:rPr>
    </w:lvl>
    <w:lvl w:ilvl="5" w:tplc="0C090005">
      <w:start w:val="1"/>
      <w:numFmt w:val="bullet"/>
      <w:lvlText w:val=""/>
      <w:lvlJc w:val="left"/>
      <w:pPr>
        <w:ind w:left="5406" w:hanging="360"/>
      </w:pPr>
      <w:rPr>
        <w:rFonts w:ascii="Wingdings" w:hAnsi="Wingdings" w:hint="default"/>
      </w:rPr>
    </w:lvl>
    <w:lvl w:ilvl="6" w:tplc="0C090001">
      <w:start w:val="1"/>
      <w:numFmt w:val="bullet"/>
      <w:lvlText w:val=""/>
      <w:lvlJc w:val="left"/>
      <w:pPr>
        <w:ind w:left="6126" w:hanging="360"/>
      </w:pPr>
      <w:rPr>
        <w:rFonts w:ascii="Symbol" w:hAnsi="Symbol" w:hint="default"/>
      </w:rPr>
    </w:lvl>
    <w:lvl w:ilvl="7" w:tplc="0C090003">
      <w:start w:val="1"/>
      <w:numFmt w:val="bullet"/>
      <w:lvlText w:val="o"/>
      <w:lvlJc w:val="left"/>
      <w:pPr>
        <w:ind w:left="6846" w:hanging="360"/>
      </w:pPr>
      <w:rPr>
        <w:rFonts w:ascii="Courier New" w:hAnsi="Courier New" w:cs="Courier New" w:hint="default"/>
      </w:rPr>
    </w:lvl>
    <w:lvl w:ilvl="8" w:tplc="0C090005">
      <w:start w:val="1"/>
      <w:numFmt w:val="bullet"/>
      <w:lvlText w:val=""/>
      <w:lvlJc w:val="left"/>
      <w:pPr>
        <w:ind w:left="7566" w:hanging="360"/>
      </w:pPr>
      <w:rPr>
        <w:rFonts w:ascii="Wingdings" w:hAnsi="Wingdings" w:hint="default"/>
      </w:rPr>
    </w:lvl>
  </w:abstractNum>
  <w:abstractNum w:abstractNumId="36">
    <w:nsid w:val="759A5A3D"/>
    <w:multiLevelType w:val="hybridMultilevel"/>
    <w:tmpl w:val="1C1E2FCC"/>
    <w:lvl w:ilvl="0" w:tplc="0C090005">
      <w:start w:val="1"/>
      <w:numFmt w:val="bullet"/>
      <w:lvlText w:val=""/>
      <w:lvlJc w:val="left"/>
      <w:pPr>
        <w:ind w:left="1446" w:hanging="360"/>
      </w:pPr>
      <w:rPr>
        <w:rFonts w:ascii="Wingdings" w:hAnsi="Wingdings" w:hint="default"/>
      </w:rPr>
    </w:lvl>
    <w:lvl w:ilvl="1" w:tplc="0C090003">
      <w:start w:val="1"/>
      <w:numFmt w:val="bullet"/>
      <w:lvlText w:val="o"/>
      <w:lvlJc w:val="left"/>
      <w:pPr>
        <w:ind w:left="2166" w:hanging="360"/>
      </w:pPr>
      <w:rPr>
        <w:rFonts w:ascii="Courier New" w:hAnsi="Courier New" w:cs="Courier New" w:hint="default"/>
      </w:rPr>
    </w:lvl>
    <w:lvl w:ilvl="2" w:tplc="0C090005">
      <w:start w:val="1"/>
      <w:numFmt w:val="bullet"/>
      <w:lvlText w:val=""/>
      <w:lvlJc w:val="left"/>
      <w:pPr>
        <w:ind w:left="2886" w:hanging="360"/>
      </w:pPr>
      <w:rPr>
        <w:rFonts w:ascii="Wingdings" w:hAnsi="Wingdings" w:hint="default"/>
      </w:rPr>
    </w:lvl>
    <w:lvl w:ilvl="3" w:tplc="0C090001">
      <w:start w:val="1"/>
      <w:numFmt w:val="bullet"/>
      <w:lvlText w:val=""/>
      <w:lvlJc w:val="left"/>
      <w:pPr>
        <w:ind w:left="3606" w:hanging="360"/>
      </w:pPr>
      <w:rPr>
        <w:rFonts w:ascii="Symbol" w:hAnsi="Symbol" w:hint="default"/>
      </w:rPr>
    </w:lvl>
    <w:lvl w:ilvl="4" w:tplc="0C090003">
      <w:start w:val="1"/>
      <w:numFmt w:val="bullet"/>
      <w:lvlText w:val="o"/>
      <w:lvlJc w:val="left"/>
      <w:pPr>
        <w:ind w:left="4326" w:hanging="360"/>
      </w:pPr>
      <w:rPr>
        <w:rFonts w:ascii="Courier New" w:hAnsi="Courier New" w:cs="Courier New" w:hint="default"/>
      </w:rPr>
    </w:lvl>
    <w:lvl w:ilvl="5" w:tplc="0C090005">
      <w:start w:val="1"/>
      <w:numFmt w:val="bullet"/>
      <w:lvlText w:val=""/>
      <w:lvlJc w:val="left"/>
      <w:pPr>
        <w:ind w:left="5046" w:hanging="360"/>
      </w:pPr>
      <w:rPr>
        <w:rFonts w:ascii="Wingdings" w:hAnsi="Wingdings" w:hint="default"/>
      </w:rPr>
    </w:lvl>
    <w:lvl w:ilvl="6" w:tplc="0C090001">
      <w:start w:val="1"/>
      <w:numFmt w:val="bullet"/>
      <w:lvlText w:val=""/>
      <w:lvlJc w:val="left"/>
      <w:pPr>
        <w:ind w:left="5766" w:hanging="360"/>
      </w:pPr>
      <w:rPr>
        <w:rFonts w:ascii="Symbol" w:hAnsi="Symbol" w:hint="default"/>
      </w:rPr>
    </w:lvl>
    <w:lvl w:ilvl="7" w:tplc="0C090003">
      <w:start w:val="1"/>
      <w:numFmt w:val="bullet"/>
      <w:lvlText w:val="o"/>
      <w:lvlJc w:val="left"/>
      <w:pPr>
        <w:ind w:left="6486" w:hanging="360"/>
      </w:pPr>
      <w:rPr>
        <w:rFonts w:ascii="Courier New" w:hAnsi="Courier New" w:cs="Courier New" w:hint="default"/>
      </w:rPr>
    </w:lvl>
    <w:lvl w:ilvl="8" w:tplc="0C090005">
      <w:start w:val="1"/>
      <w:numFmt w:val="bullet"/>
      <w:lvlText w:val=""/>
      <w:lvlJc w:val="left"/>
      <w:pPr>
        <w:ind w:left="7206" w:hanging="360"/>
      </w:pPr>
      <w:rPr>
        <w:rFonts w:ascii="Wingdings" w:hAnsi="Wingdings" w:hint="default"/>
      </w:rPr>
    </w:lvl>
  </w:abstractNum>
  <w:abstractNum w:abstractNumId="37">
    <w:nsid w:val="7AF90550"/>
    <w:multiLevelType w:val="hybridMultilevel"/>
    <w:tmpl w:val="EA44F4EA"/>
    <w:lvl w:ilvl="0" w:tplc="C7DE3B38">
      <w:start w:val="1"/>
      <w:numFmt w:val="lowerRoman"/>
      <w:lvlText w:val="%1)"/>
      <w:lvlJc w:val="left"/>
      <w:pPr>
        <w:ind w:left="720" w:hanging="360"/>
      </w:pPr>
      <w:rPr>
        <w:rFonts w:asciiTheme="minorHAnsi" w:eastAsia="Times New Roman" w:hAnsiTheme="minorHAns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nsid w:val="7D0C7D24"/>
    <w:multiLevelType w:val="hybridMultilevel"/>
    <w:tmpl w:val="2114696C"/>
    <w:lvl w:ilvl="0" w:tplc="3F249980">
      <w:start w:val="1"/>
      <w:numFmt w:val="lowerRoman"/>
      <w:lvlText w:val="%1)"/>
      <w:lvlJc w:val="left"/>
      <w:pPr>
        <w:ind w:left="767" w:hanging="360"/>
      </w:pPr>
      <w:rPr>
        <w:rFonts w:hint="default"/>
      </w:rPr>
    </w:lvl>
    <w:lvl w:ilvl="1" w:tplc="0C090019">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39">
    <w:nsid w:val="7D9930DA"/>
    <w:multiLevelType w:val="hybridMultilevel"/>
    <w:tmpl w:val="87740AB2"/>
    <w:lvl w:ilvl="0" w:tplc="B0AADB42">
      <w:start w:val="1"/>
      <w:numFmt w:val="decimal"/>
      <w:lvlText w:val="5.%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0">
    <w:nsid w:val="7FFE0835"/>
    <w:multiLevelType w:val="hybridMultilevel"/>
    <w:tmpl w:val="05CC9BB6"/>
    <w:lvl w:ilvl="0" w:tplc="FF02A2B8">
      <w:start w:val="1"/>
      <w:numFmt w:val="decimal"/>
      <w:lvlText w:val="4.4.%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18"/>
  </w:num>
  <w:num w:numId="2">
    <w:abstractNumId w:val="10"/>
  </w:num>
  <w:num w:numId="3">
    <w:abstractNumId w:val="11"/>
  </w:num>
  <w:num w:numId="4">
    <w:abstractNumId w:val="15"/>
  </w:num>
  <w:num w:numId="5">
    <w:abstractNumId w:val="26"/>
  </w:num>
  <w:num w:numId="6">
    <w:abstractNumId w:val="34"/>
  </w:num>
  <w:num w:numId="7">
    <w:abstractNumId w:val="6"/>
  </w:num>
  <w:num w:numId="8">
    <w:abstractNumId w:val="29"/>
  </w:num>
  <w:num w:numId="9">
    <w:abstractNumId w:val="4"/>
  </w:num>
  <w:num w:numId="10">
    <w:abstractNumId w:val="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5"/>
  </w:num>
  <w:num w:numId="14">
    <w:abstractNumId w:val="39"/>
  </w:num>
  <w:num w:numId="15">
    <w:abstractNumId w:val="32"/>
  </w:num>
  <w:num w:numId="16">
    <w:abstractNumId w:val="17"/>
  </w:num>
  <w:num w:numId="17">
    <w:abstractNumId w:val="20"/>
  </w:num>
  <w:num w:numId="18">
    <w:abstractNumId w:val="22"/>
  </w:num>
  <w:num w:numId="19">
    <w:abstractNumId w:val="16"/>
  </w:num>
  <w:num w:numId="20">
    <w:abstractNumId w:val="7"/>
  </w:num>
  <w:num w:numId="21">
    <w:abstractNumId w:val="13"/>
  </w:num>
  <w:num w:numId="22">
    <w:abstractNumId w:val="24"/>
  </w:num>
  <w:num w:numId="23">
    <w:abstractNumId w:val="27"/>
  </w:num>
  <w:num w:numId="24">
    <w:abstractNumId w:val="28"/>
  </w:num>
  <w:num w:numId="25">
    <w:abstractNumId w:val="23"/>
  </w:num>
  <w:num w:numId="26">
    <w:abstractNumId w:val="38"/>
  </w:num>
  <w:num w:numId="27">
    <w:abstractNumId w:val="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num>
  <w:num w:numId="31">
    <w:abstractNumId w:val="31"/>
  </w:num>
  <w:num w:numId="32">
    <w:abstractNumId w:val="9"/>
  </w:num>
  <w:num w:numId="33">
    <w:abstractNumId w:val="7"/>
  </w:num>
  <w:num w:numId="34">
    <w:abstractNumId w:val="37"/>
  </w:num>
  <w:num w:numId="35">
    <w:abstractNumId w:val="2"/>
  </w:num>
  <w:num w:numId="36">
    <w:abstractNumId w:val="25"/>
  </w:num>
  <w:num w:numId="37">
    <w:abstractNumId w:val="3"/>
  </w:num>
  <w:num w:numId="38">
    <w:abstractNumId w:val="12"/>
  </w:num>
  <w:num w:numId="39">
    <w:abstractNumId w:val="19"/>
  </w:num>
  <w:num w:numId="40">
    <w:abstractNumId w:val="14"/>
  </w:num>
  <w:num w:numId="41">
    <w:abstractNumId w:val="33"/>
  </w:num>
  <w:num w:numId="42">
    <w:abstractNumId w:val="40"/>
  </w:num>
  <w:num w:numId="43">
    <w:abstractNumId w:val="1"/>
  </w:num>
  <w:num w:numId="44">
    <w:abstractNumId w:val="30"/>
  </w:num>
  <w:num w:numId="4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mbria&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fdf2w0fo9tppeezzvzx59dseap0z2stwrwv&quot;&gt;PhD all&lt;record-ids&gt;&lt;item&gt;2553&lt;/item&gt;&lt;/record-ids&gt;&lt;/item&gt;&lt;/Libraries&gt;"/>
  </w:docVars>
  <w:rsids>
    <w:rsidRoot w:val="002908E3"/>
    <w:rsid w:val="00001047"/>
    <w:rsid w:val="000034E3"/>
    <w:rsid w:val="000055B7"/>
    <w:rsid w:val="00011DD6"/>
    <w:rsid w:val="00013E16"/>
    <w:rsid w:val="000149C7"/>
    <w:rsid w:val="00020E55"/>
    <w:rsid w:val="0002104F"/>
    <w:rsid w:val="000230EF"/>
    <w:rsid w:val="00032BC3"/>
    <w:rsid w:val="00034297"/>
    <w:rsid w:val="00040758"/>
    <w:rsid w:val="00040F75"/>
    <w:rsid w:val="00045E73"/>
    <w:rsid w:val="0004729B"/>
    <w:rsid w:val="0004784A"/>
    <w:rsid w:val="00047F66"/>
    <w:rsid w:val="0005009E"/>
    <w:rsid w:val="0006032E"/>
    <w:rsid w:val="000610D1"/>
    <w:rsid w:val="000663FE"/>
    <w:rsid w:val="00072EC1"/>
    <w:rsid w:val="0007421E"/>
    <w:rsid w:val="00074DBC"/>
    <w:rsid w:val="00076644"/>
    <w:rsid w:val="0008012C"/>
    <w:rsid w:val="00082376"/>
    <w:rsid w:val="00085DCD"/>
    <w:rsid w:val="0008680E"/>
    <w:rsid w:val="0008713E"/>
    <w:rsid w:val="0009533D"/>
    <w:rsid w:val="00097169"/>
    <w:rsid w:val="000A05A4"/>
    <w:rsid w:val="000B1A1E"/>
    <w:rsid w:val="000C124F"/>
    <w:rsid w:val="000C19F4"/>
    <w:rsid w:val="000C2FFE"/>
    <w:rsid w:val="000C44C9"/>
    <w:rsid w:val="000D1789"/>
    <w:rsid w:val="000D1925"/>
    <w:rsid w:val="000D1CDB"/>
    <w:rsid w:val="000D528D"/>
    <w:rsid w:val="000E49EA"/>
    <w:rsid w:val="000E6421"/>
    <w:rsid w:val="000E705E"/>
    <w:rsid w:val="000E7BEC"/>
    <w:rsid w:val="000F22C6"/>
    <w:rsid w:val="000F39C7"/>
    <w:rsid w:val="000F4DF8"/>
    <w:rsid w:val="000F5D49"/>
    <w:rsid w:val="000F63F2"/>
    <w:rsid w:val="00101822"/>
    <w:rsid w:val="00106B88"/>
    <w:rsid w:val="00112717"/>
    <w:rsid w:val="001148A6"/>
    <w:rsid w:val="0011572B"/>
    <w:rsid w:val="00117420"/>
    <w:rsid w:val="00123706"/>
    <w:rsid w:val="00123722"/>
    <w:rsid w:val="00123FAD"/>
    <w:rsid w:val="00130887"/>
    <w:rsid w:val="001310F4"/>
    <w:rsid w:val="00131F7E"/>
    <w:rsid w:val="00132681"/>
    <w:rsid w:val="00134680"/>
    <w:rsid w:val="00135572"/>
    <w:rsid w:val="0014081B"/>
    <w:rsid w:val="00141FD0"/>
    <w:rsid w:val="00142695"/>
    <w:rsid w:val="00147977"/>
    <w:rsid w:val="00153023"/>
    <w:rsid w:val="00154D37"/>
    <w:rsid w:val="00157D03"/>
    <w:rsid w:val="00161027"/>
    <w:rsid w:val="00161FA1"/>
    <w:rsid w:val="00161FA6"/>
    <w:rsid w:val="001641A1"/>
    <w:rsid w:val="00166B2E"/>
    <w:rsid w:val="0016752E"/>
    <w:rsid w:val="001676AE"/>
    <w:rsid w:val="00170733"/>
    <w:rsid w:val="00171633"/>
    <w:rsid w:val="00171C70"/>
    <w:rsid w:val="001720E3"/>
    <w:rsid w:val="001746FB"/>
    <w:rsid w:val="0017589C"/>
    <w:rsid w:val="00175E39"/>
    <w:rsid w:val="00176A32"/>
    <w:rsid w:val="00177060"/>
    <w:rsid w:val="001778E2"/>
    <w:rsid w:val="00180805"/>
    <w:rsid w:val="0019183C"/>
    <w:rsid w:val="00195427"/>
    <w:rsid w:val="00195549"/>
    <w:rsid w:val="001979EF"/>
    <w:rsid w:val="001A2A1C"/>
    <w:rsid w:val="001A2CB6"/>
    <w:rsid w:val="001A4154"/>
    <w:rsid w:val="001A486B"/>
    <w:rsid w:val="001A7EA5"/>
    <w:rsid w:val="001B0997"/>
    <w:rsid w:val="001B3498"/>
    <w:rsid w:val="001B63AD"/>
    <w:rsid w:val="001C0A93"/>
    <w:rsid w:val="001C1B49"/>
    <w:rsid w:val="001C3359"/>
    <w:rsid w:val="001C44FF"/>
    <w:rsid w:val="001C52F7"/>
    <w:rsid w:val="001C7E5D"/>
    <w:rsid w:val="001D43AA"/>
    <w:rsid w:val="001E1CB0"/>
    <w:rsid w:val="001E5BCC"/>
    <w:rsid w:val="001E6167"/>
    <w:rsid w:val="001F652F"/>
    <w:rsid w:val="001F6FC1"/>
    <w:rsid w:val="00201498"/>
    <w:rsid w:val="0020157A"/>
    <w:rsid w:val="0020288E"/>
    <w:rsid w:val="00203594"/>
    <w:rsid w:val="00207C65"/>
    <w:rsid w:val="0021278A"/>
    <w:rsid w:val="00214C70"/>
    <w:rsid w:val="002152BA"/>
    <w:rsid w:val="00220709"/>
    <w:rsid w:val="002219E0"/>
    <w:rsid w:val="002270E2"/>
    <w:rsid w:val="002327CF"/>
    <w:rsid w:val="00233C07"/>
    <w:rsid w:val="00236F73"/>
    <w:rsid w:val="00240BFB"/>
    <w:rsid w:val="0024264D"/>
    <w:rsid w:val="00242BAA"/>
    <w:rsid w:val="00244E7D"/>
    <w:rsid w:val="00246185"/>
    <w:rsid w:val="00247215"/>
    <w:rsid w:val="0025276C"/>
    <w:rsid w:val="00256FED"/>
    <w:rsid w:val="00257EFA"/>
    <w:rsid w:val="002661B1"/>
    <w:rsid w:val="0026642D"/>
    <w:rsid w:val="002673BD"/>
    <w:rsid w:val="002707A7"/>
    <w:rsid w:val="00270925"/>
    <w:rsid w:val="0027145E"/>
    <w:rsid w:val="002737F9"/>
    <w:rsid w:val="00277468"/>
    <w:rsid w:val="002821F2"/>
    <w:rsid w:val="00282A05"/>
    <w:rsid w:val="002843CF"/>
    <w:rsid w:val="002846E6"/>
    <w:rsid w:val="00286806"/>
    <w:rsid w:val="0029074B"/>
    <w:rsid w:val="002908E3"/>
    <w:rsid w:val="00291B15"/>
    <w:rsid w:val="00292D08"/>
    <w:rsid w:val="00295401"/>
    <w:rsid w:val="00295731"/>
    <w:rsid w:val="00296B32"/>
    <w:rsid w:val="002A314D"/>
    <w:rsid w:val="002B1E47"/>
    <w:rsid w:val="002B4103"/>
    <w:rsid w:val="002B78C9"/>
    <w:rsid w:val="002C09E6"/>
    <w:rsid w:val="002C23DF"/>
    <w:rsid w:val="002C3D27"/>
    <w:rsid w:val="002C711B"/>
    <w:rsid w:val="002D031E"/>
    <w:rsid w:val="002D036E"/>
    <w:rsid w:val="002E39BB"/>
    <w:rsid w:val="002E3C1D"/>
    <w:rsid w:val="002E4D8A"/>
    <w:rsid w:val="002F2F7D"/>
    <w:rsid w:val="002F44D9"/>
    <w:rsid w:val="003008B0"/>
    <w:rsid w:val="003133E6"/>
    <w:rsid w:val="003144D9"/>
    <w:rsid w:val="00314E1F"/>
    <w:rsid w:val="00321C0F"/>
    <w:rsid w:val="00322754"/>
    <w:rsid w:val="00324EDB"/>
    <w:rsid w:val="003255A6"/>
    <w:rsid w:val="00330F4B"/>
    <w:rsid w:val="00331D20"/>
    <w:rsid w:val="0033497D"/>
    <w:rsid w:val="00334CD5"/>
    <w:rsid w:val="00337D88"/>
    <w:rsid w:val="00342F15"/>
    <w:rsid w:val="0034337F"/>
    <w:rsid w:val="00351D65"/>
    <w:rsid w:val="003547A9"/>
    <w:rsid w:val="00355E03"/>
    <w:rsid w:val="00356FAA"/>
    <w:rsid w:val="00360314"/>
    <w:rsid w:val="00360326"/>
    <w:rsid w:val="00360D43"/>
    <w:rsid w:val="00366780"/>
    <w:rsid w:val="00366EEB"/>
    <w:rsid w:val="003701A1"/>
    <w:rsid w:val="00372A12"/>
    <w:rsid w:val="00373CA2"/>
    <w:rsid w:val="00373CBD"/>
    <w:rsid w:val="003757E5"/>
    <w:rsid w:val="00380D0D"/>
    <w:rsid w:val="00381778"/>
    <w:rsid w:val="003852E6"/>
    <w:rsid w:val="0038542B"/>
    <w:rsid w:val="003868A8"/>
    <w:rsid w:val="003877A5"/>
    <w:rsid w:val="003918A4"/>
    <w:rsid w:val="00392698"/>
    <w:rsid w:val="00393F54"/>
    <w:rsid w:val="003B1D9C"/>
    <w:rsid w:val="003B726F"/>
    <w:rsid w:val="003B7BB7"/>
    <w:rsid w:val="003C2D5A"/>
    <w:rsid w:val="003C4CCE"/>
    <w:rsid w:val="003C5E42"/>
    <w:rsid w:val="003C6193"/>
    <w:rsid w:val="003C7A1B"/>
    <w:rsid w:val="003E0170"/>
    <w:rsid w:val="003E21A1"/>
    <w:rsid w:val="003E265A"/>
    <w:rsid w:val="003E4262"/>
    <w:rsid w:val="003E583E"/>
    <w:rsid w:val="003E5DB1"/>
    <w:rsid w:val="003E5EF0"/>
    <w:rsid w:val="003E6F1C"/>
    <w:rsid w:val="003E7775"/>
    <w:rsid w:val="003F05F9"/>
    <w:rsid w:val="003F2CA0"/>
    <w:rsid w:val="003F3062"/>
    <w:rsid w:val="003F475A"/>
    <w:rsid w:val="00403EA9"/>
    <w:rsid w:val="00404C14"/>
    <w:rsid w:val="00410BAA"/>
    <w:rsid w:val="00410BC0"/>
    <w:rsid w:val="00412B88"/>
    <w:rsid w:val="0041552D"/>
    <w:rsid w:val="0041652B"/>
    <w:rsid w:val="00416A1F"/>
    <w:rsid w:val="00416BE2"/>
    <w:rsid w:val="00417485"/>
    <w:rsid w:val="00427047"/>
    <w:rsid w:val="00431F7A"/>
    <w:rsid w:val="004339E1"/>
    <w:rsid w:val="00436A61"/>
    <w:rsid w:val="00442AAF"/>
    <w:rsid w:val="004430C1"/>
    <w:rsid w:val="0044377F"/>
    <w:rsid w:val="00443FC4"/>
    <w:rsid w:val="00445FDF"/>
    <w:rsid w:val="004502B2"/>
    <w:rsid w:val="00450886"/>
    <w:rsid w:val="00452ED9"/>
    <w:rsid w:val="004531E6"/>
    <w:rsid w:val="004544AC"/>
    <w:rsid w:val="004550E3"/>
    <w:rsid w:val="00457B46"/>
    <w:rsid w:val="00460C10"/>
    <w:rsid w:val="00461419"/>
    <w:rsid w:val="004615A3"/>
    <w:rsid w:val="00471564"/>
    <w:rsid w:val="00472854"/>
    <w:rsid w:val="00473C8D"/>
    <w:rsid w:val="00474CBA"/>
    <w:rsid w:val="00475636"/>
    <w:rsid w:val="004763A3"/>
    <w:rsid w:val="00480819"/>
    <w:rsid w:val="00486818"/>
    <w:rsid w:val="00487123"/>
    <w:rsid w:val="00490586"/>
    <w:rsid w:val="004915CA"/>
    <w:rsid w:val="004939B7"/>
    <w:rsid w:val="004973F7"/>
    <w:rsid w:val="004A3448"/>
    <w:rsid w:val="004A43B0"/>
    <w:rsid w:val="004A6035"/>
    <w:rsid w:val="004B01D2"/>
    <w:rsid w:val="004B25A0"/>
    <w:rsid w:val="004B404D"/>
    <w:rsid w:val="004B559D"/>
    <w:rsid w:val="004B5EFC"/>
    <w:rsid w:val="004B6FE9"/>
    <w:rsid w:val="004C07CE"/>
    <w:rsid w:val="004C1F74"/>
    <w:rsid w:val="004D1EC4"/>
    <w:rsid w:val="004D2CFD"/>
    <w:rsid w:val="004E35B5"/>
    <w:rsid w:val="004E3E28"/>
    <w:rsid w:val="004E43AB"/>
    <w:rsid w:val="004E4C8C"/>
    <w:rsid w:val="004E4ECD"/>
    <w:rsid w:val="004E6C2F"/>
    <w:rsid w:val="004F21AF"/>
    <w:rsid w:val="004F2389"/>
    <w:rsid w:val="004F2A4A"/>
    <w:rsid w:val="004F79FC"/>
    <w:rsid w:val="00503220"/>
    <w:rsid w:val="005142E2"/>
    <w:rsid w:val="005250F1"/>
    <w:rsid w:val="0052708E"/>
    <w:rsid w:val="005305A5"/>
    <w:rsid w:val="00532B85"/>
    <w:rsid w:val="00534456"/>
    <w:rsid w:val="005413FD"/>
    <w:rsid w:val="005450D6"/>
    <w:rsid w:val="00545999"/>
    <w:rsid w:val="0054716F"/>
    <w:rsid w:val="00550C3E"/>
    <w:rsid w:val="00553005"/>
    <w:rsid w:val="00553309"/>
    <w:rsid w:val="00555D1A"/>
    <w:rsid w:val="00557B8E"/>
    <w:rsid w:val="00561684"/>
    <w:rsid w:val="00561C6E"/>
    <w:rsid w:val="00566347"/>
    <w:rsid w:val="005704DB"/>
    <w:rsid w:val="00570543"/>
    <w:rsid w:val="00571430"/>
    <w:rsid w:val="00572CD0"/>
    <w:rsid w:val="00573358"/>
    <w:rsid w:val="00575F18"/>
    <w:rsid w:val="00582C84"/>
    <w:rsid w:val="0058724C"/>
    <w:rsid w:val="00590680"/>
    <w:rsid w:val="00590B20"/>
    <w:rsid w:val="00591EA3"/>
    <w:rsid w:val="005950BE"/>
    <w:rsid w:val="005957C2"/>
    <w:rsid w:val="0059592E"/>
    <w:rsid w:val="005A116F"/>
    <w:rsid w:val="005A279A"/>
    <w:rsid w:val="005A2A1C"/>
    <w:rsid w:val="005A3939"/>
    <w:rsid w:val="005A4A91"/>
    <w:rsid w:val="005A64D1"/>
    <w:rsid w:val="005B00C5"/>
    <w:rsid w:val="005B1907"/>
    <w:rsid w:val="005B1AF4"/>
    <w:rsid w:val="005B38B7"/>
    <w:rsid w:val="005B3BB7"/>
    <w:rsid w:val="005B56D9"/>
    <w:rsid w:val="005B5C5F"/>
    <w:rsid w:val="005C011A"/>
    <w:rsid w:val="005C052A"/>
    <w:rsid w:val="005C1F88"/>
    <w:rsid w:val="005C3F28"/>
    <w:rsid w:val="005C5300"/>
    <w:rsid w:val="005C7560"/>
    <w:rsid w:val="005D0BBE"/>
    <w:rsid w:val="005D2E7B"/>
    <w:rsid w:val="005D5B30"/>
    <w:rsid w:val="005D757E"/>
    <w:rsid w:val="005E01EB"/>
    <w:rsid w:val="005E184D"/>
    <w:rsid w:val="005E78EF"/>
    <w:rsid w:val="005F18CC"/>
    <w:rsid w:val="005F2069"/>
    <w:rsid w:val="005F3019"/>
    <w:rsid w:val="005F431C"/>
    <w:rsid w:val="005F57EE"/>
    <w:rsid w:val="005F74DD"/>
    <w:rsid w:val="00601A3F"/>
    <w:rsid w:val="00602C65"/>
    <w:rsid w:val="00605CD9"/>
    <w:rsid w:val="00612532"/>
    <w:rsid w:val="00616761"/>
    <w:rsid w:val="00616D12"/>
    <w:rsid w:val="00617A5B"/>
    <w:rsid w:val="0062283F"/>
    <w:rsid w:val="00624991"/>
    <w:rsid w:val="00627417"/>
    <w:rsid w:val="00631BA5"/>
    <w:rsid w:val="006320BD"/>
    <w:rsid w:val="006335BD"/>
    <w:rsid w:val="006351F8"/>
    <w:rsid w:val="00637571"/>
    <w:rsid w:val="00637B01"/>
    <w:rsid w:val="00637B67"/>
    <w:rsid w:val="00644FE2"/>
    <w:rsid w:val="00647D9C"/>
    <w:rsid w:val="00650E06"/>
    <w:rsid w:val="00651322"/>
    <w:rsid w:val="0065428A"/>
    <w:rsid w:val="00654ADC"/>
    <w:rsid w:val="006556E5"/>
    <w:rsid w:val="006604F3"/>
    <w:rsid w:val="00663A3D"/>
    <w:rsid w:val="006678B0"/>
    <w:rsid w:val="006722CC"/>
    <w:rsid w:val="00680F40"/>
    <w:rsid w:val="00680F45"/>
    <w:rsid w:val="006868D8"/>
    <w:rsid w:val="006933EB"/>
    <w:rsid w:val="00696D4D"/>
    <w:rsid w:val="006A0080"/>
    <w:rsid w:val="006A1CA2"/>
    <w:rsid w:val="006A2D8C"/>
    <w:rsid w:val="006A3177"/>
    <w:rsid w:val="006A5CEA"/>
    <w:rsid w:val="006B3747"/>
    <w:rsid w:val="006B3C0D"/>
    <w:rsid w:val="006B7692"/>
    <w:rsid w:val="006C1741"/>
    <w:rsid w:val="006C20D7"/>
    <w:rsid w:val="006C2B68"/>
    <w:rsid w:val="006C532C"/>
    <w:rsid w:val="006D12F5"/>
    <w:rsid w:val="006D237F"/>
    <w:rsid w:val="006E28B5"/>
    <w:rsid w:val="006F25C3"/>
    <w:rsid w:val="006F3C12"/>
    <w:rsid w:val="007037C7"/>
    <w:rsid w:val="007057C6"/>
    <w:rsid w:val="00712843"/>
    <w:rsid w:val="00713010"/>
    <w:rsid w:val="00720072"/>
    <w:rsid w:val="007211DF"/>
    <w:rsid w:val="00722C87"/>
    <w:rsid w:val="00723046"/>
    <w:rsid w:val="007233A5"/>
    <w:rsid w:val="007237F9"/>
    <w:rsid w:val="00726B84"/>
    <w:rsid w:val="0072747C"/>
    <w:rsid w:val="007344A8"/>
    <w:rsid w:val="00734A6C"/>
    <w:rsid w:val="0073724C"/>
    <w:rsid w:val="00740BD3"/>
    <w:rsid w:val="00741DB4"/>
    <w:rsid w:val="007422BC"/>
    <w:rsid w:val="0074606D"/>
    <w:rsid w:val="00747537"/>
    <w:rsid w:val="00752039"/>
    <w:rsid w:val="007543C2"/>
    <w:rsid w:val="007577BC"/>
    <w:rsid w:val="0076310E"/>
    <w:rsid w:val="007649B9"/>
    <w:rsid w:val="00766D72"/>
    <w:rsid w:val="00777CCD"/>
    <w:rsid w:val="0078373F"/>
    <w:rsid w:val="007859FC"/>
    <w:rsid w:val="007863EE"/>
    <w:rsid w:val="0078696A"/>
    <w:rsid w:val="00790366"/>
    <w:rsid w:val="0079399E"/>
    <w:rsid w:val="007964C5"/>
    <w:rsid w:val="00796830"/>
    <w:rsid w:val="007A1E5B"/>
    <w:rsid w:val="007A2272"/>
    <w:rsid w:val="007A3786"/>
    <w:rsid w:val="007B092C"/>
    <w:rsid w:val="007B43ED"/>
    <w:rsid w:val="007B488B"/>
    <w:rsid w:val="007B6DC8"/>
    <w:rsid w:val="007B7425"/>
    <w:rsid w:val="007C1B4F"/>
    <w:rsid w:val="007D6AE4"/>
    <w:rsid w:val="007E0437"/>
    <w:rsid w:val="007E366B"/>
    <w:rsid w:val="007E3D0D"/>
    <w:rsid w:val="007E3F06"/>
    <w:rsid w:val="007E5640"/>
    <w:rsid w:val="007E5832"/>
    <w:rsid w:val="007E6058"/>
    <w:rsid w:val="007F7286"/>
    <w:rsid w:val="008005E2"/>
    <w:rsid w:val="00802C4C"/>
    <w:rsid w:val="0080400D"/>
    <w:rsid w:val="008043B0"/>
    <w:rsid w:val="00804C26"/>
    <w:rsid w:val="0080548A"/>
    <w:rsid w:val="00810732"/>
    <w:rsid w:val="00810918"/>
    <w:rsid w:val="00813BA4"/>
    <w:rsid w:val="00815074"/>
    <w:rsid w:val="008173A3"/>
    <w:rsid w:val="008244FB"/>
    <w:rsid w:val="008264EC"/>
    <w:rsid w:val="0082688A"/>
    <w:rsid w:val="00826ABD"/>
    <w:rsid w:val="0083306B"/>
    <w:rsid w:val="00836683"/>
    <w:rsid w:val="00837B34"/>
    <w:rsid w:val="008408FC"/>
    <w:rsid w:val="008413C1"/>
    <w:rsid w:val="00844EA1"/>
    <w:rsid w:val="00847D75"/>
    <w:rsid w:val="00855353"/>
    <w:rsid w:val="0085593C"/>
    <w:rsid w:val="00857EF4"/>
    <w:rsid w:val="00860D43"/>
    <w:rsid w:val="00861099"/>
    <w:rsid w:val="00863EB5"/>
    <w:rsid w:val="00864872"/>
    <w:rsid w:val="00865525"/>
    <w:rsid w:val="00865BC8"/>
    <w:rsid w:val="008710C1"/>
    <w:rsid w:val="008752EA"/>
    <w:rsid w:val="00877797"/>
    <w:rsid w:val="00883825"/>
    <w:rsid w:val="00887D7E"/>
    <w:rsid w:val="00887DE6"/>
    <w:rsid w:val="00890D31"/>
    <w:rsid w:val="0089454F"/>
    <w:rsid w:val="008A05F7"/>
    <w:rsid w:val="008A095F"/>
    <w:rsid w:val="008A1870"/>
    <w:rsid w:val="008A19A3"/>
    <w:rsid w:val="008A4533"/>
    <w:rsid w:val="008A4B3E"/>
    <w:rsid w:val="008A6FF5"/>
    <w:rsid w:val="008B398A"/>
    <w:rsid w:val="008C071B"/>
    <w:rsid w:val="008D05E2"/>
    <w:rsid w:val="008D1E2F"/>
    <w:rsid w:val="008D4618"/>
    <w:rsid w:val="008D65E9"/>
    <w:rsid w:val="008D67C4"/>
    <w:rsid w:val="008D68D6"/>
    <w:rsid w:val="008D7DA6"/>
    <w:rsid w:val="008E0A8B"/>
    <w:rsid w:val="008E307E"/>
    <w:rsid w:val="008E4C88"/>
    <w:rsid w:val="008E514F"/>
    <w:rsid w:val="008E5529"/>
    <w:rsid w:val="008F2110"/>
    <w:rsid w:val="008F4424"/>
    <w:rsid w:val="008F4BB5"/>
    <w:rsid w:val="008F6895"/>
    <w:rsid w:val="008F68E6"/>
    <w:rsid w:val="009006E8"/>
    <w:rsid w:val="0090086F"/>
    <w:rsid w:val="00905271"/>
    <w:rsid w:val="00907C37"/>
    <w:rsid w:val="0091160B"/>
    <w:rsid w:val="00914F30"/>
    <w:rsid w:val="009169D0"/>
    <w:rsid w:val="00920820"/>
    <w:rsid w:val="00921952"/>
    <w:rsid w:val="0092201F"/>
    <w:rsid w:val="00922C5B"/>
    <w:rsid w:val="0092586D"/>
    <w:rsid w:val="009263CF"/>
    <w:rsid w:val="00926557"/>
    <w:rsid w:val="009303A8"/>
    <w:rsid w:val="00933FB7"/>
    <w:rsid w:val="00935FF5"/>
    <w:rsid w:val="00941B48"/>
    <w:rsid w:val="0094466C"/>
    <w:rsid w:val="00945267"/>
    <w:rsid w:val="009528FA"/>
    <w:rsid w:val="009572D6"/>
    <w:rsid w:val="00957A9D"/>
    <w:rsid w:val="0096021B"/>
    <w:rsid w:val="00960CC4"/>
    <w:rsid w:val="00961577"/>
    <w:rsid w:val="00965EC7"/>
    <w:rsid w:val="0097686F"/>
    <w:rsid w:val="009806AD"/>
    <w:rsid w:val="00980BB4"/>
    <w:rsid w:val="00983322"/>
    <w:rsid w:val="0098380A"/>
    <w:rsid w:val="009866EB"/>
    <w:rsid w:val="0098779E"/>
    <w:rsid w:val="00987934"/>
    <w:rsid w:val="00987F26"/>
    <w:rsid w:val="00990506"/>
    <w:rsid w:val="00992463"/>
    <w:rsid w:val="00996F0C"/>
    <w:rsid w:val="009A3E06"/>
    <w:rsid w:val="009A6A20"/>
    <w:rsid w:val="009B0B3F"/>
    <w:rsid w:val="009B1161"/>
    <w:rsid w:val="009B1304"/>
    <w:rsid w:val="009B3064"/>
    <w:rsid w:val="009B64B2"/>
    <w:rsid w:val="009B7A38"/>
    <w:rsid w:val="009C2C74"/>
    <w:rsid w:val="009C3198"/>
    <w:rsid w:val="009C4304"/>
    <w:rsid w:val="009D1A17"/>
    <w:rsid w:val="009D2A39"/>
    <w:rsid w:val="009D36DF"/>
    <w:rsid w:val="009D60A8"/>
    <w:rsid w:val="009E2DAA"/>
    <w:rsid w:val="009E436C"/>
    <w:rsid w:val="009E491F"/>
    <w:rsid w:val="009E4FE9"/>
    <w:rsid w:val="009E5C8E"/>
    <w:rsid w:val="009E7587"/>
    <w:rsid w:val="009F0941"/>
    <w:rsid w:val="009F75E2"/>
    <w:rsid w:val="00A00B9E"/>
    <w:rsid w:val="00A06643"/>
    <w:rsid w:val="00A1327F"/>
    <w:rsid w:val="00A21DE9"/>
    <w:rsid w:val="00A24B62"/>
    <w:rsid w:val="00A26DCC"/>
    <w:rsid w:val="00A27016"/>
    <w:rsid w:val="00A27CED"/>
    <w:rsid w:val="00A300AC"/>
    <w:rsid w:val="00A32343"/>
    <w:rsid w:val="00A334AC"/>
    <w:rsid w:val="00A338D0"/>
    <w:rsid w:val="00A33D22"/>
    <w:rsid w:val="00A34AF9"/>
    <w:rsid w:val="00A3594B"/>
    <w:rsid w:val="00A37EB2"/>
    <w:rsid w:val="00A4335D"/>
    <w:rsid w:val="00A46436"/>
    <w:rsid w:val="00A46866"/>
    <w:rsid w:val="00A47475"/>
    <w:rsid w:val="00A47F74"/>
    <w:rsid w:val="00A50AA3"/>
    <w:rsid w:val="00A52B2F"/>
    <w:rsid w:val="00A620BB"/>
    <w:rsid w:val="00A665C0"/>
    <w:rsid w:val="00A66DAB"/>
    <w:rsid w:val="00A671D2"/>
    <w:rsid w:val="00A70A17"/>
    <w:rsid w:val="00A70F13"/>
    <w:rsid w:val="00A77EFB"/>
    <w:rsid w:val="00A80217"/>
    <w:rsid w:val="00A80BF1"/>
    <w:rsid w:val="00A84130"/>
    <w:rsid w:val="00A859D7"/>
    <w:rsid w:val="00A92924"/>
    <w:rsid w:val="00A93F3D"/>
    <w:rsid w:val="00A94B96"/>
    <w:rsid w:val="00A94D78"/>
    <w:rsid w:val="00AA2E26"/>
    <w:rsid w:val="00AA418C"/>
    <w:rsid w:val="00AB7E85"/>
    <w:rsid w:val="00AC1DDD"/>
    <w:rsid w:val="00AC24A9"/>
    <w:rsid w:val="00AC359A"/>
    <w:rsid w:val="00AC7073"/>
    <w:rsid w:val="00AE0533"/>
    <w:rsid w:val="00AE157C"/>
    <w:rsid w:val="00AE2C98"/>
    <w:rsid w:val="00AE3117"/>
    <w:rsid w:val="00AE39FD"/>
    <w:rsid w:val="00AE4F43"/>
    <w:rsid w:val="00AE53B3"/>
    <w:rsid w:val="00AF151D"/>
    <w:rsid w:val="00AF496B"/>
    <w:rsid w:val="00AF7D43"/>
    <w:rsid w:val="00B04AF5"/>
    <w:rsid w:val="00B0502C"/>
    <w:rsid w:val="00B06304"/>
    <w:rsid w:val="00B11084"/>
    <w:rsid w:val="00B1338F"/>
    <w:rsid w:val="00B1385B"/>
    <w:rsid w:val="00B14064"/>
    <w:rsid w:val="00B14BE0"/>
    <w:rsid w:val="00B1529C"/>
    <w:rsid w:val="00B15FCF"/>
    <w:rsid w:val="00B17E20"/>
    <w:rsid w:val="00B20302"/>
    <w:rsid w:val="00B22F7A"/>
    <w:rsid w:val="00B24280"/>
    <w:rsid w:val="00B24BDB"/>
    <w:rsid w:val="00B2541F"/>
    <w:rsid w:val="00B25E7A"/>
    <w:rsid w:val="00B37D1C"/>
    <w:rsid w:val="00B407AF"/>
    <w:rsid w:val="00B40A0A"/>
    <w:rsid w:val="00B40F18"/>
    <w:rsid w:val="00B4447A"/>
    <w:rsid w:val="00B45831"/>
    <w:rsid w:val="00B47C1D"/>
    <w:rsid w:val="00B5102F"/>
    <w:rsid w:val="00B5142B"/>
    <w:rsid w:val="00B5307E"/>
    <w:rsid w:val="00B550FD"/>
    <w:rsid w:val="00B60127"/>
    <w:rsid w:val="00B60BAC"/>
    <w:rsid w:val="00B60EA2"/>
    <w:rsid w:val="00B637FC"/>
    <w:rsid w:val="00B674F8"/>
    <w:rsid w:val="00B71B13"/>
    <w:rsid w:val="00B71B7A"/>
    <w:rsid w:val="00B826FC"/>
    <w:rsid w:val="00B865D3"/>
    <w:rsid w:val="00B877A5"/>
    <w:rsid w:val="00B9052E"/>
    <w:rsid w:val="00B908F6"/>
    <w:rsid w:val="00B91DB8"/>
    <w:rsid w:val="00B941DF"/>
    <w:rsid w:val="00B9665A"/>
    <w:rsid w:val="00BB01DD"/>
    <w:rsid w:val="00BB13C5"/>
    <w:rsid w:val="00BB54DB"/>
    <w:rsid w:val="00BB563A"/>
    <w:rsid w:val="00BB7812"/>
    <w:rsid w:val="00BD01A0"/>
    <w:rsid w:val="00BD0F2D"/>
    <w:rsid w:val="00BD1B98"/>
    <w:rsid w:val="00BD2222"/>
    <w:rsid w:val="00BD225D"/>
    <w:rsid w:val="00BD337F"/>
    <w:rsid w:val="00BD4911"/>
    <w:rsid w:val="00BD6AB2"/>
    <w:rsid w:val="00BE3407"/>
    <w:rsid w:val="00BE4EF3"/>
    <w:rsid w:val="00BE58A9"/>
    <w:rsid w:val="00BF3F75"/>
    <w:rsid w:val="00BF6B44"/>
    <w:rsid w:val="00C02688"/>
    <w:rsid w:val="00C0289E"/>
    <w:rsid w:val="00C0486C"/>
    <w:rsid w:val="00C058ED"/>
    <w:rsid w:val="00C0682C"/>
    <w:rsid w:val="00C0687C"/>
    <w:rsid w:val="00C11DE8"/>
    <w:rsid w:val="00C1287C"/>
    <w:rsid w:val="00C13244"/>
    <w:rsid w:val="00C147B0"/>
    <w:rsid w:val="00C15767"/>
    <w:rsid w:val="00C15968"/>
    <w:rsid w:val="00C17B7A"/>
    <w:rsid w:val="00C20358"/>
    <w:rsid w:val="00C237BF"/>
    <w:rsid w:val="00C2418D"/>
    <w:rsid w:val="00C24888"/>
    <w:rsid w:val="00C25CF2"/>
    <w:rsid w:val="00C31BF7"/>
    <w:rsid w:val="00C36FF3"/>
    <w:rsid w:val="00C37481"/>
    <w:rsid w:val="00C419B1"/>
    <w:rsid w:val="00C425D5"/>
    <w:rsid w:val="00C42FD7"/>
    <w:rsid w:val="00C5155E"/>
    <w:rsid w:val="00C536CA"/>
    <w:rsid w:val="00C6243C"/>
    <w:rsid w:val="00C62804"/>
    <w:rsid w:val="00C64399"/>
    <w:rsid w:val="00C64974"/>
    <w:rsid w:val="00C67AA6"/>
    <w:rsid w:val="00C752ED"/>
    <w:rsid w:val="00C81B04"/>
    <w:rsid w:val="00C8466B"/>
    <w:rsid w:val="00C95537"/>
    <w:rsid w:val="00C96AA7"/>
    <w:rsid w:val="00CA13B0"/>
    <w:rsid w:val="00CA6644"/>
    <w:rsid w:val="00CB03ED"/>
    <w:rsid w:val="00CB09F0"/>
    <w:rsid w:val="00CB19A3"/>
    <w:rsid w:val="00CB6D91"/>
    <w:rsid w:val="00CB7EE3"/>
    <w:rsid w:val="00CC06D2"/>
    <w:rsid w:val="00CC3650"/>
    <w:rsid w:val="00CC5199"/>
    <w:rsid w:val="00CD245F"/>
    <w:rsid w:val="00CD2FE5"/>
    <w:rsid w:val="00CD47AE"/>
    <w:rsid w:val="00CE40B8"/>
    <w:rsid w:val="00CE5761"/>
    <w:rsid w:val="00CE7874"/>
    <w:rsid w:val="00CF3557"/>
    <w:rsid w:val="00CF3A05"/>
    <w:rsid w:val="00CF5DA5"/>
    <w:rsid w:val="00D000C5"/>
    <w:rsid w:val="00D010C4"/>
    <w:rsid w:val="00D03BCE"/>
    <w:rsid w:val="00D04485"/>
    <w:rsid w:val="00D04E39"/>
    <w:rsid w:val="00D054F7"/>
    <w:rsid w:val="00D10D12"/>
    <w:rsid w:val="00D118A8"/>
    <w:rsid w:val="00D17880"/>
    <w:rsid w:val="00D17DF5"/>
    <w:rsid w:val="00D2462A"/>
    <w:rsid w:val="00D248CC"/>
    <w:rsid w:val="00D31E4E"/>
    <w:rsid w:val="00D37590"/>
    <w:rsid w:val="00D3783B"/>
    <w:rsid w:val="00D418A4"/>
    <w:rsid w:val="00D44A64"/>
    <w:rsid w:val="00D44BAE"/>
    <w:rsid w:val="00D46170"/>
    <w:rsid w:val="00D464D5"/>
    <w:rsid w:val="00D515BB"/>
    <w:rsid w:val="00D51F29"/>
    <w:rsid w:val="00D53D40"/>
    <w:rsid w:val="00D55987"/>
    <w:rsid w:val="00D666BF"/>
    <w:rsid w:val="00D67698"/>
    <w:rsid w:val="00D72DD4"/>
    <w:rsid w:val="00D76168"/>
    <w:rsid w:val="00D823D9"/>
    <w:rsid w:val="00D82E65"/>
    <w:rsid w:val="00D84862"/>
    <w:rsid w:val="00D855F2"/>
    <w:rsid w:val="00D87B5B"/>
    <w:rsid w:val="00D90193"/>
    <w:rsid w:val="00D9056E"/>
    <w:rsid w:val="00D90D24"/>
    <w:rsid w:val="00D91E93"/>
    <w:rsid w:val="00D91F97"/>
    <w:rsid w:val="00DA1709"/>
    <w:rsid w:val="00DA5791"/>
    <w:rsid w:val="00DA6D95"/>
    <w:rsid w:val="00DB2090"/>
    <w:rsid w:val="00DB24A6"/>
    <w:rsid w:val="00DB2900"/>
    <w:rsid w:val="00DB4771"/>
    <w:rsid w:val="00DB5B0D"/>
    <w:rsid w:val="00DC3C29"/>
    <w:rsid w:val="00DC40FE"/>
    <w:rsid w:val="00DD1F14"/>
    <w:rsid w:val="00DD72C1"/>
    <w:rsid w:val="00DE0D60"/>
    <w:rsid w:val="00DE2E7B"/>
    <w:rsid w:val="00DE5B51"/>
    <w:rsid w:val="00DE625E"/>
    <w:rsid w:val="00DE68DF"/>
    <w:rsid w:val="00DF3733"/>
    <w:rsid w:val="00E01BF8"/>
    <w:rsid w:val="00E02D35"/>
    <w:rsid w:val="00E07265"/>
    <w:rsid w:val="00E12D3E"/>
    <w:rsid w:val="00E203B8"/>
    <w:rsid w:val="00E214B0"/>
    <w:rsid w:val="00E2468D"/>
    <w:rsid w:val="00E2747C"/>
    <w:rsid w:val="00E30638"/>
    <w:rsid w:val="00E30C50"/>
    <w:rsid w:val="00E316EF"/>
    <w:rsid w:val="00E36347"/>
    <w:rsid w:val="00E37F4A"/>
    <w:rsid w:val="00E404CD"/>
    <w:rsid w:val="00E412CE"/>
    <w:rsid w:val="00E4142D"/>
    <w:rsid w:val="00E41D16"/>
    <w:rsid w:val="00E42C23"/>
    <w:rsid w:val="00E456C1"/>
    <w:rsid w:val="00E45D4E"/>
    <w:rsid w:val="00E46D31"/>
    <w:rsid w:val="00E51755"/>
    <w:rsid w:val="00E517AD"/>
    <w:rsid w:val="00E53F9C"/>
    <w:rsid w:val="00E54382"/>
    <w:rsid w:val="00E54FCE"/>
    <w:rsid w:val="00E6242C"/>
    <w:rsid w:val="00E63771"/>
    <w:rsid w:val="00E64321"/>
    <w:rsid w:val="00E650D3"/>
    <w:rsid w:val="00E679BB"/>
    <w:rsid w:val="00E711A1"/>
    <w:rsid w:val="00E721AE"/>
    <w:rsid w:val="00E73DC2"/>
    <w:rsid w:val="00E803CE"/>
    <w:rsid w:val="00E8043A"/>
    <w:rsid w:val="00E80A4E"/>
    <w:rsid w:val="00E84C49"/>
    <w:rsid w:val="00E9006A"/>
    <w:rsid w:val="00E95CE0"/>
    <w:rsid w:val="00EA07FF"/>
    <w:rsid w:val="00EB0230"/>
    <w:rsid w:val="00EB2653"/>
    <w:rsid w:val="00EB3BE0"/>
    <w:rsid w:val="00EB7B4E"/>
    <w:rsid w:val="00EC5374"/>
    <w:rsid w:val="00EC6812"/>
    <w:rsid w:val="00ED38E6"/>
    <w:rsid w:val="00EE17A9"/>
    <w:rsid w:val="00EE2C17"/>
    <w:rsid w:val="00EE306C"/>
    <w:rsid w:val="00EE36BB"/>
    <w:rsid w:val="00EE3FE2"/>
    <w:rsid w:val="00EE4136"/>
    <w:rsid w:val="00EE5E07"/>
    <w:rsid w:val="00EE7DC6"/>
    <w:rsid w:val="00EE7E68"/>
    <w:rsid w:val="00EF718A"/>
    <w:rsid w:val="00F1193C"/>
    <w:rsid w:val="00F155E0"/>
    <w:rsid w:val="00F15CBC"/>
    <w:rsid w:val="00F15E75"/>
    <w:rsid w:val="00F16A1B"/>
    <w:rsid w:val="00F16A2A"/>
    <w:rsid w:val="00F24CBE"/>
    <w:rsid w:val="00F30717"/>
    <w:rsid w:val="00F3076A"/>
    <w:rsid w:val="00F31D58"/>
    <w:rsid w:val="00F33E57"/>
    <w:rsid w:val="00F341FC"/>
    <w:rsid w:val="00F437A9"/>
    <w:rsid w:val="00F44F99"/>
    <w:rsid w:val="00F4575D"/>
    <w:rsid w:val="00F46E55"/>
    <w:rsid w:val="00F47C78"/>
    <w:rsid w:val="00F527E2"/>
    <w:rsid w:val="00F558F3"/>
    <w:rsid w:val="00F56B83"/>
    <w:rsid w:val="00F60ED5"/>
    <w:rsid w:val="00F6245F"/>
    <w:rsid w:val="00F631F5"/>
    <w:rsid w:val="00F641CA"/>
    <w:rsid w:val="00F64AB4"/>
    <w:rsid w:val="00F64ACF"/>
    <w:rsid w:val="00F652BE"/>
    <w:rsid w:val="00F66291"/>
    <w:rsid w:val="00F67EC5"/>
    <w:rsid w:val="00F70262"/>
    <w:rsid w:val="00F716BC"/>
    <w:rsid w:val="00F75ACD"/>
    <w:rsid w:val="00F76A12"/>
    <w:rsid w:val="00F77BDA"/>
    <w:rsid w:val="00F84452"/>
    <w:rsid w:val="00F86691"/>
    <w:rsid w:val="00F8725E"/>
    <w:rsid w:val="00F90591"/>
    <w:rsid w:val="00F90AE7"/>
    <w:rsid w:val="00F90B87"/>
    <w:rsid w:val="00F917D1"/>
    <w:rsid w:val="00F91A81"/>
    <w:rsid w:val="00F92709"/>
    <w:rsid w:val="00F93AA1"/>
    <w:rsid w:val="00F9451F"/>
    <w:rsid w:val="00FA1BFD"/>
    <w:rsid w:val="00FA696C"/>
    <w:rsid w:val="00FA7192"/>
    <w:rsid w:val="00FB56FF"/>
    <w:rsid w:val="00FB65ED"/>
    <w:rsid w:val="00FC03D5"/>
    <w:rsid w:val="00FC1B5E"/>
    <w:rsid w:val="00FD29A0"/>
    <w:rsid w:val="00FD2FA1"/>
    <w:rsid w:val="00FD421A"/>
    <w:rsid w:val="00FD52B3"/>
    <w:rsid w:val="00FD5B57"/>
    <w:rsid w:val="00FD710F"/>
    <w:rsid w:val="00FE2423"/>
    <w:rsid w:val="00FE4BB5"/>
    <w:rsid w:val="00FE7E3A"/>
    <w:rsid w:val="00FF256E"/>
    <w:rsid w:val="00FF4BD2"/>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A5"/>
    <w:rPr>
      <w:rFonts w:ascii="Arial" w:eastAsiaTheme="minorEastAsia" w:hAnsi="Arial"/>
      <w:sz w:val="20"/>
      <w:lang w:eastAsia="en-AU"/>
    </w:rPr>
  </w:style>
  <w:style w:type="paragraph" w:styleId="Heading1">
    <w:name w:val="heading 1"/>
    <w:basedOn w:val="Normal"/>
    <w:next w:val="Normal"/>
    <w:link w:val="Heading1Char"/>
    <w:uiPriority w:val="9"/>
    <w:qFormat/>
    <w:rsid w:val="00647D9C"/>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47D9C"/>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47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47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9C"/>
    <w:rPr>
      <w:rFonts w:ascii="Arial" w:eastAsiaTheme="majorEastAsia" w:hAnsi="Arial" w:cstheme="majorBidi"/>
      <w:b/>
      <w:bCs/>
      <w:color w:val="365F91" w:themeColor="accent1" w:themeShade="BF"/>
      <w:sz w:val="28"/>
      <w:szCs w:val="28"/>
      <w:lang w:eastAsia="en-AU"/>
    </w:rPr>
  </w:style>
  <w:style w:type="paragraph" w:styleId="TOC1">
    <w:name w:val="toc 1"/>
    <w:basedOn w:val="Normal"/>
    <w:next w:val="Normal"/>
    <w:autoRedefine/>
    <w:uiPriority w:val="39"/>
    <w:rsid w:val="00F30717"/>
    <w:pPr>
      <w:tabs>
        <w:tab w:val="left" w:pos="440"/>
        <w:tab w:val="right" w:leader="dot" w:pos="9072"/>
      </w:tabs>
      <w:spacing w:after="120"/>
      <w:ind w:right="-23"/>
    </w:pPr>
    <w:rPr>
      <w:b/>
      <w:noProof/>
    </w:rPr>
  </w:style>
  <w:style w:type="character" w:styleId="Hyperlink">
    <w:name w:val="Hyperlink"/>
    <w:basedOn w:val="DefaultParagraphFont"/>
    <w:uiPriority w:val="99"/>
    <w:unhideWhenUsed/>
    <w:rsid w:val="002908E3"/>
    <w:rPr>
      <w:color w:val="0000FF" w:themeColor="hyperlink"/>
      <w:u w:val="single"/>
    </w:rPr>
  </w:style>
  <w:style w:type="paragraph" w:customStyle="1" w:styleId="Style1">
    <w:name w:val="Style1"/>
    <w:basedOn w:val="Heading2"/>
    <w:link w:val="Style1Char"/>
    <w:qFormat/>
    <w:rsid w:val="00647D9C"/>
    <w:pPr>
      <w:ind w:left="720"/>
    </w:pPr>
    <w:rPr>
      <w:sz w:val="32"/>
      <w:szCs w:val="32"/>
    </w:rPr>
  </w:style>
  <w:style w:type="paragraph" w:styleId="TOC2">
    <w:name w:val="toc 2"/>
    <w:basedOn w:val="Normal"/>
    <w:next w:val="Normal"/>
    <w:autoRedefine/>
    <w:uiPriority w:val="39"/>
    <w:rsid w:val="008E5529"/>
    <w:pPr>
      <w:tabs>
        <w:tab w:val="left" w:pos="880"/>
        <w:tab w:val="right" w:leader="dot" w:pos="9072"/>
      </w:tabs>
      <w:spacing w:after="100"/>
      <w:ind w:left="221"/>
    </w:pPr>
    <w:rPr>
      <w:noProof/>
    </w:rPr>
  </w:style>
  <w:style w:type="character" w:customStyle="1" w:styleId="Style1Char">
    <w:name w:val="Style1 Char"/>
    <w:basedOn w:val="Heading2Char"/>
    <w:link w:val="Style1"/>
    <w:rsid w:val="00647D9C"/>
    <w:rPr>
      <w:rFonts w:ascii="Arial" w:eastAsiaTheme="majorEastAsia" w:hAnsi="Arial" w:cstheme="majorBidi"/>
      <w:b/>
      <w:bCs/>
      <w:color w:val="4F81BD" w:themeColor="accent1"/>
      <w:sz w:val="32"/>
      <w:szCs w:val="32"/>
      <w:lang w:eastAsia="en-AU"/>
    </w:rPr>
  </w:style>
  <w:style w:type="paragraph" w:styleId="FootnoteText">
    <w:name w:val="footnote text"/>
    <w:basedOn w:val="Normal"/>
    <w:link w:val="FootnoteTextChar"/>
    <w:rsid w:val="002908E3"/>
    <w:pPr>
      <w:spacing w:after="0" w:line="240" w:lineRule="auto"/>
    </w:pPr>
    <w:rPr>
      <w:szCs w:val="20"/>
    </w:rPr>
  </w:style>
  <w:style w:type="character" w:customStyle="1" w:styleId="FootnoteTextChar">
    <w:name w:val="Footnote Text Char"/>
    <w:basedOn w:val="DefaultParagraphFont"/>
    <w:link w:val="FootnoteText"/>
    <w:rsid w:val="002908E3"/>
    <w:rPr>
      <w:rFonts w:eastAsiaTheme="minorEastAsia"/>
      <w:sz w:val="20"/>
      <w:szCs w:val="20"/>
      <w:lang w:eastAsia="en-AU"/>
    </w:rPr>
  </w:style>
  <w:style w:type="character" w:styleId="FootnoteReference">
    <w:name w:val="footnote reference"/>
    <w:basedOn w:val="DefaultParagraphFont"/>
    <w:rsid w:val="002908E3"/>
    <w:rPr>
      <w:vertAlign w:val="superscript"/>
    </w:rPr>
  </w:style>
  <w:style w:type="paragraph" w:styleId="TOC3">
    <w:name w:val="toc 3"/>
    <w:basedOn w:val="Normal"/>
    <w:next w:val="Normal"/>
    <w:autoRedefine/>
    <w:uiPriority w:val="39"/>
    <w:rsid w:val="004973F7"/>
    <w:pPr>
      <w:tabs>
        <w:tab w:val="right" w:leader="dot" w:pos="9038"/>
      </w:tabs>
      <w:spacing w:after="100"/>
      <w:ind w:left="440"/>
    </w:pPr>
  </w:style>
  <w:style w:type="character" w:customStyle="1" w:styleId="Heading2Char">
    <w:name w:val="Heading 2 Char"/>
    <w:basedOn w:val="DefaultParagraphFont"/>
    <w:link w:val="Heading2"/>
    <w:uiPriority w:val="9"/>
    <w:semiHidden/>
    <w:rsid w:val="00647D9C"/>
    <w:rPr>
      <w:rFonts w:ascii="Arial" w:eastAsiaTheme="majorEastAsia" w:hAnsi="Arial" w:cstheme="majorBidi"/>
      <w:b/>
      <w:bCs/>
      <w:color w:val="4F81BD" w:themeColor="accent1"/>
      <w:sz w:val="26"/>
      <w:szCs w:val="26"/>
      <w:lang w:eastAsia="en-AU"/>
    </w:rPr>
  </w:style>
  <w:style w:type="paragraph" w:styleId="BalloonText">
    <w:name w:val="Balloon Text"/>
    <w:basedOn w:val="Normal"/>
    <w:link w:val="BalloonTextChar"/>
    <w:uiPriority w:val="99"/>
    <w:semiHidden/>
    <w:unhideWhenUsed/>
    <w:rsid w:val="0029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8E3"/>
    <w:rPr>
      <w:rFonts w:ascii="Tahoma" w:eastAsiaTheme="minorEastAsia" w:hAnsi="Tahoma" w:cs="Tahoma"/>
      <w:sz w:val="16"/>
      <w:szCs w:val="16"/>
      <w:lang w:eastAsia="en-AU"/>
    </w:rPr>
  </w:style>
  <w:style w:type="paragraph" w:styleId="ListParagraph">
    <w:name w:val="List Paragraph"/>
    <w:basedOn w:val="Normal"/>
    <w:uiPriority w:val="34"/>
    <w:qFormat/>
    <w:rsid w:val="002908E3"/>
    <w:pPr>
      <w:ind w:left="720"/>
      <w:contextualSpacing/>
    </w:pPr>
    <w:rPr>
      <w:rFonts w:eastAsiaTheme="minorHAnsi"/>
      <w:lang w:eastAsia="en-US"/>
    </w:rPr>
  </w:style>
  <w:style w:type="paragraph" w:customStyle="1" w:styleId="Style3">
    <w:name w:val="Style3"/>
    <w:basedOn w:val="Style1"/>
    <w:link w:val="Style3Char"/>
    <w:qFormat/>
    <w:rsid w:val="005D2E7B"/>
    <w:pPr>
      <w:spacing w:before="0"/>
      <w:ind w:left="62"/>
      <w:outlineLvl w:val="2"/>
    </w:pPr>
    <w:rPr>
      <w:color w:val="365F91" w:themeColor="accent1" w:themeShade="BF"/>
      <w:sz w:val="26"/>
      <w:szCs w:val="26"/>
    </w:rPr>
  </w:style>
  <w:style w:type="character" w:customStyle="1" w:styleId="Style3Char">
    <w:name w:val="Style3 Char"/>
    <w:basedOn w:val="Style1Char"/>
    <w:link w:val="Style3"/>
    <w:rsid w:val="005D2E7B"/>
    <w:rPr>
      <w:rFonts w:asciiTheme="majorHAnsi" w:eastAsiaTheme="majorEastAsia" w:hAnsiTheme="majorHAnsi" w:cstheme="majorBidi"/>
      <w:b/>
      <w:bCs/>
      <w:color w:val="365F91" w:themeColor="accent1" w:themeShade="BF"/>
      <w:sz w:val="26"/>
      <w:szCs w:val="26"/>
      <w:lang w:eastAsia="en-AU"/>
    </w:rPr>
  </w:style>
  <w:style w:type="paragraph" w:styleId="TOCHeading">
    <w:name w:val="TOC Heading"/>
    <w:basedOn w:val="Heading1"/>
    <w:next w:val="Normal"/>
    <w:uiPriority w:val="39"/>
    <w:semiHidden/>
    <w:unhideWhenUsed/>
    <w:qFormat/>
    <w:rsid w:val="00D248CC"/>
    <w:pPr>
      <w:outlineLvl w:val="9"/>
    </w:pPr>
    <w:rPr>
      <w:lang w:val="en-US" w:eastAsia="ja-JP"/>
    </w:rPr>
  </w:style>
  <w:style w:type="paragraph" w:styleId="Caption">
    <w:name w:val="caption"/>
    <w:basedOn w:val="Normal"/>
    <w:next w:val="Normal"/>
    <w:uiPriority w:val="35"/>
    <w:unhideWhenUsed/>
    <w:qFormat/>
    <w:rsid w:val="00180805"/>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AF151D"/>
    <w:rPr>
      <w:sz w:val="16"/>
      <w:szCs w:val="16"/>
    </w:rPr>
  </w:style>
  <w:style w:type="paragraph" w:styleId="CommentText">
    <w:name w:val="annotation text"/>
    <w:basedOn w:val="Normal"/>
    <w:link w:val="CommentTextChar"/>
    <w:uiPriority w:val="99"/>
    <w:semiHidden/>
    <w:unhideWhenUsed/>
    <w:rsid w:val="00AF151D"/>
    <w:pPr>
      <w:spacing w:line="240" w:lineRule="auto"/>
    </w:pPr>
    <w:rPr>
      <w:szCs w:val="20"/>
    </w:rPr>
  </w:style>
  <w:style w:type="character" w:customStyle="1" w:styleId="CommentTextChar">
    <w:name w:val="Comment Text Char"/>
    <w:basedOn w:val="DefaultParagraphFont"/>
    <w:link w:val="CommentText"/>
    <w:uiPriority w:val="99"/>
    <w:semiHidden/>
    <w:rsid w:val="00AF151D"/>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AF151D"/>
    <w:rPr>
      <w:b/>
      <w:bCs/>
    </w:rPr>
  </w:style>
  <w:style w:type="character" w:customStyle="1" w:styleId="CommentSubjectChar">
    <w:name w:val="Comment Subject Char"/>
    <w:basedOn w:val="CommentTextChar"/>
    <w:link w:val="CommentSubject"/>
    <w:uiPriority w:val="99"/>
    <w:semiHidden/>
    <w:rsid w:val="00AF151D"/>
    <w:rPr>
      <w:rFonts w:eastAsiaTheme="minorEastAsia"/>
      <w:b/>
      <w:bCs/>
      <w:sz w:val="20"/>
      <w:szCs w:val="20"/>
      <w:lang w:eastAsia="en-AU"/>
    </w:rPr>
  </w:style>
  <w:style w:type="paragraph" w:styleId="Revision">
    <w:name w:val="Revision"/>
    <w:hidden/>
    <w:uiPriority w:val="99"/>
    <w:semiHidden/>
    <w:rsid w:val="00AF151D"/>
    <w:pPr>
      <w:spacing w:after="0" w:line="240" w:lineRule="auto"/>
    </w:pPr>
    <w:rPr>
      <w:rFonts w:eastAsiaTheme="minorEastAsia"/>
      <w:lang w:eastAsia="en-AU"/>
    </w:rPr>
  </w:style>
  <w:style w:type="table" w:styleId="TableGrid">
    <w:name w:val="Table Grid"/>
    <w:basedOn w:val="TableNormal"/>
    <w:uiPriority w:val="59"/>
    <w:rsid w:val="00B04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2D6"/>
    <w:rPr>
      <w:rFonts w:eastAsiaTheme="minorEastAsia"/>
      <w:lang w:eastAsia="en-AU"/>
    </w:rPr>
  </w:style>
  <w:style w:type="paragraph" w:styleId="Footer">
    <w:name w:val="footer"/>
    <w:basedOn w:val="Normal"/>
    <w:link w:val="FooterChar"/>
    <w:uiPriority w:val="99"/>
    <w:unhideWhenUsed/>
    <w:rsid w:val="00957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2D6"/>
    <w:rPr>
      <w:rFonts w:eastAsiaTheme="minorEastAsia"/>
      <w:lang w:eastAsia="en-AU"/>
    </w:rPr>
  </w:style>
  <w:style w:type="character" w:customStyle="1" w:styleId="Heading3Char">
    <w:name w:val="Heading 3 Char"/>
    <w:basedOn w:val="DefaultParagraphFont"/>
    <w:link w:val="Heading3"/>
    <w:uiPriority w:val="9"/>
    <w:semiHidden/>
    <w:rsid w:val="00DB4771"/>
    <w:rPr>
      <w:rFonts w:asciiTheme="majorHAnsi" w:eastAsiaTheme="majorEastAsia" w:hAnsiTheme="majorHAnsi" w:cstheme="majorBidi"/>
      <w:b/>
      <w:bCs/>
      <w:color w:val="4F81BD" w:themeColor="accent1"/>
      <w:lang w:eastAsia="en-AU"/>
    </w:rPr>
  </w:style>
  <w:style w:type="character" w:customStyle="1" w:styleId="Heading4Char">
    <w:name w:val="Heading 4 Char"/>
    <w:basedOn w:val="DefaultParagraphFont"/>
    <w:link w:val="Heading4"/>
    <w:uiPriority w:val="9"/>
    <w:semiHidden/>
    <w:rsid w:val="00DB4771"/>
    <w:rPr>
      <w:rFonts w:asciiTheme="majorHAnsi" w:eastAsiaTheme="majorEastAsia" w:hAnsiTheme="majorHAnsi" w:cstheme="majorBidi"/>
      <w:b/>
      <w:bCs/>
      <w:i/>
      <w:iCs/>
      <w:color w:val="4F81BD" w:themeColor="accent1"/>
      <w:lang w:eastAsia="en-AU"/>
    </w:rPr>
  </w:style>
  <w:style w:type="table" w:customStyle="1" w:styleId="MediumShading1-Accent11">
    <w:name w:val="Medium Shading 1 - Accent 11"/>
    <w:basedOn w:val="TableNormal"/>
    <w:uiPriority w:val="63"/>
    <w:rsid w:val="00DB4771"/>
    <w:pPr>
      <w:spacing w:after="0" w:line="240" w:lineRule="auto"/>
    </w:pPr>
    <w:rPr>
      <w:rFonts w:eastAsiaTheme="minorEastAsia"/>
      <w:lang w:eastAsia="zh-TW"/>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hDNormal">
    <w:name w:val="PhD Normal"/>
    <w:basedOn w:val="Normal"/>
    <w:rsid w:val="00723046"/>
    <w:pPr>
      <w:spacing w:after="0" w:line="240" w:lineRule="auto"/>
      <w:jc w:val="both"/>
    </w:pPr>
    <w:rPr>
      <w:rFonts w:ascii="Verdana" w:eastAsia="Times New Roman" w:hAnsi="Verdana" w:cs="Times New Roman"/>
      <w:szCs w:val="24"/>
    </w:rPr>
  </w:style>
  <w:style w:type="paragraph" w:styleId="EndnoteText">
    <w:name w:val="endnote text"/>
    <w:basedOn w:val="Normal"/>
    <w:link w:val="EndnoteTextChar"/>
    <w:uiPriority w:val="99"/>
    <w:semiHidden/>
    <w:unhideWhenUsed/>
    <w:rsid w:val="00177060"/>
    <w:pPr>
      <w:spacing w:after="0" w:line="240" w:lineRule="auto"/>
    </w:pPr>
    <w:rPr>
      <w:szCs w:val="20"/>
    </w:rPr>
  </w:style>
  <w:style w:type="character" w:customStyle="1" w:styleId="EndnoteTextChar">
    <w:name w:val="Endnote Text Char"/>
    <w:basedOn w:val="DefaultParagraphFont"/>
    <w:link w:val="EndnoteText"/>
    <w:uiPriority w:val="99"/>
    <w:semiHidden/>
    <w:rsid w:val="00177060"/>
    <w:rPr>
      <w:rFonts w:eastAsiaTheme="minorEastAsia"/>
      <w:sz w:val="20"/>
      <w:szCs w:val="20"/>
      <w:lang w:eastAsia="en-AU"/>
    </w:rPr>
  </w:style>
  <w:style w:type="character" w:styleId="EndnoteReference">
    <w:name w:val="endnote reference"/>
    <w:basedOn w:val="DefaultParagraphFont"/>
    <w:uiPriority w:val="99"/>
    <w:semiHidden/>
    <w:unhideWhenUsed/>
    <w:rsid w:val="00177060"/>
    <w:rPr>
      <w:vertAlign w:val="superscript"/>
    </w:rPr>
  </w:style>
  <w:style w:type="character" w:styleId="Strong">
    <w:name w:val="Strong"/>
    <w:basedOn w:val="DefaultParagraphFont"/>
    <w:rsid w:val="00647D9C"/>
    <w:rPr>
      <w:b/>
      <w:bCs/>
    </w:rPr>
  </w:style>
  <w:style w:type="paragraph" w:styleId="NoSpacing">
    <w:name w:val="No Spacing"/>
    <w:uiPriority w:val="1"/>
    <w:qFormat/>
    <w:rsid w:val="00647D9C"/>
    <w:pPr>
      <w:spacing w:after="0" w:line="240" w:lineRule="auto"/>
    </w:pPr>
    <w:rPr>
      <w:rFonts w:ascii="Arial" w:hAnsi="Arial"/>
    </w:rPr>
  </w:style>
  <w:style w:type="paragraph" w:styleId="Title">
    <w:name w:val="Title"/>
    <w:basedOn w:val="Normal"/>
    <w:next w:val="Normal"/>
    <w:link w:val="TitleChar"/>
    <w:uiPriority w:val="10"/>
    <w:qFormat/>
    <w:rsid w:val="00A66DA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A66DAB"/>
    <w:rPr>
      <w:rFonts w:ascii="Arial" w:eastAsiaTheme="majorEastAsia" w:hAnsi="Arial" w:cstheme="majorBidi"/>
      <w:color w:val="17365D" w:themeColor="text2" w:themeShade="BF"/>
      <w:spacing w:val="5"/>
      <w:kern w:val="28"/>
      <w:sz w:val="44"/>
      <w:szCs w:val="5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A5"/>
    <w:rPr>
      <w:rFonts w:ascii="Arial" w:eastAsiaTheme="minorEastAsia" w:hAnsi="Arial"/>
      <w:sz w:val="20"/>
      <w:lang w:eastAsia="en-AU"/>
    </w:rPr>
  </w:style>
  <w:style w:type="paragraph" w:styleId="Heading1">
    <w:name w:val="heading 1"/>
    <w:basedOn w:val="Normal"/>
    <w:next w:val="Normal"/>
    <w:link w:val="Heading1Char"/>
    <w:uiPriority w:val="9"/>
    <w:qFormat/>
    <w:rsid w:val="00647D9C"/>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47D9C"/>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47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47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9C"/>
    <w:rPr>
      <w:rFonts w:ascii="Arial" w:eastAsiaTheme="majorEastAsia" w:hAnsi="Arial" w:cstheme="majorBidi"/>
      <w:b/>
      <w:bCs/>
      <w:color w:val="365F91" w:themeColor="accent1" w:themeShade="BF"/>
      <w:sz w:val="28"/>
      <w:szCs w:val="28"/>
      <w:lang w:eastAsia="en-AU"/>
    </w:rPr>
  </w:style>
  <w:style w:type="paragraph" w:styleId="TOC1">
    <w:name w:val="toc 1"/>
    <w:basedOn w:val="Normal"/>
    <w:next w:val="Normal"/>
    <w:autoRedefine/>
    <w:uiPriority w:val="39"/>
    <w:rsid w:val="00F30717"/>
    <w:pPr>
      <w:tabs>
        <w:tab w:val="left" w:pos="440"/>
        <w:tab w:val="right" w:leader="dot" w:pos="9072"/>
      </w:tabs>
      <w:spacing w:after="120"/>
      <w:ind w:right="-23"/>
    </w:pPr>
    <w:rPr>
      <w:b/>
      <w:noProof/>
    </w:rPr>
  </w:style>
  <w:style w:type="character" w:styleId="Hyperlink">
    <w:name w:val="Hyperlink"/>
    <w:basedOn w:val="DefaultParagraphFont"/>
    <w:uiPriority w:val="99"/>
    <w:unhideWhenUsed/>
    <w:rsid w:val="002908E3"/>
    <w:rPr>
      <w:color w:val="0000FF" w:themeColor="hyperlink"/>
      <w:u w:val="single"/>
    </w:rPr>
  </w:style>
  <w:style w:type="paragraph" w:customStyle="1" w:styleId="Style1">
    <w:name w:val="Style1"/>
    <w:basedOn w:val="Heading2"/>
    <w:link w:val="Style1Char"/>
    <w:qFormat/>
    <w:rsid w:val="00647D9C"/>
    <w:pPr>
      <w:ind w:left="720"/>
    </w:pPr>
    <w:rPr>
      <w:sz w:val="32"/>
      <w:szCs w:val="32"/>
    </w:rPr>
  </w:style>
  <w:style w:type="paragraph" w:styleId="TOC2">
    <w:name w:val="toc 2"/>
    <w:basedOn w:val="Normal"/>
    <w:next w:val="Normal"/>
    <w:autoRedefine/>
    <w:uiPriority w:val="39"/>
    <w:rsid w:val="008E5529"/>
    <w:pPr>
      <w:tabs>
        <w:tab w:val="left" w:pos="880"/>
        <w:tab w:val="right" w:leader="dot" w:pos="9072"/>
      </w:tabs>
      <w:spacing w:after="100"/>
      <w:ind w:left="221"/>
    </w:pPr>
    <w:rPr>
      <w:noProof/>
    </w:rPr>
  </w:style>
  <w:style w:type="character" w:customStyle="1" w:styleId="Style1Char">
    <w:name w:val="Style1 Char"/>
    <w:basedOn w:val="Heading2Char"/>
    <w:link w:val="Style1"/>
    <w:rsid w:val="00647D9C"/>
    <w:rPr>
      <w:rFonts w:ascii="Arial" w:eastAsiaTheme="majorEastAsia" w:hAnsi="Arial" w:cstheme="majorBidi"/>
      <w:b/>
      <w:bCs/>
      <w:color w:val="4F81BD" w:themeColor="accent1"/>
      <w:sz w:val="32"/>
      <w:szCs w:val="32"/>
      <w:lang w:eastAsia="en-AU"/>
    </w:rPr>
  </w:style>
  <w:style w:type="paragraph" w:styleId="FootnoteText">
    <w:name w:val="footnote text"/>
    <w:basedOn w:val="Normal"/>
    <w:link w:val="FootnoteTextChar"/>
    <w:rsid w:val="002908E3"/>
    <w:pPr>
      <w:spacing w:after="0" w:line="240" w:lineRule="auto"/>
    </w:pPr>
    <w:rPr>
      <w:szCs w:val="20"/>
    </w:rPr>
  </w:style>
  <w:style w:type="character" w:customStyle="1" w:styleId="FootnoteTextChar">
    <w:name w:val="Footnote Text Char"/>
    <w:basedOn w:val="DefaultParagraphFont"/>
    <w:link w:val="FootnoteText"/>
    <w:rsid w:val="002908E3"/>
    <w:rPr>
      <w:rFonts w:eastAsiaTheme="minorEastAsia"/>
      <w:sz w:val="20"/>
      <w:szCs w:val="20"/>
      <w:lang w:eastAsia="en-AU"/>
    </w:rPr>
  </w:style>
  <w:style w:type="character" w:styleId="FootnoteReference">
    <w:name w:val="footnote reference"/>
    <w:basedOn w:val="DefaultParagraphFont"/>
    <w:rsid w:val="002908E3"/>
    <w:rPr>
      <w:vertAlign w:val="superscript"/>
    </w:rPr>
  </w:style>
  <w:style w:type="paragraph" w:styleId="TOC3">
    <w:name w:val="toc 3"/>
    <w:basedOn w:val="Normal"/>
    <w:next w:val="Normal"/>
    <w:autoRedefine/>
    <w:uiPriority w:val="39"/>
    <w:rsid w:val="004973F7"/>
    <w:pPr>
      <w:tabs>
        <w:tab w:val="right" w:leader="dot" w:pos="9038"/>
      </w:tabs>
      <w:spacing w:after="100"/>
      <w:ind w:left="440"/>
    </w:pPr>
  </w:style>
  <w:style w:type="character" w:customStyle="1" w:styleId="Heading2Char">
    <w:name w:val="Heading 2 Char"/>
    <w:basedOn w:val="DefaultParagraphFont"/>
    <w:link w:val="Heading2"/>
    <w:uiPriority w:val="9"/>
    <w:semiHidden/>
    <w:rsid w:val="00647D9C"/>
    <w:rPr>
      <w:rFonts w:ascii="Arial" w:eastAsiaTheme="majorEastAsia" w:hAnsi="Arial" w:cstheme="majorBidi"/>
      <w:b/>
      <w:bCs/>
      <w:color w:val="4F81BD" w:themeColor="accent1"/>
      <w:sz w:val="26"/>
      <w:szCs w:val="26"/>
      <w:lang w:eastAsia="en-AU"/>
    </w:rPr>
  </w:style>
  <w:style w:type="paragraph" w:styleId="BalloonText">
    <w:name w:val="Balloon Text"/>
    <w:basedOn w:val="Normal"/>
    <w:link w:val="BalloonTextChar"/>
    <w:uiPriority w:val="99"/>
    <w:semiHidden/>
    <w:unhideWhenUsed/>
    <w:rsid w:val="0029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8E3"/>
    <w:rPr>
      <w:rFonts w:ascii="Tahoma" w:eastAsiaTheme="minorEastAsia" w:hAnsi="Tahoma" w:cs="Tahoma"/>
      <w:sz w:val="16"/>
      <w:szCs w:val="16"/>
      <w:lang w:eastAsia="en-AU"/>
    </w:rPr>
  </w:style>
  <w:style w:type="paragraph" w:styleId="ListParagraph">
    <w:name w:val="List Paragraph"/>
    <w:basedOn w:val="Normal"/>
    <w:uiPriority w:val="34"/>
    <w:qFormat/>
    <w:rsid w:val="002908E3"/>
    <w:pPr>
      <w:ind w:left="720"/>
      <w:contextualSpacing/>
    </w:pPr>
    <w:rPr>
      <w:rFonts w:eastAsiaTheme="minorHAnsi"/>
      <w:lang w:eastAsia="en-US"/>
    </w:rPr>
  </w:style>
  <w:style w:type="paragraph" w:customStyle="1" w:styleId="Style3">
    <w:name w:val="Style3"/>
    <w:basedOn w:val="Style1"/>
    <w:link w:val="Style3Char"/>
    <w:qFormat/>
    <w:rsid w:val="005D2E7B"/>
    <w:pPr>
      <w:spacing w:before="0"/>
      <w:ind w:left="62"/>
      <w:outlineLvl w:val="2"/>
    </w:pPr>
    <w:rPr>
      <w:color w:val="365F91" w:themeColor="accent1" w:themeShade="BF"/>
      <w:sz w:val="26"/>
      <w:szCs w:val="26"/>
    </w:rPr>
  </w:style>
  <w:style w:type="character" w:customStyle="1" w:styleId="Style3Char">
    <w:name w:val="Style3 Char"/>
    <w:basedOn w:val="Style1Char"/>
    <w:link w:val="Style3"/>
    <w:rsid w:val="005D2E7B"/>
    <w:rPr>
      <w:rFonts w:asciiTheme="majorHAnsi" w:eastAsiaTheme="majorEastAsia" w:hAnsiTheme="majorHAnsi" w:cstheme="majorBidi"/>
      <w:b/>
      <w:bCs/>
      <w:color w:val="365F91" w:themeColor="accent1" w:themeShade="BF"/>
      <w:sz w:val="26"/>
      <w:szCs w:val="26"/>
      <w:lang w:eastAsia="en-AU"/>
    </w:rPr>
  </w:style>
  <w:style w:type="paragraph" w:styleId="TOCHeading">
    <w:name w:val="TOC Heading"/>
    <w:basedOn w:val="Heading1"/>
    <w:next w:val="Normal"/>
    <w:uiPriority w:val="39"/>
    <w:semiHidden/>
    <w:unhideWhenUsed/>
    <w:qFormat/>
    <w:rsid w:val="00D248CC"/>
    <w:pPr>
      <w:outlineLvl w:val="9"/>
    </w:pPr>
    <w:rPr>
      <w:lang w:val="en-US" w:eastAsia="ja-JP"/>
    </w:rPr>
  </w:style>
  <w:style w:type="paragraph" w:styleId="Caption">
    <w:name w:val="caption"/>
    <w:basedOn w:val="Normal"/>
    <w:next w:val="Normal"/>
    <w:uiPriority w:val="35"/>
    <w:unhideWhenUsed/>
    <w:qFormat/>
    <w:rsid w:val="00180805"/>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AF151D"/>
    <w:rPr>
      <w:sz w:val="16"/>
      <w:szCs w:val="16"/>
    </w:rPr>
  </w:style>
  <w:style w:type="paragraph" w:styleId="CommentText">
    <w:name w:val="annotation text"/>
    <w:basedOn w:val="Normal"/>
    <w:link w:val="CommentTextChar"/>
    <w:uiPriority w:val="99"/>
    <w:semiHidden/>
    <w:unhideWhenUsed/>
    <w:rsid w:val="00AF151D"/>
    <w:pPr>
      <w:spacing w:line="240" w:lineRule="auto"/>
    </w:pPr>
    <w:rPr>
      <w:szCs w:val="20"/>
    </w:rPr>
  </w:style>
  <w:style w:type="character" w:customStyle="1" w:styleId="CommentTextChar">
    <w:name w:val="Comment Text Char"/>
    <w:basedOn w:val="DefaultParagraphFont"/>
    <w:link w:val="CommentText"/>
    <w:uiPriority w:val="99"/>
    <w:semiHidden/>
    <w:rsid w:val="00AF151D"/>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AF151D"/>
    <w:rPr>
      <w:b/>
      <w:bCs/>
    </w:rPr>
  </w:style>
  <w:style w:type="character" w:customStyle="1" w:styleId="CommentSubjectChar">
    <w:name w:val="Comment Subject Char"/>
    <w:basedOn w:val="CommentTextChar"/>
    <w:link w:val="CommentSubject"/>
    <w:uiPriority w:val="99"/>
    <w:semiHidden/>
    <w:rsid w:val="00AF151D"/>
    <w:rPr>
      <w:rFonts w:eastAsiaTheme="minorEastAsia"/>
      <w:b/>
      <w:bCs/>
      <w:sz w:val="20"/>
      <w:szCs w:val="20"/>
      <w:lang w:eastAsia="en-AU"/>
    </w:rPr>
  </w:style>
  <w:style w:type="paragraph" w:styleId="Revision">
    <w:name w:val="Revision"/>
    <w:hidden/>
    <w:uiPriority w:val="99"/>
    <w:semiHidden/>
    <w:rsid w:val="00AF151D"/>
    <w:pPr>
      <w:spacing w:after="0" w:line="240" w:lineRule="auto"/>
    </w:pPr>
    <w:rPr>
      <w:rFonts w:eastAsiaTheme="minorEastAsia"/>
      <w:lang w:eastAsia="en-AU"/>
    </w:rPr>
  </w:style>
  <w:style w:type="table" w:styleId="TableGrid">
    <w:name w:val="Table Grid"/>
    <w:basedOn w:val="TableNormal"/>
    <w:uiPriority w:val="59"/>
    <w:rsid w:val="00B04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2D6"/>
    <w:rPr>
      <w:rFonts w:eastAsiaTheme="minorEastAsia"/>
      <w:lang w:eastAsia="en-AU"/>
    </w:rPr>
  </w:style>
  <w:style w:type="paragraph" w:styleId="Footer">
    <w:name w:val="footer"/>
    <w:basedOn w:val="Normal"/>
    <w:link w:val="FooterChar"/>
    <w:uiPriority w:val="99"/>
    <w:unhideWhenUsed/>
    <w:rsid w:val="00957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2D6"/>
    <w:rPr>
      <w:rFonts w:eastAsiaTheme="minorEastAsia"/>
      <w:lang w:eastAsia="en-AU"/>
    </w:rPr>
  </w:style>
  <w:style w:type="character" w:customStyle="1" w:styleId="Heading3Char">
    <w:name w:val="Heading 3 Char"/>
    <w:basedOn w:val="DefaultParagraphFont"/>
    <w:link w:val="Heading3"/>
    <w:uiPriority w:val="9"/>
    <w:semiHidden/>
    <w:rsid w:val="00DB4771"/>
    <w:rPr>
      <w:rFonts w:asciiTheme="majorHAnsi" w:eastAsiaTheme="majorEastAsia" w:hAnsiTheme="majorHAnsi" w:cstheme="majorBidi"/>
      <w:b/>
      <w:bCs/>
      <w:color w:val="4F81BD" w:themeColor="accent1"/>
      <w:lang w:eastAsia="en-AU"/>
    </w:rPr>
  </w:style>
  <w:style w:type="character" w:customStyle="1" w:styleId="Heading4Char">
    <w:name w:val="Heading 4 Char"/>
    <w:basedOn w:val="DefaultParagraphFont"/>
    <w:link w:val="Heading4"/>
    <w:uiPriority w:val="9"/>
    <w:semiHidden/>
    <w:rsid w:val="00DB4771"/>
    <w:rPr>
      <w:rFonts w:asciiTheme="majorHAnsi" w:eastAsiaTheme="majorEastAsia" w:hAnsiTheme="majorHAnsi" w:cstheme="majorBidi"/>
      <w:b/>
      <w:bCs/>
      <w:i/>
      <w:iCs/>
      <w:color w:val="4F81BD" w:themeColor="accent1"/>
      <w:lang w:eastAsia="en-AU"/>
    </w:rPr>
  </w:style>
  <w:style w:type="table" w:customStyle="1" w:styleId="MediumShading1-Accent11">
    <w:name w:val="Medium Shading 1 - Accent 11"/>
    <w:basedOn w:val="TableNormal"/>
    <w:uiPriority w:val="63"/>
    <w:rsid w:val="00DB4771"/>
    <w:pPr>
      <w:spacing w:after="0" w:line="240" w:lineRule="auto"/>
    </w:pPr>
    <w:rPr>
      <w:rFonts w:eastAsiaTheme="minorEastAsia"/>
      <w:lang w:eastAsia="zh-TW"/>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hDNormal">
    <w:name w:val="PhD Normal"/>
    <w:basedOn w:val="Normal"/>
    <w:rsid w:val="00723046"/>
    <w:pPr>
      <w:spacing w:after="0" w:line="240" w:lineRule="auto"/>
      <w:jc w:val="both"/>
    </w:pPr>
    <w:rPr>
      <w:rFonts w:ascii="Verdana" w:eastAsia="Times New Roman" w:hAnsi="Verdana" w:cs="Times New Roman"/>
      <w:szCs w:val="24"/>
    </w:rPr>
  </w:style>
  <w:style w:type="paragraph" w:styleId="EndnoteText">
    <w:name w:val="endnote text"/>
    <w:basedOn w:val="Normal"/>
    <w:link w:val="EndnoteTextChar"/>
    <w:uiPriority w:val="99"/>
    <w:semiHidden/>
    <w:unhideWhenUsed/>
    <w:rsid w:val="00177060"/>
    <w:pPr>
      <w:spacing w:after="0" w:line="240" w:lineRule="auto"/>
    </w:pPr>
    <w:rPr>
      <w:szCs w:val="20"/>
    </w:rPr>
  </w:style>
  <w:style w:type="character" w:customStyle="1" w:styleId="EndnoteTextChar">
    <w:name w:val="Endnote Text Char"/>
    <w:basedOn w:val="DefaultParagraphFont"/>
    <w:link w:val="EndnoteText"/>
    <w:uiPriority w:val="99"/>
    <w:semiHidden/>
    <w:rsid w:val="00177060"/>
    <w:rPr>
      <w:rFonts w:eastAsiaTheme="minorEastAsia"/>
      <w:sz w:val="20"/>
      <w:szCs w:val="20"/>
      <w:lang w:eastAsia="en-AU"/>
    </w:rPr>
  </w:style>
  <w:style w:type="character" w:styleId="EndnoteReference">
    <w:name w:val="endnote reference"/>
    <w:basedOn w:val="DefaultParagraphFont"/>
    <w:uiPriority w:val="99"/>
    <w:semiHidden/>
    <w:unhideWhenUsed/>
    <w:rsid w:val="00177060"/>
    <w:rPr>
      <w:vertAlign w:val="superscript"/>
    </w:rPr>
  </w:style>
  <w:style w:type="character" w:styleId="Strong">
    <w:name w:val="Strong"/>
    <w:basedOn w:val="DefaultParagraphFont"/>
    <w:rsid w:val="00647D9C"/>
    <w:rPr>
      <w:b/>
      <w:bCs/>
    </w:rPr>
  </w:style>
  <w:style w:type="paragraph" w:styleId="NoSpacing">
    <w:name w:val="No Spacing"/>
    <w:uiPriority w:val="1"/>
    <w:qFormat/>
    <w:rsid w:val="00647D9C"/>
    <w:pPr>
      <w:spacing w:after="0" w:line="240" w:lineRule="auto"/>
    </w:pPr>
    <w:rPr>
      <w:rFonts w:ascii="Arial" w:hAnsi="Arial"/>
    </w:rPr>
  </w:style>
  <w:style w:type="paragraph" w:styleId="Title">
    <w:name w:val="Title"/>
    <w:basedOn w:val="Normal"/>
    <w:next w:val="Normal"/>
    <w:link w:val="TitleChar"/>
    <w:uiPriority w:val="10"/>
    <w:qFormat/>
    <w:rsid w:val="00A66DA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A66DAB"/>
    <w:rPr>
      <w:rFonts w:ascii="Arial" w:eastAsiaTheme="majorEastAsia" w:hAnsi="Arial" w:cstheme="majorBidi"/>
      <w:color w:val="17365D" w:themeColor="text2" w:themeShade="BF"/>
      <w:spacing w:val="5"/>
      <w:kern w:val="28"/>
      <w:sz w:val="44"/>
      <w:szCs w:val="5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7502">
      <w:bodyDiv w:val="1"/>
      <w:marLeft w:val="0"/>
      <w:marRight w:val="0"/>
      <w:marTop w:val="0"/>
      <w:marBottom w:val="0"/>
      <w:divBdr>
        <w:top w:val="none" w:sz="0" w:space="0" w:color="auto"/>
        <w:left w:val="none" w:sz="0" w:space="0" w:color="auto"/>
        <w:bottom w:val="none" w:sz="0" w:space="0" w:color="auto"/>
        <w:right w:val="none" w:sz="0" w:space="0" w:color="auto"/>
      </w:divBdr>
    </w:div>
    <w:div w:id="54400623">
      <w:bodyDiv w:val="1"/>
      <w:marLeft w:val="0"/>
      <w:marRight w:val="0"/>
      <w:marTop w:val="0"/>
      <w:marBottom w:val="0"/>
      <w:divBdr>
        <w:top w:val="none" w:sz="0" w:space="0" w:color="auto"/>
        <w:left w:val="none" w:sz="0" w:space="0" w:color="auto"/>
        <w:bottom w:val="none" w:sz="0" w:space="0" w:color="auto"/>
        <w:right w:val="none" w:sz="0" w:space="0" w:color="auto"/>
      </w:divBdr>
    </w:div>
    <w:div w:id="116994816">
      <w:bodyDiv w:val="1"/>
      <w:marLeft w:val="0"/>
      <w:marRight w:val="0"/>
      <w:marTop w:val="0"/>
      <w:marBottom w:val="0"/>
      <w:divBdr>
        <w:top w:val="none" w:sz="0" w:space="0" w:color="auto"/>
        <w:left w:val="none" w:sz="0" w:space="0" w:color="auto"/>
        <w:bottom w:val="none" w:sz="0" w:space="0" w:color="auto"/>
        <w:right w:val="none" w:sz="0" w:space="0" w:color="auto"/>
      </w:divBdr>
    </w:div>
    <w:div w:id="219175515">
      <w:bodyDiv w:val="1"/>
      <w:marLeft w:val="0"/>
      <w:marRight w:val="0"/>
      <w:marTop w:val="0"/>
      <w:marBottom w:val="0"/>
      <w:divBdr>
        <w:top w:val="none" w:sz="0" w:space="0" w:color="auto"/>
        <w:left w:val="none" w:sz="0" w:space="0" w:color="auto"/>
        <w:bottom w:val="none" w:sz="0" w:space="0" w:color="auto"/>
        <w:right w:val="none" w:sz="0" w:space="0" w:color="auto"/>
      </w:divBdr>
    </w:div>
    <w:div w:id="345405938">
      <w:bodyDiv w:val="1"/>
      <w:marLeft w:val="0"/>
      <w:marRight w:val="0"/>
      <w:marTop w:val="0"/>
      <w:marBottom w:val="0"/>
      <w:divBdr>
        <w:top w:val="none" w:sz="0" w:space="0" w:color="auto"/>
        <w:left w:val="none" w:sz="0" w:space="0" w:color="auto"/>
        <w:bottom w:val="none" w:sz="0" w:space="0" w:color="auto"/>
        <w:right w:val="none" w:sz="0" w:space="0" w:color="auto"/>
      </w:divBdr>
    </w:div>
    <w:div w:id="361324212">
      <w:bodyDiv w:val="1"/>
      <w:marLeft w:val="0"/>
      <w:marRight w:val="0"/>
      <w:marTop w:val="0"/>
      <w:marBottom w:val="0"/>
      <w:divBdr>
        <w:top w:val="none" w:sz="0" w:space="0" w:color="auto"/>
        <w:left w:val="none" w:sz="0" w:space="0" w:color="auto"/>
        <w:bottom w:val="none" w:sz="0" w:space="0" w:color="auto"/>
        <w:right w:val="none" w:sz="0" w:space="0" w:color="auto"/>
      </w:divBdr>
    </w:div>
    <w:div w:id="459348094">
      <w:bodyDiv w:val="1"/>
      <w:marLeft w:val="0"/>
      <w:marRight w:val="0"/>
      <w:marTop w:val="0"/>
      <w:marBottom w:val="0"/>
      <w:divBdr>
        <w:top w:val="none" w:sz="0" w:space="0" w:color="auto"/>
        <w:left w:val="none" w:sz="0" w:space="0" w:color="auto"/>
        <w:bottom w:val="none" w:sz="0" w:space="0" w:color="auto"/>
        <w:right w:val="none" w:sz="0" w:space="0" w:color="auto"/>
      </w:divBdr>
    </w:div>
    <w:div w:id="703407859">
      <w:bodyDiv w:val="1"/>
      <w:marLeft w:val="0"/>
      <w:marRight w:val="0"/>
      <w:marTop w:val="0"/>
      <w:marBottom w:val="0"/>
      <w:divBdr>
        <w:top w:val="none" w:sz="0" w:space="0" w:color="auto"/>
        <w:left w:val="none" w:sz="0" w:space="0" w:color="auto"/>
        <w:bottom w:val="none" w:sz="0" w:space="0" w:color="auto"/>
        <w:right w:val="none" w:sz="0" w:space="0" w:color="auto"/>
      </w:divBdr>
    </w:div>
    <w:div w:id="774979157">
      <w:bodyDiv w:val="1"/>
      <w:marLeft w:val="0"/>
      <w:marRight w:val="0"/>
      <w:marTop w:val="0"/>
      <w:marBottom w:val="0"/>
      <w:divBdr>
        <w:top w:val="none" w:sz="0" w:space="0" w:color="auto"/>
        <w:left w:val="none" w:sz="0" w:space="0" w:color="auto"/>
        <w:bottom w:val="none" w:sz="0" w:space="0" w:color="auto"/>
        <w:right w:val="none" w:sz="0" w:space="0" w:color="auto"/>
      </w:divBdr>
    </w:div>
    <w:div w:id="882713499">
      <w:bodyDiv w:val="1"/>
      <w:marLeft w:val="0"/>
      <w:marRight w:val="0"/>
      <w:marTop w:val="0"/>
      <w:marBottom w:val="0"/>
      <w:divBdr>
        <w:top w:val="none" w:sz="0" w:space="0" w:color="auto"/>
        <w:left w:val="none" w:sz="0" w:space="0" w:color="auto"/>
        <w:bottom w:val="none" w:sz="0" w:space="0" w:color="auto"/>
        <w:right w:val="none" w:sz="0" w:space="0" w:color="auto"/>
      </w:divBdr>
    </w:div>
    <w:div w:id="938755831">
      <w:bodyDiv w:val="1"/>
      <w:marLeft w:val="0"/>
      <w:marRight w:val="0"/>
      <w:marTop w:val="0"/>
      <w:marBottom w:val="0"/>
      <w:divBdr>
        <w:top w:val="none" w:sz="0" w:space="0" w:color="auto"/>
        <w:left w:val="none" w:sz="0" w:space="0" w:color="auto"/>
        <w:bottom w:val="none" w:sz="0" w:space="0" w:color="auto"/>
        <w:right w:val="none" w:sz="0" w:space="0" w:color="auto"/>
      </w:divBdr>
    </w:div>
    <w:div w:id="1087841952">
      <w:bodyDiv w:val="1"/>
      <w:marLeft w:val="0"/>
      <w:marRight w:val="0"/>
      <w:marTop w:val="0"/>
      <w:marBottom w:val="0"/>
      <w:divBdr>
        <w:top w:val="none" w:sz="0" w:space="0" w:color="auto"/>
        <w:left w:val="none" w:sz="0" w:space="0" w:color="auto"/>
        <w:bottom w:val="none" w:sz="0" w:space="0" w:color="auto"/>
        <w:right w:val="none" w:sz="0" w:space="0" w:color="auto"/>
      </w:divBdr>
      <w:divsChild>
        <w:div w:id="938833076">
          <w:marLeft w:val="0"/>
          <w:marRight w:val="0"/>
          <w:marTop w:val="0"/>
          <w:marBottom w:val="0"/>
          <w:divBdr>
            <w:top w:val="none" w:sz="0" w:space="0" w:color="auto"/>
            <w:left w:val="none" w:sz="0" w:space="0" w:color="auto"/>
            <w:bottom w:val="none" w:sz="0" w:space="0" w:color="auto"/>
            <w:right w:val="none" w:sz="0" w:space="0" w:color="auto"/>
          </w:divBdr>
          <w:divsChild>
            <w:div w:id="2102140905">
              <w:marLeft w:val="0"/>
              <w:marRight w:val="0"/>
              <w:marTop w:val="0"/>
              <w:marBottom w:val="0"/>
              <w:divBdr>
                <w:top w:val="none" w:sz="0" w:space="0" w:color="auto"/>
                <w:left w:val="none" w:sz="0" w:space="0" w:color="auto"/>
                <w:bottom w:val="none" w:sz="0" w:space="0" w:color="auto"/>
                <w:right w:val="none" w:sz="0" w:space="0" w:color="auto"/>
              </w:divBdr>
              <w:divsChild>
                <w:div w:id="79789872">
                  <w:marLeft w:val="0"/>
                  <w:marRight w:val="0"/>
                  <w:marTop w:val="0"/>
                  <w:marBottom w:val="0"/>
                  <w:divBdr>
                    <w:top w:val="none" w:sz="0" w:space="0" w:color="auto"/>
                    <w:left w:val="none" w:sz="0" w:space="0" w:color="auto"/>
                    <w:bottom w:val="none" w:sz="0" w:space="0" w:color="auto"/>
                    <w:right w:val="none" w:sz="0" w:space="0" w:color="auto"/>
                  </w:divBdr>
                  <w:divsChild>
                    <w:div w:id="16666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54741">
      <w:bodyDiv w:val="1"/>
      <w:marLeft w:val="0"/>
      <w:marRight w:val="0"/>
      <w:marTop w:val="0"/>
      <w:marBottom w:val="0"/>
      <w:divBdr>
        <w:top w:val="none" w:sz="0" w:space="0" w:color="auto"/>
        <w:left w:val="none" w:sz="0" w:space="0" w:color="auto"/>
        <w:bottom w:val="none" w:sz="0" w:space="0" w:color="auto"/>
        <w:right w:val="none" w:sz="0" w:space="0" w:color="auto"/>
      </w:divBdr>
    </w:div>
    <w:div w:id="1492024422">
      <w:bodyDiv w:val="1"/>
      <w:marLeft w:val="0"/>
      <w:marRight w:val="0"/>
      <w:marTop w:val="0"/>
      <w:marBottom w:val="0"/>
      <w:divBdr>
        <w:top w:val="none" w:sz="0" w:space="0" w:color="auto"/>
        <w:left w:val="none" w:sz="0" w:space="0" w:color="auto"/>
        <w:bottom w:val="none" w:sz="0" w:space="0" w:color="auto"/>
        <w:right w:val="none" w:sz="0" w:space="0" w:color="auto"/>
      </w:divBdr>
    </w:div>
    <w:div w:id="1513029911">
      <w:bodyDiv w:val="1"/>
      <w:marLeft w:val="0"/>
      <w:marRight w:val="0"/>
      <w:marTop w:val="0"/>
      <w:marBottom w:val="0"/>
      <w:divBdr>
        <w:top w:val="none" w:sz="0" w:space="0" w:color="auto"/>
        <w:left w:val="none" w:sz="0" w:space="0" w:color="auto"/>
        <w:bottom w:val="none" w:sz="0" w:space="0" w:color="auto"/>
        <w:right w:val="none" w:sz="0" w:space="0" w:color="auto"/>
      </w:divBdr>
    </w:div>
    <w:div w:id="1556967777">
      <w:bodyDiv w:val="1"/>
      <w:marLeft w:val="0"/>
      <w:marRight w:val="0"/>
      <w:marTop w:val="0"/>
      <w:marBottom w:val="0"/>
      <w:divBdr>
        <w:top w:val="none" w:sz="0" w:space="0" w:color="auto"/>
        <w:left w:val="none" w:sz="0" w:space="0" w:color="auto"/>
        <w:bottom w:val="none" w:sz="0" w:space="0" w:color="auto"/>
        <w:right w:val="none" w:sz="0" w:space="0" w:color="auto"/>
      </w:divBdr>
    </w:div>
    <w:div w:id="1580216547">
      <w:bodyDiv w:val="1"/>
      <w:marLeft w:val="0"/>
      <w:marRight w:val="0"/>
      <w:marTop w:val="0"/>
      <w:marBottom w:val="0"/>
      <w:divBdr>
        <w:top w:val="none" w:sz="0" w:space="0" w:color="auto"/>
        <w:left w:val="none" w:sz="0" w:space="0" w:color="auto"/>
        <w:bottom w:val="none" w:sz="0" w:space="0" w:color="auto"/>
        <w:right w:val="none" w:sz="0" w:space="0" w:color="auto"/>
      </w:divBdr>
    </w:div>
    <w:div w:id="1670987245">
      <w:bodyDiv w:val="1"/>
      <w:marLeft w:val="0"/>
      <w:marRight w:val="0"/>
      <w:marTop w:val="0"/>
      <w:marBottom w:val="0"/>
      <w:divBdr>
        <w:top w:val="none" w:sz="0" w:space="0" w:color="auto"/>
        <w:left w:val="none" w:sz="0" w:space="0" w:color="auto"/>
        <w:bottom w:val="none" w:sz="0" w:space="0" w:color="auto"/>
        <w:right w:val="none" w:sz="0" w:space="0" w:color="auto"/>
      </w:divBdr>
    </w:div>
    <w:div w:id="1678001808">
      <w:bodyDiv w:val="1"/>
      <w:marLeft w:val="0"/>
      <w:marRight w:val="0"/>
      <w:marTop w:val="0"/>
      <w:marBottom w:val="0"/>
      <w:divBdr>
        <w:top w:val="none" w:sz="0" w:space="0" w:color="auto"/>
        <w:left w:val="none" w:sz="0" w:space="0" w:color="auto"/>
        <w:bottom w:val="none" w:sz="0" w:space="0" w:color="auto"/>
        <w:right w:val="none" w:sz="0" w:space="0" w:color="auto"/>
      </w:divBdr>
    </w:div>
    <w:div w:id="1709648104">
      <w:bodyDiv w:val="1"/>
      <w:marLeft w:val="0"/>
      <w:marRight w:val="0"/>
      <w:marTop w:val="0"/>
      <w:marBottom w:val="0"/>
      <w:divBdr>
        <w:top w:val="none" w:sz="0" w:space="0" w:color="auto"/>
        <w:left w:val="none" w:sz="0" w:space="0" w:color="auto"/>
        <w:bottom w:val="none" w:sz="0" w:space="0" w:color="auto"/>
        <w:right w:val="none" w:sz="0" w:space="0" w:color="auto"/>
      </w:divBdr>
    </w:div>
    <w:div w:id="1712799041">
      <w:bodyDiv w:val="1"/>
      <w:marLeft w:val="0"/>
      <w:marRight w:val="0"/>
      <w:marTop w:val="0"/>
      <w:marBottom w:val="0"/>
      <w:divBdr>
        <w:top w:val="none" w:sz="0" w:space="0" w:color="auto"/>
        <w:left w:val="none" w:sz="0" w:space="0" w:color="auto"/>
        <w:bottom w:val="none" w:sz="0" w:space="0" w:color="auto"/>
        <w:right w:val="none" w:sz="0" w:space="0" w:color="auto"/>
      </w:divBdr>
    </w:div>
    <w:div w:id="1771200768">
      <w:bodyDiv w:val="1"/>
      <w:marLeft w:val="0"/>
      <w:marRight w:val="0"/>
      <w:marTop w:val="0"/>
      <w:marBottom w:val="0"/>
      <w:divBdr>
        <w:top w:val="none" w:sz="0" w:space="0" w:color="auto"/>
        <w:left w:val="none" w:sz="0" w:space="0" w:color="auto"/>
        <w:bottom w:val="none" w:sz="0" w:space="0" w:color="auto"/>
        <w:right w:val="none" w:sz="0" w:space="0" w:color="auto"/>
      </w:divBdr>
    </w:div>
    <w:div w:id="1823350105">
      <w:bodyDiv w:val="1"/>
      <w:marLeft w:val="0"/>
      <w:marRight w:val="0"/>
      <w:marTop w:val="0"/>
      <w:marBottom w:val="0"/>
      <w:divBdr>
        <w:top w:val="none" w:sz="0" w:space="0" w:color="auto"/>
        <w:left w:val="none" w:sz="0" w:space="0" w:color="auto"/>
        <w:bottom w:val="none" w:sz="0" w:space="0" w:color="auto"/>
        <w:right w:val="none" w:sz="0" w:space="0" w:color="auto"/>
      </w:divBdr>
    </w:div>
    <w:div w:id="1953903129">
      <w:bodyDiv w:val="1"/>
      <w:marLeft w:val="0"/>
      <w:marRight w:val="0"/>
      <w:marTop w:val="0"/>
      <w:marBottom w:val="0"/>
      <w:divBdr>
        <w:top w:val="none" w:sz="0" w:space="0" w:color="auto"/>
        <w:left w:val="none" w:sz="0" w:space="0" w:color="auto"/>
        <w:bottom w:val="none" w:sz="0" w:space="0" w:color="auto"/>
        <w:right w:val="none" w:sz="0" w:space="0" w:color="auto"/>
      </w:divBdr>
    </w:div>
    <w:div w:id="20210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gif"/><Relationship Id="rId26" Type="http://schemas.openxmlformats.org/officeDocument/2006/relationships/diagramData" Target="diagrams/data2.xml"/><Relationship Id="rId39" Type="http://schemas.microsoft.com/office/2007/relationships/diagramDrawing" Target="diagrams/drawing3.xml"/><Relationship Id="rId21" Type="http://schemas.openxmlformats.org/officeDocument/2006/relationships/diagramData" Target="diagrams/data1.xml"/><Relationship Id="rId34" Type="http://schemas.openxmlformats.org/officeDocument/2006/relationships/image" Target="media/image10.png"/><Relationship Id="rId42" Type="http://schemas.openxmlformats.org/officeDocument/2006/relationships/diagramQuickStyle" Target="diagrams/quickStyle4.xml"/><Relationship Id="rId47" Type="http://schemas.openxmlformats.org/officeDocument/2006/relationships/diagramQuickStyle" Target="diagrams/quickStyle5.xml"/><Relationship Id="rId50" Type="http://schemas.openxmlformats.org/officeDocument/2006/relationships/diagramData" Target="diagrams/data6.xml"/><Relationship Id="rId55" Type="http://schemas.openxmlformats.org/officeDocument/2006/relationships/diagramData" Target="diagrams/data7.xml"/><Relationship Id="rId63" Type="http://schemas.openxmlformats.org/officeDocument/2006/relationships/diagramColors" Target="diagrams/colors8.xml"/><Relationship Id="rId68" Type="http://schemas.openxmlformats.org/officeDocument/2006/relationships/diagramColors" Target="diagrams/colors9.xm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4.gif"/><Relationship Id="rId29" Type="http://schemas.openxmlformats.org/officeDocument/2006/relationships/diagramColors" Target="diagrams/colors2.xml"/><Relationship Id="rId11" Type="http://schemas.openxmlformats.org/officeDocument/2006/relationships/image" Target="media/image1.jpg"/><Relationship Id="rId24" Type="http://schemas.openxmlformats.org/officeDocument/2006/relationships/diagramColors" Target="diagrams/colors1.xml"/><Relationship Id="rId32" Type="http://schemas.openxmlformats.org/officeDocument/2006/relationships/image" Target="media/image8.emf"/><Relationship Id="rId37" Type="http://schemas.openxmlformats.org/officeDocument/2006/relationships/diagramQuickStyle" Target="diagrams/quickStyle3.xml"/><Relationship Id="rId40" Type="http://schemas.openxmlformats.org/officeDocument/2006/relationships/diagramData" Target="diagrams/data4.xml"/><Relationship Id="rId45" Type="http://schemas.openxmlformats.org/officeDocument/2006/relationships/diagramData" Target="diagrams/data5.xml"/><Relationship Id="rId53" Type="http://schemas.openxmlformats.org/officeDocument/2006/relationships/diagramColors" Target="diagrams/colors6.xml"/><Relationship Id="rId58" Type="http://schemas.openxmlformats.org/officeDocument/2006/relationships/diagramColors" Target="diagrams/colors7.xml"/><Relationship Id="rId66" Type="http://schemas.openxmlformats.org/officeDocument/2006/relationships/diagramLayout" Target="diagrams/layout9.xml"/><Relationship Id="rId74" Type="http://schemas.openxmlformats.org/officeDocument/2006/relationships/hyperlink" Target="http://archive.audit-commission.gov.uk/auditcommission/nationalstudies/localgov/Pages/aimingtoimprove.aspx.html" TargetMode="External"/><Relationship Id="rId5" Type="http://schemas.openxmlformats.org/officeDocument/2006/relationships/styles" Target="styles.xml"/><Relationship Id="rId15" Type="http://schemas.openxmlformats.org/officeDocument/2006/relationships/hyperlink" Target="http://www.sia.org.au/" TargetMode="Externa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diagramLayout" Target="diagrams/layout3.xml"/><Relationship Id="rId49" Type="http://schemas.microsoft.com/office/2007/relationships/diagramDrawing" Target="diagrams/drawing5.xml"/><Relationship Id="rId57" Type="http://schemas.openxmlformats.org/officeDocument/2006/relationships/diagramQuickStyle" Target="diagrams/quickStyle7.xml"/><Relationship Id="rId61" Type="http://schemas.openxmlformats.org/officeDocument/2006/relationships/diagramLayout" Target="diagrams/layout8.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7.emf"/><Relationship Id="rId44" Type="http://schemas.microsoft.com/office/2007/relationships/diagramDrawing" Target="diagrams/drawing4.xml"/><Relationship Id="rId52" Type="http://schemas.openxmlformats.org/officeDocument/2006/relationships/diagramQuickStyle" Target="diagrams/quickStyle6.xml"/><Relationship Id="rId60" Type="http://schemas.openxmlformats.org/officeDocument/2006/relationships/diagramData" Target="diagrams/data8.xml"/><Relationship Id="rId65" Type="http://schemas.openxmlformats.org/officeDocument/2006/relationships/diagramData" Target="diagrams/data9.xml"/><Relationship Id="rId73" Type="http://schemas.openxmlformats.org/officeDocument/2006/relationships/hyperlink" Target="http://archive.audit-commission.gov.uk/auditcommission/nationalstudies/localgov/Pages/ontarget.aspx.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diagramData" Target="diagrams/data3.xml"/><Relationship Id="rId43" Type="http://schemas.openxmlformats.org/officeDocument/2006/relationships/diagramColors" Target="diagrams/colors4.xml"/><Relationship Id="rId48" Type="http://schemas.openxmlformats.org/officeDocument/2006/relationships/diagramColors" Target="diagrams/colors5.xml"/><Relationship Id="rId56" Type="http://schemas.openxmlformats.org/officeDocument/2006/relationships/diagramLayout" Target="diagrams/layout7.xml"/><Relationship Id="rId64" Type="http://schemas.microsoft.com/office/2007/relationships/diagramDrawing" Target="diagrams/drawing8.xml"/><Relationship Id="rId69" Type="http://schemas.microsoft.com/office/2007/relationships/diagramDrawing" Target="diagrams/drawing9.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diagramLayout" Target="diagrams/layout6.xml"/><Relationship Id="rId72" Type="http://schemas.openxmlformats.org/officeDocument/2006/relationships/image" Target="media/image12.emf"/><Relationship Id="rId3" Type="http://schemas.openxmlformats.org/officeDocument/2006/relationships/customXml" Target="../customXml/item3.xml"/><Relationship Id="rId12" Type="http://schemas.openxmlformats.org/officeDocument/2006/relationships/hyperlink" Target="http://www.safeworkaustralia.gov.au/sites/swa/pages/default" TargetMode="External"/><Relationship Id="rId17" Type="http://schemas.openxmlformats.org/officeDocument/2006/relationships/hyperlink" Target="http://www.cpaaustralia.com.au/cps/rde/xchg/cpa-site/hs.xsl/home.html" TargetMode="External"/><Relationship Id="rId25" Type="http://schemas.microsoft.com/office/2007/relationships/diagramDrawing" Target="diagrams/drawing1.xml"/><Relationship Id="rId33" Type="http://schemas.openxmlformats.org/officeDocument/2006/relationships/image" Target="media/image9.png"/><Relationship Id="rId38" Type="http://schemas.openxmlformats.org/officeDocument/2006/relationships/diagramColors" Target="diagrams/colors3.xml"/><Relationship Id="rId46" Type="http://schemas.openxmlformats.org/officeDocument/2006/relationships/diagramLayout" Target="diagrams/layout5.xml"/><Relationship Id="rId59" Type="http://schemas.microsoft.com/office/2007/relationships/diagramDrawing" Target="diagrams/drawing7.xml"/><Relationship Id="rId67" Type="http://schemas.openxmlformats.org/officeDocument/2006/relationships/diagramQuickStyle" Target="diagrams/quickStyle9.xml"/><Relationship Id="rId20" Type="http://schemas.openxmlformats.org/officeDocument/2006/relationships/image" Target="media/image6.png"/><Relationship Id="rId41" Type="http://schemas.openxmlformats.org/officeDocument/2006/relationships/diagramLayout" Target="diagrams/layout4.xml"/><Relationship Id="rId54" Type="http://schemas.microsoft.com/office/2007/relationships/diagramDrawing" Target="diagrams/drawing6.xml"/><Relationship Id="rId62" Type="http://schemas.openxmlformats.org/officeDocument/2006/relationships/diagramQuickStyle" Target="diagrams/quickStyle8.xml"/><Relationship Id="rId70" Type="http://schemas.openxmlformats.org/officeDocument/2006/relationships/chart" Target="charts/chart1.xml"/><Relationship Id="rId75" Type="http://schemas.openxmlformats.org/officeDocument/2006/relationships/hyperlink" Target="http://www.worksafe.vic.gov.au/__data/assets/pdf_file/0019/12394/Performance_standards_and_indicators_FINAL.pdf" TargetMode="External"/><Relationship Id="rId1" Type="http://schemas.openxmlformats.org/officeDocument/2006/relationships/customXml" Target="../customXml/item1.xml"/><Relationship Id="rId6"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20"/>
      <c:rAngAx val="1"/>
    </c:view3D>
    <c:floor>
      <c:thickness val="0"/>
    </c:floor>
    <c:sideWall>
      <c:thickness val="0"/>
    </c:sideWall>
    <c:backWall>
      <c:thickness val="0"/>
    </c:backWall>
    <c:plotArea>
      <c:layout>
        <c:manualLayout>
          <c:layoutTarget val="inner"/>
          <c:xMode val="edge"/>
          <c:yMode val="edge"/>
          <c:x val="0.13089141885614811"/>
          <c:y val="4.495915576724633E-2"/>
          <c:w val="0.82451621704503431"/>
          <c:h val="0.78741826486477973"/>
        </c:manualLayout>
      </c:layout>
      <c:bar3DChart>
        <c:barDir val="col"/>
        <c:grouping val="stacked"/>
        <c:varyColors val="0"/>
        <c:ser>
          <c:idx val="1"/>
          <c:order val="0"/>
          <c:tx>
            <c:strRef>
              <c:f>Sheet3!$A$4</c:f>
              <c:strCache>
                <c:ptCount val="1"/>
                <c:pt idx="0">
                  <c:v>Worker</c:v>
                </c:pt>
              </c:strCache>
            </c:strRef>
          </c:tx>
          <c:invertIfNegative val="0"/>
          <c:cat>
            <c:strRef>
              <c:f>Sheet3!$B$2:$D$2</c:f>
              <c:strCache>
                <c:ptCount val="3"/>
                <c:pt idx="0">
                  <c:v>2000/1</c:v>
                </c:pt>
                <c:pt idx="1">
                  <c:v>2005/6</c:v>
                </c:pt>
                <c:pt idx="2">
                  <c:v>2008/9</c:v>
                </c:pt>
              </c:strCache>
            </c:strRef>
          </c:cat>
          <c:val>
            <c:numRef>
              <c:f>Sheet3!$B$4:$D$4</c:f>
              <c:numCache>
                <c:formatCode>General</c:formatCode>
                <c:ptCount val="3"/>
                <c:pt idx="0">
                  <c:v>15000</c:v>
                </c:pt>
                <c:pt idx="1">
                  <c:v>28200</c:v>
                </c:pt>
                <c:pt idx="2">
                  <c:v>44900</c:v>
                </c:pt>
              </c:numCache>
            </c:numRef>
          </c:val>
        </c:ser>
        <c:ser>
          <c:idx val="2"/>
          <c:order val="1"/>
          <c:tx>
            <c:strRef>
              <c:f>Sheet3!$A$5</c:f>
              <c:strCache>
                <c:ptCount val="1"/>
                <c:pt idx="0">
                  <c:v>Society</c:v>
                </c:pt>
              </c:strCache>
            </c:strRef>
          </c:tx>
          <c:invertIfNegative val="0"/>
          <c:cat>
            <c:strRef>
              <c:f>Sheet3!$B$2:$D$2</c:f>
              <c:strCache>
                <c:ptCount val="3"/>
                <c:pt idx="0">
                  <c:v>2000/1</c:v>
                </c:pt>
                <c:pt idx="1">
                  <c:v>2005/6</c:v>
                </c:pt>
                <c:pt idx="2">
                  <c:v>2008/9</c:v>
                </c:pt>
              </c:strCache>
            </c:strRef>
          </c:cat>
          <c:val>
            <c:numRef>
              <c:f>Sheet3!$B$5:$D$5</c:f>
              <c:numCache>
                <c:formatCode>General</c:formatCode>
                <c:ptCount val="3"/>
                <c:pt idx="0">
                  <c:v>18300</c:v>
                </c:pt>
                <c:pt idx="1">
                  <c:v>27100</c:v>
                </c:pt>
                <c:pt idx="2">
                  <c:v>12700</c:v>
                </c:pt>
              </c:numCache>
            </c:numRef>
          </c:val>
        </c:ser>
        <c:ser>
          <c:idx val="0"/>
          <c:order val="2"/>
          <c:tx>
            <c:strRef>
              <c:f>Sheet3!$A$3</c:f>
              <c:strCache>
                <c:ptCount val="1"/>
                <c:pt idx="0">
                  <c:v>Employer</c:v>
                </c:pt>
              </c:strCache>
            </c:strRef>
          </c:tx>
          <c:spPr>
            <a:solidFill>
              <a:schemeClr val="tx1"/>
            </a:solidFill>
          </c:spPr>
          <c:invertIfNegative val="0"/>
          <c:cat>
            <c:strRef>
              <c:f>Sheet3!$B$2:$D$2</c:f>
              <c:strCache>
                <c:ptCount val="3"/>
                <c:pt idx="0">
                  <c:v>2000/1</c:v>
                </c:pt>
                <c:pt idx="1">
                  <c:v>2005/6</c:v>
                </c:pt>
                <c:pt idx="2">
                  <c:v>2008/9</c:v>
                </c:pt>
              </c:strCache>
            </c:strRef>
          </c:cat>
          <c:val>
            <c:numRef>
              <c:f>Sheet3!$B$3:$D$3</c:f>
              <c:numCache>
                <c:formatCode>General</c:formatCode>
                <c:ptCount val="3"/>
                <c:pt idx="0">
                  <c:v>1000</c:v>
                </c:pt>
                <c:pt idx="1">
                  <c:v>2200</c:v>
                </c:pt>
                <c:pt idx="2">
                  <c:v>3200</c:v>
                </c:pt>
              </c:numCache>
            </c:numRef>
          </c:val>
        </c:ser>
        <c:dLbls>
          <c:showLegendKey val="0"/>
          <c:showVal val="0"/>
          <c:showCatName val="0"/>
          <c:showSerName val="0"/>
          <c:showPercent val="0"/>
          <c:showBubbleSize val="0"/>
        </c:dLbls>
        <c:gapWidth val="115"/>
        <c:shape val="cylinder"/>
        <c:axId val="106810368"/>
        <c:axId val="106812160"/>
        <c:axId val="0"/>
      </c:bar3DChart>
      <c:catAx>
        <c:axId val="106810368"/>
        <c:scaling>
          <c:orientation val="minMax"/>
        </c:scaling>
        <c:delete val="0"/>
        <c:axPos val="b"/>
        <c:majorTickMark val="out"/>
        <c:minorTickMark val="none"/>
        <c:tickLblPos val="nextTo"/>
        <c:crossAx val="106812160"/>
        <c:crosses val="autoZero"/>
        <c:auto val="1"/>
        <c:lblAlgn val="r"/>
        <c:lblOffset val="100"/>
        <c:noMultiLvlLbl val="0"/>
      </c:catAx>
      <c:valAx>
        <c:axId val="106812160"/>
        <c:scaling>
          <c:orientation val="minMax"/>
        </c:scaling>
        <c:delete val="0"/>
        <c:axPos val="l"/>
        <c:majorGridlines/>
        <c:numFmt formatCode="General" sourceLinked="1"/>
        <c:majorTickMark val="out"/>
        <c:minorTickMark val="none"/>
        <c:tickLblPos val="nextTo"/>
        <c:crossAx val="106810368"/>
        <c:crosses val="autoZero"/>
        <c:crossBetween val="between"/>
        <c:dispUnits>
          <c:builtInUnit val="thousands"/>
          <c:dispUnitsLbl>
            <c:tx>
              <c:rich>
                <a:bodyPr/>
                <a:lstStyle/>
                <a:p>
                  <a:pPr>
                    <a:defRPr/>
                  </a:pPr>
                  <a:r>
                    <a:rPr lang="en-AU"/>
                    <a:t>AUD $ Billion</a:t>
                  </a:r>
                </a:p>
              </c:rich>
            </c:tx>
          </c:dispUnitsLbl>
        </c:dispUnits>
      </c:valAx>
    </c:plotArea>
    <c:legend>
      <c:legendPos val="r"/>
      <c:layout>
        <c:manualLayout>
          <c:xMode val="edge"/>
          <c:yMode val="edge"/>
          <c:x val="0.18305960404679361"/>
          <c:y val="2.5938502361188068E-2"/>
          <c:w val="0.23357553400443867"/>
          <c:h val="0.34798828810052712"/>
        </c:manualLayout>
      </c:layout>
      <c:overlay val="0"/>
      <c:spPr>
        <a:solidFill>
          <a:schemeClr val="bg1"/>
        </a:solidFill>
      </c:sp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BD9492-D5F8-4764-A72C-EFDDEB899002}" type="doc">
      <dgm:prSet loTypeId="urn:microsoft.com/office/officeart/2005/8/layout/pyramid1" loCatId="pyramid" qsTypeId="urn:microsoft.com/office/officeart/2005/8/quickstyle/simple1" qsCatId="simple" csTypeId="urn:microsoft.com/office/officeart/2005/8/colors/accent1_2" csCatId="accent1" phldr="1"/>
      <dgm:spPr/>
    </dgm:pt>
    <dgm:pt modelId="{F7C2062B-64AB-4D57-BFD5-1458368ECA0B}">
      <dgm:prSet phldrT="[Text]" custT="1"/>
      <dgm:spPr>
        <a:solidFill>
          <a:schemeClr val="accent2">
            <a:lumMod val="40000"/>
            <a:lumOff val="60000"/>
          </a:schemeClr>
        </a:solidFill>
        <a:effectLst>
          <a:outerShdw blurRad="63500" sx="102000" sy="102000" algn="ctr" rotWithShape="0">
            <a:prstClr val="black">
              <a:alpha val="40000"/>
            </a:prstClr>
          </a:outerShdw>
        </a:effectLst>
        <a:scene3d>
          <a:camera prst="orthographicFront"/>
          <a:lightRig rig="threePt" dir="t"/>
        </a:scene3d>
        <a:sp3d>
          <a:bevelB/>
        </a:sp3d>
      </dgm:spPr>
      <dgm:t>
        <a:bodyPr/>
        <a:lstStyle/>
        <a:p>
          <a:r>
            <a:rPr lang="en-AU" sz="900"/>
            <a:t>29 </a:t>
          </a:r>
        </a:p>
        <a:p>
          <a:r>
            <a:rPr lang="en-AU" sz="900"/>
            <a:t>minor injuries</a:t>
          </a:r>
        </a:p>
      </dgm:t>
      <dgm:extLst>
        <a:ext uri="{E40237B7-FDA0-4F09-8148-C483321AD2D9}">
          <dgm14:cNvPr xmlns:dgm14="http://schemas.microsoft.com/office/drawing/2010/diagram" id="0" name="" descr="29 injuries" title="29 injuries"/>
        </a:ext>
      </dgm:extLst>
    </dgm:pt>
    <dgm:pt modelId="{35186F34-576C-458C-8030-AA3725547160}" type="parTrans" cxnId="{84786918-A491-41E7-8708-6514A1552C71}">
      <dgm:prSet/>
      <dgm:spPr/>
      <dgm:t>
        <a:bodyPr/>
        <a:lstStyle/>
        <a:p>
          <a:endParaRPr lang="en-AU"/>
        </a:p>
      </dgm:t>
    </dgm:pt>
    <dgm:pt modelId="{E42A501A-6CF6-42B6-9E58-592EEC0C00C7}" type="sibTrans" cxnId="{84786918-A491-41E7-8708-6514A1552C71}">
      <dgm:prSet/>
      <dgm:spPr/>
      <dgm:t>
        <a:bodyPr/>
        <a:lstStyle/>
        <a:p>
          <a:endParaRPr lang="en-AU"/>
        </a:p>
      </dgm:t>
    </dgm:pt>
    <dgm:pt modelId="{C8305BBE-9CBF-42EF-B3E6-EEE1FED08C06}">
      <dgm:prSet phldrT="[Text]" custT="1"/>
      <dgm:spPr>
        <a:solidFill>
          <a:schemeClr val="accent2">
            <a:lumMod val="20000"/>
            <a:lumOff val="80000"/>
          </a:schemeClr>
        </a:solidFill>
        <a:effectLst>
          <a:outerShdw blurRad="63500" sx="102000" sy="102000" algn="ctr" rotWithShape="0">
            <a:prstClr val="black">
              <a:alpha val="40000"/>
            </a:prstClr>
          </a:outerShdw>
        </a:effectLst>
        <a:scene3d>
          <a:camera prst="orthographicFront"/>
          <a:lightRig rig="threePt" dir="t"/>
        </a:scene3d>
        <a:sp3d>
          <a:bevelB/>
        </a:sp3d>
      </dgm:spPr>
      <dgm:t>
        <a:bodyPr/>
        <a:lstStyle/>
        <a:p>
          <a:r>
            <a:rPr lang="en-AU" sz="900"/>
            <a:t>300 </a:t>
          </a:r>
        </a:p>
        <a:p>
          <a:r>
            <a:rPr lang="en-AU" sz="900"/>
            <a:t>no injury incidents</a:t>
          </a:r>
        </a:p>
      </dgm:t>
      <dgm:extLst>
        <a:ext uri="{E40237B7-FDA0-4F09-8148-C483321AD2D9}">
          <dgm14:cNvPr xmlns:dgm14="http://schemas.microsoft.com/office/drawing/2010/diagram" id="0" name="" descr="300 no injury incidents" title="Figure 2: Heinrich's Triangle"/>
        </a:ext>
      </dgm:extLst>
    </dgm:pt>
    <dgm:pt modelId="{EE8D2DF3-F64A-4F24-9461-3F1064E23A5E}" type="parTrans" cxnId="{738CAB94-BFF8-4707-9016-E175ADED6E1D}">
      <dgm:prSet/>
      <dgm:spPr/>
      <dgm:t>
        <a:bodyPr/>
        <a:lstStyle/>
        <a:p>
          <a:endParaRPr lang="en-AU"/>
        </a:p>
      </dgm:t>
    </dgm:pt>
    <dgm:pt modelId="{DD5DE687-38F0-4B1E-B34E-345985E6F882}" type="sibTrans" cxnId="{738CAB94-BFF8-4707-9016-E175ADED6E1D}">
      <dgm:prSet/>
      <dgm:spPr/>
      <dgm:t>
        <a:bodyPr/>
        <a:lstStyle/>
        <a:p>
          <a:endParaRPr lang="en-AU"/>
        </a:p>
      </dgm:t>
    </dgm:pt>
    <dgm:pt modelId="{36E5DF65-A275-456C-869F-4440BE8CFE3B}">
      <dgm:prSet custT="1"/>
      <dgm:spPr>
        <a:solidFill>
          <a:schemeClr val="accent2">
            <a:lumMod val="60000"/>
            <a:lumOff val="40000"/>
          </a:schemeClr>
        </a:solidFill>
        <a:effectLst>
          <a:outerShdw blurRad="63500" sx="102000" sy="102000" algn="ctr" rotWithShape="0">
            <a:prstClr val="black">
              <a:alpha val="40000"/>
            </a:prstClr>
          </a:outerShdw>
        </a:effectLst>
        <a:scene3d>
          <a:camera prst="orthographicFront"/>
          <a:lightRig rig="threePt" dir="t"/>
        </a:scene3d>
        <a:sp3d>
          <a:bevelB/>
        </a:sp3d>
      </dgm:spPr>
      <dgm:t>
        <a:bodyPr/>
        <a:lstStyle/>
        <a:p>
          <a:endParaRPr lang="en-AU" sz="1000"/>
        </a:p>
        <a:p>
          <a:r>
            <a:rPr lang="en-AU" sz="900"/>
            <a:t>1 </a:t>
          </a:r>
        </a:p>
        <a:p>
          <a:r>
            <a:rPr lang="en-AU" sz="900"/>
            <a:t>major injury</a:t>
          </a:r>
        </a:p>
      </dgm:t>
      <dgm:extLst>
        <a:ext uri="{E40237B7-FDA0-4F09-8148-C483321AD2D9}">
          <dgm14:cNvPr xmlns:dgm14="http://schemas.microsoft.com/office/drawing/2010/diagram" id="0" name="" descr="1 Major Injury" title="1 Major Injury"/>
        </a:ext>
      </dgm:extLst>
    </dgm:pt>
    <dgm:pt modelId="{EB1A9948-7C20-4046-AC88-D1A996341BBC}" type="parTrans" cxnId="{263C42D6-2568-4563-9439-B7ABFE9A5E35}">
      <dgm:prSet/>
      <dgm:spPr/>
      <dgm:t>
        <a:bodyPr/>
        <a:lstStyle/>
        <a:p>
          <a:endParaRPr lang="en-AU"/>
        </a:p>
      </dgm:t>
    </dgm:pt>
    <dgm:pt modelId="{DB44C305-D486-4C51-8FF6-8E0F9A019320}" type="sibTrans" cxnId="{263C42D6-2568-4563-9439-B7ABFE9A5E35}">
      <dgm:prSet/>
      <dgm:spPr/>
      <dgm:t>
        <a:bodyPr/>
        <a:lstStyle/>
        <a:p>
          <a:endParaRPr lang="en-AU"/>
        </a:p>
      </dgm:t>
    </dgm:pt>
    <dgm:pt modelId="{415EE2A9-64AD-473F-A374-74A8931D5791}" type="pres">
      <dgm:prSet presAssocID="{29BD9492-D5F8-4764-A72C-EFDDEB899002}" presName="Name0" presStyleCnt="0">
        <dgm:presLayoutVars>
          <dgm:dir/>
          <dgm:animLvl val="lvl"/>
          <dgm:resizeHandles val="exact"/>
        </dgm:presLayoutVars>
      </dgm:prSet>
      <dgm:spPr/>
    </dgm:pt>
    <dgm:pt modelId="{310313ED-783D-41A8-9C7F-9CB63E1953FA}" type="pres">
      <dgm:prSet presAssocID="{36E5DF65-A275-456C-869F-4440BE8CFE3B}" presName="Name8" presStyleCnt="0"/>
      <dgm:spPr>
        <a:scene3d>
          <a:camera prst="orthographicFront"/>
          <a:lightRig rig="threePt" dir="t"/>
        </a:scene3d>
        <a:sp3d>
          <a:bevelB/>
        </a:sp3d>
      </dgm:spPr>
    </dgm:pt>
    <dgm:pt modelId="{1ED40EE6-3B92-42B3-9C94-3F09EA19E546}" type="pres">
      <dgm:prSet presAssocID="{36E5DF65-A275-456C-869F-4440BE8CFE3B}" presName="level" presStyleLbl="node1" presStyleIdx="0" presStyleCnt="3" custScaleX="103070" custScaleY="105609">
        <dgm:presLayoutVars>
          <dgm:chMax val="1"/>
          <dgm:bulletEnabled val="1"/>
        </dgm:presLayoutVars>
      </dgm:prSet>
      <dgm:spPr/>
      <dgm:t>
        <a:bodyPr/>
        <a:lstStyle/>
        <a:p>
          <a:endParaRPr lang="en-AU"/>
        </a:p>
      </dgm:t>
    </dgm:pt>
    <dgm:pt modelId="{CD9590A0-BF2E-471F-8471-DFA9DC14DB70}" type="pres">
      <dgm:prSet presAssocID="{36E5DF65-A275-456C-869F-4440BE8CFE3B}" presName="levelTx" presStyleLbl="revTx" presStyleIdx="0" presStyleCnt="0">
        <dgm:presLayoutVars>
          <dgm:chMax val="1"/>
          <dgm:bulletEnabled val="1"/>
        </dgm:presLayoutVars>
      </dgm:prSet>
      <dgm:spPr/>
      <dgm:t>
        <a:bodyPr/>
        <a:lstStyle/>
        <a:p>
          <a:endParaRPr lang="en-AU"/>
        </a:p>
      </dgm:t>
    </dgm:pt>
    <dgm:pt modelId="{D80E597F-FD06-4B3F-BB34-C8F7F1621D97}" type="pres">
      <dgm:prSet presAssocID="{F7C2062B-64AB-4D57-BFD5-1458368ECA0B}" presName="Name8" presStyleCnt="0"/>
      <dgm:spPr>
        <a:scene3d>
          <a:camera prst="orthographicFront"/>
          <a:lightRig rig="threePt" dir="t"/>
        </a:scene3d>
        <a:sp3d>
          <a:bevelB/>
        </a:sp3d>
      </dgm:spPr>
    </dgm:pt>
    <dgm:pt modelId="{52F0DC7D-F9B7-42E1-9A52-82B53FF11099}" type="pres">
      <dgm:prSet presAssocID="{F7C2062B-64AB-4D57-BFD5-1458368ECA0B}" presName="level" presStyleLbl="node1" presStyleIdx="1" presStyleCnt="3" custScaleX="99629" custScaleY="71661" custLinFactNeighborX="482" custLinFactNeighborY="-1536">
        <dgm:presLayoutVars>
          <dgm:chMax val="1"/>
          <dgm:bulletEnabled val="1"/>
        </dgm:presLayoutVars>
      </dgm:prSet>
      <dgm:spPr/>
      <dgm:t>
        <a:bodyPr/>
        <a:lstStyle/>
        <a:p>
          <a:endParaRPr lang="en-AU"/>
        </a:p>
      </dgm:t>
    </dgm:pt>
    <dgm:pt modelId="{E96091BB-D232-4BCE-A658-6EC5CF5382C0}" type="pres">
      <dgm:prSet presAssocID="{F7C2062B-64AB-4D57-BFD5-1458368ECA0B}" presName="levelTx" presStyleLbl="revTx" presStyleIdx="0" presStyleCnt="0">
        <dgm:presLayoutVars>
          <dgm:chMax val="1"/>
          <dgm:bulletEnabled val="1"/>
        </dgm:presLayoutVars>
      </dgm:prSet>
      <dgm:spPr/>
      <dgm:t>
        <a:bodyPr/>
        <a:lstStyle/>
        <a:p>
          <a:endParaRPr lang="en-AU"/>
        </a:p>
      </dgm:t>
    </dgm:pt>
    <dgm:pt modelId="{7BE2D523-9842-46CB-B2E3-06FA452C0EE2}" type="pres">
      <dgm:prSet presAssocID="{C8305BBE-9CBF-42EF-B3E6-EEE1FED08C06}" presName="Name8" presStyleCnt="0"/>
      <dgm:spPr>
        <a:scene3d>
          <a:camera prst="orthographicFront"/>
          <a:lightRig rig="threePt" dir="t"/>
        </a:scene3d>
        <a:sp3d>
          <a:bevelB/>
        </a:sp3d>
      </dgm:spPr>
    </dgm:pt>
    <dgm:pt modelId="{75013307-4A1C-4911-8A01-DEAED4B8361C}" type="pres">
      <dgm:prSet presAssocID="{C8305BBE-9CBF-42EF-B3E6-EEE1FED08C06}" presName="level" presStyleLbl="node1" presStyleIdx="2" presStyleCnt="3" custScaleY="59189">
        <dgm:presLayoutVars>
          <dgm:chMax val="1"/>
          <dgm:bulletEnabled val="1"/>
        </dgm:presLayoutVars>
      </dgm:prSet>
      <dgm:spPr/>
      <dgm:t>
        <a:bodyPr/>
        <a:lstStyle/>
        <a:p>
          <a:endParaRPr lang="en-AU"/>
        </a:p>
      </dgm:t>
    </dgm:pt>
    <dgm:pt modelId="{0BFDF87B-0C26-49E9-B3D1-9F12ED228B66}" type="pres">
      <dgm:prSet presAssocID="{C8305BBE-9CBF-42EF-B3E6-EEE1FED08C06}" presName="levelTx" presStyleLbl="revTx" presStyleIdx="0" presStyleCnt="0">
        <dgm:presLayoutVars>
          <dgm:chMax val="1"/>
          <dgm:bulletEnabled val="1"/>
        </dgm:presLayoutVars>
      </dgm:prSet>
      <dgm:spPr/>
      <dgm:t>
        <a:bodyPr/>
        <a:lstStyle/>
        <a:p>
          <a:endParaRPr lang="en-AU"/>
        </a:p>
      </dgm:t>
    </dgm:pt>
  </dgm:ptLst>
  <dgm:cxnLst>
    <dgm:cxn modelId="{738CAB94-BFF8-4707-9016-E175ADED6E1D}" srcId="{29BD9492-D5F8-4764-A72C-EFDDEB899002}" destId="{C8305BBE-9CBF-42EF-B3E6-EEE1FED08C06}" srcOrd="2" destOrd="0" parTransId="{EE8D2DF3-F64A-4F24-9461-3F1064E23A5E}" sibTransId="{DD5DE687-38F0-4B1E-B34E-345985E6F882}"/>
    <dgm:cxn modelId="{84786918-A491-41E7-8708-6514A1552C71}" srcId="{29BD9492-D5F8-4764-A72C-EFDDEB899002}" destId="{F7C2062B-64AB-4D57-BFD5-1458368ECA0B}" srcOrd="1" destOrd="0" parTransId="{35186F34-576C-458C-8030-AA3725547160}" sibTransId="{E42A501A-6CF6-42B6-9E58-592EEC0C00C7}"/>
    <dgm:cxn modelId="{C28B01C6-02FE-4FA2-8979-4CA8264FB004}" type="presOf" srcId="{F7C2062B-64AB-4D57-BFD5-1458368ECA0B}" destId="{52F0DC7D-F9B7-42E1-9A52-82B53FF11099}" srcOrd="0" destOrd="0" presId="urn:microsoft.com/office/officeart/2005/8/layout/pyramid1"/>
    <dgm:cxn modelId="{263C42D6-2568-4563-9439-B7ABFE9A5E35}" srcId="{29BD9492-D5F8-4764-A72C-EFDDEB899002}" destId="{36E5DF65-A275-456C-869F-4440BE8CFE3B}" srcOrd="0" destOrd="0" parTransId="{EB1A9948-7C20-4046-AC88-D1A996341BBC}" sibTransId="{DB44C305-D486-4C51-8FF6-8E0F9A019320}"/>
    <dgm:cxn modelId="{D7A84E69-8386-4FD5-A8C6-168BF4C098E3}" type="presOf" srcId="{C8305BBE-9CBF-42EF-B3E6-EEE1FED08C06}" destId="{0BFDF87B-0C26-49E9-B3D1-9F12ED228B66}" srcOrd="1" destOrd="0" presId="urn:microsoft.com/office/officeart/2005/8/layout/pyramid1"/>
    <dgm:cxn modelId="{5E186AF4-8477-4A69-AA46-8A7670B9F89F}" type="presOf" srcId="{36E5DF65-A275-456C-869F-4440BE8CFE3B}" destId="{1ED40EE6-3B92-42B3-9C94-3F09EA19E546}" srcOrd="0" destOrd="0" presId="urn:microsoft.com/office/officeart/2005/8/layout/pyramid1"/>
    <dgm:cxn modelId="{9F52FB09-A428-4895-BF04-E4C9E1794C94}" type="presOf" srcId="{C8305BBE-9CBF-42EF-B3E6-EEE1FED08C06}" destId="{75013307-4A1C-4911-8A01-DEAED4B8361C}" srcOrd="0" destOrd="0" presId="urn:microsoft.com/office/officeart/2005/8/layout/pyramid1"/>
    <dgm:cxn modelId="{01FC19F4-A5A4-4BEB-AFE1-D772E6F93B1E}" type="presOf" srcId="{F7C2062B-64AB-4D57-BFD5-1458368ECA0B}" destId="{E96091BB-D232-4BCE-A658-6EC5CF5382C0}" srcOrd="1" destOrd="0" presId="urn:microsoft.com/office/officeart/2005/8/layout/pyramid1"/>
    <dgm:cxn modelId="{2BB8FA64-513D-4295-8C91-FC11F02DB74D}" type="presOf" srcId="{36E5DF65-A275-456C-869F-4440BE8CFE3B}" destId="{CD9590A0-BF2E-471F-8471-DFA9DC14DB70}" srcOrd="1" destOrd="0" presId="urn:microsoft.com/office/officeart/2005/8/layout/pyramid1"/>
    <dgm:cxn modelId="{42E73508-692D-40CE-B503-D401CC12F7E2}" type="presOf" srcId="{29BD9492-D5F8-4764-A72C-EFDDEB899002}" destId="{415EE2A9-64AD-473F-A374-74A8931D5791}" srcOrd="0" destOrd="0" presId="urn:microsoft.com/office/officeart/2005/8/layout/pyramid1"/>
    <dgm:cxn modelId="{4303940F-B283-4D66-8C55-F033C1BE620C}" type="presParOf" srcId="{415EE2A9-64AD-473F-A374-74A8931D5791}" destId="{310313ED-783D-41A8-9C7F-9CB63E1953FA}" srcOrd="0" destOrd="0" presId="urn:microsoft.com/office/officeart/2005/8/layout/pyramid1"/>
    <dgm:cxn modelId="{FF73002E-AB19-4D58-B2E8-0F5D6EB9A685}" type="presParOf" srcId="{310313ED-783D-41A8-9C7F-9CB63E1953FA}" destId="{1ED40EE6-3B92-42B3-9C94-3F09EA19E546}" srcOrd="0" destOrd="0" presId="urn:microsoft.com/office/officeart/2005/8/layout/pyramid1"/>
    <dgm:cxn modelId="{D06232E9-0251-4EDA-9493-803B79201C60}" type="presParOf" srcId="{310313ED-783D-41A8-9C7F-9CB63E1953FA}" destId="{CD9590A0-BF2E-471F-8471-DFA9DC14DB70}" srcOrd="1" destOrd="0" presId="urn:microsoft.com/office/officeart/2005/8/layout/pyramid1"/>
    <dgm:cxn modelId="{FC90C425-C4EB-4537-91CD-7619017FAC10}" type="presParOf" srcId="{415EE2A9-64AD-473F-A374-74A8931D5791}" destId="{D80E597F-FD06-4B3F-BB34-C8F7F1621D97}" srcOrd="1" destOrd="0" presId="urn:microsoft.com/office/officeart/2005/8/layout/pyramid1"/>
    <dgm:cxn modelId="{394868AF-BCCF-42AF-94EF-9D11F40E5D97}" type="presParOf" srcId="{D80E597F-FD06-4B3F-BB34-C8F7F1621D97}" destId="{52F0DC7D-F9B7-42E1-9A52-82B53FF11099}" srcOrd="0" destOrd="0" presId="urn:microsoft.com/office/officeart/2005/8/layout/pyramid1"/>
    <dgm:cxn modelId="{8404E7B3-EA62-4DA2-BAEC-69C1A7888DFD}" type="presParOf" srcId="{D80E597F-FD06-4B3F-BB34-C8F7F1621D97}" destId="{E96091BB-D232-4BCE-A658-6EC5CF5382C0}" srcOrd="1" destOrd="0" presId="urn:microsoft.com/office/officeart/2005/8/layout/pyramid1"/>
    <dgm:cxn modelId="{E3754B09-B72E-457E-BFEF-7729D583CC18}" type="presParOf" srcId="{415EE2A9-64AD-473F-A374-74A8931D5791}" destId="{7BE2D523-9842-46CB-B2E3-06FA452C0EE2}" srcOrd="2" destOrd="0" presId="urn:microsoft.com/office/officeart/2005/8/layout/pyramid1"/>
    <dgm:cxn modelId="{0EA64FA0-ED6A-481F-A488-A72DFC9584EF}" type="presParOf" srcId="{7BE2D523-9842-46CB-B2E3-06FA452C0EE2}" destId="{75013307-4A1C-4911-8A01-DEAED4B8361C}" srcOrd="0" destOrd="0" presId="urn:microsoft.com/office/officeart/2005/8/layout/pyramid1"/>
    <dgm:cxn modelId="{8BFEAF48-A088-4783-AEEC-88A720C72764}" type="presParOf" srcId="{7BE2D523-9842-46CB-B2E3-06FA452C0EE2}" destId="{0BFDF87B-0C26-49E9-B3D1-9F12ED228B66}" srcOrd="1" destOrd="0" presId="urn:microsoft.com/office/officeart/2005/8/layout/pyramid1"/>
  </dgm:cxnLst>
  <dgm:bg>
    <a:effectLst>
      <a:outerShdw blurRad="63500" sx="102000" sy="102000" algn="ctr" rotWithShape="0">
        <a:prstClr val="black">
          <a:alpha val="40000"/>
        </a:prstClr>
      </a:outerShdw>
    </a:effect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4D7506-0423-4CE4-B430-A51E720F41E8}" type="doc">
      <dgm:prSet loTypeId="urn:microsoft.com/office/officeart/2005/8/layout/pyramid1" loCatId="pyramid" qsTypeId="urn:microsoft.com/office/officeart/2005/8/quickstyle/simple1" qsCatId="simple" csTypeId="urn:microsoft.com/office/officeart/2005/8/colors/accent1_2" csCatId="accent1" phldr="1"/>
      <dgm:spPr/>
    </dgm:pt>
    <dgm:pt modelId="{EB38E4A7-3B8F-49B0-9FAA-135F46482EC5}">
      <dgm:prSet phldrT="[Text]" custT="1"/>
      <dgm:spPr>
        <a:solidFill>
          <a:schemeClr val="accent4">
            <a:lumMod val="60000"/>
            <a:lumOff val="40000"/>
          </a:schemeClr>
        </a:solidFill>
        <a:effectLst>
          <a:outerShdw blurRad="63500" sx="102000" sy="102000" algn="ctr" rotWithShape="0">
            <a:prstClr val="black">
              <a:alpha val="40000"/>
            </a:prstClr>
          </a:outerShdw>
        </a:effectLst>
      </dgm:spPr>
      <dgm:t>
        <a:bodyPr/>
        <a:lstStyle/>
        <a:p>
          <a:endParaRPr lang="en-AU" sz="500">
            <a:solidFill>
              <a:sysClr val="windowText" lastClr="000000"/>
            </a:solidFill>
          </a:endParaRPr>
        </a:p>
        <a:p>
          <a:r>
            <a:rPr lang="en-AU" sz="900">
              <a:solidFill>
                <a:sysClr val="windowText" lastClr="000000"/>
              </a:solidFill>
            </a:rPr>
            <a:t>1</a:t>
          </a:r>
          <a:r>
            <a:rPr lang="en-AU" sz="900">
              <a:solidFill>
                <a:schemeClr val="bg1"/>
              </a:solidFill>
            </a:rPr>
            <a:t> </a:t>
          </a:r>
        </a:p>
        <a:p>
          <a:r>
            <a:rPr lang="en-AU" sz="900">
              <a:solidFill>
                <a:schemeClr val="bg1"/>
              </a:solidFill>
            </a:rPr>
            <a:t> </a:t>
          </a:r>
          <a:r>
            <a:rPr lang="en-AU" sz="900">
              <a:solidFill>
                <a:sysClr val="windowText" lastClr="000000"/>
              </a:solidFill>
            </a:rPr>
            <a:t>LTIs</a:t>
          </a:r>
        </a:p>
      </dgm:t>
      <dgm:extLst>
        <a:ext uri="{E40237B7-FDA0-4F09-8148-C483321AD2D9}">
          <dgm14:cNvPr xmlns:dgm14="http://schemas.microsoft.com/office/drawing/2010/diagram" id="0" name="" descr="1 LTIs" title="Figure 3: Bird's Triangle"/>
        </a:ext>
      </dgm:extLst>
    </dgm:pt>
    <dgm:pt modelId="{DA032860-F47C-4D95-8DEA-5D67976A10D8}" type="parTrans" cxnId="{84B05113-7CE4-41E8-BFD8-9DC1AA0B8081}">
      <dgm:prSet/>
      <dgm:spPr/>
      <dgm:t>
        <a:bodyPr/>
        <a:lstStyle/>
        <a:p>
          <a:endParaRPr lang="en-AU" sz="900"/>
        </a:p>
      </dgm:t>
    </dgm:pt>
    <dgm:pt modelId="{93785401-3FD6-4040-85B7-0C9E332025B2}" type="sibTrans" cxnId="{84B05113-7CE4-41E8-BFD8-9DC1AA0B8081}">
      <dgm:prSet/>
      <dgm:spPr/>
      <dgm:t>
        <a:bodyPr/>
        <a:lstStyle/>
        <a:p>
          <a:endParaRPr lang="en-AU" sz="900"/>
        </a:p>
      </dgm:t>
    </dgm:pt>
    <dgm:pt modelId="{ADEB3E8C-DC8B-4DC1-A393-700D642D61AC}">
      <dgm:prSet phldrT="[Text]" custT="1"/>
      <dgm:spPr>
        <a:solidFill>
          <a:schemeClr val="accent4">
            <a:lumMod val="40000"/>
            <a:lumOff val="60000"/>
          </a:schemeClr>
        </a:solidFill>
        <a:effectLst>
          <a:outerShdw blurRad="63500" sx="102000" sy="102000" algn="ctr" rotWithShape="0">
            <a:prstClr val="black">
              <a:alpha val="40000"/>
            </a:prstClr>
          </a:outerShdw>
        </a:effectLst>
      </dgm:spPr>
      <dgm:t>
        <a:bodyPr/>
        <a:lstStyle/>
        <a:p>
          <a:r>
            <a:rPr lang="en-AU" sz="900"/>
            <a:t>10                </a:t>
          </a:r>
          <a:r>
            <a:rPr lang="en-AU" sz="800"/>
            <a:t>medical / first aid treatment</a:t>
          </a:r>
        </a:p>
      </dgm:t>
      <dgm:extLst>
        <a:ext uri="{E40237B7-FDA0-4F09-8148-C483321AD2D9}">
          <dgm14:cNvPr xmlns:dgm14="http://schemas.microsoft.com/office/drawing/2010/diagram" id="0" name="" descr="10 medical first aid treatment" title="Figure 3: Bird's Triangle"/>
        </a:ext>
      </dgm:extLst>
    </dgm:pt>
    <dgm:pt modelId="{DC05F18F-DA88-4367-A2B4-17AF7B913072}" type="parTrans" cxnId="{951BEDA9-136E-4E82-A0EC-FD74B9259262}">
      <dgm:prSet/>
      <dgm:spPr/>
      <dgm:t>
        <a:bodyPr/>
        <a:lstStyle/>
        <a:p>
          <a:endParaRPr lang="en-AU" sz="900"/>
        </a:p>
      </dgm:t>
    </dgm:pt>
    <dgm:pt modelId="{3D977807-702D-408F-BA84-C7DA4655160B}" type="sibTrans" cxnId="{951BEDA9-136E-4E82-A0EC-FD74B9259262}">
      <dgm:prSet/>
      <dgm:spPr/>
      <dgm:t>
        <a:bodyPr/>
        <a:lstStyle/>
        <a:p>
          <a:endParaRPr lang="en-AU" sz="900"/>
        </a:p>
      </dgm:t>
    </dgm:pt>
    <dgm:pt modelId="{A582786A-FD42-46E5-8C4F-2CCADB48F14B}">
      <dgm:prSet phldrT="[Text]" custT="1"/>
      <dgm:spPr>
        <a:solidFill>
          <a:schemeClr val="accent4">
            <a:lumMod val="20000"/>
            <a:lumOff val="80000"/>
          </a:schemeClr>
        </a:solidFill>
        <a:effectLst>
          <a:outerShdw blurRad="63500" sx="102000" sy="102000" algn="ctr" rotWithShape="0">
            <a:prstClr val="black">
              <a:alpha val="40000"/>
            </a:prstClr>
          </a:outerShdw>
        </a:effectLst>
      </dgm:spPr>
      <dgm:t>
        <a:bodyPr/>
        <a:lstStyle/>
        <a:p>
          <a:pPr>
            <a:spcAft>
              <a:spcPts val="0"/>
            </a:spcAft>
          </a:pPr>
          <a:r>
            <a:rPr lang="en-AU" sz="900"/>
            <a:t>30 </a:t>
          </a:r>
        </a:p>
        <a:p>
          <a:pPr>
            <a:spcAft>
              <a:spcPts val="0"/>
            </a:spcAft>
          </a:pPr>
          <a:r>
            <a:rPr lang="en-AU" sz="800" baseline="0"/>
            <a:t>equipment damage</a:t>
          </a:r>
        </a:p>
      </dgm:t>
      <dgm:extLst>
        <a:ext uri="{E40237B7-FDA0-4F09-8148-C483321AD2D9}">
          <dgm14:cNvPr xmlns:dgm14="http://schemas.microsoft.com/office/drawing/2010/diagram" id="0" name="" descr="30 equipment damage" title="Figure 3: Bird's Triangle"/>
        </a:ext>
      </dgm:extLst>
    </dgm:pt>
    <dgm:pt modelId="{BA5C377D-74D1-404B-836A-D6E0E2392C65}" type="parTrans" cxnId="{B9CAA3DD-DF2D-4487-A658-74DDCB0D4287}">
      <dgm:prSet/>
      <dgm:spPr/>
      <dgm:t>
        <a:bodyPr/>
        <a:lstStyle/>
        <a:p>
          <a:endParaRPr lang="en-AU" sz="900"/>
        </a:p>
      </dgm:t>
    </dgm:pt>
    <dgm:pt modelId="{F5B123F2-CBBF-4095-9F17-4BE85764B3B0}" type="sibTrans" cxnId="{B9CAA3DD-DF2D-4487-A658-74DDCB0D4287}">
      <dgm:prSet/>
      <dgm:spPr/>
      <dgm:t>
        <a:bodyPr/>
        <a:lstStyle/>
        <a:p>
          <a:endParaRPr lang="en-AU" sz="900"/>
        </a:p>
      </dgm:t>
    </dgm:pt>
    <dgm:pt modelId="{9EEF9777-5604-47BC-9A38-AFFD1097F62B}">
      <dgm:prSet phldrT="[Text]" custT="1"/>
      <dgm:spPr>
        <a:solidFill>
          <a:schemeClr val="accent4">
            <a:lumMod val="20000"/>
            <a:lumOff val="80000"/>
          </a:schemeClr>
        </a:solidFill>
        <a:effectLst>
          <a:outerShdw blurRad="63500" sx="102000" sy="102000" algn="ctr" rotWithShape="0">
            <a:prstClr val="black">
              <a:alpha val="40000"/>
            </a:prstClr>
          </a:outerShdw>
        </a:effectLst>
      </dgm:spPr>
      <dgm:t>
        <a:bodyPr/>
        <a:lstStyle/>
        <a:p>
          <a:pPr>
            <a:spcAft>
              <a:spcPts val="0"/>
            </a:spcAft>
          </a:pPr>
          <a:r>
            <a:rPr lang="en-AU" sz="900"/>
            <a:t>600 </a:t>
          </a:r>
        </a:p>
        <a:p>
          <a:pPr>
            <a:spcAft>
              <a:spcPts val="0"/>
            </a:spcAft>
          </a:pPr>
          <a:r>
            <a:rPr lang="en-AU" sz="900"/>
            <a:t>near miss</a:t>
          </a:r>
        </a:p>
      </dgm:t>
      <dgm:extLst>
        <a:ext uri="{E40237B7-FDA0-4F09-8148-C483321AD2D9}">
          <dgm14:cNvPr xmlns:dgm14="http://schemas.microsoft.com/office/drawing/2010/diagram" id="0" name="" descr="600 near miss" title="Figure 3: Bird's Triangle"/>
        </a:ext>
      </dgm:extLst>
    </dgm:pt>
    <dgm:pt modelId="{17750A5C-DADD-4A12-B19E-36D8EB2B4171}" type="parTrans" cxnId="{ADACD146-FCE0-4525-89A0-6F72564452E4}">
      <dgm:prSet/>
      <dgm:spPr/>
      <dgm:t>
        <a:bodyPr/>
        <a:lstStyle/>
        <a:p>
          <a:endParaRPr lang="en-AU" sz="900"/>
        </a:p>
      </dgm:t>
    </dgm:pt>
    <dgm:pt modelId="{B06D3A7C-8619-4D67-981C-53C82CD28A45}" type="sibTrans" cxnId="{ADACD146-FCE0-4525-89A0-6F72564452E4}">
      <dgm:prSet/>
      <dgm:spPr/>
      <dgm:t>
        <a:bodyPr/>
        <a:lstStyle/>
        <a:p>
          <a:endParaRPr lang="en-AU" sz="900"/>
        </a:p>
      </dgm:t>
    </dgm:pt>
    <dgm:pt modelId="{FA9BF121-DAE1-4843-A2A0-5873C7B2A797}" type="pres">
      <dgm:prSet presAssocID="{094D7506-0423-4CE4-B430-A51E720F41E8}" presName="Name0" presStyleCnt="0">
        <dgm:presLayoutVars>
          <dgm:dir/>
          <dgm:animLvl val="lvl"/>
          <dgm:resizeHandles val="exact"/>
        </dgm:presLayoutVars>
      </dgm:prSet>
      <dgm:spPr/>
    </dgm:pt>
    <dgm:pt modelId="{AD11B854-1354-413B-A4BF-54160419E13A}" type="pres">
      <dgm:prSet presAssocID="{EB38E4A7-3B8F-49B0-9FAA-135F46482EC5}" presName="Name8" presStyleCnt="0"/>
      <dgm:spPr/>
    </dgm:pt>
    <dgm:pt modelId="{16D253D5-C27A-4FFE-A325-EF25681FE36D}" type="pres">
      <dgm:prSet presAssocID="{EB38E4A7-3B8F-49B0-9FAA-135F46482EC5}" presName="level" presStyleLbl="node1" presStyleIdx="0" presStyleCnt="4">
        <dgm:presLayoutVars>
          <dgm:chMax val="1"/>
          <dgm:bulletEnabled val="1"/>
        </dgm:presLayoutVars>
      </dgm:prSet>
      <dgm:spPr/>
      <dgm:t>
        <a:bodyPr/>
        <a:lstStyle/>
        <a:p>
          <a:endParaRPr lang="en-AU"/>
        </a:p>
      </dgm:t>
    </dgm:pt>
    <dgm:pt modelId="{4040F88E-3CA2-434C-9634-1B4C22817365}" type="pres">
      <dgm:prSet presAssocID="{EB38E4A7-3B8F-49B0-9FAA-135F46482EC5}" presName="levelTx" presStyleLbl="revTx" presStyleIdx="0" presStyleCnt="0">
        <dgm:presLayoutVars>
          <dgm:chMax val="1"/>
          <dgm:bulletEnabled val="1"/>
        </dgm:presLayoutVars>
      </dgm:prSet>
      <dgm:spPr/>
      <dgm:t>
        <a:bodyPr/>
        <a:lstStyle/>
        <a:p>
          <a:endParaRPr lang="en-AU"/>
        </a:p>
      </dgm:t>
    </dgm:pt>
    <dgm:pt modelId="{DB322931-1955-4F17-9D6C-365BE9DE6959}" type="pres">
      <dgm:prSet presAssocID="{ADEB3E8C-DC8B-4DC1-A393-700D642D61AC}" presName="Name8" presStyleCnt="0"/>
      <dgm:spPr/>
    </dgm:pt>
    <dgm:pt modelId="{A8037835-68F2-43E8-98F8-C42ABCEC7276}" type="pres">
      <dgm:prSet presAssocID="{ADEB3E8C-DC8B-4DC1-A393-700D642D61AC}" presName="level" presStyleLbl="node1" presStyleIdx="1" presStyleCnt="4" custScaleY="82500">
        <dgm:presLayoutVars>
          <dgm:chMax val="1"/>
          <dgm:bulletEnabled val="1"/>
        </dgm:presLayoutVars>
      </dgm:prSet>
      <dgm:spPr/>
      <dgm:t>
        <a:bodyPr/>
        <a:lstStyle/>
        <a:p>
          <a:endParaRPr lang="en-AU"/>
        </a:p>
      </dgm:t>
    </dgm:pt>
    <dgm:pt modelId="{9C933315-DD9C-4C4B-815D-2D474627A527}" type="pres">
      <dgm:prSet presAssocID="{ADEB3E8C-DC8B-4DC1-A393-700D642D61AC}" presName="levelTx" presStyleLbl="revTx" presStyleIdx="0" presStyleCnt="0">
        <dgm:presLayoutVars>
          <dgm:chMax val="1"/>
          <dgm:bulletEnabled val="1"/>
        </dgm:presLayoutVars>
      </dgm:prSet>
      <dgm:spPr/>
      <dgm:t>
        <a:bodyPr/>
        <a:lstStyle/>
        <a:p>
          <a:endParaRPr lang="en-AU"/>
        </a:p>
      </dgm:t>
    </dgm:pt>
    <dgm:pt modelId="{3B21DBBD-39DE-401A-9B1E-AA6569822825}" type="pres">
      <dgm:prSet presAssocID="{A582786A-FD42-46E5-8C4F-2CCADB48F14B}" presName="Name8" presStyleCnt="0"/>
      <dgm:spPr/>
    </dgm:pt>
    <dgm:pt modelId="{42B3AAC3-8C11-407D-AB34-8FE5293A1472}" type="pres">
      <dgm:prSet presAssocID="{A582786A-FD42-46E5-8C4F-2CCADB48F14B}" presName="level" presStyleLbl="node1" presStyleIdx="2" presStyleCnt="4" custScaleY="64626">
        <dgm:presLayoutVars>
          <dgm:chMax val="1"/>
          <dgm:bulletEnabled val="1"/>
        </dgm:presLayoutVars>
      </dgm:prSet>
      <dgm:spPr/>
      <dgm:t>
        <a:bodyPr/>
        <a:lstStyle/>
        <a:p>
          <a:endParaRPr lang="en-AU"/>
        </a:p>
      </dgm:t>
    </dgm:pt>
    <dgm:pt modelId="{CB4EDA96-A383-45B5-A5D1-496337B5A72D}" type="pres">
      <dgm:prSet presAssocID="{A582786A-FD42-46E5-8C4F-2CCADB48F14B}" presName="levelTx" presStyleLbl="revTx" presStyleIdx="0" presStyleCnt="0">
        <dgm:presLayoutVars>
          <dgm:chMax val="1"/>
          <dgm:bulletEnabled val="1"/>
        </dgm:presLayoutVars>
      </dgm:prSet>
      <dgm:spPr/>
      <dgm:t>
        <a:bodyPr/>
        <a:lstStyle/>
        <a:p>
          <a:endParaRPr lang="en-AU"/>
        </a:p>
      </dgm:t>
    </dgm:pt>
    <dgm:pt modelId="{F1801C51-097E-42C1-8ECA-85B5BE4C65F3}" type="pres">
      <dgm:prSet presAssocID="{9EEF9777-5604-47BC-9A38-AFFD1097F62B}" presName="Name8" presStyleCnt="0"/>
      <dgm:spPr/>
    </dgm:pt>
    <dgm:pt modelId="{4B14F542-2050-4A92-A6F8-5A9B9AE5D693}" type="pres">
      <dgm:prSet presAssocID="{9EEF9777-5604-47BC-9A38-AFFD1097F62B}" presName="level" presStyleLbl="node1" presStyleIdx="3" presStyleCnt="4" custScaleY="64366">
        <dgm:presLayoutVars>
          <dgm:chMax val="1"/>
          <dgm:bulletEnabled val="1"/>
        </dgm:presLayoutVars>
      </dgm:prSet>
      <dgm:spPr/>
      <dgm:t>
        <a:bodyPr/>
        <a:lstStyle/>
        <a:p>
          <a:endParaRPr lang="en-AU"/>
        </a:p>
      </dgm:t>
    </dgm:pt>
    <dgm:pt modelId="{C22A6823-211B-4797-94A0-8583E1BEA854}" type="pres">
      <dgm:prSet presAssocID="{9EEF9777-5604-47BC-9A38-AFFD1097F62B}" presName="levelTx" presStyleLbl="revTx" presStyleIdx="0" presStyleCnt="0">
        <dgm:presLayoutVars>
          <dgm:chMax val="1"/>
          <dgm:bulletEnabled val="1"/>
        </dgm:presLayoutVars>
      </dgm:prSet>
      <dgm:spPr/>
      <dgm:t>
        <a:bodyPr/>
        <a:lstStyle/>
        <a:p>
          <a:endParaRPr lang="en-AU"/>
        </a:p>
      </dgm:t>
    </dgm:pt>
  </dgm:ptLst>
  <dgm:cxnLst>
    <dgm:cxn modelId="{A4595C4A-7484-4ECA-B171-BE561FBF6853}" type="presOf" srcId="{094D7506-0423-4CE4-B430-A51E720F41E8}" destId="{FA9BF121-DAE1-4843-A2A0-5873C7B2A797}" srcOrd="0" destOrd="0" presId="urn:microsoft.com/office/officeart/2005/8/layout/pyramid1"/>
    <dgm:cxn modelId="{60D281F1-0535-4963-BAFB-88333EF3FFF6}" type="presOf" srcId="{9EEF9777-5604-47BC-9A38-AFFD1097F62B}" destId="{4B14F542-2050-4A92-A6F8-5A9B9AE5D693}" srcOrd="0" destOrd="0" presId="urn:microsoft.com/office/officeart/2005/8/layout/pyramid1"/>
    <dgm:cxn modelId="{754F5579-3D63-4AB5-B2E7-EC7CDE140F6B}" type="presOf" srcId="{A582786A-FD42-46E5-8C4F-2CCADB48F14B}" destId="{CB4EDA96-A383-45B5-A5D1-496337B5A72D}" srcOrd="1" destOrd="0" presId="urn:microsoft.com/office/officeart/2005/8/layout/pyramid1"/>
    <dgm:cxn modelId="{84B05113-7CE4-41E8-BFD8-9DC1AA0B8081}" srcId="{094D7506-0423-4CE4-B430-A51E720F41E8}" destId="{EB38E4A7-3B8F-49B0-9FAA-135F46482EC5}" srcOrd="0" destOrd="0" parTransId="{DA032860-F47C-4D95-8DEA-5D67976A10D8}" sibTransId="{93785401-3FD6-4040-85B7-0C9E332025B2}"/>
    <dgm:cxn modelId="{DE80F667-5F1B-43EA-B335-C62D6ADE6F5E}" type="presOf" srcId="{ADEB3E8C-DC8B-4DC1-A393-700D642D61AC}" destId="{A8037835-68F2-43E8-98F8-C42ABCEC7276}" srcOrd="0" destOrd="0" presId="urn:microsoft.com/office/officeart/2005/8/layout/pyramid1"/>
    <dgm:cxn modelId="{03B64844-C7BE-4BD7-BA67-7C1397B38D40}" type="presOf" srcId="{A582786A-FD42-46E5-8C4F-2CCADB48F14B}" destId="{42B3AAC3-8C11-407D-AB34-8FE5293A1472}" srcOrd="0" destOrd="0" presId="urn:microsoft.com/office/officeart/2005/8/layout/pyramid1"/>
    <dgm:cxn modelId="{2CAD414B-2F23-44E4-9D75-9AD9D3AED79C}" type="presOf" srcId="{ADEB3E8C-DC8B-4DC1-A393-700D642D61AC}" destId="{9C933315-DD9C-4C4B-815D-2D474627A527}" srcOrd="1" destOrd="0" presId="urn:microsoft.com/office/officeart/2005/8/layout/pyramid1"/>
    <dgm:cxn modelId="{8EC0A57C-FD9C-420B-AA2B-97EE0F81E9E7}" type="presOf" srcId="{EB38E4A7-3B8F-49B0-9FAA-135F46482EC5}" destId="{4040F88E-3CA2-434C-9634-1B4C22817365}" srcOrd="1" destOrd="0" presId="urn:microsoft.com/office/officeart/2005/8/layout/pyramid1"/>
    <dgm:cxn modelId="{951BEDA9-136E-4E82-A0EC-FD74B9259262}" srcId="{094D7506-0423-4CE4-B430-A51E720F41E8}" destId="{ADEB3E8C-DC8B-4DC1-A393-700D642D61AC}" srcOrd="1" destOrd="0" parTransId="{DC05F18F-DA88-4367-A2B4-17AF7B913072}" sibTransId="{3D977807-702D-408F-BA84-C7DA4655160B}"/>
    <dgm:cxn modelId="{3FE3F3F1-CE02-4E29-88F6-BC5E600B7999}" type="presOf" srcId="{EB38E4A7-3B8F-49B0-9FAA-135F46482EC5}" destId="{16D253D5-C27A-4FFE-A325-EF25681FE36D}" srcOrd="0" destOrd="0" presId="urn:microsoft.com/office/officeart/2005/8/layout/pyramid1"/>
    <dgm:cxn modelId="{ADACD146-FCE0-4525-89A0-6F72564452E4}" srcId="{094D7506-0423-4CE4-B430-A51E720F41E8}" destId="{9EEF9777-5604-47BC-9A38-AFFD1097F62B}" srcOrd="3" destOrd="0" parTransId="{17750A5C-DADD-4A12-B19E-36D8EB2B4171}" sibTransId="{B06D3A7C-8619-4D67-981C-53C82CD28A45}"/>
    <dgm:cxn modelId="{8AB90BD0-CC8A-4A00-83F5-FB10CA73FF45}" type="presOf" srcId="{9EEF9777-5604-47BC-9A38-AFFD1097F62B}" destId="{C22A6823-211B-4797-94A0-8583E1BEA854}" srcOrd="1" destOrd="0" presId="urn:microsoft.com/office/officeart/2005/8/layout/pyramid1"/>
    <dgm:cxn modelId="{B9CAA3DD-DF2D-4487-A658-74DDCB0D4287}" srcId="{094D7506-0423-4CE4-B430-A51E720F41E8}" destId="{A582786A-FD42-46E5-8C4F-2CCADB48F14B}" srcOrd="2" destOrd="0" parTransId="{BA5C377D-74D1-404B-836A-D6E0E2392C65}" sibTransId="{F5B123F2-CBBF-4095-9F17-4BE85764B3B0}"/>
    <dgm:cxn modelId="{3D536E29-BA9C-4CB5-94A6-E6C61E803ED3}" type="presParOf" srcId="{FA9BF121-DAE1-4843-A2A0-5873C7B2A797}" destId="{AD11B854-1354-413B-A4BF-54160419E13A}" srcOrd="0" destOrd="0" presId="urn:microsoft.com/office/officeart/2005/8/layout/pyramid1"/>
    <dgm:cxn modelId="{842813B2-0400-45A9-9D58-C5FB0EC938F9}" type="presParOf" srcId="{AD11B854-1354-413B-A4BF-54160419E13A}" destId="{16D253D5-C27A-4FFE-A325-EF25681FE36D}" srcOrd="0" destOrd="0" presId="urn:microsoft.com/office/officeart/2005/8/layout/pyramid1"/>
    <dgm:cxn modelId="{B0301CA6-3711-49F2-8D68-D645D79E48F4}" type="presParOf" srcId="{AD11B854-1354-413B-A4BF-54160419E13A}" destId="{4040F88E-3CA2-434C-9634-1B4C22817365}" srcOrd="1" destOrd="0" presId="urn:microsoft.com/office/officeart/2005/8/layout/pyramid1"/>
    <dgm:cxn modelId="{BA5E696B-3C79-4FDC-8E81-82A77D4F60D6}" type="presParOf" srcId="{FA9BF121-DAE1-4843-A2A0-5873C7B2A797}" destId="{DB322931-1955-4F17-9D6C-365BE9DE6959}" srcOrd="1" destOrd="0" presId="urn:microsoft.com/office/officeart/2005/8/layout/pyramid1"/>
    <dgm:cxn modelId="{BFB7CDE2-F12B-49E9-99A6-57EF9145A7DD}" type="presParOf" srcId="{DB322931-1955-4F17-9D6C-365BE9DE6959}" destId="{A8037835-68F2-43E8-98F8-C42ABCEC7276}" srcOrd="0" destOrd="0" presId="urn:microsoft.com/office/officeart/2005/8/layout/pyramid1"/>
    <dgm:cxn modelId="{133A316A-E79F-472C-80AA-60DF1C2D64B7}" type="presParOf" srcId="{DB322931-1955-4F17-9D6C-365BE9DE6959}" destId="{9C933315-DD9C-4C4B-815D-2D474627A527}" srcOrd="1" destOrd="0" presId="urn:microsoft.com/office/officeart/2005/8/layout/pyramid1"/>
    <dgm:cxn modelId="{2EE51961-849C-4ABB-8F19-B1E0CCB06591}" type="presParOf" srcId="{FA9BF121-DAE1-4843-A2A0-5873C7B2A797}" destId="{3B21DBBD-39DE-401A-9B1E-AA6569822825}" srcOrd="2" destOrd="0" presId="urn:microsoft.com/office/officeart/2005/8/layout/pyramid1"/>
    <dgm:cxn modelId="{BA8B4BF8-FC65-4336-863D-670BD1ABAEC5}" type="presParOf" srcId="{3B21DBBD-39DE-401A-9B1E-AA6569822825}" destId="{42B3AAC3-8C11-407D-AB34-8FE5293A1472}" srcOrd="0" destOrd="0" presId="urn:microsoft.com/office/officeart/2005/8/layout/pyramid1"/>
    <dgm:cxn modelId="{EC7155DC-F98F-42D5-91A7-E9DC8573F0B6}" type="presParOf" srcId="{3B21DBBD-39DE-401A-9B1E-AA6569822825}" destId="{CB4EDA96-A383-45B5-A5D1-496337B5A72D}" srcOrd="1" destOrd="0" presId="urn:microsoft.com/office/officeart/2005/8/layout/pyramid1"/>
    <dgm:cxn modelId="{EF6D680C-E35B-4325-8287-9372DD94E133}" type="presParOf" srcId="{FA9BF121-DAE1-4843-A2A0-5873C7B2A797}" destId="{F1801C51-097E-42C1-8ECA-85B5BE4C65F3}" srcOrd="3" destOrd="0" presId="urn:microsoft.com/office/officeart/2005/8/layout/pyramid1"/>
    <dgm:cxn modelId="{AD5B125A-D0C1-48B4-BA97-38DE98275CE7}" type="presParOf" srcId="{F1801C51-097E-42C1-8ECA-85B5BE4C65F3}" destId="{4B14F542-2050-4A92-A6F8-5A9B9AE5D693}" srcOrd="0" destOrd="0" presId="urn:microsoft.com/office/officeart/2005/8/layout/pyramid1"/>
    <dgm:cxn modelId="{C568C6E2-3126-45A8-A1F1-44CAAD752E26}" type="presParOf" srcId="{F1801C51-097E-42C1-8ECA-85B5BE4C65F3}" destId="{C22A6823-211B-4797-94A0-8583E1BEA854}" srcOrd="1" destOrd="0" presId="urn:microsoft.com/office/officeart/2005/8/layout/pyramid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DF5D97-5E42-4B1A-9140-540F46627DC7}" type="doc">
      <dgm:prSet loTypeId="urn:microsoft.com/office/officeart/2005/8/layout/hProcess9" loCatId="process" qsTypeId="urn:microsoft.com/office/officeart/2005/8/quickstyle/simple1" qsCatId="simple" csTypeId="urn:microsoft.com/office/officeart/2005/8/colors/accent1_2" csCatId="accent1" phldr="1"/>
      <dgm:spPr/>
    </dgm:pt>
    <dgm:pt modelId="{959E258E-62DA-44BF-8156-F0BD03B73DA2}">
      <dgm:prSet phldrT="[Text]"/>
      <dgm:spPr>
        <a:xfrm>
          <a:off x="1172" y="382905"/>
          <a:ext cx="1291149" cy="5105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First Aid</a:t>
          </a:r>
        </a:p>
      </dgm:t>
    </dgm:pt>
    <dgm:pt modelId="{983A3465-3442-4CB7-B045-CF59E3A88B2F}" type="parTrans" cxnId="{DBA4D6CC-E210-4C16-AA9A-E048C2360345}">
      <dgm:prSet/>
      <dgm:spPr/>
      <dgm:t>
        <a:bodyPr/>
        <a:lstStyle/>
        <a:p>
          <a:endParaRPr lang="en-AU"/>
        </a:p>
      </dgm:t>
    </dgm:pt>
    <dgm:pt modelId="{7B486ACD-A5C5-41A9-9911-341DAFB33404}" type="sibTrans" cxnId="{DBA4D6CC-E210-4C16-AA9A-E048C2360345}">
      <dgm:prSet/>
      <dgm:spPr/>
      <dgm:t>
        <a:bodyPr/>
        <a:lstStyle/>
        <a:p>
          <a:endParaRPr lang="en-AU"/>
        </a:p>
      </dgm:t>
    </dgm:pt>
    <dgm:pt modelId="{DEB9B599-DE8E-4044-9C74-BDFA66F14FA2}">
      <dgm:prSet phldrT="[Text]"/>
      <dgm:spPr>
        <a:xfrm>
          <a:off x="1398807" y="382905"/>
          <a:ext cx="1291149" cy="5105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Medical treatement</a:t>
          </a:r>
        </a:p>
      </dgm:t>
    </dgm:pt>
    <dgm:pt modelId="{C5F59611-E2C7-4245-8992-4284CA0663C1}" type="parTrans" cxnId="{79253BE8-FBC8-40CB-B956-15A268A3F3E6}">
      <dgm:prSet/>
      <dgm:spPr/>
      <dgm:t>
        <a:bodyPr/>
        <a:lstStyle/>
        <a:p>
          <a:endParaRPr lang="en-AU"/>
        </a:p>
      </dgm:t>
    </dgm:pt>
    <dgm:pt modelId="{53611641-63BC-4A46-B917-138295FF1899}" type="sibTrans" cxnId="{79253BE8-FBC8-40CB-B956-15A268A3F3E6}">
      <dgm:prSet/>
      <dgm:spPr/>
      <dgm:t>
        <a:bodyPr/>
        <a:lstStyle/>
        <a:p>
          <a:endParaRPr lang="en-AU"/>
        </a:p>
      </dgm:t>
    </dgm:pt>
    <dgm:pt modelId="{1DDD7B79-FDD6-4116-B63C-CD5E26EC3C71}">
      <dgm:prSet phldrT="[Text]"/>
      <dgm:spPr>
        <a:xfrm>
          <a:off x="2796443" y="382905"/>
          <a:ext cx="1291149" cy="5105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Lost time injury</a:t>
          </a:r>
        </a:p>
      </dgm:t>
    </dgm:pt>
    <dgm:pt modelId="{AB709F18-8ACB-4309-A2B5-D4AC21258332}" type="parTrans" cxnId="{2CBE8B9B-72EC-43E9-A99A-A2AB94B9B0FA}">
      <dgm:prSet/>
      <dgm:spPr/>
      <dgm:t>
        <a:bodyPr/>
        <a:lstStyle/>
        <a:p>
          <a:endParaRPr lang="en-AU"/>
        </a:p>
      </dgm:t>
    </dgm:pt>
    <dgm:pt modelId="{50557C24-DF12-4909-B511-D99B05A25B9E}" type="sibTrans" cxnId="{2CBE8B9B-72EC-43E9-A99A-A2AB94B9B0FA}">
      <dgm:prSet/>
      <dgm:spPr/>
      <dgm:t>
        <a:bodyPr/>
        <a:lstStyle/>
        <a:p>
          <a:endParaRPr lang="en-AU"/>
        </a:p>
      </dgm:t>
    </dgm:pt>
    <dgm:pt modelId="{2695E551-6A6A-461D-B20A-C916BA43BEFD}">
      <dgm:prSet/>
      <dgm:spPr>
        <a:xfrm>
          <a:off x="4194078" y="382905"/>
          <a:ext cx="1291149" cy="5105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a:solidFill>
                <a:sysClr val="window" lastClr="FFFFFF"/>
              </a:solidFill>
              <a:latin typeface="Calibri"/>
              <a:ea typeface="+mn-ea"/>
              <a:cs typeface="+mn-cs"/>
            </a:rPr>
            <a:t>Fatality</a:t>
          </a:r>
        </a:p>
      </dgm:t>
    </dgm:pt>
    <dgm:pt modelId="{0D457565-DCB7-40AD-9C37-A8DE16C1C0B1}" type="parTrans" cxnId="{4A1A077E-2C04-4A78-9C5B-C34D11BFF0F7}">
      <dgm:prSet/>
      <dgm:spPr/>
      <dgm:t>
        <a:bodyPr/>
        <a:lstStyle/>
        <a:p>
          <a:endParaRPr lang="en-AU"/>
        </a:p>
      </dgm:t>
    </dgm:pt>
    <dgm:pt modelId="{5CC71ECE-7E79-40AD-ABD5-BD980570AD72}" type="sibTrans" cxnId="{4A1A077E-2C04-4A78-9C5B-C34D11BFF0F7}">
      <dgm:prSet/>
      <dgm:spPr/>
      <dgm:t>
        <a:bodyPr/>
        <a:lstStyle/>
        <a:p>
          <a:endParaRPr lang="en-AU"/>
        </a:p>
      </dgm:t>
    </dgm:pt>
    <dgm:pt modelId="{09AC3BDB-ECAC-444F-B7ED-F6D35617DD6C}" type="pres">
      <dgm:prSet presAssocID="{D9DF5D97-5E42-4B1A-9140-540F46627DC7}" presName="CompostProcess" presStyleCnt="0">
        <dgm:presLayoutVars>
          <dgm:dir/>
          <dgm:resizeHandles val="exact"/>
        </dgm:presLayoutVars>
      </dgm:prSet>
      <dgm:spPr/>
    </dgm:pt>
    <dgm:pt modelId="{929C63E3-B76E-432B-8E5F-0562FE115C90}" type="pres">
      <dgm:prSet presAssocID="{D9DF5D97-5E42-4B1A-9140-540F46627DC7}" presName="arrow" presStyleLbl="bgShp" presStyleIdx="0" presStyleCnt="1"/>
      <dgm:spPr>
        <a:xfrm>
          <a:off x="411479" y="0"/>
          <a:ext cx="4663440" cy="1276349"/>
        </a:xfrm>
        <a:prstGeom prst="rightArrow">
          <a:avLst/>
        </a:prstGeom>
        <a:solidFill>
          <a:srgbClr val="C0504D">
            <a:lumMod val="20000"/>
            <a:lumOff val="80000"/>
          </a:srgbClr>
        </a:solidFill>
        <a:ln>
          <a:noFill/>
        </a:ln>
        <a:effectLst/>
      </dgm:spPr>
    </dgm:pt>
    <dgm:pt modelId="{5929E946-4E85-4626-AE52-1561B357E212}" type="pres">
      <dgm:prSet presAssocID="{D9DF5D97-5E42-4B1A-9140-540F46627DC7}" presName="linearProcess" presStyleCnt="0"/>
      <dgm:spPr/>
    </dgm:pt>
    <dgm:pt modelId="{F4F65AA1-B8B0-43B8-B5BE-9A5A13A7C8FC}" type="pres">
      <dgm:prSet presAssocID="{959E258E-62DA-44BF-8156-F0BD03B73DA2}" presName="textNode" presStyleLbl="node1" presStyleIdx="0" presStyleCnt="4">
        <dgm:presLayoutVars>
          <dgm:bulletEnabled val="1"/>
        </dgm:presLayoutVars>
      </dgm:prSet>
      <dgm:spPr>
        <a:prstGeom prst="roundRect">
          <a:avLst/>
        </a:prstGeom>
      </dgm:spPr>
      <dgm:t>
        <a:bodyPr/>
        <a:lstStyle/>
        <a:p>
          <a:endParaRPr lang="en-AU"/>
        </a:p>
      </dgm:t>
    </dgm:pt>
    <dgm:pt modelId="{7F9342E8-96C6-4F91-A17C-5AA87CB1F170}" type="pres">
      <dgm:prSet presAssocID="{7B486ACD-A5C5-41A9-9911-341DAFB33404}" presName="sibTrans" presStyleCnt="0"/>
      <dgm:spPr/>
    </dgm:pt>
    <dgm:pt modelId="{576C7763-641C-4245-9E62-0F8041CF8639}" type="pres">
      <dgm:prSet presAssocID="{DEB9B599-DE8E-4044-9C74-BDFA66F14FA2}" presName="textNode" presStyleLbl="node1" presStyleIdx="1" presStyleCnt="4">
        <dgm:presLayoutVars>
          <dgm:bulletEnabled val="1"/>
        </dgm:presLayoutVars>
      </dgm:prSet>
      <dgm:spPr>
        <a:prstGeom prst="roundRect">
          <a:avLst/>
        </a:prstGeom>
      </dgm:spPr>
      <dgm:t>
        <a:bodyPr/>
        <a:lstStyle/>
        <a:p>
          <a:endParaRPr lang="en-AU"/>
        </a:p>
      </dgm:t>
    </dgm:pt>
    <dgm:pt modelId="{2D52B020-6385-4A28-94F3-4AF7D05AF95F}" type="pres">
      <dgm:prSet presAssocID="{53611641-63BC-4A46-B917-138295FF1899}" presName="sibTrans" presStyleCnt="0"/>
      <dgm:spPr/>
    </dgm:pt>
    <dgm:pt modelId="{7C51FD6D-3793-4F4E-A2CD-1EDE10F63FB2}" type="pres">
      <dgm:prSet presAssocID="{1DDD7B79-FDD6-4116-B63C-CD5E26EC3C71}" presName="textNode" presStyleLbl="node1" presStyleIdx="2" presStyleCnt="4">
        <dgm:presLayoutVars>
          <dgm:bulletEnabled val="1"/>
        </dgm:presLayoutVars>
      </dgm:prSet>
      <dgm:spPr>
        <a:prstGeom prst="roundRect">
          <a:avLst/>
        </a:prstGeom>
      </dgm:spPr>
      <dgm:t>
        <a:bodyPr/>
        <a:lstStyle/>
        <a:p>
          <a:endParaRPr lang="en-AU"/>
        </a:p>
      </dgm:t>
    </dgm:pt>
    <dgm:pt modelId="{A7C6F1AB-9001-45D6-B0BE-97745393AE1E}" type="pres">
      <dgm:prSet presAssocID="{50557C24-DF12-4909-B511-D99B05A25B9E}" presName="sibTrans" presStyleCnt="0"/>
      <dgm:spPr/>
    </dgm:pt>
    <dgm:pt modelId="{613726FE-2B38-4F70-A4A6-F9764EB900FA}" type="pres">
      <dgm:prSet presAssocID="{2695E551-6A6A-461D-B20A-C916BA43BEFD}" presName="textNode" presStyleLbl="node1" presStyleIdx="3" presStyleCnt="4">
        <dgm:presLayoutVars>
          <dgm:bulletEnabled val="1"/>
        </dgm:presLayoutVars>
      </dgm:prSet>
      <dgm:spPr>
        <a:prstGeom prst="roundRect">
          <a:avLst/>
        </a:prstGeom>
      </dgm:spPr>
      <dgm:t>
        <a:bodyPr/>
        <a:lstStyle/>
        <a:p>
          <a:endParaRPr lang="en-AU"/>
        </a:p>
      </dgm:t>
    </dgm:pt>
  </dgm:ptLst>
  <dgm:cxnLst>
    <dgm:cxn modelId="{335112D0-61B0-4BB5-ABC2-AB2EAF0865D6}" type="presOf" srcId="{959E258E-62DA-44BF-8156-F0BD03B73DA2}" destId="{F4F65AA1-B8B0-43B8-B5BE-9A5A13A7C8FC}" srcOrd="0" destOrd="0" presId="urn:microsoft.com/office/officeart/2005/8/layout/hProcess9"/>
    <dgm:cxn modelId="{7DA30390-5B39-4E23-AAF2-54D212D38375}" type="presOf" srcId="{1DDD7B79-FDD6-4116-B63C-CD5E26EC3C71}" destId="{7C51FD6D-3793-4F4E-A2CD-1EDE10F63FB2}" srcOrd="0" destOrd="0" presId="urn:microsoft.com/office/officeart/2005/8/layout/hProcess9"/>
    <dgm:cxn modelId="{4A1A077E-2C04-4A78-9C5B-C34D11BFF0F7}" srcId="{D9DF5D97-5E42-4B1A-9140-540F46627DC7}" destId="{2695E551-6A6A-461D-B20A-C916BA43BEFD}" srcOrd="3" destOrd="0" parTransId="{0D457565-DCB7-40AD-9C37-A8DE16C1C0B1}" sibTransId="{5CC71ECE-7E79-40AD-ABD5-BD980570AD72}"/>
    <dgm:cxn modelId="{DBA4D6CC-E210-4C16-AA9A-E048C2360345}" srcId="{D9DF5D97-5E42-4B1A-9140-540F46627DC7}" destId="{959E258E-62DA-44BF-8156-F0BD03B73DA2}" srcOrd="0" destOrd="0" parTransId="{983A3465-3442-4CB7-B045-CF59E3A88B2F}" sibTransId="{7B486ACD-A5C5-41A9-9911-341DAFB33404}"/>
    <dgm:cxn modelId="{E7B53D3F-7C32-4CA0-AFFB-12CA4D9B039E}" type="presOf" srcId="{DEB9B599-DE8E-4044-9C74-BDFA66F14FA2}" destId="{576C7763-641C-4245-9E62-0F8041CF8639}" srcOrd="0" destOrd="0" presId="urn:microsoft.com/office/officeart/2005/8/layout/hProcess9"/>
    <dgm:cxn modelId="{79253BE8-FBC8-40CB-B956-15A268A3F3E6}" srcId="{D9DF5D97-5E42-4B1A-9140-540F46627DC7}" destId="{DEB9B599-DE8E-4044-9C74-BDFA66F14FA2}" srcOrd="1" destOrd="0" parTransId="{C5F59611-E2C7-4245-8992-4284CA0663C1}" sibTransId="{53611641-63BC-4A46-B917-138295FF1899}"/>
    <dgm:cxn modelId="{2CBE8B9B-72EC-43E9-A99A-A2AB94B9B0FA}" srcId="{D9DF5D97-5E42-4B1A-9140-540F46627DC7}" destId="{1DDD7B79-FDD6-4116-B63C-CD5E26EC3C71}" srcOrd="2" destOrd="0" parTransId="{AB709F18-8ACB-4309-A2B5-D4AC21258332}" sibTransId="{50557C24-DF12-4909-B511-D99B05A25B9E}"/>
    <dgm:cxn modelId="{CFBF81C3-8195-4635-A5ED-2B6374ADE0EB}" type="presOf" srcId="{2695E551-6A6A-461D-B20A-C916BA43BEFD}" destId="{613726FE-2B38-4F70-A4A6-F9764EB900FA}" srcOrd="0" destOrd="0" presId="urn:microsoft.com/office/officeart/2005/8/layout/hProcess9"/>
    <dgm:cxn modelId="{640F9502-4A3E-4101-9857-5F0A3574EEAE}" type="presOf" srcId="{D9DF5D97-5E42-4B1A-9140-540F46627DC7}" destId="{09AC3BDB-ECAC-444F-B7ED-F6D35617DD6C}" srcOrd="0" destOrd="0" presId="urn:microsoft.com/office/officeart/2005/8/layout/hProcess9"/>
    <dgm:cxn modelId="{6D0DDD6B-0F20-43F9-8B96-C102B2B0B862}" type="presParOf" srcId="{09AC3BDB-ECAC-444F-B7ED-F6D35617DD6C}" destId="{929C63E3-B76E-432B-8E5F-0562FE115C90}" srcOrd="0" destOrd="0" presId="urn:microsoft.com/office/officeart/2005/8/layout/hProcess9"/>
    <dgm:cxn modelId="{FE357409-FC55-4DFA-B5E4-661B5B9FC84E}" type="presParOf" srcId="{09AC3BDB-ECAC-444F-B7ED-F6D35617DD6C}" destId="{5929E946-4E85-4626-AE52-1561B357E212}" srcOrd="1" destOrd="0" presId="urn:microsoft.com/office/officeart/2005/8/layout/hProcess9"/>
    <dgm:cxn modelId="{D97C1B33-E351-4D96-BFCE-F51750E4BC70}" type="presParOf" srcId="{5929E946-4E85-4626-AE52-1561B357E212}" destId="{F4F65AA1-B8B0-43B8-B5BE-9A5A13A7C8FC}" srcOrd="0" destOrd="0" presId="urn:microsoft.com/office/officeart/2005/8/layout/hProcess9"/>
    <dgm:cxn modelId="{5048D54D-68B3-44B7-9BC1-87AB2D587837}" type="presParOf" srcId="{5929E946-4E85-4626-AE52-1561B357E212}" destId="{7F9342E8-96C6-4F91-A17C-5AA87CB1F170}" srcOrd="1" destOrd="0" presId="urn:microsoft.com/office/officeart/2005/8/layout/hProcess9"/>
    <dgm:cxn modelId="{CCE9C241-EF68-478E-A98A-866451AE1FEF}" type="presParOf" srcId="{5929E946-4E85-4626-AE52-1561B357E212}" destId="{576C7763-641C-4245-9E62-0F8041CF8639}" srcOrd="2" destOrd="0" presId="urn:microsoft.com/office/officeart/2005/8/layout/hProcess9"/>
    <dgm:cxn modelId="{26C261D1-C66D-428C-B7E6-5214CFC5C114}" type="presParOf" srcId="{5929E946-4E85-4626-AE52-1561B357E212}" destId="{2D52B020-6385-4A28-94F3-4AF7D05AF95F}" srcOrd="3" destOrd="0" presId="urn:microsoft.com/office/officeart/2005/8/layout/hProcess9"/>
    <dgm:cxn modelId="{2975896B-6563-46A3-B463-C0DAFD9F9C60}" type="presParOf" srcId="{5929E946-4E85-4626-AE52-1561B357E212}" destId="{7C51FD6D-3793-4F4E-A2CD-1EDE10F63FB2}" srcOrd="4" destOrd="0" presId="urn:microsoft.com/office/officeart/2005/8/layout/hProcess9"/>
    <dgm:cxn modelId="{F55ACA0F-A82B-4ADC-97F8-6FC93244056F}" type="presParOf" srcId="{5929E946-4E85-4626-AE52-1561B357E212}" destId="{A7C6F1AB-9001-45D6-B0BE-97745393AE1E}" srcOrd="5" destOrd="0" presId="urn:microsoft.com/office/officeart/2005/8/layout/hProcess9"/>
    <dgm:cxn modelId="{B31D5085-F127-44A9-B228-BBD3F872F565}" type="presParOf" srcId="{5929E946-4E85-4626-AE52-1561B357E212}" destId="{613726FE-2B38-4F70-A4A6-F9764EB900FA}" srcOrd="6" destOrd="0" presId="urn:microsoft.com/office/officeart/2005/8/layout/hProcess9"/>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52ECE2E-C64A-4112-8622-A4F8899F55EC}" type="doc">
      <dgm:prSet loTypeId="urn:microsoft.com/office/officeart/2005/8/layout/pyramid1" loCatId="pyramid" qsTypeId="urn:microsoft.com/office/officeart/2005/8/quickstyle/simple1" qsCatId="simple" csTypeId="urn:microsoft.com/office/officeart/2005/8/colors/accent1_2" csCatId="accent1" phldr="1"/>
      <dgm:spPr>
        <a:scene3d>
          <a:camera prst="orthographicFront">
            <a:rot lat="0" lon="0" rev="0"/>
          </a:camera>
          <a:lightRig rig="balanced" dir="t">
            <a:rot lat="0" lon="0" rev="8700000"/>
          </a:lightRig>
        </a:scene3d>
      </dgm:spPr>
    </dgm:pt>
    <dgm:pt modelId="{5353600E-8144-4290-80A7-AAB93D50A496}">
      <dgm:prSet phldrT="[Text]" custT="1"/>
      <dgm:spPr>
        <a:solidFill>
          <a:schemeClr val="tx1"/>
        </a:solidFill>
        <a:ln>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endParaRPr lang="en-AU" sz="900">
            <a:solidFill>
              <a:schemeClr val="bg1"/>
            </a:solidFill>
          </a:endParaRPr>
        </a:p>
        <a:p>
          <a:r>
            <a:rPr lang="en-AU" sz="900">
              <a:solidFill>
                <a:schemeClr val="bg1"/>
              </a:solidFill>
            </a:rPr>
            <a:t>Fatality</a:t>
          </a:r>
        </a:p>
      </dgm:t>
    </dgm:pt>
    <dgm:pt modelId="{34AF3C28-A5E2-4AAA-9F38-3BC36F4E026C}" type="parTrans" cxnId="{1D411D70-2552-4EDC-9AC8-D925E302E182}">
      <dgm:prSet/>
      <dgm:spPr/>
      <dgm:t>
        <a:bodyPr/>
        <a:lstStyle/>
        <a:p>
          <a:endParaRPr lang="en-AU" sz="900"/>
        </a:p>
      </dgm:t>
    </dgm:pt>
    <dgm:pt modelId="{BBA62D21-50DC-4504-AD5A-2589D9F08044}" type="sibTrans" cxnId="{1D411D70-2552-4EDC-9AC8-D925E302E182}">
      <dgm:prSet/>
      <dgm:spPr/>
      <dgm:t>
        <a:bodyPr/>
        <a:lstStyle/>
        <a:p>
          <a:endParaRPr lang="en-AU" sz="900"/>
        </a:p>
      </dgm:t>
    </dgm:pt>
    <dgm:pt modelId="{0C0130E8-D6DF-49FC-AED6-2EC80F6FC4CA}">
      <dgm:prSet phldrT="[Text]" custT="1"/>
      <dgm:spPr>
        <a:solidFill>
          <a:schemeClr val="accent2">
            <a:lumMod val="75000"/>
          </a:schemeClr>
        </a:solidFill>
        <a:ln>
          <a:solidFill>
            <a:schemeClr val="accent2">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AU" sz="900">
              <a:solidFill>
                <a:schemeClr val="bg1"/>
              </a:solidFill>
            </a:rPr>
            <a:t>Total Permanent disability</a:t>
          </a:r>
        </a:p>
      </dgm:t>
    </dgm:pt>
    <dgm:pt modelId="{C3D2B387-2D08-40FE-B569-1C9E758B74DB}" type="parTrans" cxnId="{32ECCA7E-DEFF-45F4-9ECD-7810E80CEF37}">
      <dgm:prSet/>
      <dgm:spPr/>
      <dgm:t>
        <a:bodyPr/>
        <a:lstStyle/>
        <a:p>
          <a:endParaRPr lang="en-AU" sz="900"/>
        </a:p>
      </dgm:t>
    </dgm:pt>
    <dgm:pt modelId="{6709F0CC-8A06-404C-9503-9B0CB8451622}" type="sibTrans" cxnId="{32ECCA7E-DEFF-45F4-9ECD-7810E80CEF37}">
      <dgm:prSet/>
      <dgm:spPr/>
      <dgm:t>
        <a:bodyPr/>
        <a:lstStyle/>
        <a:p>
          <a:endParaRPr lang="en-AU" sz="900"/>
        </a:p>
      </dgm:t>
    </dgm:pt>
    <dgm:pt modelId="{39D12762-CA54-4C7D-AECD-7BEC52D10165}">
      <dgm:prSet phldrT="[Text]" custT="1"/>
      <dgm:spPr>
        <a:solidFill>
          <a:schemeClr val="accent2">
            <a:lumMod val="75000"/>
          </a:schemeClr>
        </a:solidFill>
        <a:ln>
          <a:solidFill>
            <a:schemeClr val="accent2">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AU" sz="900">
              <a:solidFill>
                <a:schemeClr val="bg1"/>
              </a:solidFill>
            </a:rPr>
            <a:t>Partial permanent disability</a:t>
          </a:r>
        </a:p>
      </dgm:t>
    </dgm:pt>
    <dgm:pt modelId="{3DA53B86-5083-4050-943B-7D2CE2789CDD}" type="parTrans" cxnId="{B1414450-5B3E-495B-A411-9339FD61C80B}">
      <dgm:prSet/>
      <dgm:spPr/>
      <dgm:t>
        <a:bodyPr/>
        <a:lstStyle/>
        <a:p>
          <a:endParaRPr lang="en-AU" sz="900"/>
        </a:p>
      </dgm:t>
    </dgm:pt>
    <dgm:pt modelId="{3FD60DFD-4E33-4547-8547-73A3F575602E}" type="sibTrans" cxnId="{B1414450-5B3E-495B-A411-9339FD61C80B}">
      <dgm:prSet/>
      <dgm:spPr/>
      <dgm:t>
        <a:bodyPr/>
        <a:lstStyle/>
        <a:p>
          <a:endParaRPr lang="en-AU" sz="900"/>
        </a:p>
      </dgm:t>
    </dgm:pt>
    <dgm:pt modelId="{7A9CD166-7764-440E-A9C6-B7EF409D9A84}">
      <dgm:prSet custT="1"/>
      <dgm:spPr>
        <a:solidFill>
          <a:schemeClr val="accent2">
            <a:lumMod val="75000"/>
          </a:schemeClr>
        </a:solidFill>
        <a:ln>
          <a:solidFill>
            <a:schemeClr val="accent2">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AU" sz="900">
              <a:solidFill>
                <a:schemeClr val="bg1"/>
              </a:solidFill>
            </a:rPr>
            <a:t>Long term temporary work absence</a:t>
          </a:r>
        </a:p>
      </dgm:t>
    </dgm:pt>
    <dgm:pt modelId="{818E8B8E-2936-488F-8DE9-646D0F37F4AE}" type="parTrans" cxnId="{0328D62B-B14B-4C9F-84E0-7147C1C2C6CD}">
      <dgm:prSet/>
      <dgm:spPr/>
      <dgm:t>
        <a:bodyPr/>
        <a:lstStyle/>
        <a:p>
          <a:endParaRPr lang="en-AU" sz="900"/>
        </a:p>
      </dgm:t>
    </dgm:pt>
    <dgm:pt modelId="{4F773246-BC7B-4965-96EC-ABA73BB43146}" type="sibTrans" cxnId="{0328D62B-B14B-4C9F-84E0-7147C1C2C6CD}">
      <dgm:prSet/>
      <dgm:spPr/>
      <dgm:t>
        <a:bodyPr/>
        <a:lstStyle/>
        <a:p>
          <a:endParaRPr lang="en-AU" sz="900"/>
        </a:p>
      </dgm:t>
    </dgm:pt>
    <dgm:pt modelId="{900C11F9-E095-4F0F-B68D-C30EBA896A0F}">
      <dgm:prSet custT="1"/>
      <dgm:spPr>
        <a:solidFill>
          <a:schemeClr val="accent2">
            <a:lumMod val="75000"/>
          </a:schemeClr>
        </a:solidFill>
        <a:ln>
          <a:solidFill>
            <a:schemeClr val="accent2">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AU" sz="900">
              <a:solidFill>
                <a:schemeClr val="bg1"/>
              </a:solidFill>
            </a:rPr>
            <a:t>Moderate temporary      work absence</a:t>
          </a:r>
          <a:endParaRPr lang="en-AU" sz="900" i="1">
            <a:solidFill>
              <a:schemeClr val="bg1"/>
            </a:solidFill>
          </a:endParaRPr>
        </a:p>
      </dgm:t>
    </dgm:pt>
    <dgm:pt modelId="{3ABB0FE0-8B44-4704-9A4D-1D48AB25FA05}" type="parTrans" cxnId="{7570D956-02B0-4E5C-B347-0C8E8DC49A43}">
      <dgm:prSet/>
      <dgm:spPr/>
      <dgm:t>
        <a:bodyPr/>
        <a:lstStyle/>
        <a:p>
          <a:endParaRPr lang="en-AU" sz="900"/>
        </a:p>
      </dgm:t>
    </dgm:pt>
    <dgm:pt modelId="{4C46998B-679B-4003-A1C5-D3DDF62E2B8A}" type="sibTrans" cxnId="{7570D956-02B0-4E5C-B347-0C8E8DC49A43}">
      <dgm:prSet/>
      <dgm:spPr/>
      <dgm:t>
        <a:bodyPr/>
        <a:lstStyle/>
        <a:p>
          <a:endParaRPr lang="en-AU" sz="900"/>
        </a:p>
      </dgm:t>
    </dgm:pt>
    <dgm:pt modelId="{B796E0A0-8C20-4689-B3C1-ED3762538996}">
      <dgm:prSet custT="1"/>
      <dgm:spPr>
        <a:solidFill>
          <a:schemeClr val="accent2">
            <a:lumMod val="75000"/>
          </a:schemeClr>
        </a:solidFill>
        <a:ln>
          <a:solidFill>
            <a:schemeClr val="accent2">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AU" sz="900">
              <a:solidFill>
                <a:schemeClr val="bg1"/>
              </a:solidFill>
            </a:rPr>
            <a:t>Short term temporary                work absence</a:t>
          </a:r>
        </a:p>
      </dgm:t>
    </dgm:pt>
    <dgm:pt modelId="{1F77E8BF-A3CF-4903-B7A5-47BEDBFDE7D6}" type="parTrans" cxnId="{847A3A83-671D-4A7C-885E-28B0EB775DED}">
      <dgm:prSet/>
      <dgm:spPr/>
      <dgm:t>
        <a:bodyPr/>
        <a:lstStyle/>
        <a:p>
          <a:endParaRPr lang="en-AU" sz="900"/>
        </a:p>
      </dgm:t>
    </dgm:pt>
    <dgm:pt modelId="{2A0A9B27-39E9-4880-8D75-D446CA05687A}" type="sibTrans" cxnId="{847A3A83-671D-4A7C-885E-28B0EB775DED}">
      <dgm:prSet/>
      <dgm:spPr/>
      <dgm:t>
        <a:bodyPr/>
        <a:lstStyle/>
        <a:p>
          <a:endParaRPr lang="en-AU" sz="900"/>
        </a:p>
      </dgm:t>
    </dgm:pt>
    <dgm:pt modelId="{C3F3A857-E3CD-48A1-9D33-46C03EFB6703}">
      <dgm:prSet custT="1"/>
      <dgm:spPr>
        <a:solidFill>
          <a:schemeClr val="accent2">
            <a:lumMod val="60000"/>
            <a:lumOff val="40000"/>
          </a:schemeClr>
        </a:solidFill>
        <a:ln>
          <a:solidFill>
            <a:schemeClr val="accent2">
              <a:lumMod val="60000"/>
              <a:lumOff val="40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AU" sz="900"/>
            <a:t>Restricted / modified duty injury</a:t>
          </a:r>
        </a:p>
      </dgm:t>
    </dgm:pt>
    <dgm:pt modelId="{A37F30BC-71F5-4155-9A6A-3DBDAFFB7BD3}" type="parTrans" cxnId="{4C6F2083-5B4C-4645-A0D4-7817305D4F13}">
      <dgm:prSet/>
      <dgm:spPr/>
      <dgm:t>
        <a:bodyPr/>
        <a:lstStyle/>
        <a:p>
          <a:endParaRPr lang="en-AU" sz="900"/>
        </a:p>
      </dgm:t>
    </dgm:pt>
    <dgm:pt modelId="{3A9AE22B-8844-48C1-840D-07D17EE93E0D}" type="sibTrans" cxnId="{4C6F2083-5B4C-4645-A0D4-7817305D4F13}">
      <dgm:prSet/>
      <dgm:spPr/>
      <dgm:t>
        <a:bodyPr/>
        <a:lstStyle/>
        <a:p>
          <a:endParaRPr lang="en-AU" sz="900"/>
        </a:p>
      </dgm:t>
    </dgm:pt>
    <dgm:pt modelId="{551465C1-97BB-40A8-BB94-45B71EBD22F2}">
      <dgm:prSet custT="1"/>
      <dgm:spPr>
        <a:solidFill>
          <a:schemeClr val="accent2">
            <a:lumMod val="60000"/>
            <a:lumOff val="40000"/>
          </a:schemeClr>
        </a:solidFill>
        <a:ln>
          <a:solidFill>
            <a:schemeClr val="accent2">
              <a:lumMod val="60000"/>
              <a:lumOff val="40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AU" sz="900"/>
            <a:t>Medical treatment injury only</a:t>
          </a:r>
        </a:p>
      </dgm:t>
      <dgm:extLst>
        <a:ext uri="{E40237B7-FDA0-4F09-8148-C483321AD2D9}">
          <dgm14:cNvPr xmlns:dgm14="http://schemas.microsoft.com/office/drawing/2010/diagram" id="0" name="" descr="Arrow running from top to bottom of triangle indicating lost time injuries" title="Arrow"/>
        </a:ext>
      </dgm:extLst>
    </dgm:pt>
    <dgm:pt modelId="{662B9F5B-FF9C-48FD-86EA-8C68D3D86943}" type="parTrans" cxnId="{C53B5034-A0DB-4DDD-A374-335751D0BB66}">
      <dgm:prSet/>
      <dgm:spPr/>
      <dgm:t>
        <a:bodyPr/>
        <a:lstStyle/>
        <a:p>
          <a:endParaRPr lang="en-AU" sz="900"/>
        </a:p>
      </dgm:t>
    </dgm:pt>
    <dgm:pt modelId="{E898CE37-165C-4A7D-B083-FB66B9BD9552}" type="sibTrans" cxnId="{C53B5034-A0DB-4DDD-A374-335751D0BB66}">
      <dgm:prSet/>
      <dgm:spPr/>
      <dgm:t>
        <a:bodyPr/>
        <a:lstStyle/>
        <a:p>
          <a:endParaRPr lang="en-AU" sz="900"/>
        </a:p>
      </dgm:t>
    </dgm:pt>
    <dgm:pt modelId="{9DA99110-A061-42BC-980F-91F2D84ED103}">
      <dgm:prSet custT="1"/>
      <dgm:spPr>
        <a:solidFill>
          <a:schemeClr val="bg1"/>
        </a:solidFill>
        <a:ln>
          <a:solidFill>
            <a:schemeClr val="accent2">
              <a:lumMod val="60000"/>
              <a:lumOff val="40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AU" sz="900"/>
            <a:t>First aid injury</a:t>
          </a:r>
        </a:p>
      </dgm:t>
    </dgm:pt>
    <dgm:pt modelId="{ED10E884-41D0-478B-AA3C-71EA2CAA5256}" type="parTrans" cxnId="{817F99CB-D698-4020-9DC1-A4CA71737D5C}">
      <dgm:prSet/>
      <dgm:spPr/>
      <dgm:t>
        <a:bodyPr/>
        <a:lstStyle/>
        <a:p>
          <a:endParaRPr lang="en-AU" sz="900"/>
        </a:p>
      </dgm:t>
    </dgm:pt>
    <dgm:pt modelId="{54013B5A-B13B-4BD2-98FE-C5C17C94AD18}" type="sibTrans" cxnId="{817F99CB-D698-4020-9DC1-A4CA71737D5C}">
      <dgm:prSet/>
      <dgm:spPr/>
      <dgm:t>
        <a:bodyPr/>
        <a:lstStyle/>
        <a:p>
          <a:endParaRPr lang="en-AU" sz="900"/>
        </a:p>
      </dgm:t>
    </dgm:pt>
    <dgm:pt modelId="{10D16A12-4EA3-4257-AA36-1A955DF6E5F0}" type="pres">
      <dgm:prSet presAssocID="{C52ECE2E-C64A-4112-8622-A4F8899F55EC}" presName="Name0" presStyleCnt="0">
        <dgm:presLayoutVars>
          <dgm:dir/>
          <dgm:animLvl val="lvl"/>
          <dgm:resizeHandles val="exact"/>
        </dgm:presLayoutVars>
      </dgm:prSet>
      <dgm:spPr/>
    </dgm:pt>
    <dgm:pt modelId="{945A8717-7501-4A18-BA1B-D10C5865D816}" type="pres">
      <dgm:prSet presAssocID="{5353600E-8144-4290-80A7-AAB93D50A496}" presName="Name8" presStyleCnt="0"/>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1C97FCA3-7F6F-471E-AC69-6CD34A2DF001}" type="pres">
      <dgm:prSet presAssocID="{5353600E-8144-4290-80A7-AAB93D50A496}" presName="level" presStyleLbl="node1" presStyleIdx="0" presStyleCnt="9" custScaleY="351576">
        <dgm:presLayoutVars>
          <dgm:chMax val="1"/>
          <dgm:bulletEnabled val="1"/>
        </dgm:presLayoutVars>
      </dgm:prSet>
      <dgm:spPr/>
      <dgm:t>
        <a:bodyPr/>
        <a:lstStyle/>
        <a:p>
          <a:endParaRPr lang="en-AU"/>
        </a:p>
      </dgm:t>
    </dgm:pt>
    <dgm:pt modelId="{E28766F6-F19C-47D7-BBCB-454C9B9343B1}" type="pres">
      <dgm:prSet presAssocID="{5353600E-8144-4290-80A7-AAB93D50A496}" presName="levelTx" presStyleLbl="revTx" presStyleIdx="0" presStyleCnt="0">
        <dgm:presLayoutVars>
          <dgm:chMax val="1"/>
          <dgm:bulletEnabled val="1"/>
        </dgm:presLayoutVars>
      </dgm:prSet>
      <dgm:spPr/>
      <dgm:t>
        <a:bodyPr/>
        <a:lstStyle/>
        <a:p>
          <a:endParaRPr lang="en-AU"/>
        </a:p>
      </dgm:t>
    </dgm:pt>
    <dgm:pt modelId="{F801F540-7FF8-422B-BF20-6EED30D6F9FD}" type="pres">
      <dgm:prSet presAssocID="{0C0130E8-D6DF-49FC-AED6-2EC80F6FC4CA}" presName="Name8" presStyleCnt="0"/>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8B9C614A-F22E-4CE1-A266-C02ABED000ED}" type="pres">
      <dgm:prSet presAssocID="{0C0130E8-D6DF-49FC-AED6-2EC80F6FC4CA}" presName="level" presStyleLbl="node1" presStyleIdx="1" presStyleCnt="9" custScaleY="276295">
        <dgm:presLayoutVars>
          <dgm:chMax val="1"/>
          <dgm:bulletEnabled val="1"/>
        </dgm:presLayoutVars>
      </dgm:prSet>
      <dgm:spPr/>
      <dgm:t>
        <a:bodyPr/>
        <a:lstStyle/>
        <a:p>
          <a:endParaRPr lang="en-AU"/>
        </a:p>
      </dgm:t>
    </dgm:pt>
    <dgm:pt modelId="{EFA9C34A-DAC6-4EDD-B604-75194CD7B98B}" type="pres">
      <dgm:prSet presAssocID="{0C0130E8-D6DF-49FC-AED6-2EC80F6FC4CA}" presName="levelTx" presStyleLbl="revTx" presStyleIdx="0" presStyleCnt="0">
        <dgm:presLayoutVars>
          <dgm:chMax val="1"/>
          <dgm:bulletEnabled val="1"/>
        </dgm:presLayoutVars>
      </dgm:prSet>
      <dgm:spPr/>
      <dgm:t>
        <a:bodyPr/>
        <a:lstStyle/>
        <a:p>
          <a:endParaRPr lang="en-AU"/>
        </a:p>
      </dgm:t>
    </dgm:pt>
    <dgm:pt modelId="{13E7C6D9-AE33-40B4-960E-83C939A106E8}" type="pres">
      <dgm:prSet presAssocID="{39D12762-CA54-4C7D-AECD-7BEC52D10165}" presName="Name8" presStyleCnt="0"/>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F9562CE8-DEA2-4192-852E-FDA57CDC4CC9}" type="pres">
      <dgm:prSet presAssocID="{39D12762-CA54-4C7D-AECD-7BEC52D10165}" presName="level" presStyleLbl="node1" presStyleIdx="2" presStyleCnt="9" custScaleY="172985">
        <dgm:presLayoutVars>
          <dgm:chMax val="1"/>
          <dgm:bulletEnabled val="1"/>
        </dgm:presLayoutVars>
      </dgm:prSet>
      <dgm:spPr/>
      <dgm:t>
        <a:bodyPr/>
        <a:lstStyle/>
        <a:p>
          <a:endParaRPr lang="en-AU"/>
        </a:p>
      </dgm:t>
    </dgm:pt>
    <dgm:pt modelId="{11BCBD3A-66D6-457E-8D07-DCC1BE8BB20B}" type="pres">
      <dgm:prSet presAssocID="{39D12762-CA54-4C7D-AECD-7BEC52D10165}" presName="levelTx" presStyleLbl="revTx" presStyleIdx="0" presStyleCnt="0">
        <dgm:presLayoutVars>
          <dgm:chMax val="1"/>
          <dgm:bulletEnabled val="1"/>
        </dgm:presLayoutVars>
      </dgm:prSet>
      <dgm:spPr/>
      <dgm:t>
        <a:bodyPr/>
        <a:lstStyle/>
        <a:p>
          <a:endParaRPr lang="en-AU"/>
        </a:p>
      </dgm:t>
    </dgm:pt>
    <dgm:pt modelId="{7AA43C2E-07BA-47F3-AF85-D0B3AB251FE8}" type="pres">
      <dgm:prSet presAssocID="{7A9CD166-7764-440E-A9C6-B7EF409D9A84}" presName="Name8" presStyleCnt="0"/>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3A6C3DC0-9806-42D7-AC26-2E68C1104E60}" type="pres">
      <dgm:prSet presAssocID="{7A9CD166-7764-440E-A9C6-B7EF409D9A84}" presName="level" presStyleLbl="node1" presStyleIdx="3" presStyleCnt="9" custScaleY="166256">
        <dgm:presLayoutVars>
          <dgm:chMax val="1"/>
          <dgm:bulletEnabled val="1"/>
        </dgm:presLayoutVars>
      </dgm:prSet>
      <dgm:spPr/>
      <dgm:t>
        <a:bodyPr/>
        <a:lstStyle/>
        <a:p>
          <a:endParaRPr lang="en-AU"/>
        </a:p>
      </dgm:t>
    </dgm:pt>
    <dgm:pt modelId="{A0D208A3-4FEF-4698-9C4C-CAFA5C04F85B}" type="pres">
      <dgm:prSet presAssocID="{7A9CD166-7764-440E-A9C6-B7EF409D9A84}" presName="levelTx" presStyleLbl="revTx" presStyleIdx="0" presStyleCnt="0">
        <dgm:presLayoutVars>
          <dgm:chMax val="1"/>
          <dgm:bulletEnabled val="1"/>
        </dgm:presLayoutVars>
      </dgm:prSet>
      <dgm:spPr/>
      <dgm:t>
        <a:bodyPr/>
        <a:lstStyle/>
        <a:p>
          <a:endParaRPr lang="en-AU"/>
        </a:p>
      </dgm:t>
    </dgm:pt>
    <dgm:pt modelId="{6E94F468-9EF7-412C-9FB5-B8CC127BB1B9}" type="pres">
      <dgm:prSet presAssocID="{900C11F9-E095-4F0F-B68D-C30EBA896A0F}" presName="Name8" presStyleCnt="0"/>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EDEF7224-75CC-4F8D-A99C-16038F7CC412}" type="pres">
      <dgm:prSet presAssocID="{900C11F9-E095-4F0F-B68D-C30EBA896A0F}" presName="level" presStyleLbl="node1" presStyleIdx="4" presStyleCnt="9" custScaleY="183267">
        <dgm:presLayoutVars>
          <dgm:chMax val="1"/>
          <dgm:bulletEnabled val="1"/>
        </dgm:presLayoutVars>
      </dgm:prSet>
      <dgm:spPr/>
      <dgm:t>
        <a:bodyPr/>
        <a:lstStyle/>
        <a:p>
          <a:endParaRPr lang="en-AU"/>
        </a:p>
      </dgm:t>
    </dgm:pt>
    <dgm:pt modelId="{C77F65B5-0C0D-4BF4-AD4E-50E10ED98948}" type="pres">
      <dgm:prSet presAssocID="{900C11F9-E095-4F0F-B68D-C30EBA896A0F}" presName="levelTx" presStyleLbl="revTx" presStyleIdx="0" presStyleCnt="0">
        <dgm:presLayoutVars>
          <dgm:chMax val="1"/>
          <dgm:bulletEnabled val="1"/>
        </dgm:presLayoutVars>
      </dgm:prSet>
      <dgm:spPr/>
      <dgm:t>
        <a:bodyPr/>
        <a:lstStyle/>
        <a:p>
          <a:endParaRPr lang="en-AU"/>
        </a:p>
      </dgm:t>
    </dgm:pt>
    <dgm:pt modelId="{BEE218A6-B550-4361-920C-A2DECB12E410}" type="pres">
      <dgm:prSet presAssocID="{B796E0A0-8C20-4689-B3C1-ED3762538996}" presName="Name8" presStyleCnt="0"/>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37B47FEB-8F8B-45F3-9E8E-252ED259AB82}" type="pres">
      <dgm:prSet presAssocID="{B796E0A0-8C20-4689-B3C1-ED3762538996}" presName="level" presStyleLbl="node1" presStyleIdx="5" presStyleCnt="9" custScaleY="173688">
        <dgm:presLayoutVars>
          <dgm:chMax val="1"/>
          <dgm:bulletEnabled val="1"/>
        </dgm:presLayoutVars>
      </dgm:prSet>
      <dgm:spPr/>
      <dgm:t>
        <a:bodyPr/>
        <a:lstStyle/>
        <a:p>
          <a:endParaRPr lang="en-AU"/>
        </a:p>
      </dgm:t>
    </dgm:pt>
    <dgm:pt modelId="{94B65696-9280-4889-B6BA-DC33ED942337}" type="pres">
      <dgm:prSet presAssocID="{B796E0A0-8C20-4689-B3C1-ED3762538996}" presName="levelTx" presStyleLbl="revTx" presStyleIdx="0" presStyleCnt="0">
        <dgm:presLayoutVars>
          <dgm:chMax val="1"/>
          <dgm:bulletEnabled val="1"/>
        </dgm:presLayoutVars>
      </dgm:prSet>
      <dgm:spPr/>
      <dgm:t>
        <a:bodyPr/>
        <a:lstStyle/>
        <a:p>
          <a:endParaRPr lang="en-AU"/>
        </a:p>
      </dgm:t>
    </dgm:pt>
    <dgm:pt modelId="{FF704C9A-98B2-47D7-B236-88EA51F9A4BE}" type="pres">
      <dgm:prSet presAssocID="{C3F3A857-E3CD-48A1-9D33-46C03EFB6703}" presName="Name8" presStyleCnt="0"/>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A8718393-A2ED-4049-9FF2-326BBB55C60B}" type="pres">
      <dgm:prSet presAssocID="{C3F3A857-E3CD-48A1-9D33-46C03EFB6703}" presName="level" presStyleLbl="node1" presStyleIdx="6" presStyleCnt="9" custScaleY="127514">
        <dgm:presLayoutVars>
          <dgm:chMax val="1"/>
          <dgm:bulletEnabled val="1"/>
        </dgm:presLayoutVars>
      </dgm:prSet>
      <dgm:spPr/>
      <dgm:t>
        <a:bodyPr/>
        <a:lstStyle/>
        <a:p>
          <a:endParaRPr lang="en-AU"/>
        </a:p>
      </dgm:t>
    </dgm:pt>
    <dgm:pt modelId="{01917800-0770-49E2-9F4D-F8717C4C9953}" type="pres">
      <dgm:prSet presAssocID="{C3F3A857-E3CD-48A1-9D33-46C03EFB6703}" presName="levelTx" presStyleLbl="revTx" presStyleIdx="0" presStyleCnt="0">
        <dgm:presLayoutVars>
          <dgm:chMax val="1"/>
          <dgm:bulletEnabled val="1"/>
        </dgm:presLayoutVars>
      </dgm:prSet>
      <dgm:spPr/>
      <dgm:t>
        <a:bodyPr/>
        <a:lstStyle/>
        <a:p>
          <a:endParaRPr lang="en-AU"/>
        </a:p>
      </dgm:t>
    </dgm:pt>
    <dgm:pt modelId="{8ACC315B-072A-47F9-B50C-353EB0466439}" type="pres">
      <dgm:prSet presAssocID="{551465C1-97BB-40A8-BB94-45B71EBD22F2}" presName="Name8" presStyleCnt="0"/>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BD7010A4-4A0E-42EA-9258-1A4BF4F78F9E}" type="pres">
      <dgm:prSet presAssocID="{551465C1-97BB-40A8-BB94-45B71EBD22F2}" presName="level" presStyleLbl="node1" presStyleIdx="7" presStyleCnt="9" custScaleY="132721">
        <dgm:presLayoutVars>
          <dgm:chMax val="1"/>
          <dgm:bulletEnabled val="1"/>
        </dgm:presLayoutVars>
      </dgm:prSet>
      <dgm:spPr/>
      <dgm:t>
        <a:bodyPr/>
        <a:lstStyle/>
        <a:p>
          <a:endParaRPr lang="en-AU"/>
        </a:p>
      </dgm:t>
    </dgm:pt>
    <dgm:pt modelId="{DC63E217-34A0-470C-ADB9-0880BA39477E}" type="pres">
      <dgm:prSet presAssocID="{551465C1-97BB-40A8-BB94-45B71EBD22F2}" presName="levelTx" presStyleLbl="revTx" presStyleIdx="0" presStyleCnt="0">
        <dgm:presLayoutVars>
          <dgm:chMax val="1"/>
          <dgm:bulletEnabled val="1"/>
        </dgm:presLayoutVars>
      </dgm:prSet>
      <dgm:spPr/>
      <dgm:t>
        <a:bodyPr/>
        <a:lstStyle/>
        <a:p>
          <a:endParaRPr lang="en-AU"/>
        </a:p>
      </dgm:t>
    </dgm:pt>
    <dgm:pt modelId="{64D3C4E4-9E9B-4B42-A259-355DB06E5872}" type="pres">
      <dgm:prSet presAssocID="{9DA99110-A061-42BC-980F-91F2D84ED103}" presName="Name8" presStyleCnt="0"/>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A54FA970-6D59-4F45-A946-4264B767EFDF}" type="pres">
      <dgm:prSet presAssocID="{9DA99110-A061-42BC-980F-91F2D84ED103}" presName="level" presStyleLbl="node1" presStyleIdx="8" presStyleCnt="9" custScaleY="137085">
        <dgm:presLayoutVars>
          <dgm:chMax val="1"/>
          <dgm:bulletEnabled val="1"/>
        </dgm:presLayoutVars>
      </dgm:prSet>
      <dgm:spPr/>
      <dgm:t>
        <a:bodyPr/>
        <a:lstStyle/>
        <a:p>
          <a:endParaRPr lang="en-AU"/>
        </a:p>
      </dgm:t>
    </dgm:pt>
    <dgm:pt modelId="{A3EA524E-4A71-4A61-977C-FF83B753469D}" type="pres">
      <dgm:prSet presAssocID="{9DA99110-A061-42BC-980F-91F2D84ED103}" presName="levelTx" presStyleLbl="revTx" presStyleIdx="0" presStyleCnt="0">
        <dgm:presLayoutVars>
          <dgm:chMax val="1"/>
          <dgm:bulletEnabled val="1"/>
        </dgm:presLayoutVars>
      </dgm:prSet>
      <dgm:spPr/>
      <dgm:t>
        <a:bodyPr/>
        <a:lstStyle/>
        <a:p>
          <a:endParaRPr lang="en-AU"/>
        </a:p>
      </dgm:t>
    </dgm:pt>
  </dgm:ptLst>
  <dgm:cxnLst>
    <dgm:cxn modelId="{4C6F2083-5B4C-4645-A0D4-7817305D4F13}" srcId="{C52ECE2E-C64A-4112-8622-A4F8899F55EC}" destId="{C3F3A857-E3CD-48A1-9D33-46C03EFB6703}" srcOrd="6" destOrd="0" parTransId="{A37F30BC-71F5-4155-9A6A-3DBDAFFB7BD3}" sibTransId="{3A9AE22B-8844-48C1-840D-07D17EE93E0D}"/>
    <dgm:cxn modelId="{1B0E662D-2FCB-438F-866B-B8A29B0FD566}" type="presOf" srcId="{39D12762-CA54-4C7D-AECD-7BEC52D10165}" destId="{F9562CE8-DEA2-4192-852E-FDA57CDC4CC9}" srcOrd="0" destOrd="0" presId="urn:microsoft.com/office/officeart/2005/8/layout/pyramid1"/>
    <dgm:cxn modelId="{EE7F5CB7-4862-4E8B-B78D-2390741DEC07}" type="presOf" srcId="{9DA99110-A061-42BC-980F-91F2D84ED103}" destId="{A54FA970-6D59-4F45-A946-4264B767EFDF}" srcOrd="0" destOrd="0" presId="urn:microsoft.com/office/officeart/2005/8/layout/pyramid1"/>
    <dgm:cxn modelId="{5681EEED-D2B4-451E-991B-48124F284FC4}" type="presOf" srcId="{C52ECE2E-C64A-4112-8622-A4F8899F55EC}" destId="{10D16A12-4EA3-4257-AA36-1A955DF6E5F0}" srcOrd="0" destOrd="0" presId="urn:microsoft.com/office/officeart/2005/8/layout/pyramid1"/>
    <dgm:cxn modelId="{082143BF-C6F7-4883-BDB5-FA0071A7C0F7}" type="presOf" srcId="{0C0130E8-D6DF-49FC-AED6-2EC80F6FC4CA}" destId="{EFA9C34A-DAC6-4EDD-B604-75194CD7B98B}" srcOrd="1" destOrd="0" presId="urn:microsoft.com/office/officeart/2005/8/layout/pyramid1"/>
    <dgm:cxn modelId="{DD72A3E1-A097-4567-97F6-F16321F942B8}" type="presOf" srcId="{0C0130E8-D6DF-49FC-AED6-2EC80F6FC4CA}" destId="{8B9C614A-F22E-4CE1-A266-C02ABED000ED}" srcOrd="0" destOrd="0" presId="urn:microsoft.com/office/officeart/2005/8/layout/pyramid1"/>
    <dgm:cxn modelId="{235F37EC-FEC2-42D5-BA93-D835CFFE06B4}" type="presOf" srcId="{39D12762-CA54-4C7D-AECD-7BEC52D10165}" destId="{11BCBD3A-66D6-457E-8D07-DCC1BE8BB20B}" srcOrd="1" destOrd="0" presId="urn:microsoft.com/office/officeart/2005/8/layout/pyramid1"/>
    <dgm:cxn modelId="{817F99CB-D698-4020-9DC1-A4CA71737D5C}" srcId="{C52ECE2E-C64A-4112-8622-A4F8899F55EC}" destId="{9DA99110-A061-42BC-980F-91F2D84ED103}" srcOrd="8" destOrd="0" parTransId="{ED10E884-41D0-478B-AA3C-71EA2CAA5256}" sibTransId="{54013B5A-B13B-4BD2-98FE-C5C17C94AD18}"/>
    <dgm:cxn modelId="{0328D62B-B14B-4C9F-84E0-7147C1C2C6CD}" srcId="{C52ECE2E-C64A-4112-8622-A4F8899F55EC}" destId="{7A9CD166-7764-440E-A9C6-B7EF409D9A84}" srcOrd="3" destOrd="0" parTransId="{818E8B8E-2936-488F-8DE9-646D0F37F4AE}" sibTransId="{4F773246-BC7B-4965-96EC-ABA73BB43146}"/>
    <dgm:cxn modelId="{35DEE590-0E0A-4699-8058-1546F5B9F3EA}" type="presOf" srcId="{C3F3A857-E3CD-48A1-9D33-46C03EFB6703}" destId="{A8718393-A2ED-4049-9FF2-326BBB55C60B}" srcOrd="0" destOrd="0" presId="urn:microsoft.com/office/officeart/2005/8/layout/pyramid1"/>
    <dgm:cxn modelId="{AF05F46B-8176-419D-A47E-78E0B5E68247}" type="presOf" srcId="{5353600E-8144-4290-80A7-AAB93D50A496}" destId="{E28766F6-F19C-47D7-BBCB-454C9B9343B1}" srcOrd="1" destOrd="0" presId="urn:microsoft.com/office/officeart/2005/8/layout/pyramid1"/>
    <dgm:cxn modelId="{68015090-3628-4820-900F-0432AB04068F}" type="presOf" srcId="{900C11F9-E095-4F0F-B68D-C30EBA896A0F}" destId="{C77F65B5-0C0D-4BF4-AD4E-50E10ED98948}" srcOrd="1" destOrd="0" presId="urn:microsoft.com/office/officeart/2005/8/layout/pyramid1"/>
    <dgm:cxn modelId="{1D411D70-2552-4EDC-9AC8-D925E302E182}" srcId="{C52ECE2E-C64A-4112-8622-A4F8899F55EC}" destId="{5353600E-8144-4290-80A7-AAB93D50A496}" srcOrd="0" destOrd="0" parTransId="{34AF3C28-A5E2-4AAA-9F38-3BC36F4E026C}" sibTransId="{BBA62D21-50DC-4504-AD5A-2589D9F08044}"/>
    <dgm:cxn modelId="{C53B5034-A0DB-4DDD-A374-335751D0BB66}" srcId="{C52ECE2E-C64A-4112-8622-A4F8899F55EC}" destId="{551465C1-97BB-40A8-BB94-45B71EBD22F2}" srcOrd="7" destOrd="0" parTransId="{662B9F5B-FF9C-48FD-86EA-8C68D3D86943}" sibTransId="{E898CE37-165C-4A7D-B083-FB66B9BD9552}"/>
    <dgm:cxn modelId="{2CDDFA42-CF8B-4764-BF80-72F5333415FF}" type="presOf" srcId="{551465C1-97BB-40A8-BB94-45B71EBD22F2}" destId="{DC63E217-34A0-470C-ADB9-0880BA39477E}" srcOrd="1" destOrd="0" presId="urn:microsoft.com/office/officeart/2005/8/layout/pyramid1"/>
    <dgm:cxn modelId="{62F4156F-51FE-4320-93CE-73A4E35A8589}" type="presOf" srcId="{B796E0A0-8C20-4689-B3C1-ED3762538996}" destId="{94B65696-9280-4889-B6BA-DC33ED942337}" srcOrd="1" destOrd="0" presId="urn:microsoft.com/office/officeart/2005/8/layout/pyramid1"/>
    <dgm:cxn modelId="{B1414450-5B3E-495B-A411-9339FD61C80B}" srcId="{C52ECE2E-C64A-4112-8622-A4F8899F55EC}" destId="{39D12762-CA54-4C7D-AECD-7BEC52D10165}" srcOrd="2" destOrd="0" parTransId="{3DA53B86-5083-4050-943B-7D2CE2789CDD}" sibTransId="{3FD60DFD-4E33-4547-8547-73A3F575602E}"/>
    <dgm:cxn modelId="{32E78CA0-CD95-4D61-A2EF-1767E4A55A9D}" type="presOf" srcId="{7A9CD166-7764-440E-A9C6-B7EF409D9A84}" destId="{A0D208A3-4FEF-4698-9C4C-CAFA5C04F85B}" srcOrd="1" destOrd="0" presId="urn:microsoft.com/office/officeart/2005/8/layout/pyramid1"/>
    <dgm:cxn modelId="{B23650B3-C2AF-4EB2-B9BF-9ED2BBF2706E}" type="presOf" srcId="{900C11F9-E095-4F0F-B68D-C30EBA896A0F}" destId="{EDEF7224-75CC-4F8D-A99C-16038F7CC412}" srcOrd="0" destOrd="0" presId="urn:microsoft.com/office/officeart/2005/8/layout/pyramid1"/>
    <dgm:cxn modelId="{2C025936-6300-48DB-B193-1E4B350622E6}" type="presOf" srcId="{7A9CD166-7764-440E-A9C6-B7EF409D9A84}" destId="{3A6C3DC0-9806-42D7-AC26-2E68C1104E60}" srcOrd="0" destOrd="0" presId="urn:microsoft.com/office/officeart/2005/8/layout/pyramid1"/>
    <dgm:cxn modelId="{129043A5-7648-4107-A21F-8A9B4ECFE1EF}" type="presOf" srcId="{9DA99110-A061-42BC-980F-91F2D84ED103}" destId="{A3EA524E-4A71-4A61-977C-FF83B753469D}" srcOrd="1" destOrd="0" presId="urn:microsoft.com/office/officeart/2005/8/layout/pyramid1"/>
    <dgm:cxn modelId="{E4B5D9F2-C3F9-4A71-8655-D52AC96070A4}" type="presOf" srcId="{B796E0A0-8C20-4689-B3C1-ED3762538996}" destId="{37B47FEB-8F8B-45F3-9E8E-252ED259AB82}" srcOrd="0" destOrd="0" presId="urn:microsoft.com/office/officeart/2005/8/layout/pyramid1"/>
    <dgm:cxn modelId="{EC86E90D-29CA-4315-8E2D-88F824AC6D6A}" type="presOf" srcId="{5353600E-8144-4290-80A7-AAB93D50A496}" destId="{1C97FCA3-7F6F-471E-AC69-6CD34A2DF001}" srcOrd="0" destOrd="0" presId="urn:microsoft.com/office/officeart/2005/8/layout/pyramid1"/>
    <dgm:cxn modelId="{9563A160-D3AC-46EC-965D-BAB70E61FB69}" type="presOf" srcId="{551465C1-97BB-40A8-BB94-45B71EBD22F2}" destId="{BD7010A4-4A0E-42EA-9258-1A4BF4F78F9E}" srcOrd="0" destOrd="0" presId="urn:microsoft.com/office/officeart/2005/8/layout/pyramid1"/>
    <dgm:cxn modelId="{32ECCA7E-DEFF-45F4-9ECD-7810E80CEF37}" srcId="{C52ECE2E-C64A-4112-8622-A4F8899F55EC}" destId="{0C0130E8-D6DF-49FC-AED6-2EC80F6FC4CA}" srcOrd="1" destOrd="0" parTransId="{C3D2B387-2D08-40FE-B569-1C9E758B74DB}" sibTransId="{6709F0CC-8A06-404C-9503-9B0CB8451622}"/>
    <dgm:cxn modelId="{7570D956-02B0-4E5C-B347-0C8E8DC49A43}" srcId="{C52ECE2E-C64A-4112-8622-A4F8899F55EC}" destId="{900C11F9-E095-4F0F-B68D-C30EBA896A0F}" srcOrd="4" destOrd="0" parTransId="{3ABB0FE0-8B44-4704-9A4D-1D48AB25FA05}" sibTransId="{4C46998B-679B-4003-A1C5-D3DDF62E2B8A}"/>
    <dgm:cxn modelId="{28F73037-B5BB-498A-B429-B7E3332E0460}" type="presOf" srcId="{C3F3A857-E3CD-48A1-9D33-46C03EFB6703}" destId="{01917800-0770-49E2-9F4D-F8717C4C9953}" srcOrd="1" destOrd="0" presId="urn:microsoft.com/office/officeart/2005/8/layout/pyramid1"/>
    <dgm:cxn modelId="{847A3A83-671D-4A7C-885E-28B0EB775DED}" srcId="{C52ECE2E-C64A-4112-8622-A4F8899F55EC}" destId="{B796E0A0-8C20-4689-B3C1-ED3762538996}" srcOrd="5" destOrd="0" parTransId="{1F77E8BF-A3CF-4903-B7A5-47BEDBFDE7D6}" sibTransId="{2A0A9B27-39E9-4880-8D75-D446CA05687A}"/>
    <dgm:cxn modelId="{8F341052-D07E-43B0-8D88-EFA4926FA525}" type="presParOf" srcId="{10D16A12-4EA3-4257-AA36-1A955DF6E5F0}" destId="{945A8717-7501-4A18-BA1B-D10C5865D816}" srcOrd="0" destOrd="0" presId="urn:microsoft.com/office/officeart/2005/8/layout/pyramid1"/>
    <dgm:cxn modelId="{2FD04E23-8657-40E6-8D29-48CF40595D13}" type="presParOf" srcId="{945A8717-7501-4A18-BA1B-D10C5865D816}" destId="{1C97FCA3-7F6F-471E-AC69-6CD34A2DF001}" srcOrd="0" destOrd="0" presId="urn:microsoft.com/office/officeart/2005/8/layout/pyramid1"/>
    <dgm:cxn modelId="{8381CE36-5488-4A78-BE7E-F3060931EA9C}" type="presParOf" srcId="{945A8717-7501-4A18-BA1B-D10C5865D816}" destId="{E28766F6-F19C-47D7-BBCB-454C9B9343B1}" srcOrd="1" destOrd="0" presId="urn:microsoft.com/office/officeart/2005/8/layout/pyramid1"/>
    <dgm:cxn modelId="{7BAC4E44-DDC1-4D30-BBEA-1E7DB208AFE4}" type="presParOf" srcId="{10D16A12-4EA3-4257-AA36-1A955DF6E5F0}" destId="{F801F540-7FF8-422B-BF20-6EED30D6F9FD}" srcOrd="1" destOrd="0" presId="urn:microsoft.com/office/officeart/2005/8/layout/pyramid1"/>
    <dgm:cxn modelId="{770B64CE-DFD6-4FD6-8A83-44E5ED40125C}" type="presParOf" srcId="{F801F540-7FF8-422B-BF20-6EED30D6F9FD}" destId="{8B9C614A-F22E-4CE1-A266-C02ABED000ED}" srcOrd="0" destOrd="0" presId="urn:microsoft.com/office/officeart/2005/8/layout/pyramid1"/>
    <dgm:cxn modelId="{8322D4DD-1749-4CE1-99D4-260E63FD6274}" type="presParOf" srcId="{F801F540-7FF8-422B-BF20-6EED30D6F9FD}" destId="{EFA9C34A-DAC6-4EDD-B604-75194CD7B98B}" srcOrd="1" destOrd="0" presId="urn:microsoft.com/office/officeart/2005/8/layout/pyramid1"/>
    <dgm:cxn modelId="{0DA54213-96BF-45D0-AD8E-122434C9F49A}" type="presParOf" srcId="{10D16A12-4EA3-4257-AA36-1A955DF6E5F0}" destId="{13E7C6D9-AE33-40B4-960E-83C939A106E8}" srcOrd="2" destOrd="0" presId="urn:microsoft.com/office/officeart/2005/8/layout/pyramid1"/>
    <dgm:cxn modelId="{DFC7B999-0C95-44A0-A090-CFA4228719DB}" type="presParOf" srcId="{13E7C6D9-AE33-40B4-960E-83C939A106E8}" destId="{F9562CE8-DEA2-4192-852E-FDA57CDC4CC9}" srcOrd="0" destOrd="0" presId="urn:microsoft.com/office/officeart/2005/8/layout/pyramid1"/>
    <dgm:cxn modelId="{509190B3-7AA4-458C-9D1B-8F5D787FDF9A}" type="presParOf" srcId="{13E7C6D9-AE33-40B4-960E-83C939A106E8}" destId="{11BCBD3A-66D6-457E-8D07-DCC1BE8BB20B}" srcOrd="1" destOrd="0" presId="urn:microsoft.com/office/officeart/2005/8/layout/pyramid1"/>
    <dgm:cxn modelId="{29378DF2-FC3E-4FC2-81F6-88CE17F483E0}" type="presParOf" srcId="{10D16A12-4EA3-4257-AA36-1A955DF6E5F0}" destId="{7AA43C2E-07BA-47F3-AF85-D0B3AB251FE8}" srcOrd="3" destOrd="0" presId="urn:microsoft.com/office/officeart/2005/8/layout/pyramid1"/>
    <dgm:cxn modelId="{67BDD0A6-5ABC-4B9C-9717-E25D7F29C5CB}" type="presParOf" srcId="{7AA43C2E-07BA-47F3-AF85-D0B3AB251FE8}" destId="{3A6C3DC0-9806-42D7-AC26-2E68C1104E60}" srcOrd="0" destOrd="0" presId="urn:microsoft.com/office/officeart/2005/8/layout/pyramid1"/>
    <dgm:cxn modelId="{19BC959A-C42F-4CB8-98B2-AF1194057186}" type="presParOf" srcId="{7AA43C2E-07BA-47F3-AF85-D0B3AB251FE8}" destId="{A0D208A3-4FEF-4698-9C4C-CAFA5C04F85B}" srcOrd="1" destOrd="0" presId="urn:microsoft.com/office/officeart/2005/8/layout/pyramid1"/>
    <dgm:cxn modelId="{47EF07BB-6A51-4BE3-9BAD-DFAD1AA17F17}" type="presParOf" srcId="{10D16A12-4EA3-4257-AA36-1A955DF6E5F0}" destId="{6E94F468-9EF7-412C-9FB5-B8CC127BB1B9}" srcOrd="4" destOrd="0" presId="urn:microsoft.com/office/officeart/2005/8/layout/pyramid1"/>
    <dgm:cxn modelId="{91ADE5B5-C901-41EA-A6C0-C212DE4A9D22}" type="presParOf" srcId="{6E94F468-9EF7-412C-9FB5-B8CC127BB1B9}" destId="{EDEF7224-75CC-4F8D-A99C-16038F7CC412}" srcOrd="0" destOrd="0" presId="urn:microsoft.com/office/officeart/2005/8/layout/pyramid1"/>
    <dgm:cxn modelId="{103B09BE-BF8C-4CBD-84A0-7FA10FDF85CD}" type="presParOf" srcId="{6E94F468-9EF7-412C-9FB5-B8CC127BB1B9}" destId="{C77F65B5-0C0D-4BF4-AD4E-50E10ED98948}" srcOrd="1" destOrd="0" presId="urn:microsoft.com/office/officeart/2005/8/layout/pyramid1"/>
    <dgm:cxn modelId="{995CF1F6-DDF1-4566-9CE6-5150C5E5DAFB}" type="presParOf" srcId="{10D16A12-4EA3-4257-AA36-1A955DF6E5F0}" destId="{BEE218A6-B550-4361-920C-A2DECB12E410}" srcOrd="5" destOrd="0" presId="urn:microsoft.com/office/officeart/2005/8/layout/pyramid1"/>
    <dgm:cxn modelId="{9C8EC0E9-F9BC-4227-9B82-C8209772E286}" type="presParOf" srcId="{BEE218A6-B550-4361-920C-A2DECB12E410}" destId="{37B47FEB-8F8B-45F3-9E8E-252ED259AB82}" srcOrd="0" destOrd="0" presId="urn:microsoft.com/office/officeart/2005/8/layout/pyramid1"/>
    <dgm:cxn modelId="{CE576E7D-F472-469D-AB77-68CCCB37EA04}" type="presParOf" srcId="{BEE218A6-B550-4361-920C-A2DECB12E410}" destId="{94B65696-9280-4889-B6BA-DC33ED942337}" srcOrd="1" destOrd="0" presId="urn:microsoft.com/office/officeart/2005/8/layout/pyramid1"/>
    <dgm:cxn modelId="{B6946253-4FF0-4431-8B10-BE48EA2EA2E8}" type="presParOf" srcId="{10D16A12-4EA3-4257-AA36-1A955DF6E5F0}" destId="{FF704C9A-98B2-47D7-B236-88EA51F9A4BE}" srcOrd="6" destOrd="0" presId="urn:microsoft.com/office/officeart/2005/8/layout/pyramid1"/>
    <dgm:cxn modelId="{CA118650-3B7E-4F88-95CE-88B63431E8F2}" type="presParOf" srcId="{FF704C9A-98B2-47D7-B236-88EA51F9A4BE}" destId="{A8718393-A2ED-4049-9FF2-326BBB55C60B}" srcOrd="0" destOrd="0" presId="urn:microsoft.com/office/officeart/2005/8/layout/pyramid1"/>
    <dgm:cxn modelId="{B217CAFD-DE32-4337-937B-01C1307D2665}" type="presParOf" srcId="{FF704C9A-98B2-47D7-B236-88EA51F9A4BE}" destId="{01917800-0770-49E2-9F4D-F8717C4C9953}" srcOrd="1" destOrd="0" presId="urn:microsoft.com/office/officeart/2005/8/layout/pyramid1"/>
    <dgm:cxn modelId="{B45A09D5-AD66-4D1F-9663-9B0A45D7C6FA}" type="presParOf" srcId="{10D16A12-4EA3-4257-AA36-1A955DF6E5F0}" destId="{8ACC315B-072A-47F9-B50C-353EB0466439}" srcOrd="7" destOrd="0" presId="urn:microsoft.com/office/officeart/2005/8/layout/pyramid1"/>
    <dgm:cxn modelId="{5A6439B3-F195-48B8-929C-CFD093CE0351}" type="presParOf" srcId="{8ACC315B-072A-47F9-B50C-353EB0466439}" destId="{BD7010A4-4A0E-42EA-9258-1A4BF4F78F9E}" srcOrd="0" destOrd="0" presId="urn:microsoft.com/office/officeart/2005/8/layout/pyramid1"/>
    <dgm:cxn modelId="{00A3344A-53CE-41D1-9273-441C28792AD2}" type="presParOf" srcId="{8ACC315B-072A-47F9-B50C-353EB0466439}" destId="{DC63E217-34A0-470C-ADB9-0880BA39477E}" srcOrd="1" destOrd="0" presId="urn:microsoft.com/office/officeart/2005/8/layout/pyramid1"/>
    <dgm:cxn modelId="{DB393E04-D8E5-467E-8CDB-A31ABA3A5831}" type="presParOf" srcId="{10D16A12-4EA3-4257-AA36-1A955DF6E5F0}" destId="{64D3C4E4-9E9B-4B42-A259-355DB06E5872}" srcOrd="8" destOrd="0" presId="urn:microsoft.com/office/officeart/2005/8/layout/pyramid1"/>
    <dgm:cxn modelId="{3AFDFE19-893F-42D5-B413-F8EB661B62C3}" type="presParOf" srcId="{64D3C4E4-9E9B-4B42-A259-355DB06E5872}" destId="{A54FA970-6D59-4F45-A946-4264B767EFDF}" srcOrd="0" destOrd="0" presId="urn:microsoft.com/office/officeart/2005/8/layout/pyramid1"/>
    <dgm:cxn modelId="{E49D492D-50D0-43C2-8B93-08123BC0B9CF}" type="presParOf" srcId="{64D3C4E4-9E9B-4B42-A259-355DB06E5872}" destId="{A3EA524E-4A71-4A61-977C-FF83B753469D}" srcOrd="1" destOrd="0" presId="urn:microsoft.com/office/officeart/2005/8/layout/pyramid1"/>
  </dgm:cxnLst>
  <dgm:bg>
    <a:effectLst>
      <a:softEdge rad="317500"/>
    </a:effect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9DF5D97-5E42-4B1A-9140-540F46627DC7}" type="doc">
      <dgm:prSet loTypeId="urn:microsoft.com/office/officeart/2005/8/layout/hProcess9" loCatId="process" qsTypeId="urn:microsoft.com/office/officeart/2005/8/quickstyle/simple1" qsCatId="simple" csTypeId="urn:microsoft.com/office/officeart/2005/8/colors/accent1_2" csCatId="accent1" phldr="1"/>
      <dgm:spPr/>
    </dgm:pt>
    <dgm:pt modelId="{959E258E-62DA-44BF-8156-F0BD03B73DA2}">
      <dgm:prSet phldrT="[Text]" custT="1"/>
      <dgm:spPr>
        <a:xfrm>
          <a:off x="2745" y="382905"/>
          <a:ext cx="1320700" cy="5105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200">
              <a:solidFill>
                <a:sysClr val="window" lastClr="FFFFFF"/>
              </a:solidFill>
              <a:latin typeface="Calibri"/>
              <a:ea typeface="+mn-ea"/>
              <a:cs typeface="+mn-cs"/>
            </a:rPr>
            <a:t>Insignificant </a:t>
          </a:r>
        </a:p>
        <a:p>
          <a:r>
            <a:rPr lang="en-AU" sz="1000">
              <a:solidFill>
                <a:sysClr val="window" lastClr="FFFFFF"/>
              </a:solidFill>
              <a:latin typeface="Calibri"/>
              <a:ea typeface="+mn-ea"/>
              <a:cs typeface="+mn-cs"/>
            </a:rPr>
            <a:t>affect on life</a:t>
          </a:r>
        </a:p>
      </dgm:t>
    </dgm:pt>
    <dgm:pt modelId="{983A3465-3442-4CB7-B045-CF59E3A88B2F}" type="parTrans" cxnId="{DBA4D6CC-E210-4C16-AA9A-E048C2360345}">
      <dgm:prSet/>
      <dgm:spPr/>
      <dgm:t>
        <a:bodyPr/>
        <a:lstStyle/>
        <a:p>
          <a:endParaRPr lang="en-AU"/>
        </a:p>
      </dgm:t>
    </dgm:pt>
    <dgm:pt modelId="{7B486ACD-A5C5-41A9-9911-341DAFB33404}" type="sibTrans" cxnId="{DBA4D6CC-E210-4C16-AA9A-E048C2360345}">
      <dgm:prSet/>
      <dgm:spPr/>
      <dgm:t>
        <a:bodyPr/>
        <a:lstStyle/>
        <a:p>
          <a:endParaRPr lang="en-AU"/>
        </a:p>
      </dgm:t>
    </dgm:pt>
    <dgm:pt modelId="{DEB9B599-DE8E-4044-9C74-BDFA66F14FA2}">
      <dgm:prSet phldrT="[Text]" custT="1"/>
      <dgm:spPr>
        <a:xfrm>
          <a:off x="1389481" y="382905"/>
          <a:ext cx="1320700" cy="5105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200">
              <a:solidFill>
                <a:sysClr val="window" lastClr="FFFFFF"/>
              </a:solidFill>
              <a:latin typeface="Calibri"/>
              <a:ea typeface="+mn-ea"/>
              <a:cs typeface="+mn-cs"/>
            </a:rPr>
            <a:t>Temporary </a:t>
          </a:r>
        </a:p>
        <a:p>
          <a:r>
            <a:rPr lang="en-AU" sz="1000">
              <a:solidFill>
                <a:sysClr val="window" lastClr="FFFFFF"/>
              </a:solidFill>
              <a:latin typeface="Calibri"/>
              <a:ea typeface="+mn-ea"/>
              <a:cs typeface="+mn-cs"/>
            </a:rPr>
            <a:t>affect on life</a:t>
          </a:r>
        </a:p>
      </dgm:t>
    </dgm:pt>
    <dgm:pt modelId="{C5F59611-E2C7-4245-8992-4284CA0663C1}" type="parTrans" cxnId="{79253BE8-FBC8-40CB-B956-15A268A3F3E6}">
      <dgm:prSet/>
      <dgm:spPr/>
      <dgm:t>
        <a:bodyPr/>
        <a:lstStyle/>
        <a:p>
          <a:endParaRPr lang="en-AU"/>
        </a:p>
      </dgm:t>
    </dgm:pt>
    <dgm:pt modelId="{53611641-63BC-4A46-B917-138295FF1899}" type="sibTrans" cxnId="{79253BE8-FBC8-40CB-B956-15A268A3F3E6}">
      <dgm:prSet/>
      <dgm:spPr/>
      <dgm:t>
        <a:bodyPr/>
        <a:lstStyle/>
        <a:p>
          <a:endParaRPr lang="en-AU"/>
        </a:p>
      </dgm:t>
    </dgm:pt>
    <dgm:pt modelId="{1DDD7B79-FDD6-4116-B63C-CD5E26EC3C71}">
      <dgm:prSet phldrT="[Text]" custT="1"/>
      <dgm:spPr>
        <a:xfrm>
          <a:off x="2776217" y="382905"/>
          <a:ext cx="1320700" cy="5105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200">
              <a:solidFill>
                <a:sysClr val="window" lastClr="FFFFFF"/>
              </a:solidFill>
              <a:latin typeface="Calibri"/>
              <a:ea typeface="+mn-ea"/>
              <a:cs typeface="+mn-cs"/>
            </a:rPr>
            <a:t>Permanent</a:t>
          </a:r>
        </a:p>
        <a:p>
          <a:r>
            <a:rPr lang="en-AU" sz="1000">
              <a:solidFill>
                <a:sysClr val="window" lastClr="FFFFFF"/>
              </a:solidFill>
              <a:latin typeface="Calibri"/>
              <a:ea typeface="+mn-ea"/>
              <a:cs typeface="+mn-cs"/>
            </a:rPr>
            <a:t> affect on life</a:t>
          </a:r>
        </a:p>
      </dgm:t>
    </dgm:pt>
    <dgm:pt modelId="{AB709F18-8ACB-4309-A2B5-D4AC21258332}" type="parTrans" cxnId="{2CBE8B9B-72EC-43E9-A99A-A2AB94B9B0FA}">
      <dgm:prSet/>
      <dgm:spPr/>
      <dgm:t>
        <a:bodyPr/>
        <a:lstStyle/>
        <a:p>
          <a:endParaRPr lang="en-AU"/>
        </a:p>
      </dgm:t>
    </dgm:pt>
    <dgm:pt modelId="{50557C24-DF12-4909-B511-D99B05A25B9E}" type="sibTrans" cxnId="{2CBE8B9B-72EC-43E9-A99A-A2AB94B9B0FA}">
      <dgm:prSet/>
      <dgm:spPr/>
      <dgm:t>
        <a:bodyPr/>
        <a:lstStyle/>
        <a:p>
          <a:endParaRPr lang="en-AU"/>
        </a:p>
      </dgm:t>
    </dgm:pt>
    <dgm:pt modelId="{2695E551-6A6A-461D-B20A-C916BA43BEFD}">
      <dgm:prSet custT="1"/>
      <dgm:spPr>
        <a:xfrm>
          <a:off x="4162953" y="382905"/>
          <a:ext cx="1320700" cy="5105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400">
              <a:solidFill>
                <a:sysClr val="window" lastClr="FFFFFF"/>
              </a:solidFill>
              <a:latin typeface="Calibri"/>
              <a:ea typeface="+mn-ea"/>
              <a:cs typeface="+mn-cs"/>
            </a:rPr>
            <a:t>Loss of life</a:t>
          </a:r>
        </a:p>
      </dgm:t>
    </dgm:pt>
    <dgm:pt modelId="{0D457565-DCB7-40AD-9C37-A8DE16C1C0B1}" type="parTrans" cxnId="{4A1A077E-2C04-4A78-9C5B-C34D11BFF0F7}">
      <dgm:prSet/>
      <dgm:spPr/>
      <dgm:t>
        <a:bodyPr/>
        <a:lstStyle/>
        <a:p>
          <a:endParaRPr lang="en-AU"/>
        </a:p>
      </dgm:t>
    </dgm:pt>
    <dgm:pt modelId="{5CC71ECE-7E79-40AD-ABD5-BD980570AD72}" type="sibTrans" cxnId="{4A1A077E-2C04-4A78-9C5B-C34D11BFF0F7}">
      <dgm:prSet/>
      <dgm:spPr/>
      <dgm:t>
        <a:bodyPr/>
        <a:lstStyle/>
        <a:p>
          <a:endParaRPr lang="en-AU"/>
        </a:p>
      </dgm:t>
    </dgm:pt>
    <dgm:pt modelId="{09AC3BDB-ECAC-444F-B7ED-F6D35617DD6C}" type="pres">
      <dgm:prSet presAssocID="{D9DF5D97-5E42-4B1A-9140-540F46627DC7}" presName="CompostProcess" presStyleCnt="0">
        <dgm:presLayoutVars>
          <dgm:dir/>
          <dgm:resizeHandles val="exact"/>
        </dgm:presLayoutVars>
      </dgm:prSet>
      <dgm:spPr/>
    </dgm:pt>
    <dgm:pt modelId="{929C63E3-B76E-432B-8E5F-0562FE115C90}" type="pres">
      <dgm:prSet presAssocID="{D9DF5D97-5E42-4B1A-9140-540F46627DC7}" presName="arrow" presStyleLbl="bgShp" presStyleIdx="0" presStyleCnt="1"/>
      <dgm:spPr>
        <a:xfrm>
          <a:off x="411479" y="0"/>
          <a:ext cx="4663440" cy="1276349"/>
        </a:xfrm>
        <a:prstGeom prst="rightArrow">
          <a:avLst/>
        </a:prstGeom>
        <a:solidFill>
          <a:srgbClr val="C0504D">
            <a:lumMod val="20000"/>
            <a:lumOff val="80000"/>
          </a:srgbClr>
        </a:solidFill>
        <a:ln>
          <a:noFill/>
        </a:ln>
        <a:effectLst/>
      </dgm:spPr>
    </dgm:pt>
    <dgm:pt modelId="{5929E946-4E85-4626-AE52-1561B357E212}" type="pres">
      <dgm:prSet presAssocID="{D9DF5D97-5E42-4B1A-9140-540F46627DC7}" presName="linearProcess" presStyleCnt="0"/>
      <dgm:spPr/>
    </dgm:pt>
    <dgm:pt modelId="{F4F65AA1-B8B0-43B8-B5BE-9A5A13A7C8FC}" type="pres">
      <dgm:prSet presAssocID="{959E258E-62DA-44BF-8156-F0BD03B73DA2}" presName="textNode" presStyleLbl="node1" presStyleIdx="0" presStyleCnt="4">
        <dgm:presLayoutVars>
          <dgm:bulletEnabled val="1"/>
        </dgm:presLayoutVars>
      </dgm:prSet>
      <dgm:spPr>
        <a:prstGeom prst="roundRect">
          <a:avLst/>
        </a:prstGeom>
      </dgm:spPr>
      <dgm:t>
        <a:bodyPr/>
        <a:lstStyle/>
        <a:p>
          <a:endParaRPr lang="en-AU"/>
        </a:p>
      </dgm:t>
    </dgm:pt>
    <dgm:pt modelId="{7F9342E8-96C6-4F91-A17C-5AA87CB1F170}" type="pres">
      <dgm:prSet presAssocID="{7B486ACD-A5C5-41A9-9911-341DAFB33404}" presName="sibTrans" presStyleCnt="0"/>
      <dgm:spPr/>
    </dgm:pt>
    <dgm:pt modelId="{576C7763-641C-4245-9E62-0F8041CF8639}" type="pres">
      <dgm:prSet presAssocID="{DEB9B599-DE8E-4044-9C74-BDFA66F14FA2}" presName="textNode" presStyleLbl="node1" presStyleIdx="1" presStyleCnt="4">
        <dgm:presLayoutVars>
          <dgm:bulletEnabled val="1"/>
        </dgm:presLayoutVars>
      </dgm:prSet>
      <dgm:spPr>
        <a:prstGeom prst="roundRect">
          <a:avLst/>
        </a:prstGeom>
      </dgm:spPr>
      <dgm:t>
        <a:bodyPr/>
        <a:lstStyle/>
        <a:p>
          <a:endParaRPr lang="en-AU"/>
        </a:p>
      </dgm:t>
    </dgm:pt>
    <dgm:pt modelId="{2D52B020-6385-4A28-94F3-4AF7D05AF95F}" type="pres">
      <dgm:prSet presAssocID="{53611641-63BC-4A46-B917-138295FF1899}" presName="sibTrans" presStyleCnt="0"/>
      <dgm:spPr/>
    </dgm:pt>
    <dgm:pt modelId="{7C51FD6D-3793-4F4E-A2CD-1EDE10F63FB2}" type="pres">
      <dgm:prSet presAssocID="{1DDD7B79-FDD6-4116-B63C-CD5E26EC3C71}" presName="textNode" presStyleLbl="node1" presStyleIdx="2" presStyleCnt="4">
        <dgm:presLayoutVars>
          <dgm:bulletEnabled val="1"/>
        </dgm:presLayoutVars>
      </dgm:prSet>
      <dgm:spPr>
        <a:prstGeom prst="roundRect">
          <a:avLst/>
        </a:prstGeom>
      </dgm:spPr>
      <dgm:t>
        <a:bodyPr/>
        <a:lstStyle/>
        <a:p>
          <a:endParaRPr lang="en-AU"/>
        </a:p>
      </dgm:t>
    </dgm:pt>
    <dgm:pt modelId="{A7C6F1AB-9001-45D6-B0BE-97745393AE1E}" type="pres">
      <dgm:prSet presAssocID="{50557C24-DF12-4909-B511-D99B05A25B9E}" presName="sibTrans" presStyleCnt="0"/>
      <dgm:spPr/>
    </dgm:pt>
    <dgm:pt modelId="{613726FE-2B38-4F70-A4A6-F9764EB900FA}" type="pres">
      <dgm:prSet presAssocID="{2695E551-6A6A-461D-B20A-C916BA43BEFD}" presName="textNode" presStyleLbl="node1" presStyleIdx="3" presStyleCnt="4">
        <dgm:presLayoutVars>
          <dgm:bulletEnabled val="1"/>
        </dgm:presLayoutVars>
      </dgm:prSet>
      <dgm:spPr>
        <a:prstGeom prst="roundRect">
          <a:avLst/>
        </a:prstGeom>
      </dgm:spPr>
      <dgm:t>
        <a:bodyPr/>
        <a:lstStyle/>
        <a:p>
          <a:endParaRPr lang="en-AU"/>
        </a:p>
      </dgm:t>
    </dgm:pt>
  </dgm:ptLst>
  <dgm:cxnLst>
    <dgm:cxn modelId="{A19DD33A-0EF3-44FF-8ED6-4E1C9F51A3C6}" type="presOf" srcId="{1DDD7B79-FDD6-4116-B63C-CD5E26EC3C71}" destId="{7C51FD6D-3793-4F4E-A2CD-1EDE10F63FB2}" srcOrd="0" destOrd="0" presId="urn:microsoft.com/office/officeart/2005/8/layout/hProcess9"/>
    <dgm:cxn modelId="{7A82DD56-BFE6-400F-B84B-6D08EBBD27F9}" type="presOf" srcId="{D9DF5D97-5E42-4B1A-9140-540F46627DC7}" destId="{09AC3BDB-ECAC-444F-B7ED-F6D35617DD6C}" srcOrd="0" destOrd="0" presId="urn:microsoft.com/office/officeart/2005/8/layout/hProcess9"/>
    <dgm:cxn modelId="{4BCA59A3-DDA7-4183-B56E-50DF3DA0EE2E}" type="presOf" srcId="{2695E551-6A6A-461D-B20A-C916BA43BEFD}" destId="{613726FE-2B38-4F70-A4A6-F9764EB900FA}" srcOrd="0" destOrd="0" presId="urn:microsoft.com/office/officeart/2005/8/layout/hProcess9"/>
    <dgm:cxn modelId="{79253BE8-FBC8-40CB-B956-15A268A3F3E6}" srcId="{D9DF5D97-5E42-4B1A-9140-540F46627DC7}" destId="{DEB9B599-DE8E-4044-9C74-BDFA66F14FA2}" srcOrd="1" destOrd="0" parTransId="{C5F59611-E2C7-4245-8992-4284CA0663C1}" sibTransId="{53611641-63BC-4A46-B917-138295FF1899}"/>
    <dgm:cxn modelId="{10B7DAB6-22E3-462F-8F2C-B97A17FE4EE7}" type="presOf" srcId="{DEB9B599-DE8E-4044-9C74-BDFA66F14FA2}" destId="{576C7763-641C-4245-9E62-0F8041CF8639}" srcOrd="0" destOrd="0" presId="urn:microsoft.com/office/officeart/2005/8/layout/hProcess9"/>
    <dgm:cxn modelId="{2CBE8B9B-72EC-43E9-A99A-A2AB94B9B0FA}" srcId="{D9DF5D97-5E42-4B1A-9140-540F46627DC7}" destId="{1DDD7B79-FDD6-4116-B63C-CD5E26EC3C71}" srcOrd="2" destOrd="0" parTransId="{AB709F18-8ACB-4309-A2B5-D4AC21258332}" sibTransId="{50557C24-DF12-4909-B511-D99B05A25B9E}"/>
    <dgm:cxn modelId="{876E052A-E1BC-4659-829C-15A4B7ED2AD5}" type="presOf" srcId="{959E258E-62DA-44BF-8156-F0BD03B73DA2}" destId="{F4F65AA1-B8B0-43B8-B5BE-9A5A13A7C8FC}" srcOrd="0" destOrd="0" presId="urn:microsoft.com/office/officeart/2005/8/layout/hProcess9"/>
    <dgm:cxn modelId="{DBA4D6CC-E210-4C16-AA9A-E048C2360345}" srcId="{D9DF5D97-5E42-4B1A-9140-540F46627DC7}" destId="{959E258E-62DA-44BF-8156-F0BD03B73DA2}" srcOrd="0" destOrd="0" parTransId="{983A3465-3442-4CB7-B045-CF59E3A88B2F}" sibTransId="{7B486ACD-A5C5-41A9-9911-341DAFB33404}"/>
    <dgm:cxn modelId="{4A1A077E-2C04-4A78-9C5B-C34D11BFF0F7}" srcId="{D9DF5D97-5E42-4B1A-9140-540F46627DC7}" destId="{2695E551-6A6A-461D-B20A-C916BA43BEFD}" srcOrd="3" destOrd="0" parTransId="{0D457565-DCB7-40AD-9C37-A8DE16C1C0B1}" sibTransId="{5CC71ECE-7E79-40AD-ABD5-BD980570AD72}"/>
    <dgm:cxn modelId="{ED352250-679C-4E00-840B-3F6C0272AFD4}" type="presParOf" srcId="{09AC3BDB-ECAC-444F-B7ED-F6D35617DD6C}" destId="{929C63E3-B76E-432B-8E5F-0562FE115C90}" srcOrd="0" destOrd="0" presId="urn:microsoft.com/office/officeart/2005/8/layout/hProcess9"/>
    <dgm:cxn modelId="{EA3AFA4D-6852-45AD-81EC-6D8F1205B2EF}" type="presParOf" srcId="{09AC3BDB-ECAC-444F-B7ED-F6D35617DD6C}" destId="{5929E946-4E85-4626-AE52-1561B357E212}" srcOrd="1" destOrd="0" presId="urn:microsoft.com/office/officeart/2005/8/layout/hProcess9"/>
    <dgm:cxn modelId="{6F7D7633-2A51-4811-8CA4-4BD387C5EBB8}" type="presParOf" srcId="{5929E946-4E85-4626-AE52-1561B357E212}" destId="{F4F65AA1-B8B0-43B8-B5BE-9A5A13A7C8FC}" srcOrd="0" destOrd="0" presId="urn:microsoft.com/office/officeart/2005/8/layout/hProcess9"/>
    <dgm:cxn modelId="{894012D3-BF41-466A-9106-3409B93723FC}" type="presParOf" srcId="{5929E946-4E85-4626-AE52-1561B357E212}" destId="{7F9342E8-96C6-4F91-A17C-5AA87CB1F170}" srcOrd="1" destOrd="0" presId="urn:microsoft.com/office/officeart/2005/8/layout/hProcess9"/>
    <dgm:cxn modelId="{C09D56E9-172B-4866-BD85-2526B21EBCE4}" type="presParOf" srcId="{5929E946-4E85-4626-AE52-1561B357E212}" destId="{576C7763-641C-4245-9E62-0F8041CF8639}" srcOrd="2" destOrd="0" presId="urn:microsoft.com/office/officeart/2005/8/layout/hProcess9"/>
    <dgm:cxn modelId="{DAAD4AB1-5C72-4F19-973B-8EE45FBA96A3}" type="presParOf" srcId="{5929E946-4E85-4626-AE52-1561B357E212}" destId="{2D52B020-6385-4A28-94F3-4AF7D05AF95F}" srcOrd="3" destOrd="0" presId="urn:microsoft.com/office/officeart/2005/8/layout/hProcess9"/>
    <dgm:cxn modelId="{1D7491C9-831B-4519-BF92-217A09FC17BF}" type="presParOf" srcId="{5929E946-4E85-4626-AE52-1561B357E212}" destId="{7C51FD6D-3793-4F4E-A2CD-1EDE10F63FB2}" srcOrd="4" destOrd="0" presId="urn:microsoft.com/office/officeart/2005/8/layout/hProcess9"/>
    <dgm:cxn modelId="{EB67859F-DE02-4389-ADC5-C77B35CA0F9E}" type="presParOf" srcId="{5929E946-4E85-4626-AE52-1561B357E212}" destId="{A7C6F1AB-9001-45D6-B0BE-97745393AE1E}" srcOrd="5" destOrd="0" presId="urn:microsoft.com/office/officeart/2005/8/layout/hProcess9"/>
    <dgm:cxn modelId="{742E45AB-1062-4FDB-9031-2BB50E76EA83}" type="presParOf" srcId="{5929E946-4E85-4626-AE52-1561B357E212}" destId="{613726FE-2B38-4F70-A4A6-F9764EB900FA}" srcOrd="6" destOrd="0" presId="urn:microsoft.com/office/officeart/2005/8/layout/hProcess9"/>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52ECE2E-C64A-4112-8622-A4F8899F55EC}" type="doc">
      <dgm:prSet loTypeId="urn:microsoft.com/office/officeart/2005/8/layout/pyramid3" loCatId="pyramid" qsTypeId="urn:microsoft.com/office/officeart/2005/8/quickstyle/simple1" qsCatId="simple" csTypeId="urn:microsoft.com/office/officeart/2005/8/colors/accent1_2" csCatId="accent1" phldr="1"/>
      <dgm:spPr>
        <a:scene3d>
          <a:camera prst="orthographicFront">
            <a:rot lat="0" lon="0" rev="0"/>
          </a:camera>
          <a:lightRig rig="balanced" dir="t">
            <a:rot lat="0" lon="0" rev="8700000"/>
          </a:lightRig>
        </a:scene3d>
      </dgm:spPr>
    </dgm:pt>
    <dgm:pt modelId="{5353600E-8144-4290-80A7-AAB93D50A496}">
      <dgm:prSet phldrT="[Text]" custT="1"/>
      <dgm:spPr>
        <a:solidFill>
          <a:schemeClr val="tx1"/>
        </a:solidFill>
        <a:ln>
          <a:solidFill>
            <a:schemeClr val="tx1"/>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AU" sz="900">
              <a:solidFill>
                <a:schemeClr val="bg1"/>
              </a:solidFill>
            </a:rPr>
            <a:t>Fatality</a:t>
          </a:r>
        </a:p>
      </dgm:t>
    </dgm:pt>
    <dgm:pt modelId="{34AF3C28-A5E2-4AAA-9F38-3BC36F4E026C}" type="parTrans" cxnId="{1D411D70-2552-4EDC-9AC8-D925E302E182}">
      <dgm:prSet/>
      <dgm:spPr/>
      <dgm:t>
        <a:bodyPr/>
        <a:lstStyle/>
        <a:p>
          <a:endParaRPr lang="en-AU" sz="900"/>
        </a:p>
      </dgm:t>
    </dgm:pt>
    <dgm:pt modelId="{BBA62D21-50DC-4504-AD5A-2589D9F08044}" type="sibTrans" cxnId="{1D411D70-2552-4EDC-9AC8-D925E302E182}">
      <dgm:prSet/>
      <dgm:spPr/>
      <dgm:t>
        <a:bodyPr/>
        <a:lstStyle/>
        <a:p>
          <a:endParaRPr lang="en-AU" sz="900"/>
        </a:p>
      </dgm:t>
    </dgm:pt>
    <dgm:pt modelId="{0C0130E8-D6DF-49FC-AED6-2EC80F6FC4CA}">
      <dgm:prSet phldrT="[Text]" custT="1"/>
      <dgm:spPr>
        <a:solidFill>
          <a:schemeClr val="tx1"/>
        </a:solidFill>
        <a:ln>
          <a:solidFill>
            <a:schemeClr val="accent2">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AU" sz="900">
              <a:solidFill>
                <a:schemeClr val="bg1"/>
              </a:solidFill>
            </a:rPr>
            <a:t>Total Permanent impairment</a:t>
          </a:r>
        </a:p>
      </dgm:t>
    </dgm:pt>
    <dgm:pt modelId="{C3D2B387-2D08-40FE-B569-1C9E758B74DB}" type="parTrans" cxnId="{32ECCA7E-DEFF-45F4-9ECD-7810E80CEF37}">
      <dgm:prSet/>
      <dgm:spPr/>
      <dgm:t>
        <a:bodyPr/>
        <a:lstStyle/>
        <a:p>
          <a:endParaRPr lang="en-AU" sz="900"/>
        </a:p>
      </dgm:t>
    </dgm:pt>
    <dgm:pt modelId="{6709F0CC-8A06-404C-9503-9B0CB8451622}" type="sibTrans" cxnId="{32ECCA7E-DEFF-45F4-9ECD-7810E80CEF37}">
      <dgm:prSet/>
      <dgm:spPr/>
      <dgm:t>
        <a:bodyPr/>
        <a:lstStyle/>
        <a:p>
          <a:endParaRPr lang="en-AU" sz="900"/>
        </a:p>
      </dgm:t>
    </dgm:pt>
    <dgm:pt modelId="{39D12762-CA54-4C7D-AECD-7BEC52D10165}">
      <dgm:prSet phldrT="[Text]" custT="1"/>
      <dgm:spPr>
        <a:solidFill>
          <a:schemeClr val="accent2">
            <a:lumMod val="75000"/>
          </a:schemeClr>
        </a:solidFill>
        <a:ln>
          <a:solidFill>
            <a:schemeClr val="accent2">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AU" sz="900">
              <a:solidFill>
                <a:schemeClr val="bg1"/>
              </a:solidFill>
            </a:rPr>
            <a:t>Partial permanent impairment</a:t>
          </a:r>
        </a:p>
      </dgm:t>
    </dgm:pt>
    <dgm:pt modelId="{3DA53B86-5083-4050-943B-7D2CE2789CDD}" type="parTrans" cxnId="{B1414450-5B3E-495B-A411-9339FD61C80B}">
      <dgm:prSet/>
      <dgm:spPr/>
      <dgm:t>
        <a:bodyPr/>
        <a:lstStyle/>
        <a:p>
          <a:endParaRPr lang="en-AU" sz="900"/>
        </a:p>
      </dgm:t>
    </dgm:pt>
    <dgm:pt modelId="{3FD60DFD-4E33-4547-8547-73A3F575602E}" type="sibTrans" cxnId="{B1414450-5B3E-495B-A411-9339FD61C80B}">
      <dgm:prSet/>
      <dgm:spPr/>
      <dgm:t>
        <a:bodyPr/>
        <a:lstStyle/>
        <a:p>
          <a:endParaRPr lang="en-AU" sz="900"/>
        </a:p>
      </dgm:t>
    </dgm:pt>
    <dgm:pt modelId="{7A9CD166-7764-440E-A9C6-B7EF409D9A84}">
      <dgm:prSet custT="1"/>
      <dgm:spPr>
        <a:solidFill>
          <a:schemeClr val="accent2">
            <a:lumMod val="75000"/>
          </a:schemeClr>
        </a:solidFill>
        <a:ln>
          <a:solidFill>
            <a:schemeClr val="accent2">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AU" sz="900">
              <a:solidFill>
                <a:schemeClr val="bg1"/>
              </a:solidFill>
            </a:rPr>
            <a:t>Long term temporary impairment (&gt;6mths)</a:t>
          </a:r>
        </a:p>
      </dgm:t>
    </dgm:pt>
    <dgm:pt modelId="{818E8B8E-2936-488F-8DE9-646D0F37F4AE}" type="parTrans" cxnId="{0328D62B-B14B-4C9F-84E0-7147C1C2C6CD}">
      <dgm:prSet/>
      <dgm:spPr/>
      <dgm:t>
        <a:bodyPr/>
        <a:lstStyle/>
        <a:p>
          <a:endParaRPr lang="en-AU" sz="900"/>
        </a:p>
      </dgm:t>
    </dgm:pt>
    <dgm:pt modelId="{4F773246-BC7B-4965-96EC-ABA73BB43146}" type="sibTrans" cxnId="{0328D62B-B14B-4C9F-84E0-7147C1C2C6CD}">
      <dgm:prSet/>
      <dgm:spPr/>
      <dgm:t>
        <a:bodyPr/>
        <a:lstStyle/>
        <a:p>
          <a:endParaRPr lang="en-AU" sz="900"/>
        </a:p>
      </dgm:t>
    </dgm:pt>
    <dgm:pt modelId="{900C11F9-E095-4F0F-B68D-C30EBA896A0F}">
      <dgm:prSet custT="1"/>
      <dgm:spPr>
        <a:solidFill>
          <a:schemeClr val="accent2">
            <a:lumMod val="60000"/>
            <a:lumOff val="40000"/>
          </a:schemeClr>
        </a:solidFill>
        <a:ln>
          <a:solidFill>
            <a:schemeClr val="accent2">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AU" sz="900">
              <a:solidFill>
                <a:sysClr val="windowText" lastClr="000000"/>
              </a:solidFill>
            </a:rPr>
            <a:t>Moderate temporary      impairment</a:t>
          </a:r>
          <a:endParaRPr lang="en-AU" sz="900" i="1">
            <a:solidFill>
              <a:sysClr val="windowText" lastClr="000000"/>
            </a:solidFill>
          </a:endParaRPr>
        </a:p>
      </dgm:t>
    </dgm:pt>
    <dgm:pt modelId="{3ABB0FE0-8B44-4704-9A4D-1D48AB25FA05}" type="parTrans" cxnId="{7570D956-02B0-4E5C-B347-0C8E8DC49A43}">
      <dgm:prSet/>
      <dgm:spPr/>
      <dgm:t>
        <a:bodyPr/>
        <a:lstStyle/>
        <a:p>
          <a:endParaRPr lang="en-AU" sz="900"/>
        </a:p>
      </dgm:t>
    </dgm:pt>
    <dgm:pt modelId="{4C46998B-679B-4003-A1C5-D3DDF62E2B8A}" type="sibTrans" cxnId="{7570D956-02B0-4E5C-B347-0C8E8DC49A43}">
      <dgm:prSet/>
      <dgm:spPr/>
      <dgm:t>
        <a:bodyPr/>
        <a:lstStyle/>
        <a:p>
          <a:endParaRPr lang="en-AU" sz="900"/>
        </a:p>
      </dgm:t>
    </dgm:pt>
    <dgm:pt modelId="{B796E0A0-8C20-4689-B3C1-ED3762538996}">
      <dgm:prSet custT="1"/>
      <dgm:spPr>
        <a:solidFill>
          <a:schemeClr val="accent2">
            <a:lumMod val="60000"/>
            <a:lumOff val="40000"/>
          </a:schemeClr>
        </a:solidFill>
        <a:ln>
          <a:solidFill>
            <a:schemeClr val="accent2">
              <a:lumMod val="75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nSpc>
              <a:spcPct val="80000"/>
            </a:lnSpc>
          </a:pPr>
          <a:r>
            <a:rPr lang="en-AU" sz="900" kern="1000" baseline="0">
              <a:solidFill>
                <a:sysClr val="windowText" lastClr="000000"/>
              </a:solidFill>
            </a:rPr>
            <a:t>Short term temporary                impairment</a:t>
          </a:r>
        </a:p>
      </dgm:t>
    </dgm:pt>
    <dgm:pt modelId="{1F77E8BF-A3CF-4903-B7A5-47BEDBFDE7D6}" type="parTrans" cxnId="{847A3A83-671D-4A7C-885E-28B0EB775DED}">
      <dgm:prSet/>
      <dgm:spPr/>
      <dgm:t>
        <a:bodyPr/>
        <a:lstStyle/>
        <a:p>
          <a:endParaRPr lang="en-AU" sz="900"/>
        </a:p>
      </dgm:t>
    </dgm:pt>
    <dgm:pt modelId="{2A0A9B27-39E9-4880-8D75-D446CA05687A}" type="sibTrans" cxnId="{847A3A83-671D-4A7C-885E-28B0EB775DED}">
      <dgm:prSet/>
      <dgm:spPr/>
      <dgm:t>
        <a:bodyPr/>
        <a:lstStyle/>
        <a:p>
          <a:endParaRPr lang="en-AU" sz="900"/>
        </a:p>
      </dgm:t>
    </dgm:pt>
    <dgm:pt modelId="{9DA99110-A061-42BC-980F-91F2D84ED103}">
      <dgm:prSet custT="1"/>
      <dgm:spPr>
        <a:solidFill>
          <a:schemeClr val="accent2">
            <a:lumMod val="20000"/>
            <a:lumOff val="80000"/>
          </a:schemeClr>
        </a:solidFill>
        <a:ln>
          <a:solidFill>
            <a:schemeClr val="accent2">
              <a:lumMod val="60000"/>
              <a:lumOff val="40000"/>
            </a:schemeClr>
          </a:solid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nSpc>
              <a:spcPct val="80000"/>
            </a:lnSpc>
          </a:pPr>
          <a:r>
            <a:rPr lang="en-AU" sz="900"/>
            <a:t>Medical/first                            aid, no                      impair-            ment</a:t>
          </a:r>
        </a:p>
        <a:p>
          <a:pPr>
            <a:lnSpc>
              <a:spcPct val="90000"/>
            </a:lnSpc>
          </a:pPr>
          <a:endParaRPr lang="en-AU" sz="500"/>
        </a:p>
      </dgm:t>
    </dgm:pt>
    <dgm:pt modelId="{ED10E884-41D0-478B-AA3C-71EA2CAA5256}" type="parTrans" cxnId="{817F99CB-D698-4020-9DC1-A4CA71737D5C}">
      <dgm:prSet/>
      <dgm:spPr/>
      <dgm:t>
        <a:bodyPr/>
        <a:lstStyle/>
        <a:p>
          <a:endParaRPr lang="en-AU" sz="900"/>
        </a:p>
      </dgm:t>
    </dgm:pt>
    <dgm:pt modelId="{54013B5A-B13B-4BD2-98FE-C5C17C94AD18}" type="sibTrans" cxnId="{817F99CB-D698-4020-9DC1-A4CA71737D5C}">
      <dgm:prSet/>
      <dgm:spPr/>
      <dgm:t>
        <a:bodyPr/>
        <a:lstStyle/>
        <a:p>
          <a:endParaRPr lang="en-AU" sz="900"/>
        </a:p>
      </dgm:t>
    </dgm:pt>
    <dgm:pt modelId="{90C66338-E082-4967-B49F-38CD274B59A4}" type="pres">
      <dgm:prSet presAssocID="{C52ECE2E-C64A-4112-8622-A4F8899F55EC}" presName="Name0" presStyleCnt="0">
        <dgm:presLayoutVars>
          <dgm:dir/>
          <dgm:animLvl val="lvl"/>
          <dgm:resizeHandles val="exact"/>
        </dgm:presLayoutVars>
      </dgm:prSet>
      <dgm:spPr/>
    </dgm:pt>
    <dgm:pt modelId="{39FA5B4E-1347-4777-BB85-91E1470F3492}" type="pres">
      <dgm:prSet presAssocID="{5353600E-8144-4290-80A7-AAB93D50A496}" presName="Name8" presStyleCnt="0"/>
      <dgm:spPr/>
    </dgm:pt>
    <dgm:pt modelId="{FF310949-D5C9-44DF-BC89-1F85B7CF9912}" type="pres">
      <dgm:prSet presAssocID="{5353600E-8144-4290-80A7-AAB93D50A496}" presName="level" presStyleLbl="node1" presStyleIdx="0" presStyleCnt="7" custScaleY="92676">
        <dgm:presLayoutVars>
          <dgm:chMax val="1"/>
          <dgm:bulletEnabled val="1"/>
        </dgm:presLayoutVars>
      </dgm:prSet>
      <dgm:spPr/>
      <dgm:t>
        <a:bodyPr/>
        <a:lstStyle/>
        <a:p>
          <a:endParaRPr lang="en-AU"/>
        </a:p>
      </dgm:t>
    </dgm:pt>
    <dgm:pt modelId="{5948417B-51BF-4412-B26A-B8DC02DA3522}" type="pres">
      <dgm:prSet presAssocID="{5353600E-8144-4290-80A7-AAB93D50A496}" presName="levelTx" presStyleLbl="revTx" presStyleIdx="0" presStyleCnt="0">
        <dgm:presLayoutVars>
          <dgm:chMax val="1"/>
          <dgm:bulletEnabled val="1"/>
        </dgm:presLayoutVars>
      </dgm:prSet>
      <dgm:spPr/>
      <dgm:t>
        <a:bodyPr/>
        <a:lstStyle/>
        <a:p>
          <a:endParaRPr lang="en-AU"/>
        </a:p>
      </dgm:t>
    </dgm:pt>
    <dgm:pt modelId="{E6310D81-7A88-400D-9DB0-CDF7336B65EF}" type="pres">
      <dgm:prSet presAssocID="{0C0130E8-D6DF-49FC-AED6-2EC80F6FC4CA}" presName="Name8" presStyleCnt="0"/>
      <dgm:spPr/>
    </dgm:pt>
    <dgm:pt modelId="{347081F9-D55A-4DD5-8DAF-23C4D29154B5}" type="pres">
      <dgm:prSet presAssocID="{0C0130E8-D6DF-49FC-AED6-2EC80F6FC4CA}" presName="level" presStyleLbl="node1" presStyleIdx="1" presStyleCnt="7" custScaleY="99146">
        <dgm:presLayoutVars>
          <dgm:chMax val="1"/>
          <dgm:bulletEnabled val="1"/>
        </dgm:presLayoutVars>
      </dgm:prSet>
      <dgm:spPr/>
      <dgm:t>
        <a:bodyPr/>
        <a:lstStyle/>
        <a:p>
          <a:endParaRPr lang="en-AU"/>
        </a:p>
      </dgm:t>
    </dgm:pt>
    <dgm:pt modelId="{E6288118-BE48-4599-96BA-5E56C6CD71A9}" type="pres">
      <dgm:prSet presAssocID="{0C0130E8-D6DF-49FC-AED6-2EC80F6FC4CA}" presName="levelTx" presStyleLbl="revTx" presStyleIdx="0" presStyleCnt="0">
        <dgm:presLayoutVars>
          <dgm:chMax val="1"/>
          <dgm:bulletEnabled val="1"/>
        </dgm:presLayoutVars>
      </dgm:prSet>
      <dgm:spPr/>
      <dgm:t>
        <a:bodyPr/>
        <a:lstStyle/>
        <a:p>
          <a:endParaRPr lang="en-AU"/>
        </a:p>
      </dgm:t>
    </dgm:pt>
    <dgm:pt modelId="{314E2238-FB37-4FE0-8647-800FCAFD74FC}" type="pres">
      <dgm:prSet presAssocID="{39D12762-CA54-4C7D-AECD-7BEC52D10165}" presName="Name8" presStyleCnt="0"/>
      <dgm:spPr/>
    </dgm:pt>
    <dgm:pt modelId="{606B125D-BE1D-40D6-997C-582177D45D38}" type="pres">
      <dgm:prSet presAssocID="{39D12762-CA54-4C7D-AECD-7BEC52D10165}" presName="level" presStyleLbl="node1" presStyleIdx="2" presStyleCnt="7" custScaleY="91320">
        <dgm:presLayoutVars>
          <dgm:chMax val="1"/>
          <dgm:bulletEnabled val="1"/>
        </dgm:presLayoutVars>
      </dgm:prSet>
      <dgm:spPr/>
      <dgm:t>
        <a:bodyPr/>
        <a:lstStyle/>
        <a:p>
          <a:endParaRPr lang="en-AU"/>
        </a:p>
      </dgm:t>
    </dgm:pt>
    <dgm:pt modelId="{7EB76DAA-775A-40A3-A263-58616211949A}" type="pres">
      <dgm:prSet presAssocID="{39D12762-CA54-4C7D-AECD-7BEC52D10165}" presName="levelTx" presStyleLbl="revTx" presStyleIdx="0" presStyleCnt="0">
        <dgm:presLayoutVars>
          <dgm:chMax val="1"/>
          <dgm:bulletEnabled val="1"/>
        </dgm:presLayoutVars>
      </dgm:prSet>
      <dgm:spPr/>
      <dgm:t>
        <a:bodyPr/>
        <a:lstStyle/>
        <a:p>
          <a:endParaRPr lang="en-AU"/>
        </a:p>
      </dgm:t>
    </dgm:pt>
    <dgm:pt modelId="{9EC20239-7070-40DB-BF97-25C6B29B9081}" type="pres">
      <dgm:prSet presAssocID="{7A9CD166-7764-440E-A9C6-B7EF409D9A84}" presName="Name8" presStyleCnt="0"/>
      <dgm:spPr/>
    </dgm:pt>
    <dgm:pt modelId="{58B5987E-AE14-4221-B161-589507252358}" type="pres">
      <dgm:prSet presAssocID="{7A9CD166-7764-440E-A9C6-B7EF409D9A84}" presName="level" presStyleLbl="node1" presStyleIdx="3" presStyleCnt="7" custScaleY="93795">
        <dgm:presLayoutVars>
          <dgm:chMax val="1"/>
          <dgm:bulletEnabled val="1"/>
        </dgm:presLayoutVars>
      </dgm:prSet>
      <dgm:spPr/>
      <dgm:t>
        <a:bodyPr/>
        <a:lstStyle/>
        <a:p>
          <a:endParaRPr lang="en-AU"/>
        </a:p>
      </dgm:t>
    </dgm:pt>
    <dgm:pt modelId="{881604A2-22C5-4789-B80B-E85201785ECE}" type="pres">
      <dgm:prSet presAssocID="{7A9CD166-7764-440E-A9C6-B7EF409D9A84}" presName="levelTx" presStyleLbl="revTx" presStyleIdx="0" presStyleCnt="0">
        <dgm:presLayoutVars>
          <dgm:chMax val="1"/>
          <dgm:bulletEnabled val="1"/>
        </dgm:presLayoutVars>
      </dgm:prSet>
      <dgm:spPr/>
      <dgm:t>
        <a:bodyPr/>
        <a:lstStyle/>
        <a:p>
          <a:endParaRPr lang="en-AU"/>
        </a:p>
      </dgm:t>
    </dgm:pt>
    <dgm:pt modelId="{602A6B90-B6EE-4EB8-AA51-3257C4BD7BF1}" type="pres">
      <dgm:prSet presAssocID="{900C11F9-E095-4F0F-B68D-C30EBA896A0F}" presName="Name8" presStyleCnt="0"/>
      <dgm:spPr/>
    </dgm:pt>
    <dgm:pt modelId="{FAC4C3C6-2B5F-43A7-B57D-5F42DE00D166}" type="pres">
      <dgm:prSet presAssocID="{900C11F9-E095-4F0F-B68D-C30EBA896A0F}" presName="level" presStyleLbl="node1" presStyleIdx="4" presStyleCnt="7" custScaleY="84391">
        <dgm:presLayoutVars>
          <dgm:chMax val="1"/>
          <dgm:bulletEnabled val="1"/>
        </dgm:presLayoutVars>
      </dgm:prSet>
      <dgm:spPr/>
      <dgm:t>
        <a:bodyPr/>
        <a:lstStyle/>
        <a:p>
          <a:endParaRPr lang="en-AU"/>
        </a:p>
      </dgm:t>
    </dgm:pt>
    <dgm:pt modelId="{1B103324-4330-4A22-A677-97EC7B1A0A27}" type="pres">
      <dgm:prSet presAssocID="{900C11F9-E095-4F0F-B68D-C30EBA896A0F}" presName="levelTx" presStyleLbl="revTx" presStyleIdx="0" presStyleCnt="0">
        <dgm:presLayoutVars>
          <dgm:chMax val="1"/>
          <dgm:bulletEnabled val="1"/>
        </dgm:presLayoutVars>
      </dgm:prSet>
      <dgm:spPr/>
      <dgm:t>
        <a:bodyPr/>
        <a:lstStyle/>
        <a:p>
          <a:endParaRPr lang="en-AU"/>
        </a:p>
      </dgm:t>
    </dgm:pt>
    <dgm:pt modelId="{0A18B15F-38FD-4963-86E7-66AE98ED8160}" type="pres">
      <dgm:prSet presAssocID="{B796E0A0-8C20-4689-B3C1-ED3762538996}" presName="Name8" presStyleCnt="0"/>
      <dgm:spPr/>
    </dgm:pt>
    <dgm:pt modelId="{3778731F-5857-49C6-A197-8D83D83B0EEE}" type="pres">
      <dgm:prSet presAssocID="{B796E0A0-8C20-4689-B3C1-ED3762538996}" presName="level" presStyleLbl="node1" presStyleIdx="5" presStyleCnt="7" custScaleY="101286">
        <dgm:presLayoutVars>
          <dgm:chMax val="1"/>
          <dgm:bulletEnabled val="1"/>
        </dgm:presLayoutVars>
      </dgm:prSet>
      <dgm:spPr/>
      <dgm:t>
        <a:bodyPr/>
        <a:lstStyle/>
        <a:p>
          <a:endParaRPr lang="en-AU"/>
        </a:p>
      </dgm:t>
    </dgm:pt>
    <dgm:pt modelId="{256EC8D1-C08F-4D26-995B-20F744ADE2FD}" type="pres">
      <dgm:prSet presAssocID="{B796E0A0-8C20-4689-B3C1-ED3762538996}" presName="levelTx" presStyleLbl="revTx" presStyleIdx="0" presStyleCnt="0">
        <dgm:presLayoutVars>
          <dgm:chMax val="1"/>
          <dgm:bulletEnabled val="1"/>
        </dgm:presLayoutVars>
      </dgm:prSet>
      <dgm:spPr/>
      <dgm:t>
        <a:bodyPr/>
        <a:lstStyle/>
        <a:p>
          <a:endParaRPr lang="en-AU"/>
        </a:p>
      </dgm:t>
    </dgm:pt>
    <dgm:pt modelId="{49C8FF29-16CC-4B32-9C79-958F9C3AE144}" type="pres">
      <dgm:prSet presAssocID="{9DA99110-A061-42BC-980F-91F2D84ED103}" presName="Name8" presStyleCnt="0"/>
      <dgm:spPr/>
    </dgm:pt>
    <dgm:pt modelId="{282359D6-A32F-4274-A8F2-E82504D7CE7D}" type="pres">
      <dgm:prSet presAssocID="{9DA99110-A061-42BC-980F-91F2D84ED103}" presName="level" presStyleLbl="node1" presStyleIdx="6" presStyleCnt="7" custScaleY="201455">
        <dgm:presLayoutVars>
          <dgm:chMax val="1"/>
          <dgm:bulletEnabled val="1"/>
        </dgm:presLayoutVars>
      </dgm:prSet>
      <dgm:spPr/>
      <dgm:t>
        <a:bodyPr/>
        <a:lstStyle/>
        <a:p>
          <a:endParaRPr lang="en-AU"/>
        </a:p>
      </dgm:t>
    </dgm:pt>
    <dgm:pt modelId="{0B3E1DCB-458F-4E54-A806-4F74F90E93AC}" type="pres">
      <dgm:prSet presAssocID="{9DA99110-A061-42BC-980F-91F2D84ED103}" presName="levelTx" presStyleLbl="revTx" presStyleIdx="0" presStyleCnt="0">
        <dgm:presLayoutVars>
          <dgm:chMax val="1"/>
          <dgm:bulletEnabled val="1"/>
        </dgm:presLayoutVars>
      </dgm:prSet>
      <dgm:spPr/>
      <dgm:t>
        <a:bodyPr/>
        <a:lstStyle/>
        <a:p>
          <a:endParaRPr lang="en-AU"/>
        </a:p>
      </dgm:t>
    </dgm:pt>
  </dgm:ptLst>
  <dgm:cxnLst>
    <dgm:cxn modelId="{B1414450-5B3E-495B-A411-9339FD61C80B}" srcId="{C52ECE2E-C64A-4112-8622-A4F8899F55EC}" destId="{39D12762-CA54-4C7D-AECD-7BEC52D10165}" srcOrd="2" destOrd="0" parTransId="{3DA53B86-5083-4050-943B-7D2CE2789CDD}" sibTransId="{3FD60DFD-4E33-4547-8547-73A3F575602E}"/>
    <dgm:cxn modelId="{F7F4BA08-A42B-4755-B6C6-1CA5905E3B7C}" type="presOf" srcId="{39D12762-CA54-4C7D-AECD-7BEC52D10165}" destId="{7EB76DAA-775A-40A3-A263-58616211949A}" srcOrd="1" destOrd="0" presId="urn:microsoft.com/office/officeart/2005/8/layout/pyramid3"/>
    <dgm:cxn modelId="{661705E0-8304-4771-A42E-FCDED4DB0331}" type="presOf" srcId="{7A9CD166-7764-440E-A9C6-B7EF409D9A84}" destId="{58B5987E-AE14-4221-B161-589507252358}" srcOrd="0" destOrd="0" presId="urn:microsoft.com/office/officeart/2005/8/layout/pyramid3"/>
    <dgm:cxn modelId="{7855B07E-0EB5-4872-921C-D9459E29D371}" type="presOf" srcId="{5353600E-8144-4290-80A7-AAB93D50A496}" destId="{5948417B-51BF-4412-B26A-B8DC02DA3522}" srcOrd="1" destOrd="0" presId="urn:microsoft.com/office/officeart/2005/8/layout/pyramid3"/>
    <dgm:cxn modelId="{C1CD82B5-8024-4115-8454-5FE23E6DEB80}" type="presOf" srcId="{900C11F9-E095-4F0F-B68D-C30EBA896A0F}" destId="{FAC4C3C6-2B5F-43A7-B57D-5F42DE00D166}" srcOrd="0" destOrd="0" presId="urn:microsoft.com/office/officeart/2005/8/layout/pyramid3"/>
    <dgm:cxn modelId="{0972608A-6C5D-4F6F-9C76-A82E51C2F00C}" type="presOf" srcId="{0C0130E8-D6DF-49FC-AED6-2EC80F6FC4CA}" destId="{E6288118-BE48-4599-96BA-5E56C6CD71A9}" srcOrd="1" destOrd="0" presId="urn:microsoft.com/office/officeart/2005/8/layout/pyramid3"/>
    <dgm:cxn modelId="{39C17878-6924-4CE1-8524-EFFC6CDD15E0}" type="presOf" srcId="{900C11F9-E095-4F0F-B68D-C30EBA896A0F}" destId="{1B103324-4330-4A22-A677-97EC7B1A0A27}" srcOrd="1" destOrd="0" presId="urn:microsoft.com/office/officeart/2005/8/layout/pyramid3"/>
    <dgm:cxn modelId="{0328D62B-B14B-4C9F-84E0-7147C1C2C6CD}" srcId="{C52ECE2E-C64A-4112-8622-A4F8899F55EC}" destId="{7A9CD166-7764-440E-A9C6-B7EF409D9A84}" srcOrd="3" destOrd="0" parTransId="{818E8B8E-2936-488F-8DE9-646D0F37F4AE}" sibTransId="{4F773246-BC7B-4965-96EC-ABA73BB43146}"/>
    <dgm:cxn modelId="{1D411D70-2552-4EDC-9AC8-D925E302E182}" srcId="{C52ECE2E-C64A-4112-8622-A4F8899F55EC}" destId="{5353600E-8144-4290-80A7-AAB93D50A496}" srcOrd="0" destOrd="0" parTransId="{34AF3C28-A5E2-4AAA-9F38-3BC36F4E026C}" sibTransId="{BBA62D21-50DC-4504-AD5A-2589D9F08044}"/>
    <dgm:cxn modelId="{7570D956-02B0-4E5C-B347-0C8E8DC49A43}" srcId="{C52ECE2E-C64A-4112-8622-A4F8899F55EC}" destId="{900C11F9-E095-4F0F-B68D-C30EBA896A0F}" srcOrd="4" destOrd="0" parTransId="{3ABB0FE0-8B44-4704-9A4D-1D48AB25FA05}" sibTransId="{4C46998B-679B-4003-A1C5-D3DDF62E2B8A}"/>
    <dgm:cxn modelId="{D31C14F3-0E66-4448-B172-C0401F91303D}" type="presOf" srcId="{C52ECE2E-C64A-4112-8622-A4F8899F55EC}" destId="{90C66338-E082-4967-B49F-38CD274B59A4}" srcOrd="0" destOrd="0" presId="urn:microsoft.com/office/officeart/2005/8/layout/pyramid3"/>
    <dgm:cxn modelId="{D2F7E008-4E17-4955-A833-FDC24308DE72}" type="presOf" srcId="{39D12762-CA54-4C7D-AECD-7BEC52D10165}" destId="{606B125D-BE1D-40D6-997C-582177D45D38}" srcOrd="0" destOrd="0" presId="urn:microsoft.com/office/officeart/2005/8/layout/pyramid3"/>
    <dgm:cxn modelId="{1BE42125-66F5-49BE-90F2-0FFDD5A0E3B5}" type="presOf" srcId="{9DA99110-A061-42BC-980F-91F2D84ED103}" destId="{282359D6-A32F-4274-A8F2-E82504D7CE7D}" srcOrd="0" destOrd="0" presId="urn:microsoft.com/office/officeart/2005/8/layout/pyramid3"/>
    <dgm:cxn modelId="{4176692F-7B1A-4B21-8EC3-EE89880F1B94}" type="presOf" srcId="{0C0130E8-D6DF-49FC-AED6-2EC80F6FC4CA}" destId="{347081F9-D55A-4DD5-8DAF-23C4D29154B5}" srcOrd="0" destOrd="0" presId="urn:microsoft.com/office/officeart/2005/8/layout/pyramid3"/>
    <dgm:cxn modelId="{4F967729-E10C-4CAF-98FC-5EB90D5BA795}" type="presOf" srcId="{B796E0A0-8C20-4689-B3C1-ED3762538996}" destId="{3778731F-5857-49C6-A197-8D83D83B0EEE}" srcOrd="0" destOrd="0" presId="urn:microsoft.com/office/officeart/2005/8/layout/pyramid3"/>
    <dgm:cxn modelId="{BCD81E36-E11B-4DD9-A3F0-A2FA0AEB38B7}" type="presOf" srcId="{7A9CD166-7764-440E-A9C6-B7EF409D9A84}" destId="{881604A2-22C5-4789-B80B-E85201785ECE}" srcOrd="1" destOrd="0" presId="urn:microsoft.com/office/officeart/2005/8/layout/pyramid3"/>
    <dgm:cxn modelId="{847A3A83-671D-4A7C-885E-28B0EB775DED}" srcId="{C52ECE2E-C64A-4112-8622-A4F8899F55EC}" destId="{B796E0A0-8C20-4689-B3C1-ED3762538996}" srcOrd="5" destOrd="0" parTransId="{1F77E8BF-A3CF-4903-B7A5-47BEDBFDE7D6}" sibTransId="{2A0A9B27-39E9-4880-8D75-D446CA05687A}"/>
    <dgm:cxn modelId="{32ECCA7E-DEFF-45F4-9ECD-7810E80CEF37}" srcId="{C52ECE2E-C64A-4112-8622-A4F8899F55EC}" destId="{0C0130E8-D6DF-49FC-AED6-2EC80F6FC4CA}" srcOrd="1" destOrd="0" parTransId="{C3D2B387-2D08-40FE-B569-1C9E758B74DB}" sibTransId="{6709F0CC-8A06-404C-9503-9B0CB8451622}"/>
    <dgm:cxn modelId="{B09E6495-6CE9-4189-8B50-5AA021BC3181}" type="presOf" srcId="{5353600E-8144-4290-80A7-AAB93D50A496}" destId="{FF310949-D5C9-44DF-BC89-1F85B7CF9912}" srcOrd="0" destOrd="0" presId="urn:microsoft.com/office/officeart/2005/8/layout/pyramid3"/>
    <dgm:cxn modelId="{957EB1E0-EA18-4394-9A7E-EFCDA10433A3}" type="presOf" srcId="{9DA99110-A061-42BC-980F-91F2D84ED103}" destId="{0B3E1DCB-458F-4E54-A806-4F74F90E93AC}" srcOrd="1" destOrd="0" presId="urn:microsoft.com/office/officeart/2005/8/layout/pyramid3"/>
    <dgm:cxn modelId="{BF98123D-B006-46B7-87F4-266ABB09A9DD}" type="presOf" srcId="{B796E0A0-8C20-4689-B3C1-ED3762538996}" destId="{256EC8D1-C08F-4D26-995B-20F744ADE2FD}" srcOrd="1" destOrd="0" presId="urn:microsoft.com/office/officeart/2005/8/layout/pyramid3"/>
    <dgm:cxn modelId="{817F99CB-D698-4020-9DC1-A4CA71737D5C}" srcId="{C52ECE2E-C64A-4112-8622-A4F8899F55EC}" destId="{9DA99110-A061-42BC-980F-91F2D84ED103}" srcOrd="6" destOrd="0" parTransId="{ED10E884-41D0-478B-AA3C-71EA2CAA5256}" sibTransId="{54013B5A-B13B-4BD2-98FE-C5C17C94AD18}"/>
    <dgm:cxn modelId="{166547A4-E8BA-4D8D-BC7B-6F621F4A0093}" type="presParOf" srcId="{90C66338-E082-4967-B49F-38CD274B59A4}" destId="{39FA5B4E-1347-4777-BB85-91E1470F3492}" srcOrd="0" destOrd="0" presId="urn:microsoft.com/office/officeart/2005/8/layout/pyramid3"/>
    <dgm:cxn modelId="{B8EA3E95-CA05-4E99-A611-C02864C9FB91}" type="presParOf" srcId="{39FA5B4E-1347-4777-BB85-91E1470F3492}" destId="{FF310949-D5C9-44DF-BC89-1F85B7CF9912}" srcOrd="0" destOrd="0" presId="urn:microsoft.com/office/officeart/2005/8/layout/pyramid3"/>
    <dgm:cxn modelId="{EC1EBCC3-CA14-4559-8D56-483B6F52C919}" type="presParOf" srcId="{39FA5B4E-1347-4777-BB85-91E1470F3492}" destId="{5948417B-51BF-4412-B26A-B8DC02DA3522}" srcOrd="1" destOrd="0" presId="urn:microsoft.com/office/officeart/2005/8/layout/pyramid3"/>
    <dgm:cxn modelId="{C18FC39F-53D7-4911-BF2E-B1A0A8E1F0B3}" type="presParOf" srcId="{90C66338-E082-4967-B49F-38CD274B59A4}" destId="{E6310D81-7A88-400D-9DB0-CDF7336B65EF}" srcOrd="1" destOrd="0" presId="urn:microsoft.com/office/officeart/2005/8/layout/pyramid3"/>
    <dgm:cxn modelId="{FAEF20B0-2C98-4A4A-B690-0705D8AD3C36}" type="presParOf" srcId="{E6310D81-7A88-400D-9DB0-CDF7336B65EF}" destId="{347081F9-D55A-4DD5-8DAF-23C4D29154B5}" srcOrd="0" destOrd="0" presId="urn:microsoft.com/office/officeart/2005/8/layout/pyramid3"/>
    <dgm:cxn modelId="{584C28E3-828E-4DC6-93EF-6BC59D706262}" type="presParOf" srcId="{E6310D81-7A88-400D-9DB0-CDF7336B65EF}" destId="{E6288118-BE48-4599-96BA-5E56C6CD71A9}" srcOrd="1" destOrd="0" presId="urn:microsoft.com/office/officeart/2005/8/layout/pyramid3"/>
    <dgm:cxn modelId="{818E816F-C847-4E77-BA84-AE0643DC0AB5}" type="presParOf" srcId="{90C66338-E082-4967-B49F-38CD274B59A4}" destId="{314E2238-FB37-4FE0-8647-800FCAFD74FC}" srcOrd="2" destOrd="0" presId="urn:microsoft.com/office/officeart/2005/8/layout/pyramid3"/>
    <dgm:cxn modelId="{0ADFC186-C443-4647-8242-D0465F0A345C}" type="presParOf" srcId="{314E2238-FB37-4FE0-8647-800FCAFD74FC}" destId="{606B125D-BE1D-40D6-997C-582177D45D38}" srcOrd="0" destOrd="0" presId="urn:microsoft.com/office/officeart/2005/8/layout/pyramid3"/>
    <dgm:cxn modelId="{69D6005D-E1D6-44AF-B974-EC640FAAF3B6}" type="presParOf" srcId="{314E2238-FB37-4FE0-8647-800FCAFD74FC}" destId="{7EB76DAA-775A-40A3-A263-58616211949A}" srcOrd="1" destOrd="0" presId="urn:microsoft.com/office/officeart/2005/8/layout/pyramid3"/>
    <dgm:cxn modelId="{F3D8190D-609E-4AE2-A46C-43219E455E1D}" type="presParOf" srcId="{90C66338-E082-4967-B49F-38CD274B59A4}" destId="{9EC20239-7070-40DB-BF97-25C6B29B9081}" srcOrd="3" destOrd="0" presId="urn:microsoft.com/office/officeart/2005/8/layout/pyramid3"/>
    <dgm:cxn modelId="{4634F1B1-8DC0-4D0F-8AC3-AA8AB072AC80}" type="presParOf" srcId="{9EC20239-7070-40DB-BF97-25C6B29B9081}" destId="{58B5987E-AE14-4221-B161-589507252358}" srcOrd="0" destOrd="0" presId="urn:microsoft.com/office/officeart/2005/8/layout/pyramid3"/>
    <dgm:cxn modelId="{6D4F8D5B-485C-4C1C-BD5B-D3187232C788}" type="presParOf" srcId="{9EC20239-7070-40DB-BF97-25C6B29B9081}" destId="{881604A2-22C5-4789-B80B-E85201785ECE}" srcOrd="1" destOrd="0" presId="urn:microsoft.com/office/officeart/2005/8/layout/pyramid3"/>
    <dgm:cxn modelId="{380002E5-ACBE-48D2-BAAE-F4E9039B575B}" type="presParOf" srcId="{90C66338-E082-4967-B49F-38CD274B59A4}" destId="{602A6B90-B6EE-4EB8-AA51-3257C4BD7BF1}" srcOrd="4" destOrd="0" presId="urn:microsoft.com/office/officeart/2005/8/layout/pyramid3"/>
    <dgm:cxn modelId="{541A74C2-99E0-40C3-830D-A071C2ECD848}" type="presParOf" srcId="{602A6B90-B6EE-4EB8-AA51-3257C4BD7BF1}" destId="{FAC4C3C6-2B5F-43A7-B57D-5F42DE00D166}" srcOrd="0" destOrd="0" presId="urn:microsoft.com/office/officeart/2005/8/layout/pyramid3"/>
    <dgm:cxn modelId="{2012BF2B-F0DC-47B2-BB9B-AC90AAACAAF9}" type="presParOf" srcId="{602A6B90-B6EE-4EB8-AA51-3257C4BD7BF1}" destId="{1B103324-4330-4A22-A677-97EC7B1A0A27}" srcOrd="1" destOrd="0" presId="urn:microsoft.com/office/officeart/2005/8/layout/pyramid3"/>
    <dgm:cxn modelId="{874DD545-0565-49EF-A519-975D6CDACAAE}" type="presParOf" srcId="{90C66338-E082-4967-B49F-38CD274B59A4}" destId="{0A18B15F-38FD-4963-86E7-66AE98ED8160}" srcOrd="5" destOrd="0" presId="urn:microsoft.com/office/officeart/2005/8/layout/pyramid3"/>
    <dgm:cxn modelId="{007BF591-B535-405C-B67F-49FDB606D751}" type="presParOf" srcId="{0A18B15F-38FD-4963-86E7-66AE98ED8160}" destId="{3778731F-5857-49C6-A197-8D83D83B0EEE}" srcOrd="0" destOrd="0" presId="urn:microsoft.com/office/officeart/2005/8/layout/pyramid3"/>
    <dgm:cxn modelId="{0E96D184-8407-4183-A914-D55877E7AB0E}" type="presParOf" srcId="{0A18B15F-38FD-4963-86E7-66AE98ED8160}" destId="{256EC8D1-C08F-4D26-995B-20F744ADE2FD}" srcOrd="1" destOrd="0" presId="urn:microsoft.com/office/officeart/2005/8/layout/pyramid3"/>
    <dgm:cxn modelId="{A9DC249D-F5FD-4478-8B0D-36055AE503F5}" type="presParOf" srcId="{90C66338-E082-4967-B49F-38CD274B59A4}" destId="{49C8FF29-16CC-4B32-9C79-958F9C3AE144}" srcOrd="6" destOrd="0" presId="urn:microsoft.com/office/officeart/2005/8/layout/pyramid3"/>
    <dgm:cxn modelId="{2C30D149-94C8-41D9-BF34-09080F502251}" type="presParOf" srcId="{49C8FF29-16CC-4B32-9C79-958F9C3AE144}" destId="{282359D6-A32F-4274-A8F2-E82504D7CE7D}" srcOrd="0" destOrd="0" presId="urn:microsoft.com/office/officeart/2005/8/layout/pyramid3"/>
    <dgm:cxn modelId="{740E89DB-0B6B-47CA-A788-F01FF09648E2}" type="presParOf" srcId="{49C8FF29-16CC-4B32-9C79-958F9C3AE144}" destId="{0B3E1DCB-458F-4E54-A806-4F74F90E93AC}" srcOrd="1" destOrd="0" presId="urn:microsoft.com/office/officeart/2005/8/layout/pyramid3"/>
  </dgm:cxnLst>
  <dgm:bg>
    <a:effectLst>
      <a:softEdge rad="317500"/>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922F3E6-9908-4E5A-A872-98D08E5AAD38}" type="doc">
      <dgm:prSet loTypeId="urn:microsoft.com/office/officeart/2005/8/layout/process1" loCatId="process" qsTypeId="urn:microsoft.com/office/officeart/2005/8/quickstyle/simple1" qsCatId="simple" csTypeId="urn:microsoft.com/office/officeart/2005/8/colors/accent1_2" csCatId="accent1" phldr="1"/>
      <dgm:spPr/>
    </dgm:pt>
    <dgm:pt modelId="{7E972C40-04C3-4C46-9933-48078B76C8CF}">
      <dgm:prSet phldrT="[Text]"/>
      <dgm:spPr/>
      <dgm:t>
        <a:bodyPr/>
        <a:lstStyle/>
        <a:p>
          <a:r>
            <a:rPr lang="en-AU"/>
            <a:t>Training conducted</a:t>
          </a:r>
        </a:p>
      </dgm:t>
    </dgm:pt>
    <dgm:pt modelId="{AD847320-DB95-4153-9AF7-2BB267285A97}" type="parTrans" cxnId="{2BABC3D2-98D5-40D1-B622-02D9C459A1AF}">
      <dgm:prSet/>
      <dgm:spPr/>
      <dgm:t>
        <a:bodyPr/>
        <a:lstStyle/>
        <a:p>
          <a:endParaRPr lang="en-AU"/>
        </a:p>
      </dgm:t>
    </dgm:pt>
    <dgm:pt modelId="{22DE6DC3-796E-4E49-BFDA-1570F24FD7B9}" type="sibTrans" cxnId="{2BABC3D2-98D5-40D1-B622-02D9C459A1AF}">
      <dgm:prSet/>
      <dgm:spPr>
        <a:solidFill>
          <a:schemeClr val="accent1">
            <a:lumMod val="20000"/>
            <a:lumOff val="80000"/>
          </a:schemeClr>
        </a:solidFill>
        <a:ln>
          <a:solidFill>
            <a:schemeClr val="tx2">
              <a:lumMod val="40000"/>
              <a:lumOff val="60000"/>
            </a:schemeClr>
          </a:solidFill>
        </a:ln>
      </dgm:spPr>
      <dgm:t>
        <a:bodyPr/>
        <a:lstStyle/>
        <a:p>
          <a:endParaRPr lang="en-AU"/>
        </a:p>
      </dgm:t>
    </dgm:pt>
    <dgm:pt modelId="{CF53A15C-BFD8-4D18-979B-C69DE275DC2A}">
      <dgm:prSet phldrT="[Text]"/>
      <dgm:spPr>
        <a:solidFill>
          <a:schemeClr val="accent2"/>
        </a:solidFill>
      </dgm:spPr>
      <dgm:t>
        <a:bodyPr/>
        <a:lstStyle/>
        <a:p>
          <a:r>
            <a:rPr lang="en-AU"/>
            <a:t>work health and safety failure</a:t>
          </a:r>
        </a:p>
      </dgm:t>
    </dgm:pt>
    <dgm:pt modelId="{3FB54F7B-73E8-42BC-A4AA-80D280598713}" type="parTrans" cxnId="{2790E0BC-F143-4B7D-AB32-F3E1AF4B7F1D}">
      <dgm:prSet/>
      <dgm:spPr/>
      <dgm:t>
        <a:bodyPr/>
        <a:lstStyle/>
        <a:p>
          <a:endParaRPr lang="en-AU"/>
        </a:p>
      </dgm:t>
    </dgm:pt>
    <dgm:pt modelId="{29041642-8D48-4E6D-A10D-54C604071A37}" type="sibTrans" cxnId="{2790E0BC-F143-4B7D-AB32-F3E1AF4B7F1D}">
      <dgm:prSet/>
      <dgm:spPr>
        <a:solidFill>
          <a:schemeClr val="accent1">
            <a:lumMod val="20000"/>
            <a:lumOff val="80000"/>
          </a:schemeClr>
        </a:solidFill>
        <a:ln>
          <a:solidFill>
            <a:schemeClr val="tx2">
              <a:lumMod val="40000"/>
              <a:lumOff val="60000"/>
            </a:schemeClr>
          </a:solidFill>
        </a:ln>
      </dgm:spPr>
      <dgm:t>
        <a:bodyPr/>
        <a:lstStyle/>
        <a:p>
          <a:endParaRPr lang="en-AU"/>
        </a:p>
      </dgm:t>
    </dgm:pt>
    <dgm:pt modelId="{B48573AB-7400-4CA4-87A8-21797A2F00AA}">
      <dgm:prSet phldrT="[Text]"/>
      <dgm:spPr/>
      <dgm:t>
        <a:bodyPr/>
        <a:lstStyle/>
        <a:p>
          <a:r>
            <a:rPr lang="en-AU"/>
            <a:t>Injury</a:t>
          </a:r>
        </a:p>
      </dgm:t>
    </dgm:pt>
    <dgm:pt modelId="{2E8F27B2-B999-49F5-B251-A6AA2A9D1787}" type="parTrans" cxnId="{4578A9D9-6ABF-4F1B-AF73-655344E0D7CF}">
      <dgm:prSet/>
      <dgm:spPr/>
      <dgm:t>
        <a:bodyPr/>
        <a:lstStyle/>
        <a:p>
          <a:endParaRPr lang="en-AU"/>
        </a:p>
      </dgm:t>
    </dgm:pt>
    <dgm:pt modelId="{9149E885-2D3E-42E2-8EC6-9B03A6C46318}" type="sibTrans" cxnId="{4578A9D9-6ABF-4F1B-AF73-655344E0D7CF}">
      <dgm:prSet/>
      <dgm:spPr/>
      <dgm:t>
        <a:bodyPr/>
        <a:lstStyle/>
        <a:p>
          <a:endParaRPr lang="en-AU"/>
        </a:p>
      </dgm:t>
    </dgm:pt>
    <dgm:pt modelId="{5B86AC25-1457-46DF-B5C2-D6D7D3A996DD}">
      <dgm:prSet/>
      <dgm:spPr/>
      <dgm:t>
        <a:bodyPr/>
        <a:lstStyle/>
        <a:p>
          <a:r>
            <a:rPr lang="en-AU"/>
            <a:t>Training effectiveness</a:t>
          </a:r>
        </a:p>
      </dgm:t>
    </dgm:pt>
    <dgm:pt modelId="{31F3F56F-F4C5-4DC9-931F-CE15F23649D6}" type="parTrans" cxnId="{9134F60C-DC9A-46C0-AA9C-DDED7B3283FC}">
      <dgm:prSet/>
      <dgm:spPr/>
      <dgm:t>
        <a:bodyPr/>
        <a:lstStyle/>
        <a:p>
          <a:endParaRPr lang="en-AU"/>
        </a:p>
      </dgm:t>
    </dgm:pt>
    <dgm:pt modelId="{F3BD1933-376F-4BB5-90A3-BAF063AE93A4}" type="sibTrans" cxnId="{9134F60C-DC9A-46C0-AA9C-DDED7B3283FC}">
      <dgm:prSet/>
      <dgm:spPr>
        <a:solidFill>
          <a:schemeClr val="accent1">
            <a:lumMod val="20000"/>
            <a:lumOff val="80000"/>
          </a:schemeClr>
        </a:solidFill>
        <a:ln>
          <a:solidFill>
            <a:schemeClr val="tx2">
              <a:lumMod val="40000"/>
              <a:lumOff val="60000"/>
            </a:schemeClr>
          </a:solidFill>
        </a:ln>
      </dgm:spPr>
      <dgm:t>
        <a:bodyPr/>
        <a:lstStyle/>
        <a:p>
          <a:endParaRPr lang="en-AU"/>
        </a:p>
      </dgm:t>
    </dgm:pt>
    <dgm:pt modelId="{366F9933-4E54-482B-AD29-BC79310E64C7}">
      <dgm:prSet/>
      <dgm:spPr>
        <a:solidFill>
          <a:schemeClr val="accent2"/>
        </a:solidFill>
      </dgm:spPr>
      <dgm:t>
        <a:bodyPr/>
        <a:lstStyle/>
        <a:p>
          <a:r>
            <a:rPr lang="en-AU"/>
            <a:t>Training</a:t>
          </a:r>
        </a:p>
      </dgm:t>
    </dgm:pt>
    <dgm:pt modelId="{AFB07135-5E9F-4819-8E0B-475ED7CAEF05}" type="parTrans" cxnId="{C3D7F0CC-BE8C-458A-AF01-B210AF2A943B}">
      <dgm:prSet/>
      <dgm:spPr/>
      <dgm:t>
        <a:bodyPr/>
        <a:lstStyle/>
        <a:p>
          <a:endParaRPr lang="en-AU"/>
        </a:p>
      </dgm:t>
    </dgm:pt>
    <dgm:pt modelId="{3CAEB0C4-0C53-4A8C-A6C2-D72F0AB5D457}" type="sibTrans" cxnId="{C3D7F0CC-BE8C-458A-AF01-B210AF2A943B}">
      <dgm:prSet/>
      <dgm:spPr>
        <a:solidFill>
          <a:schemeClr val="accent1">
            <a:lumMod val="20000"/>
            <a:lumOff val="80000"/>
          </a:schemeClr>
        </a:solidFill>
        <a:ln>
          <a:solidFill>
            <a:schemeClr val="tx2">
              <a:lumMod val="40000"/>
              <a:lumOff val="60000"/>
            </a:schemeClr>
          </a:solidFill>
        </a:ln>
      </dgm:spPr>
      <dgm:t>
        <a:bodyPr/>
        <a:lstStyle/>
        <a:p>
          <a:endParaRPr lang="en-AU"/>
        </a:p>
      </dgm:t>
    </dgm:pt>
    <dgm:pt modelId="{7FCF8928-3CD8-45BA-8040-6D8825AD76EA}" type="pres">
      <dgm:prSet presAssocID="{6922F3E6-9908-4E5A-A872-98D08E5AAD38}" presName="Name0" presStyleCnt="0">
        <dgm:presLayoutVars>
          <dgm:dir/>
          <dgm:resizeHandles val="exact"/>
        </dgm:presLayoutVars>
      </dgm:prSet>
      <dgm:spPr/>
    </dgm:pt>
    <dgm:pt modelId="{8934E913-0F22-4F41-946E-914D64FB2CA0}" type="pres">
      <dgm:prSet presAssocID="{7E972C40-04C3-4C46-9933-48078B76C8CF}" presName="node" presStyleLbl="node1" presStyleIdx="0" presStyleCnt="5" custAng="0">
        <dgm:presLayoutVars>
          <dgm:bulletEnabled val="1"/>
        </dgm:presLayoutVars>
      </dgm:prSet>
      <dgm:spPr/>
      <dgm:t>
        <a:bodyPr/>
        <a:lstStyle/>
        <a:p>
          <a:endParaRPr lang="en-AU"/>
        </a:p>
      </dgm:t>
    </dgm:pt>
    <dgm:pt modelId="{DCFA65CB-01E0-48B5-BDFF-EA8FFB03A5E8}" type="pres">
      <dgm:prSet presAssocID="{22DE6DC3-796E-4E49-BFDA-1570F24FD7B9}" presName="sibTrans" presStyleLbl="sibTrans2D1" presStyleIdx="0" presStyleCnt="4"/>
      <dgm:spPr/>
      <dgm:t>
        <a:bodyPr/>
        <a:lstStyle/>
        <a:p>
          <a:endParaRPr lang="en-AU"/>
        </a:p>
      </dgm:t>
    </dgm:pt>
    <dgm:pt modelId="{2EFFB9AB-42C6-408C-859A-0856D0FEEF99}" type="pres">
      <dgm:prSet presAssocID="{22DE6DC3-796E-4E49-BFDA-1570F24FD7B9}" presName="connectorText" presStyleLbl="sibTrans2D1" presStyleIdx="0" presStyleCnt="4"/>
      <dgm:spPr/>
      <dgm:t>
        <a:bodyPr/>
        <a:lstStyle/>
        <a:p>
          <a:endParaRPr lang="en-AU"/>
        </a:p>
      </dgm:t>
    </dgm:pt>
    <dgm:pt modelId="{A3B6BBB9-7560-47DA-AAA2-D2B9A87C6390}" type="pres">
      <dgm:prSet presAssocID="{366F9933-4E54-482B-AD29-BC79310E64C7}" presName="node" presStyleLbl="node1" presStyleIdx="1" presStyleCnt="5">
        <dgm:presLayoutVars>
          <dgm:bulletEnabled val="1"/>
        </dgm:presLayoutVars>
      </dgm:prSet>
      <dgm:spPr>
        <a:prstGeom prst="flowChartDecision">
          <a:avLst/>
        </a:prstGeom>
      </dgm:spPr>
      <dgm:t>
        <a:bodyPr/>
        <a:lstStyle/>
        <a:p>
          <a:endParaRPr lang="en-AU"/>
        </a:p>
      </dgm:t>
    </dgm:pt>
    <dgm:pt modelId="{92544D10-C35C-4E92-AABA-7C22583EED63}" type="pres">
      <dgm:prSet presAssocID="{3CAEB0C4-0C53-4A8C-A6C2-D72F0AB5D457}" presName="sibTrans" presStyleLbl="sibTrans2D1" presStyleIdx="1" presStyleCnt="4"/>
      <dgm:spPr/>
      <dgm:t>
        <a:bodyPr/>
        <a:lstStyle/>
        <a:p>
          <a:endParaRPr lang="en-AU"/>
        </a:p>
      </dgm:t>
    </dgm:pt>
    <dgm:pt modelId="{29046D2D-683E-43B0-8A2E-A43EE44FC562}" type="pres">
      <dgm:prSet presAssocID="{3CAEB0C4-0C53-4A8C-A6C2-D72F0AB5D457}" presName="connectorText" presStyleLbl="sibTrans2D1" presStyleIdx="1" presStyleCnt="4"/>
      <dgm:spPr/>
      <dgm:t>
        <a:bodyPr/>
        <a:lstStyle/>
        <a:p>
          <a:endParaRPr lang="en-AU"/>
        </a:p>
      </dgm:t>
    </dgm:pt>
    <dgm:pt modelId="{CA1C58C3-6AB3-4F6C-A09E-21A8BAD864E1}" type="pres">
      <dgm:prSet presAssocID="{5B86AC25-1457-46DF-B5C2-D6D7D3A996DD}" presName="node" presStyleLbl="node1" presStyleIdx="2" presStyleCnt="5">
        <dgm:presLayoutVars>
          <dgm:bulletEnabled val="1"/>
        </dgm:presLayoutVars>
      </dgm:prSet>
      <dgm:spPr/>
      <dgm:t>
        <a:bodyPr/>
        <a:lstStyle/>
        <a:p>
          <a:endParaRPr lang="en-AU"/>
        </a:p>
      </dgm:t>
    </dgm:pt>
    <dgm:pt modelId="{D2723EAB-EFCD-4A53-AE06-33A2F1D00621}" type="pres">
      <dgm:prSet presAssocID="{F3BD1933-376F-4BB5-90A3-BAF063AE93A4}" presName="sibTrans" presStyleLbl="sibTrans2D1" presStyleIdx="2" presStyleCnt="4" custLinFactNeighborX="18034"/>
      <dgm:spPr/>
      <dgm:t>
        <a:bodyPr/>
        <a:lstStyle/>
        <a:p>
          <a:endParaRPr lang="en-AU"/>
        </a:p>
      </dgm:t>
    </dgm:pt>
    <dgm:pt modelId="{0F08AABE-2114-4B8C-BDCA-665EABCB6C21}" type="pres">
      <dgm:prSet presAssocID="{F3BD1933-376F-4BB5-90A3-BAF063AE93A4}" presName="connectorText" presStyleLbl="sibTrans2D1" presStyleIdx="2" presStyleCnt="4"/>
      <dgm:spPr/>
      <dgm:t>
        <a:bodyPr/>
        <a:lstStyle/>
        <a:p>
          <a:endParaRPr lang="en-AU"/>
        </a:p>
      </dgm:t>
    </dgm:pt>
    <dgm:pt modelId="{5F830B5D-355D-4D3C-98E7-251BE7B9C907}" type="pres">
      <dgm:prSet presAssocID="{CF53A15C-BFD8-4D18-979B-C69DE275DC2A}" presName="node" presStyleLbl="node1" presStyleIdx="3" presStyleCnt="5" custLinFactNeighborX="5735">
        <dgm:presLayoutVars>
          <dgm:bulletEnabled val="1"/>
        </dgm:presLayoutVars>
      </dgm:prSet>
      <dgm:spPr>
        <a:prstGeom prst="flowChartDecision">
          <a:avLst/>
        </a:prstGeom>
      </dgm:spPr>
      <dgm:t>
        <a:bodyPr/>
        <a:lstStyle/>
        <a:p>
          <a:endParaRPr lang="en-AU"/>
        </a:p>
      </dgm:t>
    </dgm:pt>
    <dgm:pt modelId="{9752D746-EE73-4BC2-937C-D3D002071323}" type="pres">
      <dgm:prSet presAssocID="{29041642-8D48-4E6D-A10D-54C604071A37}" presName="sibTrans" presStyleLbl="sibTrans2D1" presStyleIdx="3" presStyleCnt="4"/>
      <dgm:spPr/>
      <dgm:t>
        <a:bodyPr/>
        <a:lstStyle/>
        <a:p>
          <a:endParaRPr lang="en-AU"/>
        </a:p>
      </dgm:t>
    </dgm:pt>
    <dgm:pt modelId="{AA470799-B200-4BB9-AF0F-92A4F5ADC01D}" type="pres">
      <dgm:prSet presAssocID="{29041642-8D48-4E6D-A10D-54C604071A37}" presName="connectorText" presStyleLbl="sibTrans2D1" presStyleIdx="3" presStyleCnt="4"/>
      <dgm:spPr/>
      <dgm:t>
        <a:bodyPr/>
        <a:lstStyle/>
        <a:p>
          <a:endParaRPr lang="en-AU"/>
        </a:p>
      </dgm:t>
    </dgm:pt>
    <dgm:pt modelId="{0D3671C1-3C78-41FE-B015-0D510D3AAC6F}" type="pres">
      <dgm:prSet presAssocID="{B48573AB-7400-4CA4-87A8-21797A2F00AA}" presName="node" presStyleLbl="node1" presStyleIdx="4" presStyleCnt="5">
        <dgm:presLayoutVars>
          <dgm:bulletEnabled val="1"/>
        </dgm:presLayoutVars>
      </dgm:prSet>
      <dgm:spPr/>
      <dgm:t>
        <a:bodyPr/>
        <a:lstStyle/>
        <a:p>
          <a:endParaRPr lang="en-AU"/>
        </a:p>
      </dgm:t>
    </dgm:pt>
  </dgm:ptLst>
  <dgm:cxnLst>
    <dgm:cxn modelId="{7CF4CBD2-24EF-4266-8342-729C967165E7}" type="presOf" srcId="{3CAEB0C4-0C53-4A8C-A6C2-D72F0AB5D457}" destId="{29046D2D-683E-43B0-8A2E-A43EE44FC562}" srcOrd="1" destOrd="0" presId="urn:microsoft.com/office/officeart/2005/8/layout/process1"/>
    <dgm:cxn modelId="{2790E0BC-F143-4B7D-AB32-F3E1AF4B7F1D}" srcId="{6922F3E6-9908-4E5A-A872-98D08E5AAD38}" destId="{CF53A15C-BFD8-4D18-979B-C69DE275DC2A}" srcOrd="3" destOrd="0" parTransId="{3FB54F7B-73E8-42BC-A4AA-80D280598713}" sibTransId="{29041642-8D48-4E6D-A10D-54C604071A37}"/>
    <dgm:cxn modelId="{43010A56-8870-4520-9091-8361B9B50AC2}" type="presOf" srcId="{7E972C40-04C3-4C46-9933-48078B76C8CF}" destId="{8934E913-0F22-4F41-946E-914D64FB2CA0}" srcOrd="0" destOrd="0" presId="urn:microsoft.com/office/officeart/2005/8/layout/process1"/>
    <dgm:cxn modelId="{AE3C6D2E-8A3D-46D2-AF1B-62E6BA89D18A}" type="presOf" srcId="{22DE6DC3-796E-4E49-BFDA-1570F24FD7B9}" destId="{2EFFB9AB-42C6-408C-859A-0856D0FEEF99}" srcOrd="1" destOrd="0" presId="urn:microsoft.com/office/officeart/2005/8/layout/process1"/>
    <dgm:cxn modelId="{C3D7F0CC-BE8C-458A-AF01-B210AF2A943B}" srcId="{6922F3E6-9908-4E5A-A872-98D08E5AAD38}" destId="{366F9933-4E54-482B-AD29-BC79310E64C7}" srcOrd="1" destOrd="0" parTransId="{AFB07135-5E9F-4819-8E0B-475ED7CAEF05}" sibTransId="{3CAEB0C4-0C53-4A8C-A6C2-D72F0AB5D457}"/>
    <dgm:cxn modelId="{DEC04B62-437E-433C-BAF3-243A9EE74223}" type="presOf" srcId="{F3BD1933-376F-4BB5-90A3-BAF063AE93A4}" destId="{D2723EAB-EFCD-4A53-AE06-33A2F1D00621}" srcOrd="0" destOrd="0" presId="urn:microsoft.com/office/officeart/2005/8/layout/process1"/>
    <dgm:cxn modelId="{7D0BA333-22E7-4017-A605-B293C568690D}" type="presOf" srcId="{5B86AC25-1457-46DF-B5C2-D6D7D3A996DD}" destId="{CA1C58C3-6AB3-4F6C-A09E-21A8BAD864E1}" srcOrd="0" destOrd="0" presId="urn:microsoft.com/office/officeart/2005/8/layout/process1"/>
    <dgm:cxn modelId="{4578A9D9-6ABF-4F1B-AF73-655344E0D7CF}" srcId="{6922F3E6-9908-4E5A-A872-98D08E5AAD38}" destId="{B48573AB-7400-4CA4-87A8-21797A2F00AA}" srcOrd="4" destOrd="0" parTransId="{2E8F27B2-B999-49F5-B251-A6AA2A9D1787}" sibTransId="{9149E885-2D3E-42E2-8EC6-9B03A6C46318}"/>
    <dgm:cxn modelId="{9D14D7A7-2DED-412E-BD01-96EADEEA1ED0}" type="presOf" srcId="{3CAEB0C4-0C53-4A8C-A6C2-D72F0AB5D457}" destId="{92544D10-C35C-4E92-AABA-7C22583EED63}" srcOrd="0" destOrd="0" presId="urn:microsoft.com/office/officeart/2005/8/layout/process1"/>
    <dgm:cxn modelId="{6A360744-8D33-437A-B17C-09538AE7B730}" type="presOf" srcId="{CF53A15C-BFD8-4D18-979B-C69DE275DC2A}" destId="{5F830B5D-355D-4D3C-98E7-251BE7B9C907}" srcOrd="0" destOrd="0" presId="urn:microsoft.com/office/officeart/2005/8/layout/process1"/>
    <dgm:cxn modelId="{13728EB1-E8DD-48E8-8798-F94753D997FE}" type="presOf" srcId="{22DE6DC3-796E-4E49-BFDA-1570F24FD7B9}" destId="{DCFA65CB-01E0-48B5-BDFF-EA8FFB03A5E8}" srcOrd="0" destOrd="0" presId="urn:microsoft.com/office/officeart/2005/8/layout/process1"/>
    <dgm:cxn modelId="{7AB0CABB-CABA-4038-8486-D7104A7F359E}" type="presOf" srcId="{F3BD1933-376F-4BB5-90A3-BAF063AE93A4}" destId="{0F08AABE-2114-4B8C-BDCA-665EABCB6C21}" srcOrd="1" destOrd="0" presId="urn:microsoft.com/office/officeart/2005/8/layout/process1"/>
    <dgm:cxn modelId="{9134F60C-DC9A-46C0-AA9C-DDED7B3283FC}" srcId="{6922F3E6-9908-4E5A-A872-98D08E5AAD38}" destId="{5B86AC25-1457-46DF-B5C2-D6D7D3A996DD}" srcOrd="2" destOrd="0" parTransId="{31F3F56F-F4C5-4DC9-931F-CE15F23649D6}" sibTransId="{F3BD1933-376F-4BB5-90A3-BAF063AE93A4}"/>
    <dgm:cxn modelId="{010B90C5-91FB-45B3-AE37-AC821416DA4C}" type="presOf" srcId="{B48573AB-7400-4CA4-87A8-21797A2F00AA}" destId="{0D3671C1-3C78-41FE-B015-0D510D3AAC6F}" srcOrd="0" destOrd="0" presId="urn:microsoft.com/office/officeart/2005/8/layout/process1"/>
    <dgm:cxn modelId="{2BABC3D2-98D5-40D1-B622-02D9C459A1AF}" srcId="{6922F3E6-9908-4E5A-A872-98D08E5AAD38}" destId="{7E972C40-04C3-4C46-9933-48078B76C8CF}" srcOrd="0" destOrd="0" parTransId="{AD847320-DB95-4153-9AF7-2BB267285A97}" sibTransId="{22DE6DC3-796E-4E49-BFDA-1570F24FD7B9}"/>
    <dgm:cxn modelId="{F9AC6D05-1EE5-4753-9F10-29356A78FCD7}" type="presOf" srcId="{366F9933-4E54-482B-AD29-BC79310E64C7}" destId="{A3B6BBB9-7560-47DA-AAA2-D2B9A87C6390}" srcOrd="0" destOrd="0" presId="urn:microsoft.com/office/officeart/2005/8/layout/process1"/>
    <dgm:cxn modelId="{37CAEE60-BC62-4F25-8778-A8F399F5B17C}" type="presOf" srcId="{29041642-8D48-4E6D-A10D-54C604071A37}" destId="{9752D746-EE73-4BC2-937C-D3D002071323}" srcOrd="0" destOrd="0" presId="urn:microsoft.com/office/officeart/2005/8/layout/process1"/>
    <dgm:cxn modelId="{47170633-99D1-4445-AEF1-9A6D0A7277A0}" type="presOf" srcId="{6922F3E6-9908-4E5A-A872-98D08E5AAD38}" destId="{7FCF8928-3CD8-45BA-8040-6D8825AD76EA}" srcOrd="0" destOrd="0" presId="urn:microsoft.com/office/officeart/2005/8/layout/process1"/>
    <dgm:cxn modelId="{2AABA91B-C120-4CCC-A3CA-4FD21A8ABEDF}" type="presOf" srcId="{29041642-8D48-4E6D-A10D-54C604071A37}" destId="{AA470799-B200-4BB9-AF0F-92A4F5ADC01D}" srcOrd="1" destOrd="0" presId="urn:microsoft.com/office/officeart/2005/8/layout/process1"/>
    <dgm:cxn modelId="{3C9A67F0-3D8C-4649-BD1C-29FFC548E2ED}" type="presParOf" srcId="{7FCF8928-3CD8-45BA-8040-6D8825AD76EA}" destId="{8934E913-0F22-4F41-946E-914D64FB2CA0}" srcOrd="0" destOrd="0" presId="urn:microsoft.com/office/officeart/2005/8/layout/process1"/>
    <dgm:cxn modelId="{5CCD76E9-37BC-4234-AD70-A04A8150310B}" type="presParOf" srcId="{7FCF8928-3CD8-45BA-8040-6D8825AD76EA}" destId="{DCFA65CB-01E0-48B5-BDFF-EA8FFB03A5E8}" srcOrd="1" destOrd="0" presId="urn:microsoft.com/office/officeart/2005/8/layout/process1"/>
    <dgm:cxn modelId="{D60307EE-FAB4-427D-BA28-4E5F54855AD3}" type="presParOf" srcId="{DCFA65CB-01E0-48B5-BDFF-EA8FFB03A5E8}" destId="{2EFFB9AB-42C6-408C-859A-0856D0FEEF99}" srcOrd="0" destOrd="0" presId="urn:microsoft.com/office/officeart/2005/8/layout/process1"/>
    <dgm:cxn modelId="{1FF5138C-68EB-4CA5-99CE-FA63360E818E}" type="presParOf" srcId="{7FCF8928-3CD8-45BA-8040-6D8825AD76EA}" destId="{A3B6BBB9-7560-47DA-AAA2-D2B9A87C6390}" srcOrd="2" destOrd="0" presId="urn:microsoft.com/office/officeart/2005/8/layout/process1"/>
    <dgm:cxn modelId="{911D0E08-C3D5-4E23-8A54-E28B20875574}" type="presParOf" srcId="{7FCF8928-3CD8-45BA-8040-6D8825AD76EA}" destId="{92544D10-C35C-4E92-AABA-7C22583EED63}" srcOrd="3" destOrd="0" presId="urn:microsoft.com/office/officeart/2005/8/layout/process1"/>
    <dgm:cxn modelId="{61F36199-124D-4E5C-A51E-DBD93F39C373}" type="presParOf" srcId="{92544D10-C35C-4E92-AABA-7C22583EED63}" destId="{29046D2D-683E-43B0-8A2E-A43EE44FC562}" srcOrd="0" destOrd="0" presId="urn:microsoft.com/office/officeart/2005/8/layout/process1"/>
    <dgm:cxn modelId="{3EC8E99B-9D3E-4775-98CF-633AF8CC3F5A}" type="presParOf" srcId="{7FCF8928-3CD8-45BA-8040-6D8825AD76EA}" destId="{CA1C58C3-6AB3-4F6C-A09E-21A8BAD864E1}" srcOrd="4" destOrd="0" presId="urn:microsoft.com/office/officeart/2005/8/layout/process1"/>
    <dgm:cxn modelId="{4D9E432F-BFC5-4911-BC3E-249FDEF5FDCC}" type="presParOf" srcId="{7FCF8928-3CD8-45BA-8040-6D8825AD76EA}" destId="{D2723EAB-EFCD-4A53-AE06-33A2F1D00621}" srcOrd="5" destOrd="0" presId="urn:microsoft.com/office/officeart/2005/8/layout/process1"/>
    <dgm:cxn modelId="{CB825F16-5C19-4113-ABA5-B9597869988F}" type="presParOf" srcId="{D2723EAB-EFCD-4A53-AE06-33A2F1D00621}" destId="{0F08AABE-2114-4B8C-BDCA-665EABCB6C21}" srcOrd="0" destOrd="0" presId="urn:microsoft.com/office/officeart/2005/8/layout/process1"/>
    <dgm:cxn modelId="{AF0EF2EC-8091-4953-92E0-3A3F2CE9222F}" type="presParOf" srcId="{7FCF8928-3CD8-45BA-8040-6D8825AD76EA}" destId="{5F830B5D-355D-4D3C-98E7-251BE7B9C907}" srcOrd="6" destOrd="0" presId="urn:microsoft.com/office/officeart/2005/8/layout/process1"/>
    <dgm:cxn modelId="{ED7EC78C-ED67-4101-BCF7-E3098657D8D0}" type="presParOf" srcId="{7FCF8928-3CD8-45BA-8040-6D8825AD76EA}" destId="{9752D746-EE73-4BC2-937C-D3D002071323}" srcOrd="7" destOrd="0" presId="urn:microsoft.com/office/officeart/2005/8/layout/process1"/>
    <dgm:cxn modelId="{D2DB429E-FE4E-4B7F-90B8-904248E1C5FE}" type="presParOf" srcId="{9752D746-EE73-4BC2-937C-D3D002071323}" destId="{AA470799-B200-4BB9-AF0F-92A4F5ADC01D}" srcOrd="0" destOrd="0" presId="urn:microsoft.com/office/officeart/2005/8/layout/process1"/>
    <dgm:cxn modelId="{03E02DBE-C869-4B51-AE76-3A106395432B}" type="presParOf" srcId="{7FCF8928-3CD8-45BA-8040-6D8825AD76EA}" destId="{0D3671C1-3C78-41FE-B015-0D510D3AAC6F}" srcOrd="8" destOrd="0" presId="urn:microsoft.com/office/officeart/2005/8/layout/process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922F3E6-9908-4E5A-A872-98D08E5AAD38}" type="doc">
      <dgm:prSet loTypeId="urn:microsoft.com/office/officeart/2005/8/layout/process1" loCatId="process" qsTypeId="urn:microsoft.com/office/officeart/2005/8/quickstyle/simple1" qsCatId="simple" csTypeId="urn:microsoft.com/office/officeart/2005/8/colors/accent1_2" csCatId="accent1" phldr="1"/>
      <dgm:spPr/>
    </dgm:pt>
    <dgm:pt modelId="{7E972C40-04C3-4C46-9933-48078B76C8CF}">
      <dgm:prSet phldrT="[Text]"/>
      <dgm:spPr>
        <a:solidFill>
          <a:schemeClr val="tx2">
            <a:lumMod val="40000"/>
            <a:lumOff val="60000"/>
          </a:schemeClr>
        </a:solidFill>
      </dgm:spPr>
      <dgm:t>
        <a:bodyPr/>
        <a:lstStyle/>
        <a:p>
          <a:r>
            <a:rPr lang="en-AU"/>
            <a:t>Leading indicator</a:t>
          </a:r>
        </a:p>
      </dgm:t>
      <dgm:extLst>
        <a:ext uri="{E40237B7-FDA0-4F09-8148-C483321AD2D9}">
          <dgm14:cNvPr xmlns:dgm14="http://schemas.microsoft.com/office/drawing/2010/diagram" id="0" name="" descr="Figure 11" title="Figure 11"/>
        </a:ext>
      </dgm:extLst>
    </dgm:pt>
    <dgm:pt modelId="{AD847320-DB95-4153-9AF7-2BB267285A97}" type="parTrans" cxnId="{2BABC3D2-98D5-40D1-B622-02D9C459A1AF}">
      <dgm:prSet/>
      <dgm:spPr/>
      <dgm:t>
        <a:bodyPr/>
        <a:lstStyle/>
        <a:p>
          <a:endParaRPr lang="en-AU"/>
        </a:p>
      </dgm:t>
    </dgm:pt>
    <dgm:pt modelId="{22DE6DC3-796E-4E49-BFDA-1570F24FD7B9}" type="sibTrans" cxnId="{2BABC3D2-98D5-40D1-B622-02D9C459A1AF}">
      <dgm:prSet/>
      <dgm:spPr>
        <a:solidFill>
          <a:schemeClr val="accent1">
            <a:lumMod val="20000"/>
            <a:lumOff val="80000"/>
          </a:schemeClr>
        </a:solidFill>
        <a:ln>
          <a:solidFill>
            <a:schemeClr val="tx2">
              <a:lumMod val="40000"/>
              <a:lumOff val="60000"/>
            </a:schemeClr>
          </a:solidFill>
        </a:ln>
      </dgm:spPr>
      <dgm:t>
        <a:bodyPr/>
        <a:lstStyle/>
        <a:p>
          <a:endParaRPr lang="en-AU"/>
        </a:p>
      </dgm:t>
    </dgm:pt>
    <dgm:pt modelId="{5B86AC25-1457-46DF-B5C2-D6D7D3A996DD}">
      <dgm:prSet/>
      <dgm:spPr>
        <a:solidFill>
          <a:schemeClr val="tx2">
            <a:lumMod val="40000"/>
            <a:lumOff val="60000"/>
          </a:schemeClr>
        </a:solidFill>
      </dgm:spPr>
      <dgm:t>
        <a:bodyPr/>
        <a:lstStyle/>
        <a:p>
          <a:r>
            <a:rPr lang="en-AU"/>
            <a:t>Lagging indicator</a:t>
          </a:r>
        </a:p>
      </dgm:t>
    </dgm:pt>
    <dgm:pt modelId="{31F3F56F-F4C5-4DC9-931F-CE15F23649D6}" type="parTrans" cxnId="{9134F60C-DC9A-46C0-AA9C-DDED7B3283FC}">
      <dgm:prSet/>
      <dgm:spPr/>
      <dgm:t>
        <a:bodyPr/>
        <a:lstStyle/>
        <a:p>
          <a:endParaRPr lang="en-AU"/>
        </a:p>
      </dgm:t>
    </dgm:pt>
    <dgm:pt modelId="{F3BD1933-376F-4BB5-90A3-BAF063AE93A4}" type="sibTrans" cxnId="{9134F60C-DC9A-46C0-AA9C-DDED7B3283FC}">
      <dgm:prSet/>
      <dgm:spPr>
        <a:noFill/>
      </dgm:spPr>
      <dgm:t>
        <a:bodyPr/>
        <a:lstStyle/>
        <a:p>
          <a:endParaRPr lang="en-AU"/>
        </a:p>
      </dgm:t>
    </dgm:pt>
    <dgm:pt modelId="{366F9933-4E54-482B-AD29-BC79310E64C7}">
      <dgm:prSet custT="1"/>
      <dgm:spPr>
        <a:noFill/>
      </dgm:spPr>
      <dgm:t>
        <a:bodyPr/>
        <a:lstStyle/>
        <a:p>
          <a:r>
            <a:rPr lang="en-AU" sz="800">
              <a:solidFill>
                <a:schemeClr val="tx2">
                  <a:lumMod val="75000"/>
                </a:schemeClr>
              </a:solidFill>
            </a:rPr>
            <a:t>Training</a:t>
          </a:r>
        </a:p>
      </dgm:t>
    </dgm:pt>
    <dgm:pt modelId="{AFB07135-5E9F-4819-8E0B-475ED7CAEF05}" type="parTrans" cxnId="{C3D7F0CC-BE8C-458A-AF01-B210AF2A943B}">
      <dgm:prSet/>
      <dgm:spPr/>
      <dgm:t>
        <a:bodyPr/>
        <a:lstStyle/>
        <a:p>
          <a:endParaRPr lang="en-AU"/>
        </a:p>
      </dgm:t>
    </dgm:pt>
    <dgm:pt modelId="{3CAEB0C4-0C53-4A8C-A6C2-D72F0AB5D457}" type="sibTrans" cxnId="{C3D7F0CC-BE8C-458A-AF01-B210AF2A943B}">
      <dgm:prSet/>
      <dgm:spPr>
        <a:solidFill>
          <a:schemeClr val="accent1">
            <a:lumMod val="20000"/>
            <a:lumOff val="80000"/>
          </a:schemeClr>
        </a:solidFill>
        <a:ln>
          <a:solidFill>
            <a:schemeClr val="tx2">
              <a:lumMod val="40000"/>
              <a:lumOff val="60000"/>
            </a:schemeClr>
          </a:solidFill>
        </a:ln>
      </dgm:spPr>
      <dgm:t>
        <a:bodyPr/>
        <a:lstStyle/>
        <a:p>
          <a:endParaRPr lang="en-AU"/>
        </a:p>
      </dgm:t>
    </dgm:pt>
    <dgm:pt modelId="{B48573AB-7400-4CA4-87A8-21797A2F00AA}">
      <dgm:prSet phldrT="[Text]"/>
      <dgm:spPr>
        <a:noFill/>
        <a:ln>
          <a:noFill/>
        </a:ln>
      </dgm:spPr>
      <dgm:t>
        <a:bodyPr/>
        <a:lstStyle/>
        <a:p>
          <a:r>
            <a:rPr lang="en-AU"/>
            <a:t>Injury</a:t>
          </a:r>
        </a:p>
      </dgm:t>
    </dgm:pt>
    <dgm:pt modelId="{9149E885-2D3E-42E2-8EC6-9B03A6C46318}" type="sibTrans" cxnId="{4578A9D9-6ABF-4F1B-AF73-655344E0D7CF}">
      <dgm:prSet/>
      <dgm:spPr/>
      <dgm:t>
        <a:bodyPr/>
        <a:lstStyle/>
        <a:p>
          <a:endParaRPr lang="en-AU"/>
        </a:p>
      </dgm:t>
    </dgm:pt>
    <dgm:pt modelId="{2E8F27B2-B999-49F5-B251-A6AA2A9D1787}" type="parTrans" cxnId="{4578A9D9-6ABF-4F1B-AF73-655344E0D7CF}">
      <dgm:prSet/>
      <dgm:spPr/>
      <dgm:t>
        <a:bodyPr/>
        <a:lstStyle/>
        <a:p>
          <a:endParaRPr lang="en-AU"/>
        </a:p>
      </dgm:t>
    </dgm:pt>
    <dgm:pt modelId="{CF53A15C-BFD8-4D18-979B-C69DE275DC2A}">
      <dgm:prSet phldrT="[Text]"/>
      <dgm:spPr>
        <a:noFill/>
        <a:ln>
          <a:noFill/>
        </a:ln>
      </dgm:spPr>
      <dgm:t>
        <a:bodyPr/>
        <a:lstStyle/>
        <a:p>
          <a:r>
            <a:rPr lang="en-AU"/>
            <a:t>WHS failure</a:t>
          </a:r>
        </a:p>
      </dgm:t>
    </dgm:pt>
    <dgm:pt modelId="{29041642-8D48-4E6D-A10D-54C604071A37}" type="sibTrans" cxnId="{2790E0BC-F143-4B7D-AB32-F3E1AF4B7F1D}">
      <dgm:prSet/>
      <dgm:spPr>
        <a:noFill/>
      </dgm:spPr>
      <dgm:t>
        <a:bodyPr/>
        <a:lstStyle/>
        <a:p>
          <a:endParaRPr lang="en-AU"/>
        </a:p>
      </dgm:t>
    </dgm:pt>
    <dgm:pt modelId="{3FB54F7B-73E8-42BC-A4AA-80D280598713}" type="parTrans" cxnId="{2790E0BC-F143-4B7D-AB32-F3E1AF4B7F1D}">
      <dgm:prSet/>
      <dgm:spPr/>
      <dgm:t>
        <a:bodyPr/>
        <a:lstStyle/>
        <a:p>
          <a:endParaRPr lang="en-AU"/>
        </a:p>
      </dgm:t>
    </dgm:pt>
    <dgm:pt modelId="{7FCF8928-3CD8-45BA-8040-6D8825AD76EA}" type="pres">
      <dgm:prSet presAssocID="{6922F3E6-9908-4E5A-A872-98D08E5AAD38}" presName="Name0" presStyleCnt="0">
        <dgm:presLayoutVars>
          <dgm:dir/>
          <dgm:resizeHandles val="exact"/>
        </dgm:presLayoutVars>
      </dgm:prSet>
      <dgm:spPr/>
    </dgm:pt>
    <dgm:pt modelId="{8934E913-0F22-4F41-946E-914D64FB2CA0}" type="pres">
      <dgm:prSet presAssocID="{7E972C40-04C3-4C46-9933-48078B76C8CF}" presName="node" presStyleLbl="node1" presStyleIdx="0" presStyleCnt="5" custAng="0">
        <dgm:presLayoutVars>
          <dgm:bulletEnabled val="1"/>
        </dgm:presLayoutVars>
      </dgm:prSet>
      <dgm:spPr/>
      <dgm:t>
        <a:bodyPr/>
        <a:lstStyle/>
        <a:p>
          <a:endParaRPr lang="en-AU"/>
        </a:p>
      </dgm:t>
    </dgm:pt>
    <dgm:pt modelId="{DCFA65CB-01E0-48B5-BDFF-EA8FFB03A5E8}" type="pres">
      <dgm:prSet presAssocID="{22DE6DC3-796E-4E49-BFDA-1570F24FD7B9}" presName="sibTrans" presStyleLbl="sibTrans2D1" presStyleIdx="0" presStyleCnt="4"/>
      <dgm:spPr/>
      <dgm:t>
        <a:bodyPr/>
        <a:lstStyle/>
        <a:p>
          <a:endParaRPr lang="en-AU"/>
        </a:p>
      </dgm:t>
    </dgm:pt>
    <dgm:pt modelId="{2EFFB9AB-42C6-408C-859A-0856D0FEEF99}" type="pres">
      <dgm:prSet presAssocID="{22DE6DC3-796E-4E49-BFDA-1570F24FD7B9}" presName="connectorText" presStyleLbl="sibTrans2D1" presStyleIdx="0" presStyleCnt="4"/>
      <dgm:spPr/>
      <dgm:t>
        <a:bodyPr/>
        <a:lstStyle/>
        <a:p>
          <a:endParaRPr lang="en-AU"/>
        </a:p>
      </dgm:t>
    </dgm:pt>
    <dgm:pt modelId="{A3B6BBB9-7560-47DA-AAA2-D2B9A87C6390}" type="pres">
      <dgm:prSet presAssocID="{366F9933-4E54-482B-AD29-BC79310E64C7}" presName="node" presStyleLbl="node1" presStyleIdx="1" presStyleCnt="5">
        <dgm:presLayoutVars>
          <dgm:bulletEnabled val="1"/>
        </dgm:presLayoutVars>
      </dgm:prSet>
      <dgm:spPr>
        <a:prstGeom prst="flowChartDecision">
          <a:avLst/>
        </a:prstGeom>
      </dgm:spPr>
      <dgm:t>
        <a:bodyPr/>
        <a:lstStyle/>
        <a:p>
          <a:endParaRPr lang="en-AU"/>
        </a:p>
      </dgm:t>
    </dgm:pt>
    <dgm:pt modelId="{92544D10-C35C-4E92-AABA-7C22583EED63}" type="pres">
      <dgm:prSet presAssocID="{3CAEB0C4-0C53-4A8C-A6C2-D72F0AB5D457}" presName="sibTrans" presStyleLbl="sibTrans2D1" presStyleIdx="1" presStyleCnt="4"/>
      <dgm:spPr/>
      <dgm:t>
        <a:bodyPr/>
        <a:lstStyle/>
        <a:p>
          <a:endParaRPr lang="en-AU"/>
        </a:p>
      </dgm:t>
    </dgm:pt>
    <dgm:pt modelId="{29046D2D-683E-43B0-8A2E-A43EE44FC562}" type="pres">
      <dgm:prSet presAssocID="{3CAEB0C4-0C53-4A8C-A6C2-D72F0AB5D457}" presName="connectorText" presStyleLbl="sibTrans2D1" presStyleIdx="1" presStyleCnt="4"/>
      <dgm:spPr/>
      <dgm:t>
        <a:bodyPr/>
        <a:lstStyle/>
        <a:p>
          <a:endParaRPr lang="en-AU"/>
        </a:p>
      </dgm:t>
    </dgm:pt>
    <dgm:pt modelId="{CA1C58C3-6AB3-4F6C-A09E-21A8BAD864E1}" type="pres">
      <dgm:prSet presAssocID="{5B86AC25-1457-46DF-B5C2-D6D7D3A996DD}" presName="node" presStyleLbl="node1" presStyleIdx="2" presStyleCnt="5">
        <dgm:presLayoutVars>
          <dgm:bulletEnabled val="1"/>
        </dgm:presLayoutVars>
      </dgm:prSet>
      <dgm:spPr/>
      <dgm:t>
        <a:bodyPr/>
        <a:lstStyle/>
        <a:p>
          <a:endParaRPr lang="en-AU"/>
        </a:p>
      </dgm:t>
    </dgm:pt>
    <dgm:pt modelId="{D2723EAB-EFCD-4A53-AE06-33A2F1D00621}" type="pres">
      <dgm:prSet presAssocID="{F3BD1933-376F-4BB5-90A3-BAF063AE93A4}" presName="sibTrans" presStyleLbl="sibTrans2D1" presStyleIdx="2" presStyleCnt="4"/>
      <dgm:spPr/>
      <dgm:t>
        <a:bodyPr/>
        <a:lstStyle/>
        <a:p>
          <a:endParaRPr lang="en-AU"/>
        </a:p>
      </dgm:t>
    </dgm:pt>
    <dgm:pt modelId="{0F08AABE-2114-4B8C-BDCA-665EABCB6C21}" type="pres">
      <dgm:prSet presAssocID="{F3BD1933-376F-4BB5-90A3-BAF063AE93A4}" presName="connectorText" presStyleLbl="sibTrans2D1" presStyleIdx="2" presStyleCnt="4"/>
      <dgm:spPr/>
      <dgm:t>
        <a:bodyPr/>
        <a:lstStyle/>
        <a:p>
          <a:endParaRPr lang="en-AU"/>
        </a:p>
      </dgm:t>
    </dgm:pt>
    <dgm:pt modelId="{5F830B5D-355D-4D3C-98E7-251BE7B9C907}" type="pres">
      <dgm:prSet presAssocID="{CF53A15C-BFD8-4D18-979B-C69DE275DC2A}" presName="node" presStyleLbl="node1" presStyleIdx="3" presStyleCnt="5">
        <dgm:presLayoutVars>
          <dgm:bulletEnabled val="1"/>
        </dgm:presLayoutVars>
      </dgm:prSet>
      <dgm:spPr/>
      <dgm:t>
        <a:bodyPr/>
        <a:lstStyle/>
        <a:p>
          <a:endParaRPr lang="en-AU"/>
        </a:p>
      </dgm:t>
    </dgm:pt>
    <dgm:pt modelId="{9752D746-EE73-4BC2-937C-D3D002071323}" type="pres">
      <dgm:prSet presAssocID="{29041642-8D48-4E6D-A10D-54C604071A37}" presName="sibTrans" presStyleLbl="sibTrans2D1" presStyleIdx="3" presStyleCnt="4"/>
      <dgm:spPr/>
      <dgm:t>
        <a:bodyPr/>
        <a:lstStyle/>
        <a:p>
          <a:endParaRPr lang="en-AU"/>
        </a:p>
      </dgm:t>
    </dgm:pt>
    <dgm:pt modelId="{AA470799-B200-4BB9-AF0F-92A4F5ADC01D}" type="pres">
      <dgm:prSet presAssocID="{29041642-8D48-4E6D-A10D-54C604071A37}" presName="connectorText" presStyleLbl="sibTrans2D1" presStyleIdx="3" presStyleCnt="4"/>
      <dgm:spPr/>
      <dgm:t>
        <a:bodyPr/>
        <a:lstStyle/>
        <a:p>
          <a:endParaRPr lang="en-AU"/>
        </a:p>
      </dgm:t>
    </dgm:pt>
    <dgm:pt modelId="{0D3671C1-3C78-41FE-B015-0D510D3AAC6F}" type="pres">
      <dgm:prSet presAssocID="{B48573AB-7400-4CA4-87A8-21797A2F00AA}" presName="node" presStyleLbl="node1" presStyleIdx="4" presStyleCnt="5">
        <dgm:presLayoutVars>
          <dgm:bulletEnabled val="1"/>
        </dgm:presLayoutVars>
      </dgm:prSet>
      <dgm:spPr/>
      <dgm:t>
        <a:bodyPr/>
        <a:lstStyle/>
        <a:p>
          <a:endParaRPr lang="en-AU"/>
        </a:p>
      </dgm:t>
    </dgm:pt>
  </dgm:ptLst>
  <dgm:cxnLst>
    <dgm:cxn modelId="{AED10866-D7FC-4955-B8D3-D0FC7AE29A1A}" type="presOf" srcId="{366F9933-4E54-482B-AD29-BC79310E64C7}" destId="{A3B6BBB9-7560-47DA-AAA2-D2B9A87C6390}" srcOrd="0" destOrd="0" presId="urn:microsoft.com/office/officeart/2005/8/layout/process1"/>
    <dgm:cxn modelId="{3F1CE7A9-6F02-41EC-8598-3CB534DA0102}" type="presOf" srcId="{7E972C40-04C3-4C46-9933-48078B76C8CF}" destId="{8934E913-0F22-4F41-946E-914D64FB2CA0}" srcOrd="0" destOrd="0" presId="urn:microsoft.com/office/officeart/2005/8/layout/process1"/>
    <dgm:cxn modelId="{2790E0BC-F143-4B7D-AB32-F3E1AF4B7F1D}" srcId="{6922F3E6-9908-4E5A-A872-98D08E5AAD38}" destId="{CF53A15C-BFD8-4D18-979B-C69DE275DC2A}" srcOrd="3" destOrd="0" parTransId="{3FB54F7B-73E8-42BC-A4AA-80D280598713}" sibTransId="{29041642-8D48-4E6D-A10D-54C604071A37}"/>
    <dgm:cxn modelId="{11ED2EC0-88EB-44B9-81D4-577CBA24C47A}" type="presOf" srcId="{CF53A15C-BFD8-4D18-979B-C69DE275DC2A}" destId="{5F830B5D-355D-4D3C-98E7-251BE7B9C907}" srcOrd="0" destOrd="0" presId="urn:microsoft.com/office/officeart/2005/8/layout/process1"/>
    <dgm:cxn modelId="{C3D7F0CC-BE8C-458A-AF01-B210AF2A943B}" srcId="{6922F3E6-9908-4E5A-A872-98D08E5AAD38}" destId="{366F9933-4E54-482B-AD29-BC79310E64C7}" srcOrd="1" destOrd="0" parTransId="{AFB07135-5E9F-4819-8E0B-475ED7CAEF05}" sibTransId="{3CAEB0C4-0C53-4A8C-A6C2-D72F0AB5D457}"/>
    <dgm:cxn modelId="{3DA4D20A-8F8C-4CAA-A869-0E331BB4D0CF}" type="presOf" srcId="{5B86AC25-1457-46DF-B5C2-D6D7D3A996DD}" destId="{CA1C58C3-6AB3-4F6C-A09E-21A8BAD864E1}" srcOrd="0" destOrd="0" presId="urn:microsoft.com/office/officeart/2005/8/layout/process1"/>
    <dgm:cxn modelId="{9DE8333D-0249-4F81-A923-2C6D6F7B7184}" type="presOf" srcId="{3CAEB0C4-0C53-4A8C-A6C2-D72F0AB5D457}" destId="{92544D10-C35C-4E92-AABA-7C22583EED63}" srcOrd="0" destOrd="0" presId="urn:microsoft.com/office/officeart/2005/8/layout/process1"/>
    <dgm:cxn modelId="{6DB29BE9-A9FA-484B-8862-38DABDBED0F9}" type="presOf" srcId="{F3BD1933-376F-4BB5-90A3-BAF063AE93A4}" destId="{0F08AABE-2114-4B8C-BDCA-665EABCB6C21}" srcOrd="1" destOrd="0" presId="urn:microsoft.com/office/officeart/2005/8/layout/process1"/>
    <dgm:cxn modelId="{4578A9D9-6ABF-4F1B-AF73-655344E0D7CF}" srcId="{6922F3E6-9908-4E5A-A872-98D08E5AAD38}" destId="{B48573AB-7400-4CA4-87A8-21797A2F00AA}" srcOrd="4" destOrd="0" parTransId="{2E8F27B2-B999-49F5-B251-A6AA2A9D1787}" sibTransId="{9149E885-2D3E-42E2-8EC6-9B03A6C46318}"/>
    <dgm:cxn modelId="{BCEAB965-A81A-4300-898A-68F2EBE63BFA}" type="presOf" srcId="{B48573AB-7400-4CA4-87A8-21797A2F00AA}" destId="{0D3671C1-3C78-41FE-B015-0D510D3AAC6F}" srcOrd="0" destOrd="0" presId="urn:microsoft.com/office/officeart/2005/8/layout/process1"/>
    <dgm:cxn modelId="{E0B264BC-E6BE-41C4-B6F9-8359EEBC0BFF}" type="presOf" srcId="{22DE6DC3-796E-4E49-BFDA-1570F24FD7B9}" destId="{2EFFB9AB-42C6-408C-859A-0856D0FEEF99}" srcOrd="1" destOrd="0" presId="urn:microsoft.com/office/officeart/2005/8/layout/process1"/>
    <dgm:cxn modelId="{7CD64CE7-F4FB-450B-90EC-F660ACC124E8}" type="presOf" srcId="{6922F3E6-9908-4E5A-A872-98D08E5AAD38}" destId="{7FCF8928-3CD8-45BA-8040-6D8825AD76EA}" srcOrd="0" destOrd="0" presId="urn:microsoft.com/office/officeart/2005/8/layout/process1"/>
    <dgm:cxn modelId="{9134F60C-DC9A-46C0-AA9C-DDED7B3283FC}" srcId="{6922F3E6-9908-4E5A-A872-98D08E5AAD38}" destId="{5B86AC25-1457-46DF-B5C2-D6D7D3A996DD}" srcOrd="2" destOrd="0" parTransId="{31F3F56F-F4C5-4DC9-931F-CE15F23649D6}" sibTransId="{F3BD1933-376F-4BB5-90A3-BAF063AE93A4}"/>
    <dgm:cxn modelId="{2BABC3D2-98D5-40D1-B622-02D9C459A1AF}" srcId="{6922F3E6-9908-4E5A-A872-98D08E5AAD38}" destId="{7E972C40-04C3-4C46-9933-48078B76C8CF}" srcOrd="0" destOrd="0" parTransId="{AD847320-DB95-4153-9AF7-2BB267285A97}" sibTransId="{22DE6DC3-796E-4E49-BFDA-1570F24FD7B9}"/>
    <dgm:cxn modelId="{9920E882-FD9E-45EE-8ADF-1E0184D84821}" type="presOf" srcId="{29041642-8D48-4E6D-A10D-54C604071A37}" destId="{AA470799-B200-4BB9-AF0F-92A4F5ADC01D}" srcOrd="1" destOrd="0" presId="urn:microsoft.com/office/officeart/2005/8/layout/process1"/>
    <dgm:cxn modelId="{8D1F1025-14C7-42C9-9A9F-67FC868CB240}" type="presOf" srcId="{F3BD1933-376F-4BB5-90A3-BAF063AE93A4}" destId="{D2723EAB-EFCD-4A53-AE06-33A2F1D00621}" srcOrd="0" destOrd="0" presId="urn:microsoft.com/office/officeart/2005/8/layout/process1"/>
    <dgm:cxn modelId="{C38B63F6-3363-4C19-AC7D-D5F3CC6D0205}" type="presOf" srcId="{29041642-8D48-4E6D-A10D-54C604071A37}" destId="{9752D746-EE73-4BC2-937C-D3D002071323}" srcOrd="0" destOrd="0" presId="urn:microsoft.com/office/officeart/2005/8/layout/process1"/>
    <dgm:cxn modelId="{4AEED6BD-AD42-414A-84B9-F95A7897A2D9}" type="presOf" srcId="{22DE6DC3-796E-4E49-BFDA-1570F24FD7B9}" destId="{DCFA65CB-01E0-48B5-BDFF-EA8FFB03A5E8}" srcOrd="0" destOrd="0" presId="urn:microsoft.com/office/officeart/2005/8/layout/process1"/>
    <dgm:cxn modelId="{F4B8D3D4-2828-40EA-8100-1A0BDD5CAFFE}" type="presOf" srcId="{3CAEB0C4-0C53-4A8C-A6C2-D72F0AB5D457}" destId="{29046D2D-683E-43B0-8A2E-A43EE44FC562}" srcOrd="1" destOrd="0" presId="urn:microsoft.com/office/officeart/2005/8/layout/process1"/>
    <dgm:cxn modelId="{DC3FBB2E-F344-49ED-BBCF-33798DF05BCD}" type="presParOf" srcId="{7FCF8928-3CD8-45BA-8040-6D8825AD76EA}" destId="{8934E913-0F22-4F41-946E-914D64FB2CA0}" srcOrd="0" destOrd="0" presId="urn:microsoft.com/office/officeart/2005/8/layout/process1"/>
    <dgm:cxn modelId="{53C78091-A695-406F-839D-E98058E32457}" type="presParOf" srcId="{7FCF8928-3CD8-45BA-8040-6D8825AD76EA}" destId="{DCFA65CB-01E0-48B5-BDFF-EA8FFB03A5E8}" srcOrd="1" destOrd="0" presId="urn:microsoft.com/office/officeart/2005/8/layout/process1"/>
    <dgm:cxn modelId="{33A8CE86-6F85-4107-A380-2B85B275E672}" type="presParOf" srcId="{DCFA65CB-01E0-48B5-BDFF-EA8FFB03A5E8}" destId="{2EFFB9AB-42C6-408C-859A-0856D0FEEF99}" srcOrd="0" destOrd="0" presId="urn:microsoft.com/office/officeart/2005/8/layout/process1"/>
    <dgm:cxn modelId="{F2960443-DC1F-4D8D-8F54-54F281588617}" type="presParOf" srcId="{7FCF8928-3CD8-45BA-8040-6D8825AD76EA}" destId="{A3B6BBB9-7560-47DA-AAA2-D2B9A87C6390}" srcOrd="2" destOrd="0" presId="urn:microsoft.com/office/officeart/2005/8/layout/process1"/>
    <dgm:cxn modelId="{C5209DCD-C215-4B9F-ADD8-EB3572EAD6C8}" type="presParOf" srcId="{7FCF8928-3CD8-45BA-8040-6D8825AD76EA}" destId="{92544D10-C35C-4E92-AABA-7C22583EED63}" srcOrd="3" destOrd="0" presId="urn:microsoft.com/office/officeart/2005/8/layout/process1"/>
    <dgm:cxn modelId="{7ECCB115-2763-4840-B85D-A1069F38F59F}" type="presParOf" srcId="{92544D10-C35C-4E92-AABA-7C22583EED63}" destId="{29046D2D-683E-43B0-8A2E-A43EE44FC562}" srcOrd="0" destOrd="0" presId="urn:microsoft.com/office/officeart/2005/8/layout/process1"/>
    <dgm:cxn modelId="{D98B788F-104F-4EC4-9491-87F219E6DBB0}" type="presParOf" srcId="{7FCF8928-3CD8-45BA-8040-6D8825AD76EA}" destId="{CA1C58C3-6AB3-4F6C-A09E-21A8BAD864E1}" srcOrd="4" destOrd="0" presId="urn:microsoft.com/office/officeart/2005/8/layout/process1"/>
    <dgm:cxn modelId="{DB75B928-2444-4FDC-88E1-C94DBCBF6990}" type="presParOf" srcId="{7FCF8928-3CD8-45BA-8040-6D8825AD76EA}" destId="{D2723EAB-EFCD-4A53-AE06-33A2F1D00621}" srcOrd="5" destOrd="0" presId="urn:microsoft.com/office/officeart/2005/8/layout/process1"/>
    <dgm:cxn modelId="{A8EB046E-A8A1-487E-AC7A-8FF51F6C6137}" type="presParOf" srcId="{D2723EAB-EFCD-4A53-AE06-33A2F1D00621}" destId="{0F08AABE-2114-4B8C-BDCA-665EABCB6C21}" srcOrd="0" destOrd="0" presId="urn:microsoft.com/office/officeart/2005/8/layout/process1"/>
    <dgm:cxn modelId="{8C4A2A00-C412-4E93-967B-ECA9C09737D3}" type="presParOf" srcId="{7FCF8928-3CD8-45BA-8040-6D8825AD76EA}" destId="{5F830B5D-355D-4D3C-98E7-251BE7B9C907}" srcOrd="6" destOrd="0" presId="urn:microsoft.com/office/officeart/2005/8/layout/process1"/>
    <dgm:cxn modelId="{3F2D6A3A-D3D4-4890-AF40-F66F8B662E1D}" type="presParOf" srcId="{7FCF8928-3CD8-45BA-8040-6D8825AD76EA}" destId="{9752D746-EE73-4BC2-937C-D3D002071323}" srcOrd="7" destOrd="0" presId="urn:microsoft.com/office/officeart/2005/8/layout/process1"/>
    <dgm:cxn modelId="{61125544-D0CB-40D6-826F-779EF546829E}" type="presParOf" srcId="{9752D746-EE73-4BC2-937C-D3D002071323}" destId="{AA470799-B200-4BB9-AF0F-92A4F5ADC01D}" srcOrd="0" destOrd="0" presId="urn:microsoft.com/office/officeart/2005/8/layout/process1"/>
    <dgm:cxn modelId="{6681C3AB-2DB7-4001-A0A0-7F14B8EE4BED}" type="presParOf" srcId="{7FCF8928-3CD8-45BA-8040-6D8825AD76EA}" destId="{0D3671C1-3C78-41FE-B015-0D510D3AAC6F}" srcOrd="8" destOrd="0" presId="urn:microsoft.com/office/officeart/2005/8/layout/process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922F3E6-9908-4E5A-A872-98D08E5AAD38}" type="doc">
      <dgm:prSet loTypeId="urn:microsoft.com/office/officeart/2005/8/layout/process1" loCatId="process" qsTypeId="urn:microsoft.com/office/officeart/2005/8/quickstyle/simple1" qsCatId="simple" csTypeId="urn:microsoft.com/office/officeart/2005/8/colors/accent1_2" csCatId="accent1" phldr="1"/>
      <dgm:spPr/>
    </dgm:pt>
    <dgm:pt modelId="{7E972C40-04C3-4C46-9933-48078B76C8CF}">
      <dgm:prSet phldrT="[Text]"/>
      <dgm:spPr>
        <a:noFill/>
      </dgm:spPr>
      <dgm:t>
        <a:bodyPr/>
        <a:lstStyle/>
        <a:p>
          <a:endParaRPr lang="en-AU"/>
        </a:p>
      </dgm:t>
    </dgm:pt>
    <dgm:pt modelId="{AD847320-DB95-4153-9AF7-2BB267285A97}" type="parTrans" cxnId="{2BABC3D2-98D5-40D1-B622-02D9C459A1AF}">
      <dgm:prSet/>
      <dgm:spPr/>
      <dgm:t>
        <a:bodyPr/>
        <a:lstStyle/>
        <a:p>
          <a:endParaRPr lang="en-AU"/>
        </a:p>
      </dgm:t>
    </dgm:pt>
    <dgm:pt modelId="{22DE6DC3-796E-4E49-BFDA-1570F24FD7B9}" type="sibTrans" cxnId="{2BABC3D2-98D5-40D1-B622-02D9C459A1AF}">
      <dgm:prSet/>
      <dgm:spPr>
        <a:noFill/>
      </dgm:spPr>
      <dgm:t>
        <a:bodyPr/>
        <a:lstStyle/>
        <a:p>
          <a:endParaRPr lang="en-AU"/>
        </a:p>
      </dgm:t>
    </dgm:pt>
    <dgm:pt modelId="{CF53A15C-BFD8-4D18-979B-C69DE275DC2A}">
      <dgm:prSet phldrT="[Text]" custT="1"/>
      <dgm:spPr>
        <a:noFill/>
      </dgm:spPr>
      <dgm:t>
        <a:bodyPr/>
        <a:lstStyle/>
        <a:p>
          <a:r>
            <a:rPr lang="en-AU" sz="800">
              <a:solidFill>
                <a:schemeClr val="tx2">
                  <a:lumMod val="75000"/>
                </a:schemeClr>
              </a:solidFill>
            </a:rPr>
            <a:t>work health and safety failure</a:t>
          </a:r>
        </a:p>
      </dgm:t>
    </dgm:pt>
    <dgm:pt modelId="{3FB54F7B-73E8-42BC-A4AA-80D280598713}" type="parTrans" cxnId="{2790E0BC-F143-4B7D-AB32-F3E1AF4B7F1D}">
      <dgm:prSet/>
      <dgm:spPr/>
      <dgm:t>
        <a:bodyPr/>
        <a:lstStyle/>
        <a:p>
          <a:endParaRPr lang="en-AU"/>
        </a:p>
      </dgm:t>
    </dgm:pt>
    <dgm:pt modelId="{29041642-8D48-4E6D-A10D-54C604071A37}" type="sibTrans" cxnId="{2790E0BC-F143-4B7D-AB32-F3E1AF4B7F1D}">
      <dgm:prSet/>
      <dgm:spPr>
        <a:solidFill>
          <a:schemeClr val="accent1">
            <a:lumMod val="20000"/>
            <a:lumOff val="80000"/>
          </a:schemeClr>
        </a:solidFill>
        <a:ln>
          <a:solidFill>
            <a:schemeClr val="tx2">
              <a:lumMod val="40000"/>
              <a:lumOff val="60000"/>
            </a:schemeClr>
          </a:solidFill>
        </a:ln>
      </dgm:spPr>
      <dgm:t>
        <a:bodyPr/>
        <a:lstStyle/>
        <a:p>
          <a:endParaRPr lang="en-AU"/>
        </a:p>
      </dgm:t>
    </dgm:pt>
    <dgm:pt modelId="{B48573AB-7400-4CA4-87A8-21797A2F00AA}">
      <dgm:prSet phldrT="[Text]"/>
      <dgm:spPr>
        <a:solidFill>
          <a:schemeClr val="tx2">
            <a:lumMod val="40000"/>
            <a:lumOff val="60000"/>
          </a:schemeClr>
        </a:solidFill>
      </dgm:spPr>
      <dgm:t>
        <a:bodyPr/>
        <a:lstStyle/>
        <a:p>
          <a:r>
            <a:rPr lang="en-AU"/>
            <a:t>lagging indicator</a:t>
          </a:r>
        </a:p>
      </dgm:t>
    </dgm:pt>
    <dgm:pt modelId="{2E8F27B2-B999-49F5-B251-A6AA2A9D1787}" type="parTrans" cxnId="{4578A9D9-6ABF-4F1B-AF73-655344E0D7CF}">
      <dgm:prSet/>
      <dgm:spPr/>
      <dgm:t>
        <a:bodyPr/>
        <a:lstStyle/>
        <a:p>
          <a:endParaRPr lang="en-AU"/>
        </a:p>
      </dgm:t>
    </dgm:pt>
    <dgm:pt modelId="{9149E885-2D3E-42E2-8EC6-9B03A6C46318}" type="sibTrans" cxnId="{4578A9D9-6ABF-4F1B-AF73-655344E0D7CF}">
      <dgm:prSet/>
      <dgm:spPr/>
      <dgm:t>
        <a:bodyPr/>
        <a:lstStyle/>
        <a:p>
          <a:endParaRPr lang="en-AU"/>
        </a:p>
      </dgm:t>
    </dgm:pt>
    <dgm:pt modelId="{5B86AC25-1457-46DF-B5C2-D6D7D3A996DD}">
      <dgm:prSet/>
      <dgm:spPr>
        <a:solidFill>
          <a:schemeClr val="tx2">
            <a:lumMod val="40000"/>
            <a:lumOff val="60000"/>
          </a:schemeClr>
        </a:solidFill>
      </dgm:spPr>
      <dgm:t>
        <a:bodyPr/>
        <a:lstStyle/>
        <a:p>
          <a:r>
            <a:rPr lang="en-AU"/>
            <a:t>Leading indicator</a:t>
          </a:r>
        </a:p>
      </dgm:t>
      <dgm:extLst>
        <a:ext uri="{E40237B7-FDA0-4F09-8148-C483321AD2D9}">
          <dgm14:cNvPr xmlns:dgm14="http://schemas.microsoft.com/office/drawing/2010/diagram" id="0" name="" descr="Leading indicator" title="Figure 11"/>
        </a:ext>
      </dgm:extLst>
    </dgm:pt>
    <dgm:pt modelId="{31F3F56F-F4C5-4DC9-931F-CE15F23649D6}" type="parTrans" cxnId="{9134F60C-DC9A-46C0-AA9C-DDED7B3283FC}">
      <dgm:prSet/>
      <dgm:spPr/>
      <dgm:t>
        <a:bodyPr/>
        <a:lstStyle/>
        <a:p>
          <a:endParaRPr lang="en-AU"/>
        </a:p>
      </dgm:t>
    </dgm:pt>
    <dgm:pt modelId="{F3BD1933-376F-4BB5-90A3-BAF063AE93A4}" type="sibTrans" cxnId="{9134F60C-DC9A-46C0-AA9C-DDED7B3283FC}">
      <dgm:prSet/>
      <dgm:spPr>
        <a:solidFill>
          <a:schemeClr val="accent1">
            <a:lumMod val="20000"/>
            <a:lumOff val="80000"/>
          </a:schemeClr>
        </a:solidFill>
        <a:ln>
          <a:solidFill>
            <a:schemeClr val="tx2">
              <a:lumMod val="40000"/>
              <a:lumOff val="60000"/>
            </a:schemeClr>
          </a:solidFill>
        </a:ln>
      </dgm:spPr>
      <dgm:t>
        <a:bodyPr/>
        <a:lstStyle/>
        <a:p>
          <a:endParaRPr lang="en-AU"/>
        </a:p>
      </dgm:t>
    </dgm:pt>
    <dgm:pt modelId="{366F9933-4E54-482B-AD29-BC79310E64C7}">
      <dgm:prSet/>
      <dgm:spPr>
        <a:noFill/>
      </dgm:spPr>
      <dgm:t>
        <a:bodyPr/>
        <a:lstStyle/>
        <a:p>
          <a:r>
            <a:rPr lang="en-AU"/>
            <a:t>Training</a:t>
          </a:r>
        </a:p>
      </dgm:t>
    </dgm:pt>
    <dgm:pt modelId="{AFB07135-5E9F-4819-8E0B-475ED7CAEF05}" type="parTrans" cxnId="{C3D7F0CC-BE8C-458A-AF01-B210AF2A943B}">
      <dgm:prSet/>
      <dgm:spPr/>
      <dgm:t>
        <a:bodyPr/>
        <a:lstStyle/>
        <a:p>
          <a:endParaRPr lang="en-AU"/>
        </a:p>
      </dgm:t>
    </dgm:pt>
    <dgm:pt modelId="{3CAEB0C4-0C53-4A8C-A6C2-D72F0AB5D457}" type="sibTrans" cxnId="{C3D7F0CC-BE8C-458A-AF01-B210AF2A943B}">
      <dgm:prSet/>
      <dgm:spPr>
        <a:noFill/>
      </dgm:spPr>
      <dgm:t>
        <a:bodyPr/>
        <a:lstStyle/>
        <a:p>
          <a:endParaRPr lang="en-AU"/>
        </a:p>
      </dgm:t>
    </dgm:pt>
    <dgm:pt modelId="{7FCF8928-3CD8-45BA-8040-6D8825AD76EA}" type="pres">
      <dgm:prSet presAssocID="{6922F3E6-9908-4E5A-A872-98D08E5AAD38}" presName="Name0" presStyleCnt="0">
        <dgm:presLayoutVars>
          <dgm:dir/>
          <dgm:resizeHandles val="exact"/>
        </dgm:presLayoutVars>
      </dgm:prSet>
      <dgm:spPr/>
    </dgm:pt>
    <dgm:pt modelId="{8934E913-0F22-4F41-946E-914D64FB2CA0}" type="pres">
      <dgm:prSet presAssocID="{7E972C40-04C3-4C46-9933-48078B76C8CF}" presName="node" presStyleLbl="node1" presStyleIdx="0" presStyleCnt="5" custAng="0">
        <dgm:presLayoutVars>
          <dgm:bulletEnabled val="1"/>
        </dgm:presLayoutVars>
      </dgm:prSet>
      <dgm:spPr/>
      <dgm:t>
        <a:bodyPr/>
        <a:lstStyle/>
        <a:p>
          <a:endParaRPr lang="en-AU"/>
        </a:p>
      </dgm:t>
    </dgm:pt>
    <dgm:pt modelId="{DCFA65CB-01E0-48B5-BDFF-EA8FFB03A5E8}" type="pres">
      <dgm:prSet presAssocID="{22DE6DC3-796E-4E49-BFDA-1570F24FD7B9}" presName="sibTrans" presStyleLbl="sibTrans2D1" presStyleIdx="0" presStyleCnt="4"/>
      <dgm:spPr/>
      <dgm:t>
        <a:bodyPr/>
        <a:lstStyle/>
        <a:p>
          <a:endParaRPr lang="en-AU"/>
        </a:p>
      </dgm:t>
    </dgm:pt>
    <dgm:pt modelId="{2EFFB9AB-42C6-408C-859A-0856D0FEEF99}" type="pres">
      <dgm:prSet presAssocID="{22DE6DC3-796E-4E49-BFDA-1570F24FD7B9}" presName="connectorText" presStyleLbl="sibTrans2D1" presStyleIdx="0" presStyleCnt="4"/>
      <dgm:spPr/>
      <dgm:t>
        <a:bodyPr/>
        <a:lstStyle/>
        <a:p>
          <a:endParaRPr lang="en-AU"/>
        </a:p>
      </dgm:t>
    </dgm:pt>
    <dgm:pt modelId="{A3B6BBB9-7560-47DA-AAA2-D2B9A87C6390}" type="pres">
      <dgm:prSet presAssocID="{366F9933-4E54-482B-AD29-BC79310E64C7}" presName="node" presStyleLbl="node1" presStyleIdx="1" presStyleCnt="5">
        <dgm:presLayoutVars>
          <dgm:bulletEnabled val="1"/>
        </dgm:presLayoutVars>
      </dgm:prSet>
      <dgm:spPr/>
      <dgm:t>
        <a:bodyPr/>
        <a:lstStyle/>
        <a:p>
          <a:endParaRPr lang="en-AU"/>
        </a:p>
      </dgm:t>
    </dgm:pt>
    <dgm:pt modelId="{92544D10-C35C-4E92-AABA-7C22583EED63}" type="pres">
      <dgm:prSet presAssocID="{3CAEB0C4-0C53-4A8C-A6C2-D72F0AB5D457}" presName="sibTrans" presStyleLbl="sibTrans2D1" presStyleIdx="1" presStyleCnt="4"/>
      <dgm:spPr/>
      <dgm:t>
        <a:bodyPr/>
        <a:lstStyle/>
        <a:p>
          <a:endParaRPr lang="en-AU"/>
        </a:p>
      </dgm:t>
    </dgm:pt>
    <dgm:pt modelId="{29046D2D-683E-43B0-8A2E-A43EE44FC562}" type="pres">
      <dgm:prSet presAssocID="{3CAEB0C4-0C53-4A8C-A6C2-D72F0AB5D457}" presName="connectorText" presStyleLbl="sibTrans2D1" presStyleIdx="1" presStyleCnt="4"/>
      <dgm:spPr/>
      <dgm:t>
        <a:bodyPr/>
        <a:lstStyle/>
        <a:p>
          <a:endParaRPr lang="en-AU"/>
        </a:p>
      </dgm:t>
    </dgm:pt>
    <dgm:pt modelId="{CA1C58C3-6AB3-4F6C-A09E-21A8BAD864E1}" type="pres">
      <dgm:prSet presAssocID="{5B86AC25-1457-46DF-B5C2-D6D7D3A996DD}" presName="node" presStyleLbl="node1" presStyleIdx="2" presStyleCnt="5">
        <dgm:presLayoutVars>
          <dgm:bulletEnabled val="1"/>
        </dgm:presLayoutVars>
      </dgm:prSet>
      <dgm:spPr/>
      <dgm:t>
        <a:bodyPr/>
        <a:lstStyle/>
        <a:p>
          <a:endParaRPr lang="en-AU"/>
        </a:p>
      </dgm:t>
    </dgm:pt>
    <dgm:pt modelId="{D2723EAB-EFCD-4A53-AE06-33A2F1D00621}" type="pres">
      <dgm:prSet presAssocID="{F3BD1933-376F-4BB5-90A3-BAF063AE93A4}" presName="sibTrans" presStyleLbl="sibTrans2D1" presStyleIdx="2" presStyleCnt="4" custLinFactNeighborX="21641" custLinFactNeighborY="2211"/>
      <dgm:spPr/>
      <dgm:t>
        <a:bodyPr/>
        <a:lstStyle/>
        <a:p>
          <a:endParaRPr lang="en-AU"/>
        </a:p>
      </dgm:t>
    </dgm:pt>
    <dgm:pt modelId="{0F08AABE-2114-4B8C-BDCA-665EABCB6C21}" type="pres">
      <dgm:prSet presAssocID="{F3BD1933-376F-4BB5-90A3-BAF063AE93A4}" presName="connectorText" presStyleLbl="sibTrans2D1" presStyleIdx="2" presStyleCnt="4"/>
      <dgm:spPr/>
      <dgm:t>
        <a:bodyPr/>
        <a:lstStyle/>
        <a:p>
          <a:endParaRPr lang="en-AU"/>
        </a:p>
      </dgm:t>
    </dgm:pt>
    <dgm:pt modelId="{5F830B5D-355D-4D3C-98E7-251BE7B9C907}" type="pres">
      <dgm:prSet presAssocID="{CF53A15C-BFD8-4D18-979B-C69DE275DC2A}" presName="node" presStyleLbl="node1" presStyleIdx="3" presStyleCnt="5" custLinFactNeighborX="5726">
        <dgm:presLayoutVars>
          <dgm:bulletEnabled val="1"/>
        </dgm:presLayoutVars>
      </dgm:prSet>
      <dgm:spPr>
        <a:prstGeom prst="flowChartDecision">
          <a:avLst/>
        </a:prstGeom>
      </dgm:spPr>
      <dgm:t>
        <a:bodyPr/>
        <a:lstStyle/>
        <a:p>
          <a:endParaRPr lang="en-AU"/>
        </a:p>
      </dgm:t>
    </dgm:pt>
    <dgm:pt modelId="{9752D746-EE73-4BC2-937C-D3D002071323}" type="pres">
      <dgm:prSet presAssocID="{29041642-8D48-4E6D-A10D-54C604071A37}" presName="sibTrans" presStyleLbl="sibTrans2D1" presStyleIdx="3" presStyleCnt="4"/>
      <dgm:spPr/>
      <dgm:t>
        <a:bodyPr/>
        <a:lstStyle/>
        <a:p>
          <a:endParaRPr lang="en-AU"/>
        </a:p>
      </dgm:t>
    </dgm:pt>
    <dgm:pt modelId="{AA470799-B200-4BB9-AF0F-92A4F5ADC01D}" type="pres">
      <dgm:prSet presAssocID="{29041642-8D48-4E6D-A10D-54C604071A37}" presName="connectorText" presStyleLbl="sibTrans2D1" presStyleIdx="3" presStyleCnt="4"/>
      <dgm:spPr/>
      <dgm:t>
        <a:bodyPr/>
        <a:lstStyle/>
        <a:p>
          <a:endParaRPr lang="en-AU"/>
        </a:p>
      </dgm:t>
    </dgm:pt>
    <dgm:pt modelId="{0D3671C1-3C78-41FE-B015-0D510D3AAC6F}" type="pres">
      <dgm:prSet presAssocID="{B48573AB-7400-4CA4-87A8-21797A2F00AA}" presName="node" presStyleLbl="node1" presStyleIdx="4" presStyleCnt="5">
        <dgm:presLayoutVars>
          <dgm:bulletEnabled val="1"/>
        </dgm:presLayoutVars>
      </dgm:prSet>
      <dgm:spPr/>
      <dgm:t>
        <a:bodyPr/>
        <a:lstStyle/>
        <a:p>
          <a:endParaRPr lang="en-AU"/>
        </a:p>
      </dgm:t>
    </dgm:pt>
  </dgm:ptLst>
  <dgm:cxnLst>
    <dgm:cxn modelId="{3A737CD2-2964-492B-936B-B9982AE13565}" type="presOf" srcId="{22DE6DC3-796E-4E49-BFDA-1570F24FD7B9}" destId="{2EFFB9AB-42C6-408C-859A-0856D0FEEF99}" srcOrd="1" destOrd="0" presId="urn:microsoft.com/office/officeart/2005/8/layout/process1"/>
    <dgm:cxn modelId="{2790E0BC-F143-4B7D-AB32-F3E1AF4B7F1D}" srcId="{6922F3E6-9908-4E5A-A872-98D08E5AAD38}" destId="{CF53A15C-BFD8-4D18-979B-C69DE275DC2A}" srcOrd="3" destOrd="0" parTransId="{3FB54F7B-73E8-42BC-A4AA-80D280598713}" sibTransId="{29041642-8D48-4E6D-A10D-54C604071A37}"/>
    <dgm:cxn modelId="{E77FD5B4-2CD7-4995-AFC1-AEB70B2E9849}" type="presOf" srcId="{29041642-8D48-4E6D-A10D-54C604071A37}" destId="{AA470799-B200-4BB9-AF0F-92A4F5ADC01D}" srcOrd="1" destOrd="0" presId="urn:microsoft.com/office/officeart/2005/8/layout/process1"/>
    <dgm:cxn modelId="{005130A7-935C-49A0-8708-53CBD4C16624}" type="presOf" srcId="{F3BD1933-376F-4BB5-90A3-BAF063AE93A4}" destId="{D2723EAB-EFCD-4A53-AE06-33A2F1D00621}" srcOrd="0" destOrd="0" presId="urn:microsoft.com/office/officeart/2005/8/layout/process1"/>
    <dgm:cxn modelId="{CAB14AA2-D80E-4EC5-AF69-BA8A47A94205}" type="presOf" srcId="{7E972C40-04C3-4C46-9933-48078B76C8CF}" destId="{8934E913-0F22-4F41-946E-914D64FB2CA0}" srcOrd="0" destOrd="0" presId="urn:microsoft.com/office/officeart/2005/8/layout/process1"/>
    <dgm:cxn modelId="{C3D7F0CC-BE8C-458A-AF01-B210AF2A943B}" srcId="{6922F3E6-9908-4E5A-A872-98D08E5AAD38}" destId="{366F9933-4E54-482B-AD29-BC79310E64C7}" srcOrd="1" destOrd="0" parTransId="{AFB07135-5E9F-4819-8E0B-475ED7CAEF05}" sibTransId="{3CAEB0C4-0C53-4A8C-A6C2-D72F0AB5D457}"/>
    <dgm:cxn modelId="{657F6E67-A88A-494D-8FA8-F3CB45159588}" type="presOf" srcId="{22DE6DC3-796E-4E49-BFDA-1570F24FD7B9}" destId="{DCFA65CB-01E0-48B5-BDFF-EA8FFB03A5E8}" srcOrd="0" destOrd="0" presId="urn:microsoft.com/office/officeart/2005/8/layout/process1"/>
    <dgm:cxn modelId="{53B8844E-030C-4126-A7FC-29354FC4E2AD}" type="presOf" srcId="{5B86AC25-1457-46DF-B5C2-D6D7D3A996DD}" destId="{CA1C58C3-6AB3-4F6C-A09E-21A8BAD864E1}" srcOrd="0" destOrd="0" presId="urn:microsoft.com/office/officeart/2005/8/layout/process1"/>
    <dgm:cxn modelId="{B9AD6740-9596-4EA6-AE6E-5DD5E5A05139}" type="presOf" srcId="{6922F3E6-9908-4E5A-A872-98D08E5AAD38}" destId="{7FCF8928-3CD8-45BA-8040-6D8825AD76EA}" srcOrd="0" destOrd="0" presId="urn:microsoft.com/office/officeart/2005/8/layout/process1"/>
    <dgm:cxn modelId="{C7C753A5-681F-49B4-84F3-B140C582D748}" type="presOf" srcId="{29041642-8D48-4E6D-A10D-54C604071A37}" destId="{9752D746-EE73-4BC2-937C-D3D002071323}" srcOrd="0" destOrd="0" presId="urn:microsoft.com/office/officeart/2005/8/layout/process1"/>
    <dgm:cxn modelId="{4578A9D9-6ABF-4F1B-AF73-655344E0D7CF}" srcId="{6922F3E6-9908-4E5A-A872-98D08E5AAD38}" destId="{B48573AB-7400-4CA4-87A8-21797A2F00AA}" srcOrd="4" destOrd="0" parTransId="{2E8F27B2-B999-49F5-B251-A6AA2A9D1787}" sibTransId="{9149E885-2D3E-42E2-8EC6-9B03A6C46318}"/>
    <dgm:cxn modelId="{2A814499-3917-4B64-944A-BA20B5355558}" type="presOf" srcId="{3CAEB0C4-0C53-4A8C-A6C2-D72F0AB5D457}" destId="{92544D10-C35C-4E92-AABA-7C22583EED63}" srcOrd="0" destOrd="0" presId="urn:microsoft.com/office/officeart/2005/8/layout/process1"/>
    <dgm:cxn modelId="{37AEE48C-A7AD-4ED1-BA33-D8BA01251928}" type="presOf" srcId="{F3BD1933-376F-4BB5-90A3-BAF063AE93A4}" destId="{0F08AABE-2114-4B8C-BDCA-665EABCB6C21}" srcOrd="1" destOrd="0" presId="urn:microsoft.com/office/officeart/2005/8/layout/process1"/>
    <dgm:cxn modelId="{9134F60C-DC9A-46C0-AA9C-DDED7B3283FC}" srcId="{6922F3E6-9908-4E5A-A872-98D08E5AAD38}" destId="{5B86AC25-1457-46DF-B5C2-D6D7D3A996DD}" srcOrd="2" destOrd="0" parTransId="{31F3F56F-F4C5-4DC9-931F-CE15F23649D6}" sibTransId="{F3BD1933-376F-4BB5-90A3-BAF063AE93A4}"/>
    <dgm:cxn modelId="{2BABC3D2-98D5-40D1-B622-02D9C459A1AF}" srcId="{6922F3E6-9908-4E5A-A872-98D08E5AAD38}" destId="{7E972C40-04C3-4C46-9933-48078B76C8CF}" srcOrd="0" destOrd="0" parTransId="{AD847320-DB95-4153-9AF7-2BB267285A97}" sibTransId="{22DE6DC3-796E-4E49-BFDA-1570F24FD7B9}"/>
    <dgm:cxn modelId="{9286FE8D-C86D-4EE7-8E68-7D03A5C375ED}" type="presOf" srcId="{B48573AB-7400-4CA4-87A8-21797A2F00AA}" destId="{0D3671C1-3C78-41FE-B015-0D510D3AAC6F}" srcOrd="0" destOrd="0" presId="urn:microsoft.com/office/officeart/2005/8/layout/process1"/>
    <dgm:cxn modelId="{046D6F9D-65BA-40DE-ABE3-A4C2BB249BC9}" type="presOf" srcId="{3CAEB0C4-0C53-4A8C-A6C2-D72F0AB5D457}" destId="{29046D2D-683E-43B0-8A2E-A43EE44FC562}" srcOrd="1" destOrd="0" presId="urn:microsoft.com/office/officeart/2005/8/layout/process1"/>
    <dgm:cxn modelId="{10B705AF-FCBF-43A9-9DF1-C8E625BDE96A}" type="presOf" srcId="{CF53A15C-BFD8-4D18-979B-C69DE275DC2A}" destId="{5F830B5D-355D-4D3C-98E7-251BE7B9C907}" srcOrd="0" destOrd="0" presId="urn:microsoft.com/office/officeart/2005/8/layout/process1"/>
    <dgm:cxn modelId="{81D73511-38C6-41A4-B1F0-4DFA1AF21005}" type="presOf" srcId="{366F9933-4E54-482B-AD29-BC79310E64C7}" destId="{A3B6BBB9-7560-47DA-AAA2-D2B9A87C6390}" srcOrd="0" destOrd="0" presId="urn:microsoft.com/office/officeart/2005/8/layout/process1"/>
    <dgm:cxn modelId="{B5FBDDE3-DC77-414A-8018-CEB754363A5E}" type="presParOf" srcId="{7FCF8928-3CD8-45BA-8040-6D8825AD76EA}" destId="{8934E913-0F22-4F41-946E-914D64FB2CA0}" srcOrd="0" destOrd="0" presId="urn:microsoft.com/office/officeart/2005/8/layout/process1"/>
    <dgm:cxn modelId="{88948275-B0A9-42CC-ABE6-77ECEC0D08C9}" type="presParOf" srcId="{7FCF8928-3CD8-45BA-8040-6D8825AD76EA}" destId="{DCFA65CB-01E0-48B5-BDFF-EA8FFB03A5E8}" srcOrd="1" destOrd="0" presId="urn:microsoft.com/office/officeart/2005/8/layout/process1"/>
    <dgm:cxn modelId="{7F162339-B3A4-4C86-8827-A3896026270B}" type="presParOf" srcId="{DCFA65CB-01E0-48B5-BDFF-EA8FFB03A5E8}" destId="{2EFFB9AB-42C6-408C-859A-0856D0FEEF99}" srcOrd="0" destOrd="0" presId="urn:microsoft.com/office/officeart/2005/8/layout/process1"/>
    <dgm:cxn modelId="{4246CF09-E3D3-45B9-A184-68E64CC5497F}" type="presParOf" srcId="{7FCF8928-3CD8-45BA-8040-6D8825AD76EA}" destId="{A3B6BBB9-7560-47DA-AAA2-D2B9A87C6390}" srcOrd="2" destOrd="0" presId="urn:microsoft.com/office/officeart/2005/8/layout/process1"/>
    <dgm:cxn modelId="{AF0255AA-957A-4840-A1E6-4BCDC4AC4221}" type="presParOf" srcId="{7FCF8928-3CD8-45BA-8040-6D8825AD76EA}" destId="{92544D10-C35C-4E92-AABA-7C22583EED63}" srcOrd="3" destOrd="0" presId="urn:microsoft.com/office/officeart/2005/8/layout/process1"/>
    <dgm:cxn modelId="{A73F435B-B53F-4905-B1F5-4D13342A2AB8}" type="presParOf" srcId="{92544D10-C35C-4E92-AABA-7C22583EED63}" destId="{29046D2D-683E-43B0-8A2E-A43EE44FC562}" srcOrd="0" destOrd="0" presId="urn:microsoft.com/office/officeart/2005/8/layout/process1"/>
    <dgm:cxn modelId="{40AFBBBF-D067-46A5-89A7-6281D4F2570B}" type="presParOf" srcId="{7FCF8928-3CD8-45BA-8040-6D8825AD76EA}" destId="{CA1C58C3-6AB3-4F6C-A09E-21A8BAD864E1}" srcOrd="4" destOrd="0" presId="urn:microsoft.com/office/officeart/2005/8/layout/process1"/>
    <dgm:cxn modelId="{62AFF630-74C7-4CB1-9DBD-DC6C16293815}" type="presParOf" srcId="{7FCF8928-3CD8-45BA-8040-6D8825AD76EA}" destId="{D2723EAB-EFCD-4A53-AE06-33A2F1D00621}" srcOrd="5" destOrd="0" presId="urn:microsoft.com/office/officeart/2005/8/layout/process1"/>
    <dgm:cxn modelId="{68AD43DA-BB4C-4140-A287-06F0B84E3816}" type="presParOf" srcId="{D2723EAB-EFCD-4A53-AE06-33A2F1D00621}" destId="{0F08AABE-2114-4B8C-BDCA-665EABCB6C21}" srcOrd="0" destOrd="0" presId="urn:microsoft.com/office/officeart/2005/8/layout/process1"/>
    <dgm:cxn modelId="{CD0DACD1-79A6-487B-A716-DD9C61B668B9}" type="presParOf" srcId="{7FCF8928-3CD8-45BA-8040-6D8825AD76EA}" destId="{5F830B5D-355D-4D3C-98E7-251BE7B9C907}" srcOrd="6" destOrd="0" presId="urn:microsoft.com/office/officeart/2005/8/layout/process1"/>
    <dgm:cxn modelId="{ABFC17AD-015C-46A2-903B-D88E00E9B917}" type="presParOf" srcId="{7FCF8928-3CD8-45BA-8040-6D8825AD76EA}" destId="{9752D746-EE73-4BC2-937C-D3D002071323}" srcOrd="7" destOrd="0" presId="urn:microsoft.com/office/officeart/2005/8/layout/process1"/>
    <dgm:cxn modelId="{BC775817-24A6-45DF-A1C3-8CCC89B0AC0B}" type="presParOf" srcId="{9752D746-EE73-4BC2-937C-D3D002071323}" destId="{AA470799-B200-4BB9-AF0F-92A4F5ADC01D}" srcOrd="0" destOrd="0" presId="urn:microsoft.com/office/officeart/2005/8/layout/process1"/>
    <dgm:cxn modelId="{52586FFB-F0CA-4431-98FE-2D0316887C12}" type="presParOf" srcId="{7FCF8928-3CD8-45BA-8040-6D8825AD76EA}" destId="{0D3671C1-3C78-41FE-B015-0D510D3AAC6F}" srcOrd="8" destOrd="0" presId="urn:microsoft.com/office/officeart/2005/8/layout/process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D40EE6-3B92-42B3-9C94-3F09EA19E546}">
      <dsp:nvSpPr>
        <dsp:cNvPr id="0" name=""/>
        <dsp:cNvSpPr/>
      </dsp:nvSpPr>
      <dsp:spPr>
        <a:xfrm>
          <a:off x="467593" y="0"/>
          <a:ext cx="797727" cy="674703"/>
        </a:xfrm>
        <a:prstGeom prst="trapezoid">
          <a:avLst>
            <a:gd name="adj" fmla="val 57356"/>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a:outerShdw blurRad="63500" sx="102000" sy="102000" algn="ctr" rotWithShape="0">
            <a:prstClr val="black">
              <a:alpha val="40000"/>
            </a:prstClr>
          </a:outerShdw>
        </a:effectLst>
        <a:scene3d>
          <a:camera prst="orthographicFront"/>
          <a:lightRig rig="threePt" dir="t"/>
        </a:scene3d>
        <a:sp3d>
          <a:bevelB/>
        </a:sp3d>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AU" sz="1000" kern="1200"/>
        </a:p>
        <a:p>
          <a:pPr lvl="0" algn="ctr" defTabSz="444500">
            <a:lnSpc>
              <a:spcPct val="90000"/>
            </a:lnSpc>
            <a:spcBef>
              <a:spcPct val="0"/>
            </a:spcBef>
            <a:spcAft>
              <a:spcPct val="35000"/>
            </a:spcAft>
          </a:pPr>
          <a:r>
            <a:rPr lang="en-AU" sz="900" kern="1200"/>
            <a:t>1 </a:t>
          </a:r>
        </a:p>
        <a:p>
          <a:pPr lvl="0" algn="ctr" defTabSz="444500">
            <a:lnSpc>
              <a:spcPct val="90000"/>
            </a:lnSpc>
            <a:spcBef>
              <a:spcPct val="0"/>
            </a:spcBef>
            <a:spcAft>
              <a:spcPct val="35000"/>
            </a:spcAft>
          </a:pPr>
          <a:r>
            <a:rPr lang="en-AU" sz="900" kern="1200"/>
            <a:t>major injury</a:t>
          </a:r>
        </a:p>
      </dsp:txBody>
      <dsp:txXfrm>
        <a:off x="467593" y="0"/>
        <a:ext cx="797727" cy="674703"/>
      </dsp:txXfrm>
    </dsp:sp>
    <dsp:sp modelId="{52F0DC7D-F9B7-42E1-9A52-82B53FF11099}">
      <dsp:nvSpPr>
        <dsp:cNvPr id="0" name=""/>
        <dsp:cNvSpPr/>
      </dsp:nvSpPr>
      <dsp:spPr>
        <a:xfrm>
          <a:off x="225558" y="664890"/>
          <a:ext cx="1294322" cy="457820"/>
        </a:xfrm>
        <a:prstGeom prst="trapezoid">
          <a:avLst>
            <a:gd name="adj" fmla="val 57356"/>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a:outerShdw blurRad="63500" sx="102000" sy="102000" algn="ctr" rotWithShape="0">
            <a:prstClr val="black">
              <a:alpha val="40000"/>
            </a:prstClr>
          </a:outerShdw>
        </a:effectLst>
        <a:scene3d>
          <a:camera prst="orthographicFront"/>
          <a:lightRig rig="threePt" dir="t"/>
        </a:scene3d>
        <a:sp3d>
          <a:bevelB/>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29 </a:t>
          </a:r>
        </a:p>
        <a:p>
          <a:pPr lvl="0" algn="ctr" defTabSz="400050">
            <a:lnSpc>
              <a:spcPct val="90000"/>
            </a:lnSpc>
            <a:spcBef>
              <a:spcPct val="0"/>
            </a:spcBef>
            <a:spcAft>
              <a:spcPct val="35000"/>
            </a:spcAft>
          </a:pPr>
          <a:r>
            <a:rPr lang="en-AU" sz="900" kern="1200"/>
            <a:t>minor injuries</a:t>
          </a:r>
        </a:p>
      </dsp:txBody>
      <dsp:txXfrm>
        <a:off x="452064" y="664890"/>
        <a:ext cx="841309" cy="457820"/>
      </dsp:txXfrm>
    </dsp:sp>
    <dsp:sp modelId="{75013307-4A1C-4911-8A01-DEAED4B8361C}">
      <dsp:nvSpPr>
        <dsp:cNvPr id="0" name=""/>
        <dsp:cNvSpPr/>
      </dsp:nvSpPr>
      <dsp:spPr>
        <a:xfrm>
          <a:off x="0" y="1132524"/>
          <a:ext cx="1732915" cy="378140"/>
        </a:xfrm>
        <a:prstGeom prst="trapezoid">
          <a:avLst>
            <a:gd name="adj" fmla="val 57356"/>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a:outerShdw blurRad="63500" sx="102000" sy="102000" algn="ctr" rotWithShape="0">
            <a:prstClr val="black">
              <a:alpha val="40000"/>
            </a:prstClr>
          </a:outerShdw>
        </a:effectLst>
        <a:scene3d>
          <a:camera prst="orthographicFront"/>
          <a:lightRig rig="threePt" dir="t"/>
        </a:scene3d>
        <a:sp3d>
          <a:bevelB/>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300 </a:t>
          </a:r>
        </a:p>
        <a:p>
          <a:pPr lvl="0" algn="ctr" defTabSz="400050">
            <a:lnSpc>
              <a:spcPct val="90000"/>
            </a:lnSpc>
            <a:spcBef>
              <a:spcPct val="0"/>
            </a:spcBef>
            <a:spcAft>
              <a:spcPct val="35000"/>
            </a:spcAft>
          </a:pPr>
          <a:r>
            <a:rPr lang="en-AU" sz="900" kern="1200"/>
            <a:t>no injury incidents</a:t>
          </a:r>
        </a:p>
      </dsp:txBody>
      <dsp:txXfrm>
        <a:off x="303260" y="1132524"/>
        <a:ext cx="1126394" cy="3781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253D5-C27A-4FFE-A325-EF25681FE36D}">
      <dsp:nvSpPr>
        <dsp:cNvPr id="0" name=""/>
        <dsp:cNvSpPr/>
      </dsp:nvSpPr>
      <dsp:spPr>
        <a:xfrm>
          <a:off x="569539" y="0"/>
          <a:ext cx="538591" cy="510459"/>
        </a:xfrm>
        <a:prstGeom prst="trapezoid">
          <a:avLst>
            <a:gd name="adj" fmla="val 52756"/>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a:outerShdw blurRad="63500" sx="102000" sy="102000" algn="ct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endParaRPr lang="en-AU" sz="500" kern="1200">
            <a:solidFill>
              <a:sysClr val="windowText" lastClr="000000"/>
            </a:solidFill>
          </a:endParaRPr>
        </a:p>
        <a:p>
          <a:pPr lvl="0" algn="ctr" defTabSz="222250">
            <a:lnSpc>
              <a:spcPct val="90000"/>
            </a:lnSpc>
            <a:spcBef>
              <a:spcPct val="0"/>
            </a:spcBef>
            <a:spcAft>
              <a:spcPct val="35000"/>
            </a:spcAft>
          </a:pPr>
          <a:r>
            <a:rPr lang="en-AU" sz="900" kern="1200">
              <a:solidFill>
                <a:sysClr val="windowText" lastClr="000000"/>
              </a:solidFill>
            </a:rPr>
            <a:t>1</a:t>
          </a:r>
          <a:r>
            <a:rPr lang="en-AU" sz="900" kern="1200">
              <a:solidFill>
                <a:schemeClr val="bg1"/>
              </a:solidFill>
            </a:rPr>
            <a:t> </a:t>
          </a:r>
        </a:p>
        <a:p>
          <a:pPr lvl="0" algn="ctr" defTabSz="222250">
            <a:lnSpc>
              <a:spcPct val="90000"/>
            </a:lnSpc>
            <a:spcBef>
              <a:spcPct val="0"/>
            </a:spcBef>
            <a:spcAft>
              <a:spcPct val="35000"/>
            </a:spcAft>
          </a:pPr>
          <a:r>
            <a:rPr lang="en-AU" sz="900" kern="1200">
              <a:solidFill>
                <a:schemeClr val="bg1"/>
              </a:solidFill>
            </a:rPr>
            <a:t> </a:t>
          </a:r>
          <a:r>
            <a:rPr lang="en-AU" sz="900" kern="1200">
              <a:solidFill>
                <a:sysClr val="windowText" lastClr="000000"/>
              </a:solidFill>
            </a:rPr>
            <a:t>LTIs</a:t>
          </a:r>
        </a:p>
      </dsp:txBody>
      <dsp:txXfrm>
        <a:off x="569539" y="0"/>
        <a:ext cx="538591" cy="510459"/>
      </dsp:txXfrm>
    </dsp:sp>
    <dsp:sp modelId="{A8037835-68F2-43E8-98F8-C42ABCEC7276}">
      <dsp:nvSpPr>
        <dsp:cNvPr id="0" name=""/>
        <dsp:cNvSpPr/>
      </dsp:nvSpPr>
      <dsp:spPr>
        <a:xfrm>
          <a:off x="347370" y="510459"/>
          <a:ext cx="982929" cy="421128"/>
        </a:xfrm>
        <a:prstGeom prst="trapezoid">
          <a:avLst>
            <a:gd name="adj" fmla="val 52756"/>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a:outerShdw blurRad="63500" sx="102000" sy="102000" algn="ct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10                </a:t>
          </a:r>
          <a:r>
            <a:rPr lang="en-AU" sz="800" kern="1200"/>
            <a:t>medical / first aid treatment</a:t>
          </a:r>
        </a:p>
      </dsp:txBody>
      <dsp:txXfrm>
        <a:off x="519382" y="510459"/>
        <a:ext cx="638904" cy="421128"/>
      </dsp:txXfrm>
    </dsp:sp>
    <dsp:sp modelId="{42B3AAC3-8C11-407D-AB34-8FE5293A1472}">
      <dsp:nvSpPr>
        <dsp:cNvPr id="0" name=""/>
        <dsp:cNvSpPr/>
      </dsp:nvSpPr>
      <dsp:spPr>
        <a:xfrm>
          <a:off x="173334" y="931588"/>
          <a:ext cx="1331000" cy="329889"/>
        </a:xfrm>
        <a:prstGeom prst="trapezoid">
          <a:avLst>
            <a:gd name="adj" fmla="val 52756"/>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a:outerShdw blurRad="63500" sx="102000" sy="102000" algn="ct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ts val="0"/>
            </a:spcAft>
          </a:pPr>
          <a:r>
            <a:rPr lang="en-AU" sz="900" kern="1200"/>
            <a:t>30 </a:t>
          </a:r>
        </a:p>
        <a:p>
          <a:pPr lvl="0" algn="ctr" defTabSz="400050">
            <a:lnSpc>
              <a:spcPct val="90000"/>
            </a:lnSpc>
            <a:spcBef>
              <a:spcPct val="0"/>
            </a:spcBef>
            <a:spcAft>
              <a:spcPts val="0"/>
            </a:spcAft>
          </a:pPr>
          <a:r>
            <a:rPr lang="en-AU" sz="800" kern="1200" baseline="0"/>
            <a:t>equipment damage</a:t>
          </a:r>
        </a:p>
      </dsp:txBody>
      <dsp:txXfrm>
        <a:off x="406259" y="931588"/>
        <a:ext cx="865150" cy="329889"/>
      </dsp:txXfrm>
    </dsp:sp>
    <dsp:sp modelId="{4B14F542-2050-4A92-A6F8-5A9B9AE5D693}">
      <dsp:nvSpPr>
        <dsp:cNvPr id="0" name=""/>
        <dsp:cNvSpPr/>
      </dsp:nvSpPr>
      <dsp:spPr>
        <a:xfrm>
          <a:off x="0" y="1261477"/>
          <a:ext cx="1677669" cy="328562"/>
        </a:xfrm>
        <a:prstGeom prst="trapezoid">
          <a:avLst>
            <a:gd name="adj" fmla="val 52756"/>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a:outerShdw blurRad="63500" sx="102000" sy="102000" algn="ctr"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ts val="0"/>
            </a:spcAft>
          </a:pPr>
          <a:r>
            <a:rPr lang="en-AU" sz="900" kern="1200"/>
            <a:t>600 </a:t>
          </a:r>
        </a:p>
        <a:p>
          <a:pPr lvl="0" algn="ctr" defTabSz="400050">
            <a:lnSpc>
              <a:spcPct val="90000"/>
            </a:lnSpc>
            <a:spcBef>
              <a:spcPct val="0"/>
            </a:spcBef>
            <a:spcAft>
              <a:spcPts val="0"/>
            </a:spcAft>
          </a:pPr>
          <a:r>
            <a:rPr lang="en-AU" sz="900" kern="1200"/>
            <a:t>near miss</a:t>
          </a:r>
        </a:p>
      </dsp:txBody>
      <dsp:txXfrm>
        <a:off x="293592" y="1261477"/>
        <a:ext cx="1090485" cy="3285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9C63E3-B76E-432B-8E5F-0562FE115C90}">
      <dsp:nvSpPr>
        <dsp:cNvPr id="0" name=""/>
        <dsp:cNvSpPr/>
      </dsp:nvSpPr>
      <dsp:spPr>
        <a:xfrm>
          <a:off x="411479" y="0"/>
          <a:ext cx="4663440" cy="1375575"/>
        </a:xfrm>
        <a:prstGeom prst="rightArrow">
          <a:avLst/>
        </a:prstGeom>
        <a:solidFill>
          <a:srgbClr val="C0504D">
            <a:lumMod val="20000"/>
            <a:lumOff val="80000"/>
          </a:srgbClr>
        </a:solidFill>
        <a:ln>
          <a:noFill/>
        </a:ln>
        <a:effectLst/>
      </dsp:spPr>
      <dsp:style>
        <a:lnRef idx="0">
          <a:scrgbClr r="0" g="0" b="0"/>
        </a:lnRef>
        <a:fillRef idx="1">
          <a:scrgbClr r="0" g="0" b="0"/>
        </a:fillRef>
        <a:effectRef idx="0">
          <a:scrgbClr r="0" g="0" b="0"/>
        </a:effectRef>
        <a:fontRef idx="minor"/>
      </dsp:style>
    </dsp:sp>
    <dsp:sp modelId="{F4F65AA1-B8B0-43B8-B5BE-9A5A13A7C8FC}">
      <dsp:nvSpPr>
        <dsp:cNvPr id="0" name=""/>
        <dsp:cNvSpPr/>
      </dsp:nvSpPr>
      <dsp:spPr>
        <a:xfrm>
          <a:off x="1172" y="412672"/>
          <a:ext cx="1291149" cy="55023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First Aid</a:t>
          </a:r>
        </a:p>
      </dsp:txBody>
      <dsp:txXfrm>
        <a:off x="28032" y="439532"/>
        <a:ext cx="1237429" cy="496510"/>
      </dsp:txXfrm>
    </dsp:sp>
    <dsp:sp modelId="{576C7763-641C-4245-9E62-0F8041CF8639}">
      <dsp:nvSpPr>
        <dsp:cNvPr id="0" name=""/>
        <dsp:cNvSpPr/>
      </dsp:nvSpPr>
      <dsp:spPr>
        <a:xfrm>
          <a:off x="1398807" y="412672"/>
          <a:ext cx="1291149" cy="55023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Medical treatement</a:t>
          </a:r>
        </a:p>
      </dsp:txBody>
      <dsp:txXfrm>
        <a:off x="1425667" y="439532"/>
        <a:ext cx="1237429" cy="496510"/>
      </dsp:txXfrm>
    </dsp:sp>
    <dsp:sp modelId="{7C51FD6D-3793-4F4E-A2CD-1EDE10F63FB2}">
      <dsp:nvSpPr>
        <dsp:cNvPr id="0" name=""/>
        <dsp:cNvSpPr/>
      </dsp:nvSpPr>
      <dsp:spPr>
        <a:xfrm>
          <a:off x="2796443" y="412672"/>
          <a:ext cx="1291149" cy="55023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Lost time injury</a:t>
          </a:r>
        </a:p>
      </dsp:txBody>
      <dsp:txXfrm>
        <a:off x="2823303" y="439532"/>
        <a:ext cx="1237429" cy="496510"/>
      </dsp:txXfrm>
    </dsp:sp>
    <dsp:sp modelId="{613726FE-2B38-4F70-A4A6-F9764EB900FA}">
      <dsp:nvSpPr>
        <dsp:cNvPr id="0" name=""/>
        <dsp:cNvSpPr/>
      </dsp:nvSpPr>
      <dsp:spPr>
        <a:xfrm>
          <a:off x="4194078" y="412672"/>
          <a:ext cx="1291149" cy="55023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AU" sz="1300" kern="1200">
              <a:solidFill>
                <a:sysClr val="window" lastClr="FFFFFF"/>
              </a:solidFill>
              <a:latin typeface="Calibri"/>
              <a:ea typeface="+mn-ea"/>
              <a:cs typeface="+mn-cs"/>
            </a:rPr>
            <a:t>Fatality</a:t>
          </a:r>
        </a:p>
      </dsp:txBody>
      <dsp:txXfrm>
        <a:off x="4220938" y="439532"/>
        <a:ext cx="1237429" cy="4965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97FCA3-7F6F-471E-AC69-6CD34A2DF001}">
      <dsp:nvSpPr>
        <dsp:cNvPr id="0" name=""/>
        <dsp:cNvSpPr/>
      </dsp:nvSpPr>
      <dsp:spPr>
        <a:xfrm>
          <a:off x="1170545" y="0"/>
          <a:ext cx="600864" cy="608905"/>
        </a:xfrm>
        <a:prstGeom prst="trapezoid">
          <a:avLst>
            <a:gd name="adj" fmla="val 50000"/>
          </a:avLst>
        </a:prstGeom>
        <a:solidFill>
          <a:schemeClr val="tx1"/>
        </a:solidFill>
        <a:ln w="25400" cap="flat" cmpd="sng" algn="ctr">
          <a:solidFill>
            <a:schemeClr val="tx1"/>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n-AU" sz="900" kern="1200">
            <a:solidFill>
              <a:schemeClr val="bg1"/>
            </a:solidFill>
          </a:endParaRPr>
        </a:p>
        <a:p>
          <a:pPr lvl="0" algn="ctr" defTabSz="400050">
            <a:lnSpc>
              <a:spcPct val="90000"/>
            </a:lnSpc>
            <a:spcBef>
              <a:spcPct val="0"/>
            </a:spcBef>
            <a:spcAft>
              <a:spcPct val="35000"/>
            </a:spcAft>
          </a:pPr>
          <a:r>
            <a:rPr lang="en-AU" sz="900" kern="1200">
              <a:solidFill>
                <a:schemeClr val="bg1"/>
              </a:solidFill>
            </a:rPr>
            <a:t>Fatality</a:t>
          </a:r>
        </a:p>
      </dsp:txBody>
      <dsp:txXfrm>
        <a:off x="1170545" y="0"/>
        <a:ext cx="600864" cy="608905"/>
      </dsp:txXfrm>
    </dsp:sp>
    <dsp:sp modelId="{8B9C614A-F22E-4CE1-A266-C02ABED000ED}">
      <dsp:nvSpPr>
        <dsp:cNvPr id="0" name=""/>
        <dsp:cNvSpPr/>
      </dsp:nvSpPr>
      <dsp:spPr>
        <a:xfrm>
          <a:off x="934442" y="608905"/>
          <a:ext cx="1073069" cy="478524"/>
        </a:xfrm>
        <a:prstGeom prst="trapezoid">
          <a:avLst>
            <a:gd name="adj" fmla="val 49340"/>
          </a:avLst>
        </a:prstGeom>
        <a:solidFill>
          <a:schemeClr val="accent2">
            <a:lumMod val="75000"/>
          </a:schemeClr>
        </a:solidFill>
        <a:ln w="25400" cap="flat" cmpd="sng" algn="ctr">
          <a:solidFill>
            <a:schemeClr val="accent2">
              <a:lumMod val="75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solidFill>
                <a:schemeClr val="bg1"/>
              </a:solidFill>
            </a:rPr>
            <a:t>Total Permanent disability</a:t>
          </a:r>
        </a:p>
      </dsp:txBody>
      <dsp:txXfrm>
        <a:off x="1122229" y="608905"/>
        <a:ext cx="697495" cy="478524"/>
      </dsp:txXfrm>
    </dsp:sp>
    <dsp:sp modelId="{F9562CE8-DEA2-4192-852E-FDA57CDC4CC9}">
      <dsp:nvSpPr>
        <dsp:cNvPr id="0" name=""/>
        <dsp:cNvSpPr/>
      </dsp:nvSpPr>
      <dsp:spPr>
        <a:xfrm>
          <a:off x="786621" y="1087429"/>
          <a:ext cx="1368711" cy="299598"/>
        </a:xfrm>
        <a:prstGeom prst="trapezoid">
          <a:avLst>
            <a:gd name="adj" fmla="val 49340"/>
          </a:avLst>
        </a:prstGeom>
        <a:solidFill>
          <a:schemeClr val="accent2">
            <a:lumMod val="75000"/>
          </a:schemeClr>
        </a:solidFill>
        <a:ln w="25400" cap="flat" cmpd="sng" algn="ctr">
          <a:solidFill>
            <a:schemeClr val="accent2">
              <a:lumMod val="75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solidFill>
                <a:schemeClr val="bg1"/>
              </a:solidFill>
            </a:rPr>
            <a:t>Partial permanent disability</a:t>
          </a:r>
        </a:p>
      </dsp:txBody>
      <dsp:txXfrm>
        <a:off x="1026146" y="1087429"/>
        <a:ext cx="889662" cy="299598"/>
      </dsp:txXfrm>
    </dsp:sp>
    <dsp:sp modelId="{3A6C3DC0-9806-42D7-AC26-2E68C1104E60}">
      <dsp:nvSpPr>
        <dsp:cNvPr id="0" name=""/>
        <dsp:cNvSpPr/>
      </dsp:nvSpPr>
      <dsp:spPr>
        <a:xfrm>
          <a:off x="644550" y="1387028"/>
          <a:ext cx="1652853" cy="287944"/>
        </a:xfrm>
        <a:prstGeom prst="trapezoid">
          <a:avLst>
            <a:gd name="adj" fmla="val 49340"/>
          </a:avLst>
        </a:prstGeom>
        <a:solidFill>
          <a:schemeClr val="accent2">
            <a:lumMod val="75000"/>
          </a:schemeClr>
        </a:solidFill>
        <a:ln w="25400" cap="flat" cmpd="sng" algn="ctr">
          <a:solidFill>
            <a:schemeClr val="accent2">
              <a:lumMod val="75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solidFill>
                <a:schemeClr val="bg1"/>
              </a:solidFill>
            </a:rPr>
            <a:t>Long term temporary work absence</a:t>
          </a:r>
        </a:p>
      </dsp:txBody>
      <dsp:txXfrm>
        <a:off x="933800" y="1387028"/>
        <a:ext cx="1074354" cy="287944"/>
      </dsp:txXfrm>
    </dsp:sp>
    <dsp:sp modelId="{EDEF7224-75CC-4F8D-A99C-16038F7CC412}">
      <dsp:nvSpPr>
        <dsp:cNvPr id="0" name=""/>
        <dsp:cNvSpPr/>
      </dsp:nvSpPr>
      <dsp:spPr>
        <a:xfrm>
          <a:off x="487943" y="1674972"/>
          <a:ext cx="1966067" cy="317405"/>
        </a:xfrm>
        <a:prstGeom prst="trapezoid">
          <a:avLst>
            <a:gd name="adj" fmla="val 49340"/>
          </a:avLst>
        </a:prstGeom>
        <a:solidFill>
          <a:schemeClr val="accent2">
            <a:lumMod val="75000"/>
          </a:schemeClr>
        </a:solidFill>
        <a:ln w="25400" cap="flat" cmpd="sng" algn="ctr">
          <a:solidFill>
            <a:schemeClr val="accent2">
              <a:lumMod val="75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solidFill>
                <a:schemeClr val="bg1"/>
              </a:solidFill>
            </a:rPr>
            <a:t>Moderate temporary      work absence</a:t>
          </a:r>
          <a:endParaRPr lang="en-AU" sz="900" i="1" kern="1200">
            <a:solidFill>
              <a:schemeClr val="bg1"/>
            </a:solidFill>
          </a:endParaRPr>
        </a:p>
      </dsp:txBody>
      <dsp:txXfrm>
        <a:off x="832005" y="1674972"/>
        <a:ext cx="1277943" cy="317405"/>
      </dsp:txXfrm>
    </dsp:sp>
    <dsp:sp modelId="{37B47FEB-8F8B-45F3-9E8E-252ED259AB82}">
      <dsp:nvSpPr>
        <dsp:cNvPr id="0" name=""/>
        <dsp:cNvSpPr/>
      </dsp:nvSpPr>
      <dsp:spPr>
        <a:xfrm>
          <a:off x="339522" y="1992378"/>
          <a:ext cx="2262910" cy="300815"/>
        </a:xfrm>
        <a:prstGeom prst="trapezoid">
          <a:avLst>
            <a:gd name="adj" fmla="val 49340"/>
          </a:avLst>
        </a:prstGeom>
        <a:solidFill>
          <a:schemeClr val="accent2">
            <a:lumMod val="75000"/>
          </a:schemeClr>
        </a:solidFill>
        <a:ln w="25400" cap="flat" cmpd="sng" algn="ctr">
          <a:solidFill>
            <a:schemeClr val="accent2">
              <a:lumMod val="75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solidFill>
                <a:schemeClr val="bg1"/>
              </a:solidFill>
            </a:rPr>
            <a:t>Short term temporary                work absence</a:t>
          </a:r>
        </a:p>
      </dsp:txBody>
      <dsp:txXfrm>
        <a:off x="735531" y="1992378"/>
        <a:ext cx="1470892" cy="300815"/>
      </dsp:txXfrm>
    </dsp:sp>
    <dsp:sp modelId="{A8718393-A2ED-4049-9FF2-326BBB55C60B}">
      <dsp:nvSpPr>
        <dsp:cNvPr id="0" name=""/>
        <dsp:cNvSpPr/>
      </dsp:nvSpPr>
      <dsp:spPr>
        <a:xfrm>
          <a:off x="230557" y="2293193"/>
          <a:ext cx="2480840" cy="220845"/>
        </a:xfrm>
        <a:prstGeom prst="trapezoid">
          <a:avLst>
            <a:gd name="adj" fmla="val 49340"/>
          </a:avLst>
        </a:prstGeom>
        <a:solidFill>
          <a:schemeClr val="accent2">
            <a:lumMod val="60000"/>
            <a:lumOff val="40000"/>
          </a:schemeClr>
        </a:solidFill>
        <a:ln w="25400" cap="flat" cmpd="sng" algn="ctr">
          <a:solidFill>
            <a:schemeClr val="accent2">
              <a:lumMod val="60000"/>
              <a:lumOff val="40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Restricted / modified duty injury</a:t>
          </a:r>
        </a:p>
      </dsp:txBody>
      <dsp:txXfrm>
        <a:off x="664704" y="2293193"/>
        <a:ext cx="1612546" cy="220845"/>
      </dsp:txXfrm>
    </dsp:sp>
    <dsp:sp modelId="{BD7010A4-4A0E-42EA-9258-1A4BF4F78F9E}">
      <dsp:nvSpPr>
        <dsp:cNvPr id="0" name=""/>
        <dsp:cNvSpPr/>
      </dsp:nvSpPr>
      <dsp:spPr>
        <a:xfrm>
          <a:off x="117143" y="2514039"/>
          <a:ext cx="2707668" cy="229863"/>
        </a:xfrm>
        <a:prstGeom prst="trapezoid">
          <a:avLst>
            <a:gd name="adj" fmla="val 49340"/>
          </a:avLst>
        </a:prstGeom>
        <a:solidFill>
          <a:schemeClr val="accent2">
            <a:lumMod val="60000"/>
            <a:lumOff val="40000"/>
          </a:schemeClr>
        </a:solidFill>
        <a:ln w="25400" cap="flat" cmpd="sng" algn="ctr">
          <a:solidFill>
            <a:schemeClr val="accent2">
              <a:lumMod val="60000"/>
              <a:lumOff val="40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Medical treatment injury only</a:t>
          </a:r>
        </a:p>
      </dsp:txBody>
      <dsp:txXfrm>
        <a:off x="590985" y="2514039"/>
        <a:ext cx="1759984" cy="229863"/>
      </dsp:txXfrm>
    </dsp:sp>
    <dsp:sp modelId="{A54FA970-6D59-4F45-A946-4264B767EFDF}">
      <dsp:nvSpPr>
        <dsp:cNvPr id="0" name=""/>
        <dsp:cNvSpPr/>
      </dsp:nvSpPr>
      <dsp:spPr>
        <a:xfrm>
          <a:off x="0" y="2743903"/>
          <a:ext cx="2941954" cy="237421"/>
        </a:xfrm>
        <a:prstGeom prst="trapezoid">
          <a:avLst>
            <a:gd name="adj" fmla="val 49340"/>
          </a:avLst>
        </a:prstGeom>
        <a:solidFill>
          <a:schemeClr val="bg1"/>
        </a:solidFill>
        <a:ln w="25400" cap="flat" cmpd="sng" algn="ctr">
          <a:solidFill>
            <a:schemeClr val="accent2">
              <a:lumMod val="60000"/>
              <a:lumOff val="40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t>First aid injury</a:t>
          </a:r>
        </a:p>
      </dsp:txBody>
      <dsp:txXfrm>
        <a:off x="514842" y="2743903"/>
        <a:ext cx="1912270" cy="23742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9C63E3-B76E-432B-8E5F-0562FE115C90}">
      <dsp:nvSpPr>
        <dsp:cNvPr id="0" name=""/>
        <dsp:cNvSpPr/>
      </dsp:nvSpPr>
      <dsp:spPr>
        <a:xfrm>
          <a:off x="411479" y="0"/>
          <a:ext cx="4663440" cy="1486894"/>
        </a:xfrm>
        <a:prstGeom prst="rightArrow">
          <a:avLst/>
        </a:prstGeom>
        <a:solidFill>
          <a:srgbClr val="C0504D">
            <a:lumMod val="20000"/>
            <a:lumOff val="80000"/>
          </a:srgbClr>
        </a:solidFill>
        <a:ln>
          <a:noFill/>
        </a:ln>
        <a:effectLst/>
      </dsp:spPr>
      <dsp:style>
        <a:lnRef idx="0">
          <a:scrgbClr r="0" g="0" b="0"/>
        </a:lnRef>
        <a:fillRef idx="1">
          <a:scrgbClr r="0" g="0" b="0"/>
        </a:fillRef>
        <a:effectRef idx="0">
          <a:scrgbClr r="0" g="0" b="0"/>
        </a:effectRef>
        <a:fontRef idx="minor"/>
      </dsp:style>
    </dsp:sp>
    <dsp:sp modelId="{F4F65AA1-B8B0-43B8-B5BE-9A5A13A7C8FC}">
      <dsp:nvSpPr>
        <dsp:cNvPr id="0" name=""/>
        <dsp:cNvSpPr/>
      </dsp:nvSpPr>
      <dsp:spPr>
        <a:xfrm>
          <a:off x="1875" y="446068"/>
          <a:ext cx="1218366" cy="59475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Insignificant </a:t>
          </a:r>
        </a:p>
        <a:p>
          <a:pPr lvl="0" algn="ctr" defTabSz="533400">
            <a:lnSpc>
              <a:spcPct val="90000"/>
            </a:lnSpc>
            <a:spcBef>
              <a:spcPct val="0"/>
            </a:spcBef>
            <a:spcAft>
              <a:spcPct val="35000"/>
            </a:spcAft>
          </a:pPr>
          <a:r>
            <a:rPr lang="en-AU" sz="1000" kern="1200">
              <a:solidFill>
                <a:sysClr val="window" lastClr="FFFFFF"/>
              </a:solidFill>
              <a:latin typeface="Calibri"/>
              <a:ea typeface="+mn-ea"/>
              <a:cs typeface="+mn-cs"/>
            </a:rPr>
            <a:t>affect on life</a:t>
          </a:r>
        </a:p>
      </dsp:txBody>
      <dsp:txXfrm>
        <a:off x="30909" y="475102"/>
        <a:ext cx="1160298" cy="536689"/>
      </dsp:txXfrm>
    </dsp:sp>
    <dsp:sp modelId="{576C7763-641C-4245-9E62-0F8041CF8639}">
      <dsp:nvSpPr>
        <dsp:cNvPr id="0" name=""/>
        <dsp:cNvSpPr/>
      </dsp:nvSpPr>
      <dsp:spPr>
        <a:xfrm>
          <a:off x="1423302" y="446068"/>
          <a:ext cx="1218366" cy="59475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Temporary </a:t>
          </a:r>
        </a:p>
        <a:p>
          <a:pPr lvl="0" algn="ctr" defTabSz="533400">
            <a:lnSpc>
              <a:spcPct val="90000"/>
            </a:lnSpc>
            <a:spcBef>
              <a:spcPct val="0"/>
            </a:spcBef>
            <a:spcAft>
              <a:spcPct val="35000"/>
            </a:spcAft>
          </a:pPr>
          <a:r>
            <a:rPr lang="en-AU" sz="1000" kern="1200">
              <a:solidFill>
                <a:sysClr val="window" lastClr="FFFFFF"/>
              </a:solidFill>
              <a:latin typeface="Calibri"/>
              <a:ea typeface="+mn-ea"/>
              <a:cs typeface="+mn-cs"/>
            </a:rPr>
            <a:t>affect on life</a:t>
          </a:r>
        </a:p>
      </dsp:txBody>
      <dsp:txXfrm>
        <a:off x="1452336" y="475102"/>
        <a:ext cx="1160298" cy="536689"/>
      </dsp:txXfrm>
    </dsp:sp>
    <dsp:sp modelId="{7C51FD6D-3793-4F4E-A2CD-1EDE10F63FB2}">
      <dsp:nvSpPr>
        <dsp:cNvPr id="0" name=""/>
        <dsp:cNvSpPr/>
      </dsp:nvSpPr>
      <dsp:spPr>
        <a:xfrm>
          <a:off x="2844730" y="446068"/>
          <a:ext cx="1218366" cy="59475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Permanent</a:t>
          </a:r>
        </a:p>
        <a:p>
          <a:pPr lvl="0" algn="ctr" defTabSz="533400">
            <a:lnSpc>
              <a:spcPct val="90000"/>
            </a:lnSpc>
            <a:spcBef>
              <a:spcPct val="0"/>
            </a:spcBef>
            <a:spcAft>
              <a:spcPct val="35000"/>
            </a:spcAft>
          </a:pPr>
          <a:r>
            <a:rPr lang="en-AU" sz="1000" kern="1200">
              <a:solidFill>
                <a:sysClr val="window" lastClr="FFFFFF"/>
              </a:solidFill>
              <a:latin typeface="Calibri"/>
              <a:ea typeface="+mn-ea"/>
              <a:cs typeface="+mn-cs"/>
            </a:rPr>
            <a:t> affect on life</a:t>
          </a:r>
        </a:p>
      </dsp:txBody>
      <dsp:txXfrm>
        <a:off x="2873764" y="475102"/>
        <a:ext cx="1160298" cy="536689"/>
      </dsp:txXfrm>
    </dsp:sp>
    <dsp:sp modelId="{613726FE-2B38-4F70-A4A6-F9764EB900FA}">
      <dsp:nvSpPr>
        <dsp:cNvPr id="0" name=""/>
        <dsp:cNvSpPr/>
      </dsp:nvSpPr>
      <dsp:spPr>
        <a:xfrm>
          <a:off x="4266158" y="446068"/>
          <a:ext cx="1218366" cy="594757"/>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kern="1200">
              <a:solidFill>
                <a:sysClr val="window" lastClr="FFFFFF"/>
              </a:solidFill>
              <a:latin typeface="Calibri"/>
              <a:ea typeface="+mn-ea"/>
              <a:cs typeface="+mn-cs"/>
            </a:rPr>
            <a:t>Loss of life</a:t>
          </a:r>
        </a:p>
      </dsp:txBody>
      <dsp:txXfrm>
        <a:off x="4295192" y="475102"/>
        <a:ext cx="1160298" cy="53668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310949-D5C9-44DF-BC89-1F85B7CF9912}">
      <dsp:nvSpPr>
        <dsp:cNvPr id="0" name=""/>
        <dsp:cNvSpPr/>
      </dsp:nvSpPr>
      <dsp:spPr>
        <a:xfrm rot="10800000">
          <a:off x="0" y="0"/>
          <a:ext cx="3136900" cy="371240"/>
        </a:xfrm>
        <a:prstGeom prst="trapezoid">
          <a:avLst>
            <a:gd name="adj" fmla="val 51245"/>
          </a:avLst>
        </a:prstGeom>
        <a:solidFill>
          <a:schemeClr val="tx1"/>
        </a:solidFill>
        <a:ln w="25400" cap="flat" cmpd="sng" algn="ctr">
          <a:solidFill>
            <a:schemeClr val="tx1"/>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solidFill>
                <a:schemeClr val="bg1"/>
              </a:solidFill>
            </a:rPr>
            <a:t>Fatality</a:t>
          </a:r>
        </a:p>
      </dsp:txBody>
      <dsp:txXfrm rot="-10800000">
        <a:off x="548957" y="0"/>
        <a:ext cx="2038985" cy="371240"/>
      </dsp:txXfrm>
    </dsp:sp>
    <dsp:sp modelId="{347081F9-D55A-4DD5-8DAF-23C4D29154B5}">
      <dsp:nvSpPr>
        <dsp:cNvPr id="0" name=""/>
        <dsp:cNvSpPr/>
      </dsp:nvSpPr>
      <dsp:spPr>
        <a:xfrm rot="10800000">
          <a:off x="190241" y="371240"/>
          <a:ext cx="2756416" cy="397158"/>
        </a:xfrm>
        <a:prstGeom prst="trapezoid">
          <a:avLst>
            <a:gd name="adj" fmla="val 51245"/>
          </a:avLst>
        </a:prstGeom>
        <a:solidFill>
          <a:schemeClr val="tx1"/>
        </a:solidFill>
        <a:ln w="25400" cap="flat" cmpd="sng" algn="ctr">
          <a:solidFill>
            <a:schemeClr val="accent2">
              <a:lumMod val="75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solidFill>
                <a:schemeClr val="bg1"/>
              </a:solidFill>
            </a:rPr>
            <a:t>Total Permanent impairment</a:t>
          </a:r>
        </a:p>
      </dsp:txBody>
      <dsp:txXfrm rot="-10800000">
        <a:off x="672614" y="371240"/>
        <a:ext cx="1791670" cy="397158"/>
      </dsp:txXfrm>
    </dsp:sp>
    <dsp:sp modelId="{606B125D-BE1D-40D6-997C-582177D45D38}">
      <dsp:nvSpPr>
        <dsp:cNvPr id="0" name=""/>
        <dsp:cNvSpPr/>
      </dsp:nvSpPr>
      <dsp:spPr>
        <a:xfrm rot="10800000">
          <a:off x="393764" y="768398"/>
          <a:ext cx="2349371" cy="365808"/>
        </a:xfrm>
        <a:prstGeom prst="trapezoid">
          <a:avLst>
            <a:gd name="adj" fmla="val 51245"/>
          </a:avLst>
        </a:prstGeom>
        <a:solidFill>
          <a:schemeClr val="accent2">
            <a:lumMod val="75000"/>
          </a:schemeClr>
        </a:solidFill>
        <a:ln w="25400" cap="flat" cmpd="sng" algn="ctr">
          <a:solidFill>
            <a:schemeClr val="accent2">
              <a:lumMod val="75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solidFill>
                <a:schemeClr val="bg1"/>
              </a:solidFill>
            </a:rPr>
            <a:t>Partial permanent impairment</a:t>
          </a:r>
        </a:p>
      </dsp:txBody>
      <dsp:txXfrm rot="-10800000">
        <a:off x="804904" y="768398"/>
        <a:ext cx="1527091" cy="365808"/>
      </dsp:txXfrm>
    </dsp:sp>
    <dsp:sp modelId="{58B5987E-AE14-4221-B161-589507252358}">
      <dsp:nvSpPr>
        <dsp:cNvPr id="0" name=""/>
        <dsp:cNvSpPr/>
      </dsp:nvSpPr>
      <dsp:spPr>
        <a:xfrm rot="10800000">
          <a:off x="581222" y="1134207"/>
          <a:ext cx="1974455" cy="375723"/>
        </a:xfrm>
        <a:prstGeom prst="trapezoid">
          <a:avLst>
            <a:gd name="adj" fmla="val 51245"/>
          </a:avLst>
        </a:prstGeom>
        <a:solidFill>
          <a:schemeClr val="accent2">
            <a:lumMod val="75000"/>
          </a:schemeClr>
        </a:solidFill>
        <a:ln w="25400" cap="flat" cmpd="sng" algn="ctr">
          <a:solidFill>
            <a:schemeClr val="accent2">
              <a:lumMod val="75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solidFill>
                <a:schemeClr val="bg1"/>
              </a:solidFill>
            </a:rPr>
            <a:t>Long term temporary impairment (&gt;6mths)</a:t>
          </a:r>
        </a:p>
      </dsp:txBody>
      <dsp:txXfrm rot="-10800000">
        <a:off x="926752" y="1134207"/>
        <a:ext cx="1283395" cy="375723"/>
      </dsp:txXfrm>
    </dsp:sp>
    <dsp:sp modelId="{FAC4C3C6-2B5F-43A7-B57D-5F42DE00D166}">
      <dsp:nvSpPr>
        <dsp:cNvPr id="0" name=""/>
        <dsp:cNvSpPr/>
      </dsp:nvSpPr>
      <dsp:spPr>
        <a:xfrm rot="10800000">
          <a:off x="773761" y="1509930"/>
          <a:ext cx="1589377" cy="338052"/>
        </a:xfrm>
        <a:prstGeom prst="trapezoid">
          <a:avLst>
            <a:gd name="adj" fmla="val 51245"/>
          </a:avLst>
        </a:prstGeom>
        <a:solidFill>
          <a:schemeClr val="accent2">
            <a:lumMod val="60000"/>
            <a:lumOff val="40000"/>
          </a:schemeClr>
        </a:solidFill>
        <a:ln w="25400" cap="flat" cmpd="sng" algn="ctr">
          <a:solidFill>
            <a:schemeClr val="accent2">
              <a:lumMod val="75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kern="1200">
              <a:solidFill>
                <a:sysClr val="windowText" lastClr="000000"/>
              </a:solidFill>
            </a:rPr>
            <a:t>Moderate temporary      impairment</a:t>
          </a:r>
          <a:endParaRPr lang="en-AU" sz="900" i="1" kern="1200">
            <a:solidFill>
              <a:sysClr val="windowText" lastClr="000000"/>
            </a:solidFill>
          </a:endParaRPr>
        </a:p>
      </dsp:txBody>
      <dsp:txXfrm rot="-10800000">
        <a:off x="1051902" y="1509930"/>
        <a:ext cx="1033095" cy="338052"/>
      </dsp:txXfrm>
    </dsp:sp>
    <dsp:sp modelId="{3778731F-5857-49C6-A197-8D83D83B0EEE}">
      <dsp:nvSpPr>
        <dsp:cNvPr id="0" name=""/>
        <dsp:cNvSpPr/>
      </dsp:nvSpPr>
      <dsp:spPr>
        <a:xfrm rot="10800000">
          <a:off x="946995" y="1847983"/>
          <a:ext cx="1242909" cy="405730"/>
        </a:xfrm>
        <a:prstGeom prst="trapezoid">
          <a:avLst>
            <a:gd name="adj" fmla="val 51245"/>
          </a:avLst>
        </a:prstGeom>
        <a:solidFill>
          <a:schemeClr val="accent2">
            <a:lumMod val="60000"/>
            <a:lumOff val="40000"/>
          </a:schemeClr>
        </a:solidFill>
        <a:ln w="25400" cap="flat" cmpd="sng" algn="ctr">
          <a:solidFill>
            <a:schemeClr val="accent2">
              <a:lumMod val="75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80000"/>
            </a:lnSpc>
            <a:spcBef>
              <a:spcPct val="0"/>
            </a:spcBef>
            <a:spcAft>
              <a:spcPct val="35000"/>
            </a:spcAft>
          </a:pPr>
          <a:r>
            <a:rPr lang="en-AU" sz="900" kern="1000" baseline="0">
              <a:solidFill>
                <a:sysClr val="windowText" lastClr="000000"/>
              </a:solidFill>
            </a:rPr>
            <a:t>Short term temporary                impairment</a:t>
          </a:r>
        </a:p>
      </dsp:txBody>
      <dsp:txXfrm rot="-10800000">
        <a:off x="1164504" y="1847983"/>
        <a:ext cx="807890" cy="405730"/>
      </dsp:txXfrm>
    </dsp:sp>
    <dsp:sp modelId="{282359D6-A32F-4274-A8F2-E82504D7CE7D}">
      <dsp:nvSpPr>
        <dsp:cNvPr id="0" name=""/>
        <dsp:cNvSpPr/>
      </dsp:nvSpPr>
      <dsp:spPr>
        <a:xfrm rot="10800000">
          <a:off x="1154911" y="2253713"/>
          <a:ext cx="827077" cy="806986"/>
        </a:xfrm>
        <a:prstGeom prst="trapezoid">
          <a:avLst>
            <a:gd name="adj" fmla="val 51245"/>
          </a:avLst>
        </a:prstGeom>
        <a:solidFill>
          <a:schemeClr val="accent2">
            <a:lumMod val="20000"/>
            <a:lumOff val="80000"/>
          </a:schemeClr>
        </a:solidFill>
        <a:ln w="25400" cap="flat" cmpd="sng" algn="ctr">
          <a:solidFill>
            <a:schemeClr val="accent2">
              <a:lumMod val="60000"/>
              <a:lumOff val="40000"/>
            </a:schemeClr>
          </a:solidFill>
          <a:prstDash val="solid"/>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80000"/>
            </a:lnSpc>
            <a:spcBef>
              <a:spcPct val="0"/>
            </a:spcBef>
            <a:spcAft>
              <a:spcPct val="35000"/>
            </a:spcAft>
          </a:pPr>
          <a:r>
            <a:rPr lang="en-AU" sz="900" kern="1200"/>
            <a:t>Medical/first                            aid, no                      impair-            ment</a:t>
          </a:r>
        </a:p>
        <a:p>
          <a:pPr lvl="0" algn="ctr" defTabSz="400050">
            <a:lnSpc>
              <a:spcPct val="90000"/>
            </a:lnSpc>
            <a:spcBef>
              <a:spcPct val="0"/>
            </a:spcBef>
            <a:spcAft>
              <a:spcPct val="35000"/>
            </a:spcAft>
          </a:pPr>
          <a:endParaRPr lang="en-AU" sz="500" kern="1200"/>
        </a:p>
      </dsp:txBody>
      <dsp:txXfrm rot="-10800000">
        <a:off x="1154911" y="2253713"/>
        <a:ext cx="827077" cy="80698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34E913-0F22-4F41-946E-914D64FB2CA0}">
      <dsp:nvSpPr>
        <dsp:cNvPr id="0" name=""/>
        <dsp:cNvSpPr/>
      </dsp:nvSpPr>
      <dsp:spPr>
        <a:xfrm>
          <a:off x="2678" y="36116"/>
          <a:ext cx="830460" cy="778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Training conducted</a:t>
          </a:r>
        </a:p>
      </dsp:txBody>
      <dsp:txXfrm>
        <a:off x="25481" y="58919"/>
        <a:ext cx="784854" cy="732951"/>
      </dsp:txXfrm>
    </dsp:sp>
    <dsp:sp modelId="{DCFA65CB-01E0-48B5-BDFF-EA8FFB03A5E8}">
      <dsp:nvSpPr>
        <dsp:cNvPr id="0" name=""/>
        <dsp:cNvSpPr/>
      </dsp:nvSpPr>
      <dsp:spPr>
        <a:xfrm>
          <a:off x="916185" y="322417"/>
          <a:ext cx="176057" cy="205954"/>
        </a:xfrm>
        <a:prstGeom prst="rightArrow">
          <a:avLst>
            <a:gd name="adj1" fmla="val 60000"/>
            <a:gd name="adj2" fmla="val 50000"/>
          </a:avLst>
        </a:prstGeom>
        <a:solidFill>
          <a:schemeClr val="accent1">
            <a:lumMod val="20000"/>
            <a:lumOff val="80000"/>
          </a:schemeClr>
        </a:solidFill>
        <a:ln>
          <a:solidFill>
            <a:schemeClr val="tx2">
              <a:lumMod val="40000"/>
              <a:lumOff val="6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916185" y="363608"/>
        <a:ext cx="123240" cy="123572"/>
      </dsp:txXfrm>
    </dsp:sp>
    <dsp:sp modelId="{A3B6BBB9-7560-47DA-AAA2-D2B9A87C6390}">
      <dsp:nvSpPr>
        <dsp:cNvPr id="0" name=""/>
        <dsp:cNvSpPr/>
      </dsp:nvSpPr>
      <dsp:spPr>
        <a:xfrm>
          <a:off x="1165324" y="36116"/>
          <a:ext cx="830460" cy="778557"/>
        </a:xfrm>
        <a:prstGeom prst="flowChartDecisi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Training</a:t>
          </a:r>
        </a:p>
      </dsp:txBody>
      <dsp:txXfrm>
        <a:off x="1372939" y="230755"/>
        <a:ext cx="415230" cy="389279"/>
      </dsp:txXfrm>
    </dsp:sp>
    <dsp:sp modelId="{92544D10-C35C-4E92-AABA-7C22583EED63}">
      <dsp:nvSpPr>
        <dsp:cNvPr id="0" name=""/>
        <dsp:cNvSpPr/>
      </dsp:nvSpPr>
      <dsp:spPr>
        <a:xfrm>
          <a:off x="2078831" y="322417"/>
          <a:ext cx="176057" cy="205954"/>
        </a:xfrm>
        <a:prstGeom prst="rightArrow">
          <a:avLst>
            <a:gd name="adj1" fmla="val 60000"/>
            <a:gd name="adj2" fmla="val 50000"/>
          </a:avLst>
        </a:prstGeom>
        <a:solidFill>
          <a:schemeClr val="accent1">
            <a:lumMod val="20000"/>
            <a:lumOff val="80000"/>
          </a:schemeClr>
        </a:solidFill>
        <a:ln>
          <a:solidFill>
            <a:schemeClr val="tx2">
              <a:lumMod val="40000"/>
              <a:lumOff val="6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2078831" y="363608"/>
        <a:ext cx="123240" cy="123572"/>
      </dsp:txXfrm>
    </dsp:sp>
    <dsp:sp modelId="{CA1C58C3-6AB3-4F6C-A09E-21A8BAD864E1}">
      <dsp:nvSpPr>
        <dsp:cNvPr id="0" name=""/>
        <dsp:cNvSpPr/>
      </dsp:nvSpPr>
      <dsp:spPr>
        <a:xfrm>
          <a:off x="2327969" y="36116"/>
          <a:ext cx="830460" cy="778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Training effectiveness</a:t>
          </a:r>
        </a:p>
      </dsp:txBody>
      <dsp:txXfrm>
        <a:off x="2350772" y="58919"/>
        <a:ext cx="784854" cy="732951"/>
      </dsp:txXfrm>
    </dsp:sp>
    <dsp:sp modelId="{D2723EAB-EFCD-4A53-AE06-33A2F1D00621}">
      <dsp:nvSpPr>
        <dsp:cNvPr id="0" name=""/>
        <dsp:cNvSpPr/>
      </dsp:nvSpPr>
      <dsp:spPr>
        <a:xfrm>
          <a:off x="3279810" y="322417"/>
          <a:ext cx="186154" cy="205954"/>
        </a:xfrm>
        <a:prstGeom prst="rightArrow">
          <a:avLst>
            <a:gd name="adj1" fmla="val 60000"/>
            <a:gd name="adj2" fmla="val 50000"/>
          </a:avLst>
        </a:prstGeom>
        <a:solidFill>
          <a:schemeClr val="accent1">
            <a:lumMod val="20000"/>
            <a:lumOff val="80000"/>
          </a:schemeClr>
        </a:solidFill>
        <a:ln>
          <a:solidFill>
            <a:schemeClr val="tx2">
              <a:lumMod val="40000"/>
              <a:lumOff val="6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3279810" y="363608"/>
        <a:ext cx="130308" cy="123572"/>
      </dsp:txXfrm>
    </dsp:sp>
    <dsp:sp modelId="{5F830B5D-355D-4D3C-98E7-251BE7B9C907}">
      <dsp:nvSpPr>
        <dsp:cNvPr id="0" name=""/>
        <dsp:cNvSpPr/>
      </dsp:nvSpPr>
      <dsp:spPr>
        <a:xfrm>
          <a:off x="3509665" y="36116"/>
          <a:ext cx="830460" cy="778557"/>
        </a:xfrm>
        <a:prstGeom prst="flowChartDecisi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work health and safety failure</a:t>
          </a:r>
        </a:p>
      </dsp:txBody>
      <dsp:txXfrm>
        <a:off x="3717280" y="230755"/>
        <a:ext cx="415230" cy="389279"/>
      </dsp:txXfrm>
    </dsp:sp>
    <dsp:sp modelId="{9752D746-EE73-4BC2-937C-D3D002071323}">
      <dsp:nvSpPr>
        <dsp:cNvPr id="0" name=""/>
        <dsp:cNvSpPr/>
      </dsp:nvSpPr>
      <dsp:spPr>
        <a:xfrm>
          <a:off x="4418409" y="322417"/>
          <a:ext cx="165960" cy="205954"/>
        </a:xfrm>
        <a:prstGeom prst="rightArrow">
          <a:avLst>
            <a:gd name="adj1" fmla="val 60000"/>
            <a:gd name="adj2" fmla="val 50000"/>
          </a:avLst>
        </a:prstGeom>
        <a:solidFill>
          <a:schemeClr val="accent1">
            <a:lumMod val="20000"/>
            <a:lumOff val="80000"/>
          </a:schemeClr>
        </a:solidFill>
        <a:ln>
          <a:solidFill>
            <a:schemeClr val="tx2">
              <a:lumMod val="40000"/>
              <a:lumOff val="6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AU" sz="500" kern="1200"/>
        </a:p>
      </dsp:txBody>
      <dsp:txXfrm>
        <a:off x="4418409" y="363608"/>
        <a:ext cx="116172" cy="123572"/>
      </dsp:txXfrm>
    </dsp:sp>
    <dsp:sp modelId="{0D3671C1-3C78-41FE-B015-0D510D3AAC6F}">
      <dsp:nvSpPr>
        <dsp:cNvPr id="0" name=""/>
        <dsp:cNvSpPr/>
      </dsp:nvSpPr>
      <dsp:spPr>
        <a:xfrm>
          <a:off x="4653260" y="36116"/>
          <a:ext cx="830460" cy="7785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AU" sz="600" kern="1200"/>
            <a:t>Injury</a:t>
          </a:r>
        </a:p>
      </dsp:txBody>
      <dsp:txXfrm>
        <a:off x="4676063" y="58919"/>
        <a:ext cx="784854" cy="73295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34E913-0F22-4F41-946E-914D64FB2CA0}">
      <dsp:nvSpPr>
        <dsp:cNvPr id="0" name=""/>
        <dsp:cNvSpPr/>
      </dsp:nvSpPr>
      <dsp:spPr>
        <a:xfrm>
          <a:off x="2678" y="0"/>
          <a:ext cx="830460" cy="365760"/>
        </a:xfrm>
        <a:prstGeom prst="roundRect">
          <a:avLst>
            <a:gd name="adj" fmla="val 10000"/>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Leading indicator</a:t>
          </a:r>
        </a:p>
      </dsp:txBody>
      <dsp:txXfrm>
        <a:off x="13391" y="10713"/>
        <a:ext cx="809034" cy="344334"/>
      </dsp:txXfrm>
    </dsp:sp>
    <dsp:sp modelId="{DCFA65CB-01E0-48B5-BDFF-EA8FFB03A5E8}">
      <dsp:nvSpPr>
        <dsp:cNvPr id="0" name=""/>
        <dsp:cNvSpPr/>
      </dsp:nvSpPr>
      <dsp:spPr>
        <a:xfrm>
          <a:off x="916185" y="79902"/>
          <a:ext cx="176057" cy="205954"/>
        </a:xfrm>
        <a:prstGeom prst="rightArrow">
          <a:avLst>
            <a:gd name="adj1" fmla="val 60000"/>
            <a:gd name="adj2" fmla="val 50000"/>
          </a:avLst>
        </a:prstGeom>
        <a:solidFill>
          <a:schemeClr val="accent1">
            <a:lumMod val="20000"/>
            <a:lumOff val="80000"/>
          </a:schemeClr>
        </a:solidFill>
        <a:ln>
          <a:solidFill>
            <a:schemeClr val="tx2">
              <a:lumMod val="40000"/>
              <a:lumOff val="6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916185" y="121093"/>
        <a:ext cx="123240" cy="123572"/>
      </dsp:txXfrm>
    </dsp:sp>
    <dsp:sp modelId="{A3B6BBB9-7560-47DA-AAA2-D2B9A87C6390}">
      <dsp:nvSpPr>
        <dsp:cNvPr id="0" name=""/>
        <dsp:cNvSpPr/>
      </dsp:nvSpPr>
      <dsp:spPr>
        <a:xfrm>
          <a:off x="1165324" y="0"/>
          <a:ext cx="830460" cy="365760"/>
        </a:xfrm>
        <a:prstGeom prst="flowChartDecision">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chemeClr val="tx2">
                  <a:lumMod val="75000"/>
                </a:schemeClr>
              </a:solidFill>
            </a:rPr>
            <a:t>Training</a:t>
          </a:r>
        </a:p>
      </dsp:txBody>
      <dsp:txXfrm>
        <a:off x="1372939" y="91440"/>
        <a:ext cx="415230" cy="182880"/>
      </dsp:txXfrm>
    </dsp:sp>
    <dsp:sp modelId="{92544D10-C35C-4E92-AABA-7C22583EED63}">
      <dsp:nvSpPr>
        <dsp:cNvPr id="0" name=""/>
        <dsp:cNvSpPr/>
      </dsp:nvSpPr>
      <dsp:spPr>
        <a:xfrm>
          <a:off x="2078831" y="79902"/>
          <a:ext cx="176057" cy="205954"/>
        </a:xfrm>
        <a:prstGeom prst="rightArrow">
          <a:avLst>
            <a:gd name="adj1" fmla="val 60000"/>
            <a:gd name="adj2" fmla="val 50000"/>
          </a:avLst>
        </a:prstGeom>
        <a:solidFill>
          <a:schemeClr val="accent1">
            <a:lumMod val="20000"/>
            <a:lumOff val="80000"/>
          </a:schemeClr>
        </a:solidFill>
        <a:ln>
          <a:solidFill>
            <a:schemeClr val="tx2">
              <a:lumMod val="40000"/>
              <a:lumOff val="6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2078831" y="121093"/>
        <a:ext cx="123240" cy="123572"/>
      </dsp:txXfrm>
    </dsp:sp>
    <dsp:sp modelId="{CA1C58C3-6AB3-4F6C-A09E-21A8BAD864E1}">
      <dsp:nvSpPr>
        <dsp:cNvPr id="0" name=""/>
        <dsp:cNvSpPr/>
      </dsp:nvSpPr>
      <dsp:spPr>
        <a:xfrm>
          <a:off x="2327969" y="0"/>
          <a:ext cx="830460" cy="365760"/>
        </a:xfrm>
        <a:prstGeom prst="roundRect">
          <a:avLst>
            <a:gd name="adj" fmla="val 10000"/>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Lagging indicator</a:t>
          </a:r>
        </a:p>
      </dsp:txBody>
      <dsp:txXfrm>
        <a:off x="2338682" y="10713"/>
        <a:ext cx="809034" cy="344334"/>
      </dsp:txXfrm>
    </dsp:sp>
    <dsp:sp modelId="{D2723EAB-EFCD-4A53-AE06-33A2F1D00621}">
      <dsp:nvSpPr>
        <dsp:cNvPr id="0" name=""/>
        <dsp:cNvSpPr/>
      </dsp:nvSpPr>
      <dsp:spPr>
        <a:xfrm>
          <a:off x="3241476" y="79902"/>
          <a:ext cx="176057" cy="205954"/>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3241476" y="121093"/>
        <a:ext cx="123240" cy="123572"/>
      </dsp:txXfrm>
    </dsp:sp>
    <dsp:sp modelId="{5F830B5D-355D-4D3C-98E7-251BE7B9C907}">
      <dsp:nvSpPr>
        <dsp:cNvPr id="0" name=""/>
        <dsp:cNvSpPr/>
      </dsp:nvSpPr>
      <dsp:spPr>
        <a:xfrm>
          <a:off x="3490614" y="0"/>
          <a:ext cx="830460" cy="365760"/>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WHS failure</a:t>
          </a:r>
        </a:p>
      </dsp:txBody>
      <dsp:txXfrm>
        <a:off x="3501327" y="10713"/>
        <a:ext cx="809034" cy="344334"/>
      </dsp:txXfrm>
    </dsp:sp>
    <dsp:sp modelId="{9752D746-EE73-4BC2-937C-D3D002071323}">
      <dsp:nvSpPr>
        <dsp:cNvPr id="0" name=""/>
        <dsp:cNvSpPr/>
      </dsp:nvSpPr>
      <dsp:spPr>
        <a:xfrm>
          <a:off x="4404121" y="79902"/>
          <a:ext cx="176057" cy="205954"/>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4404121" y="121093"/>
        <a:ext cx="123240" cy="123572"/>
      </dsp:txXfrm>
    </dsp:sp>
    <dsp:sp modelId="{0D3671C1-3C78-41FE-B015-0D510D3AAC6F}">
      <dsp:nvSpPr>
        <dsp:cNvPr id="0" name=""/>
        <dsp:cNvSpPr/>
      </dsp:nvSpPr>
      <dsp:spPr>
        <a:xfrm>
          <a:off x="4653260" y="0"/>
          <a:ext cx="830460" cy="365760"/>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kern="1200"/>
            <a:t>Injury</a:t>
          </a:r>
        </a:p>
      </dsp:txBody>
      <dsp:txXfrm>
        <a:off x="4663973" y="10713"/>
        <a:ext cx="809034" cy="34433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34E913-0F22-4F41-946E-914D64FB2CA0}">
      <dsp:nvSpPr>
        <dsp:cNvPr id="0" name=""/>
        <dsp:cNvSpPr/>
      </dsp:nvSpPr>
      <dsp:spPr>
        <a:xfrm>
          <a:off x="5355" y="0"/>
          <a:ext cx="829649" cy="381662"/>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AU" sz="1000" kern="1200"/>
        </a:p>
      </dsp:txBody>
      <dsp:txXfrm>
        <a:off x="16533" y="11178"/>
        <a:ext cx="807293" cy="359306"/>
      </dsp:txXfrm>
    </dsp:sp>
    <dsp:sp modelId="{DCFA65CB-01E0-48B5-BDFF-EA8FFB03A5E8}">
      <dsp:nvSpPr>
        <dsp:cNvPr id="0" name=""/>
        <dsp:cNvSpPr/>
      </dsp:nvSpPr>
      <dsp:spPr>
        <a:xfrm>
          <a:off x="917970" y="87954"/>
          <a:ext cx="175885" cy="205753"/>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p>
      </dsp:txBody>
      <dsp:txXfrm>
        <a:off x="917970" y="129105"/>
        <a:ext cx="123120" cy="123451"/>
      </dsp:txXfrm>
    </dsp:sp>
    <dsp:sp modelId="{A3B6BBB9-7560-47DA-AAA2-D2B9A87C6390}">
      <dsp:nvSpPr>
        <dsp:cNvPr id="0" name=""/>
        <dsp:cNvSpPr/>
      </dsp:nvSpPr>
      <dsp:spPr>
        <a:xfrm>
          <a:off x="1166865" y="0"/>
          <a:ext cx="829649" cy="381662"/>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Training</a:t>
          </a:r>
        </a:p>
      </dsp:txBody>
      <dsp:txXfrm>
        <a:off x="1178043" y="11178"/>
        <a:ext cx="807293" cy="359306"/>
      </dsp:txXfrm>
    </dsp:sp>
    <dsp:sp modelId="{92544D10-C35C-4E92-AABA-7C22583EED63}">
      <dsp:nvSpPr>
        <dsp:cNvPr id="0" name=""/>
        <dsp:cNvSpPr/>
      </dsp:nvSpPr>
      <dsp:spPr>
        <a:xfrm>
          <a:off x="2079480" y="87954"/>
          <a:ext cx="175885" cy="205753"/>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p>
      </dsp:txBody>
      <dsp:txXfrm>
        <a:off x="2079480" y="129105"/>
        <a:ext cx="123120" cy="123451"/>
      </dsp:txXfrm>
    </dsp:sp>
    <dsp:sp modelId="{CA1C58C3-6AB3-4F6C-A09E-21A8BAD864E1}">
      <dsp:nvSpPr>
        <dsp:cNvPr id="0" name=""/>
        <dsp:cNvSpPr/>
      </dsp:nvSpPr>
      <dsp:spPr>
        <a:xfrm>
          <a:off x="2328375" y="0"/>
          <a:ext cx="829649" cy="381662"/>
        </a:xfrm>
        <a:prstGeom prst="roundRect">
          <a:avLst>
            <a:gd name="adj" fmla="val 10000"/>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Leading indicator</a:t>
          </a:r>
        </a:p>
      </dsp:txBody>
      <dsp:txXfrm>
        <a:off x="2339553" y="11178"/>
        <a:ext cx="807293" cy="359306"/>
      </dsp:txXfrm>
    </dsp:sp>
    <dsp:sp modelId="{D2723EAB-EFCD-4A53-AE06-33A2F1D00621}">
      <dsp:nvSpPr>
        <dsp:cNvPr id="0" name=""/>
        <dsp:cNvSpPr/>
      </dsp:nvSpPr>
      <dsp:spPr>
        <a:xfrm>
          <a:off x="3285983" y="92504"/>
          <a:ext cx="185957" cy="205753"/>
        </a:xfrm>
        <a:prstGeom prst="rightArrow">
          <a:avLst>
            <a:gd name="adj1" fmla="val 60000"/>
            <a:gd name="adj2" fmla="val 50000"/>
          </a:avLst>
        </a:prstGeom>
        <a:solidFill>
          <a:schemeClr val="accent1">
            <a:lumMod val="20000"/>
            <a:lumOff val="80000"/>
          </a:schemeClr>
        </a:solidFill>
        <a:ln>
          <a:solidFill>
            <a:schemeClr val="tx2">
              <a:lumMod val="40000"/>
              <a:lumOff val="6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p>
      </dsp:txBody>
      <dsp:txXfrm>
        <a:off x="3285983" y="133655"/>
        <a:ext cx="130170" cy="123451"/>
      </dsp:txXfrm>
    </dsp:sp>
    <dsp:sp modelId="{5F830B5D-355D-4D3C-98E7-251BE7B9C907}">
      <dsp:nvSpPr>
        <dsp:cNvPr id="0" name=""/>
        <dsp:cNvSpPr/>
      </dsp:nvSpPr>
      <dsp:spPr>
        <a:xfrm>
          <a:off x="3508887" y="0"/>
          <a:ext cx="829649" cy="381662"/>
        </a:xfrm>
        <a:prstGeom prst="flowChartDecision">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chemeClr val="tx2">
                  <a:lumMod val="75000"/>
                </a:schemeClr>
              </a:solidFill>
            </a:rPr>
            <a:t>work health and safety failure</a:t>
          </a:r>
        </a:p>
      </dsp:txBody>
      <dsp:txXfrm>
        <a:off x="3716299" y="95416"/>
        <a:ext cx="414825" cy="190831"/>
      </dsp:txXfrm>
    </dsp:sp>
    <dsp:sp modelId="{9752D746-EE73-4BC2-937C-D3D002071323}">
      <dsp:nvSpPr>
        <dsp:cNvPr id="0" name=""/>
        <dsp:cNvSpPr/>
      </dsp:nvSpPr>
      <dsp:spPr>
        <a:xfrm>
          <a:off x="4416751" y="87954"/>
          <a:ext cx="165814" cy="205753"/>
        </a:xfrm>
        <a:prstGeom prst="rightArrow">
          <a:avLst>
            <a:gd name="adj1" fmla="val 60000"/>
            <a:gd name="adj2" fmla="val 50000"/>
          </a:avLst>
        </a:prstGeom>
        <a:solidFill>
          <a:schemeClr val="accent1">
            <a:lumMod val="20000"/>
            <a:lumOff val="80000"/>
          </a:schemeClr>
        </a:solidFill>
        <a:ln>
          <a:solidFill>
            <a:schemeClr val="tx2">
              <a:lumMod val="40000"/>
              <a:lumOff val="6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p>
      </dsp:txBody>
      <dsp:txXfrm>
        <a:off x="4416751" y="129105"/>
        <a:ext cx="116070" cy="123451"/>
      </dsp:txXfrm>
    </dsp:sp>
    <dsp:sp modelId="{0D3671C1-3C78-41FE-B015-0D510D3AAC6F}">
      <dsp:nvSpPr>
        <dsp:cNvPr id="0" name=""/>
        <dsp:cNvSpPr/>
      </dsp:nvSpPr>
      <dsp:spPr>
        <a:xfrm>
          <a:off x="4651394" y="0"/>
          <a:ext cx="829649" cy="381662"/>
        </a:xfrm>
        <a:prstGeom prst="roundRect">
          <a:avLst>
            <a:gd name="adj" fmla="val 10000"/>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lagging indicator</a:t>
          </a:r>
        </a:p>
      </dsp:txBody>
      <dsp:txXfrm>
        <a:off x="4662572" y="11178"/>
        <a:ext cx="807293" cy="35930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978-1-74361-309-2</PublicationIdentifier>
    <ParentFolderID xmlns="http://schemas.microsoft.com/sharepoint/v3/fields">834</ParentFold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CADB-D1B3-4E8E-98DF-2DCACFB87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B33B0-EF46-4F6A-B0E5-7A240D24B019}">
  <ds:schemaRefs>
    <ds:schemaRef ds:uri="http://schemas.microsoft.com/office/infopath/2007/PartnerControls"/>
    <ds:schemaRef ds:uri="http://schemas.microsoft.com/sharepoint/v3/field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C5BE303-091D-4DB1-9A5C-2EE05DA5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DFF544EF.dotm</Template>
  <TotalTime>0</TotalTime>
  <Pages>14</Pages>
  <Words>13591</Words>
  <Characters>77471</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1. Issues in the Measurement and Reporting of Work Health and Safety Performance: A Review</vt:lpstr>
    </vt:vector>
  </TitlesOfParts>
  <Company>Grizli777</Company>
  <LinksUpToDate>false</LinksUpToDate>
  <CharactersWithSpaces>90881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Issues in the Measurement and Reporting of Work Health and Safety Performance: A Review</dc:title>
  <dc:creator>ASI</dc:creator>
  <cp:lastModifiedBy>Suzanne Cooper</cp:lastModifiedBy>
  <cp:revision>2</cp:revision>
  <cp:lastPrinted>2013-09-17T13:00:00Z</cp:lastPrinted>
  <dcterms:created xsi:type="dcterms:W3CDTF">2017-03-22T03:00:00Z</dcterms:created>
  <dcterms:modified xsi:type="dcterms:W3CDTF">2017-03-22T03:00:00Z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