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3F" w:rsidRPr="005E6422" w:rsidRDefault="000E668D" w:rsidP="00082463">
      <w:pPr>
        <w:pStyle w:val="Title1"/>
      </w:pPr>
      <w:bookmarkStart w:id="0" w:name="_GoBack"/>
      <w:r>
        <w:t>Work-related Traumatic Injury Fatalities, Australia</w:t>
      </w:r>
      <w:r w:rsidR="00437498">
        <w:t>, 2015</w:t>
      </w:r>
    </w:p>
    <w:bookmarkEnd w:id="0"/>
    <w:p w:rsidR="0075723F" w:rsidRPr="005E6422" w:rsidRDefault="00437498" w:rsidP="0075723F">
      <w:pPr>
        <w:spacing w:after="240"/>
        <w:jc w:val="center"/>
        <w:rPr>
          <w:b/>
          <w:sz w:val="28"/>
          <w:szCs w:val="28"/>
        </w:rPr>
      </w:pPr>
      <w:r>
        <w:rPr>
          <w:b/>
          <w:sz w:val="28"/>
          <w:szCs w:val="28"/>
        </w:rPr>
        <w:t xml:space="preserve">October </w:t>
      </w:r>
      <w:r w:rsidR="0075723F" w:rsidRPr="005E6422">
        <w:rPr>
          <w:b/>
          <w:sz w:val="28"/>
          <w:szCs w:val="28"/>
        </w:rPr>
        <w:t>2016</w:t>
      </w:r>
    </w:p>
    <w:p w:rsidR="0075723F" w:rsidRPr="005E6422" w:rsidRDefault="0075723F" w:rsidP="0075723F">
      <w:pPr>
        <w:jc w:val="center"/>
        <w:rPr>
          <w:b/>
          <w:sz w:val="40"/>
          <w:szCs w:val="40"/>
        </w:rPr>
      </w:pPr>
      <w:r w:rsidRPr="005E6422">
        <w:rPr>
          <w:noProof/>
        </w:rPr>
        <w:drawing>
          <wp:inline distT="0" distB="0" distL="0" distR="0" wp14:anchorId="49E13E4D" wp14:editId="611FEF5B">
            <wp:extent cx="2071999" cy="432000"/>
            <wp:effectExtent l="0" t="0" r="5080" b="6350"/>
            <wp:docPr id="26" name="Picture 2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9"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r w:rsidRPr="005E6422">
        <w:rPr>
          <w:b/>
          <w:sz w:val="40"/>
          <w:szCs w:val="40"/>
        </w:rPr>
        <w:br w:type="page"/>
      </w:r>
    </w:p>
    <w:p w:rsidR="0075723F" w:rsidRPr="005E6422" w:rsidRDefault="0075723F" w:rsidP="0075723F">
      <w:pPr>
        <w:rPr>
          <w:b/>
        </w:rPr>
      </w:pPr>
      <w:r w:rsidRPr="005E6422">
        <w:rPr>
          <w:b/>
        </w:rPr>
        <w:lastRenderedPageBreak/>
        <w:t>Creative Commons</w:t>
      </w:r>
    </w:p>
    <w:p w:rsidR="0075723F" w:rsidRPr="005E6422" w:rsidRDefault="0075723F" w:rsidP="0075723F">
      <w:pPr>
        <w:rPr>
          <w:b/>
        </w:rPr>
      </w:pPr>
      <w:r w:rsidRPr="005E6422">
        <w:rPr>
          <w:noProof/>
          <w:color w:val="000000" w:themeColor="text1"/>
          <w:sz w:val="19"/>
          <w:szCs w:val="19"/>
        </w:rPr>
        <w:drawing>
          <wp:inline distT="0" distB="0" distL="0" distR="0" wp14:anchorId="14F67BAC" wp14:editId="4EF322D1">
            <wp:extent cx="1524000" cy="530370"/>
            <wp:effectExtent l="0" t="0" r="0" b="0"/>
            <wp:docPr id="7" name="Picture 4"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Creative Common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530225"/>
                    </a:xfrm>
                    <a:prstGeom prst="rect">
                      <a:avLst/>
                    </a:prstGeom>
                  </pic:spPr>
                </pic:pic>
              </a:graphicData>
            </a:graphic>
          </wp:inline>
        </w:drawing>
      </w:r>
    </w:p>
    <w:p w:rsidR="0075723F" w:rsidRPr="005E6422" w:rsidRDefault="00A12608" w:rsidP="0075723F">
      <w:pPr>
        <w:spacing w:after="0"/>
      </w:pPr>
      <w:r>
        <w:t xml:space="preserve">ISBN: </w:t>
      </w:r>
      <w:r w:rsidRPr="00A12608">
        <w:t>978-1-76028-837-2</w:t>
      </w:r>
      <w:r w:rsidR="0075723F" w:rsidRPr="005E6422">
        <w:t xml:space="preserve"> (pdf)</w:t>
      </w:r>
    </w:p>
    <w:p w:rsidR="0075723F" w:rsidRPr="005E6422" w:rsidRDefault="00A12608" w:rsidP="0075723F">
      <w:r>
        <w:t xml:space="preserve">ISBN: </w:t>
      </w:r>
      <w:r w:rsidRPr="00A12608">
        <w:t>978-1-76028-838-9</w:t>
      </w:r>
      <w:r w:rsidR="0075723F" w:rsidRPr="005E6422">
        <w:t xml:space="preserve"> (</w:t>
      </w:r>
      <w:proofErr w:type="spellStart"/>
      <w:r w:rsidR="0075723F" w:rsidRPr="005E6422">
        <w:t>docx</w:t>
      </w:r>
      <w:proofErr w:type="spellEnd"/>
      <w:r w:rsidR="0075723F" w:rsidRPr="005E6422">
        <w:t>)</w:t>
      </w:r>
    </w:p>
    <w:p w:rsidR="0075723F" w:rsidRPr="005E6422" w:rsidRDefault="0075723F" w:rsidP="0075723F">
      <w:r w:rsidRPr="005E6422">
        <w:t xml:space="preserve">With the exception of the Safe Work Australia logo, this report is licensed by Safe Work Australia under a Creative Commons 3.0 Australia Licence. To view a copy of this licence, visit </w:t>
      </w:r>
      <w:hyperlink r:id="rId11" w:history="1">
        <w:r w:rsidRPr="005E6422">
          <w:rPr>
            <w:rStyle w:val="Hyperlink"/>
          </w:rPr>
          <w:t>http://creativecommons.org/licenses/by/3.0/au/deed.en</w:t>
        </w:r>
      </w:hyperlink>
    </w:p>
    <w:p w:rsidR="0075723F" w:rsidRPr="005E6422" w:rsidRDefault="0075723F" w:rsidP="0075723F">
      <w:r w:rsidRPr="005E6422">
        <w:t>In essence, you are free to copy, communicate and adapt the work, as long as you attribute the work to Safe Work Australia and abid</w:t>
      </w:r>
      <w:r>
        <w:t>e by the other licensing terms.</w:t>
      </w:r>
      <w:r w:rsidR="000E668D">
        <w:t xml:space="preserve"> The report should be attributed as Work-related Traumatic Injury Fatalities, Australia 2016.</w:t>
      </w:r>
    </w:p>
    <w:p w:rsidR="0075723F" w:rsidRPr="005E6422" w:rsidRDefault="0075723F" w:rsidP="0075723F">
      <w:r w:rsidRPr="005E6422">
        <w:t>Enquiries regarding the licence and any use of the report are welcome at:</w:t>
      </w:r>
    </w:p>
    <w:p w:rsidR="0075723F" w:rsidRPr="005E6422" w:rsidRDefault="0075723F" w:rsidP="0075723F">
      <w:pPr>
        <w:spacing w:after="0"/>
      </w:pPr>
      <w:r w:rsidRPr="005E6422">
        <w:t>Copyright Officer</w:t>
      </w:r>
    </w:p>
    <w:p w:rsidR="0075723F" w:rsidRPr="005E6422" w:rsidRDefault="0075723F" w:rsidP="0075723F">
      <w:pPr>
        <w:spacing w:after="0"/>
      </w:pPr>
      <w:r w:rsidRPr="005E6422">
        <w:t>Safe Work Australia</w:t>
      </w:r>
    </w:p>
    <w:p w:rsidR="0075723F" w:rsidRPr="005E6422" w:rsidRDefault="0075723F" w:rsidP="0075723F">
      <w:pPr>
        <w:spacing w:after="0"/>
      </w:pPr>
      <w:r w:rsidRPr="005E6422">
        <w:t>GPO Box 641 Canberra ACT 2601</w:t>
      </w:r>
    </w:p>
    <w:p w:rsidR="0075723F" w:rsidRPr="005E6422" w:rsidRDefault="0075723F" w:rsidP="0075723F">
      <w:pPr>
        <w:spacing w:after="0"/>
      </w:pPr>
      <w:r w:rsidRPr="005E6422">
        <w:t xml:space="preserve">Email: </w:t>
      </w:r>
      <w:hyperlink r:id="rId12" w:history="1">
        <w:r w:rsidRPr="005E6422">
          <w:rPr>
            <w:rStyle w:val="Hyperlink"/>
          </w:rPr>
          <w:t>copyrightrequests@swa.gov.au</w:t>
        </w:r>
      </w:hyperlink>
    </w:p>
    <w:p w:rsidR="0075723F" w:rsidRPr="005E6422" w:rsidRDefault="0075723F" w:rsidP="005B1660">
      <w:pPr>
        <w:pStyle w:val="Tablefootnote-columnwidthTableformating"/>
      </w:pPr>
    </w:p>
    <w:p w:rsidR="0075723F" w:rsidRPr="005E6422" w:rsidRDefault="0075723F" w:rsidP="0075723F">
      <w:pPr>
        <w:rPr>
          <w:b/>
        </w:rPr>
      </w:pPr>
      <w:r w:rsidRPr="005E6422">
        <w:rPr>
          <w:b/>
        </w:rPr>
        <w:t>Disclaimer</w:t>
      </w:r>
    </w:p>
    <w:p w:rsidR="0075723F" w:rsidRPr="005E6422" w:rsidRDefault="0075723F" w:rsidP="0075723F">
      <w:r w:rsidRPr="005E6422">
        <w:t xml:space="preserve">The information provided in this document can only assist you in the most general way. This document does not replace any statutory </w:t>
      </w:r>
      <w:r w:rsidRPr="00847D33">
        <w:rPr>
          <w:rStyle w:val="BoldBody"/>
        </w:rPr>
        <w:t>requirements</w:t>
      </w:r>
      <w:r w:rsidRPr="005E6422">
        <w:t xml:space="preserve"> under any relevant </w:t>
      </w:r>
      <w:r>
        <w:t>jurisdictional</w:t>
      </w:r>
      <w:r w:rsidRPr="005E6422">
        <w:t xml:space="preserve"> legislation. Safe Work Australia accepts no liability arising from the use of or reliance on the material contained on this document, which is provided on the basis that Safe Work Australia is not thereby engaged in rendering professional advice. Before relying on the material, users should carefully make their own assessment as to its accuracy, currency, completeness and relevance for their purposes, and should obtain any appropriate professional advice relevant to their particular circumstances. </w:t>
      </w:r>
      <w:proofErr w:type="gramStart"/>
      <w:r w:rsidRPr="005E6422">
        <w:t>To</w:t>
      </w:r>
      <w:proofErr w:type="gramEnd"/>
      <w:r w:rsidRPr="005E6422">
        <w:t xml:space="preserve"> the extent that the material in this document includes views or recommendations of third parties, such views or recommendations do not necessarily reflect the views of Safe Work Australia nor do they indicate a commitment to a particular course of action.</w:t>
      </w:r>
    </w:p>
    <w:p w:rsidR="0075723F" w:rsidRDefault="0075723F" w:rsidP="0075723F">
      <w:r>
        <w:br w:type="page"/>
      </w:r>
    </w:p>
    <w:p w:rsidR="000E668D" w:rsidRPr="000E668D" w:rsidRDefault="000E668D" w:rsidP="00247D72">
      <w:pPr>
        <w:pStyle w:val="Heading1"/>
      </w:pPr>
      <w:bookmarkStart w:id="1" w:name="_Toc460936379"/>
      <w:r w:rsidRPr="000E668D">
        <w:lastRenderedPageBreak/>
        <w:t>Foreword</w:t>
      </w:r>
      <w:bookmarkEnd w:id="1"/>
    </w:p>
    <w:p w:rsidR="000E668D" w:rsidRPr="000E668D" w:rsidRDefault="000E668D" w:rsidP="000E668D">
      <w:r w:rsidRPr="000E668D">
        <w:t>The aim of this report is to provide statistics about people who die each year from injuries that arose through work-related activity. This includes fatalities resulting from an injury sustained in the course of a work activity (worker fatalities) and as a result of someone else’s work activity (bystander fatalities). Earlier reports have included fatalities that occurred while the worker was commuting to or from work (commuter fatalities), however, these fatalities have always been difficult to distinguish from other road f</w:t>
      </w:r>
      <w:r w:rsidR="00DA5B95">
        <w:t>atalities and this report relies</w:t>
      </w:r>
      <w:r w:rsidRPr="000E668D">
        <w:t xml:space="preserve"> heavily on workers’ compensation data. As fewer jurisdictions are now providing compensation coverage for commuting, the integrity of the commuter fatality collection has diminished and has therefore been ceased.</w:t>
      </w:r>
    </w:p>
    <w:p w:rsidR="000E668D" w:rsidRPr="000E668D" w:rsidRDefault="000E668D" w:rsidP="000E668D">
      <w:r w:rsidRPr="000E668D">
        <w:t xml:space="preserve">Injury is defined as </w:t>
      </w:r>
      <w:r w:rsidR="00DA5B95">
        <w:t>a condition coded to ‘External c</w:t>
      </w:r>
      <w:r w:rsidRPr="000E668D">
        <w:t>auses of morbidity and mortality’ and ‘Injury, poisoning and certain other consequences of external causes’ in the International Statistical Classification of Diseases and Related Health Problems, Tenth Revision, Australian Modification (</w:t>
      </w:r>
      <w:proofErr w:type="spellStart"/>
      <w:r w:rsidRPr="000E668D">
        <w:t>ICD</w:t>
      </w:r>
      <w:proofErr w:type="spellEnd"/>
      <w:r w:rsidRPr="000E668D">
        <w:t>-10-AM).</w:t>
      </w:r>
    </w:p>
    <w:p w:rsidR="000E668D" w:rsidRPr="000E668D" w:rsidRDefault="000E668D" w:rsidP="000E668D">
      <w:r w:rsidRPr="000E668D">
        <w:t>The scope of this collection includes all persons:</w:t>
      </w:r>
    </w:p>
    <w:p w:rsidR="000E668D" w:rsidRPr="000E668D" w:rsidRDefault="000E668D" w:rsidP="00DF6FE9">
      <w:pPr>
        <w:pStyle w:val="ListParagraph"/>
        <w:numPr>
          <w:ilvl w:val="0"/>
          <w:numId w:val="18"/>
        </w:numPr>
      </w:pPr>
      <w:r w:rsidRPr="000E668D">
        <w:t>who were fatally injured, and</w:t>
      </w:r>
    </w:p>
    <w:p w:rsidR="000E668D" w:rsidRPr="000E668D" w:rsidRDefault="000E668D" w:rsidP="00DF6FE9">
      <w:pPr>
        <w:pStyle w:val="ListParagraph"/>
        <w:numPr>
          <w:ilvl w:val="0"/>
          <w:numId w:val="18"/>
        </w:numPr>
      </w:pPr>
      <w:r w:rsidRPr="000E668D">
        <w:t>whose injuries resulted from work activity or exposures, and</w:t>
      </w:r>
    </w:p>
    <w:p w:rsidR="000E668D" w:rsidRPr="000E668D" w:rsidRDefault="000E668D" w:rsidP="00DF6FE9">
      <w:pPr>
        <w:pStyle w:val="ListParagraph"/>
        <w:numPr>
          <w:ilvl w:val="0"/>
          <w:numId w:val="18"/>
        </w:numPr>
      </w:pPr>
      <w:proofErr w:type="gramStart"/>
      <w:r w:rsidRPr="000E668D">
        <w:t>whose</w:t>
      </w:r>
      <w:proofErr w:type="gramEnd"/>
      <w:r w:rsidRPr="000E668D">
        <w:t xml:space="preserve"> injuries occurred in an incident that took place in Australian territories or territorial waters.</w:t>
      </w:r>
    </w:p>
    <w:p w:rsidR="000E668D" w:rsidRPr="000E668D" w:rsidRDefault="000E668D" w:rsidP="00DF6FE9">
      <w:r w:rsidRPr="000E668D">
        <w:t>The report includes all persons killed:</w:t>
      </w:r>
    </w:p>
    <w:p w:rsidR="000E668D" w:rsidRPr="000E668D" w:rsidRDefault="000E668D" w:rsidP="00DF6FE9">
      <w:pPr>
        <w:pStyle w:val="ListParagraph"/>
        <w:numPr>
          <w:ilvl w:val="0"/>
          <w:numId w:val="19"/>
        </w:numPr>
      </w:pPr>
      <w:r w:rsidRPr="000E668D">
        <w:t>while working including unpaid volunteers and family workers, persons undertaking work experience and defence force personnel killed within Australian territories or territorial waters or travelling for work (worker fatalities), or</w:t>
      </w:r>
    </w:p>
    <w:p w:rsidR="000E668D" w:rsidRPr="000E668D" w:rsidRDefault="000E668D" w:rsidP="00DF6FE9">
      <w:pPr>
        <w:pStyle w:val="ListParagraph"/>
        <w:numPr>
          <w:ilvl w:val="0"/>
          <w:numId w:val="19"/>
        </w:numPr>
      </w:pPr>
      <w:proofErr w:type="gramStart"/>
      <w:r w:rsidRPr="000E668D">
        <w:t>as</w:t>
      </w:r>
      <w:proofErr w:type="gramEnd"/>
      <w:r w:rsidRPr="000E668D">
        <w:t xml:space="preserve"> a result of someone else’s work activity (bystander fatalities).</w:t>
      </w:r>
    </w:p>
    <w:p w:rsidR="000E668D" w:rsidRPr="000E668D" w:rsidRDefault="000E668D" w:rsidP="00DF6FE9">
      <w:r w:rsidRPr="000E668D">
        <w:t>The collection specifically excludes those who died:</w:t>
      </w:r>
    </w:p>
    <w:p w:rsidR="000E668D" w:rsidRPr="000E668D" w:rsidRDefault="000E668D" w:rsidP="00DF6FE9">
      <w:pPr>
        <w:pStyle w:val="ListParagraph"/>
        <w:numPr>
          <w:ilvl w:val="0"/>
          <w:numId w:val="18"/>
        </w:numPr>
      </w:pPr>
      <w:r w:rsidRPr="000E668D">
        <w:t>of iatrogenic injuries — those where the worker died due to medical intervention</w:t>
      </w:r>
    </w:p>
    <w:p w:rsidR="000E668D" w:rsidRPr="000E668D" w:rsidRDefault="000E668D" w:rsidP="00DF6FE9">
      <w:pPr>
        <w:pStyle w:val="ListParagraph"/>
        <w:numPr>
          <w:ilvl w:val="0"/>
          <w:numId w:val="18"/>
        </w:numPr>
      </w:pPr>
      <w:r w:rsidRPr="000E668D">
        <w:t>due to natural causes such as heart attacks and strokes, except where a work-related injury was the direct cause of the heart attack or stroke</w:t>
      </w:r>
    </w:p>
    <w:p w:rsidR="000E668D" w:rsidRPr="000E668D" w:rsidRDefault="000E668D" w:rsidP="00DF6FE9">
      <w:pPr>
        <w:pStyle w:val="ListParagraph"/>
        <w:numPr>
          <w:ilvl w:val="0"/>
          <w:numId w:val="18"/>
        </w:numPr>
      </w:pPr>
      <w:r w:rsidRPr="000E668D">
        <w:t>as a result of diseases, such as cancers</w:t>
      </w:r>
      <w:r w:rsidR="00FF3D53">
        <w:t>, and</w:t>
      </w:r>
    </w:p>
    <w:p w:rsidR="000E668D" w:rsidRPr="000E668D" w:rsidRDefault="000E668D" w:rsidP="00DF6FE9">
      <w:pPr>
        <w:pStyle w:val="ListParagraph"/>
        <w:numPr>
          <w:ilvl w:val="0"/>
          <w:numId w:val="18"/>
        </w:numPr>
      </w:pPr>
      <w:proofErr w:type="gramStart"/>
      <w:r w:rsidRPr="000E668D">
        <w:t>by</w:t>
      </w:r>
      <w:proofErr w:type="gramEnd"/>
      <w:r w:rsidRPr="000E668D">
        <w:t xml:space="preserve"> self-inflicted injuries (suicide).</w:t>
      </w:r>
    </w:p>
    <w:p w:rsidR="000E668D" w:rsidRPr="00DF6FE9" w:rsidRDefault="000E668D" w:rsidP="000E668D">
      <w:r w:rsidRPr="00DF6FE9">
        <w:t xml:space="preserve">People who died of injuries caused by someone else’s work activity while </w:t>
      </w:r>
      <w:proofErr w:type="gramStart"/>
      <w:r w:rsidRPr="00DF6FE9">
        <w:t>themselves at work are classified as a worker rather than as a bystander</w:t>
      </w:r>
      <w:proofErr w:type="gramEnd"/>
      <w:r w:rsidRPr="00DF6FE9">
        <w:t>.</w:t>
      </w:r>
    </w:p>
    <w:p w:rsidR="000E668D" w:rsidRPr="00DF6FE9" w:rsidRDefault="000E668D" w:rsidP="000E668D">
      <w:r w:rsidRPr="00DF6FE9">
        <w:t>Changes from previous publications may also be evident due to the availability of additional information from finalised coroners reports and additional workers’ compensation claims.</w:t>
      </w:r>
    </w:p>
    <w:p w:rsidR="000E668D" w:rsidRDefault="000E668D" w:rsidP="000E668D">
      <w:pPr>
        <w:rPr>
          <w:b/>
          <w:sz w:val="40"/>
          <w:szCs w:val="40"/>
        </w:rPr>
      </w:pPr>
      <w:r w:rsidRPr="00DF6FE9">
        <w:t>For explanatory notes on the data for this publication, refer to http://www.safeworkaustralia.gov.au/sites/SWA/about/Publications/Documents/929/explanatory-notes-datasets.pdf</w:t>
      </w:r>
    </w:p>
    <w:p w:rsidR="000E668D" w:rsidRDefault="000E668D">
      <w:pPr>
        <w:rPr>
          <w:b/>
          <w:sz w:val="40"/>
          <w:szCs w:val="40"/>
        </w:rPr>
      </w:pPr>
      <w:r>
        <w:rPr>
          <w:b/>
          <w:sz w:val="40"/>
          <w:szCs w:val="40"/>
        </w:rPr>
        <w:br w:type="page"/>
      </w:r>
    </w:p>
    <w:bookmarkStart w:id="2" w:name="_Toc460936380" w:displacedByCustomXml="next"/>
    <w:bookmarkStart w:id="3" w:name="_Toc454373916" w:displacedByCustomXml="next"/>
    <w:bookmarkStart w:id="4" w:name="_Toc454199599" w:displacedByCustomXml="next"/>
    <w:bookmarkStart w:id="5" w:name="_Toc454268792" w:displacedByCustomXml="next"/>
    <w:bookmarkStart w:id="6" w:name="_Toc459720360" w:displacedByCustomXml="next"/>
    <w:bookmarkStart w:id="7" w:name="_Toc453938269" w:displacedByCustomXml="next"/>
    <w:bookmarkStart w:id="8" w:name="_Toc442340097" w:displacedByCustomXml="next"/>
    <w:bookmarkStart w:id="9" w:name="_Toc442351429" w:displacedByCustomXml="next"/>
    <w:bookmarkStart w:id="10" w:name="_Toc444680008" w:displacedByCustomXml="next"/>
    <w:bookmarkStart w:id="11" w:name="_Toc444869192" w:displacedByCustomXml="next"/>
    <w:bookmarkStart w:id="12" w:name="_Toc444869244" w:displacedByCustomXml="next"/>
    <w:bookmarkStart w:id="13" w:name="_Toc444869327" w:displacedByCustomXml="next"/>
    <w:bookmarkStart w:id="14" w:name="_Toc445362466" w:displacedByCustomXml="next"/>
    <w:bookmarkStart w:id="15" w:name="_Toc445363794" w:displacedByCustomXml="next"/>
    <w:sdt>
      <w:sdtPr>
        <w:rPr>
          <w:b w:val="0"/>
          <w:color w:val="auto"/>
          <w:sz w:val="20"/>
          <w:szCs w:val="22"/>
        </w:rPr>
        <w:id w:val="691722323"/>
        <w:docPartObj>
          <w:docPartGallery w:val="Table of Contents"/>
          <w:docPartUnique/>
        </w:docPartObj>
      </w:sdtPr>
      <w:sdtEndPr>
        <w:rPr>
          <w:bCs/>
          <w:noProof/>
        </w:rPr>
      </w:sdtEndPr>
      <w:sdtContent>
        <w:p w:rsidR="0075723F" w:rsidRDefault="0075723F" w:rsidP="00247D72">
          <w:pPr>
            <w:pStyle w:val="Heading1"/>
          </w:pPr>
          <w:r>
            <w:t>Contents</w:t>
          </w:r>
          <w:bookmarkEnd w:id="6"/>
          <w:bookmarkEnd w:id="5"/>
          <w:bookmarkEnd w:id="4"/>
          <w:bookmarkEnd w:id="3"/>
          <w:bookmarkEnd w:id="2"/>
        </w:p>
        <w:p w:rsidR="002720B8" w:rsidRDefault="0075723F">
          <w:pPr>
            <w:pStyle w:val="TOC1"/>
            <w:rPr>
              <w:rFonts w:asciiTheme="minorHAnsi" w:eastAsiaTheme="minorEastAsia" w:hAnsiTheme="minorHAnsi" w:cstheme="minorBidi"/>
              <w:kern w:val="0"/>
              <w:sz w:val="22"/>
            </w:rPr>
          </w:pPr>
          <w:r w:rsidRPr="00336437">
            <w:fldChar w:fldCharType="begin"/>
          </w:r>
          <w:r w:rsidRPr="00A12608">
            <w:instrText xml:space="preserve"> TOC \o "1-3" \h \z \u </w:instrText>
          </w:r>
          <w:r w:rsidRPr="00336437">
            <w:fldChar w:fldCharType="separate"/>
          </w:r>
          <w:hyperlink w:anchor="_Toc460936379" w:history="1">
            <w:r w:rsidR="002720B8" w:rsidRPr="00A175B3">
              <w:rPr>
                <w:rStyle w:val="Hyperlink"/>
              </w:rPr>
              <w:t>Foreword</w:t>
            </w:r>
            <w:r w:rsidR="002720B8">
              <w:rPr>
                <w:webHidden/>
              </w:rPr>
              <w:tab/>
            </w:r>
            <w:r w:rsidR="002720B8">
              <w:rPr>
                <w:webHidden/>
              </w:rPr>
              <w:fldChar w:fldCharType="begin"/>
            </w:r>
            <w:r w:rsidR="002720B8">
              <w:rPr>
                <w:webHidden/>
              </w:rPr>
              <w:instrText xml:space="preserve"> PAGEREF _Toc460936379 \h </w:instrText>
            </w:r>
            <w:r w:rsidR="002720B8">
              <w:rPr>
                <w:webHidden/>
              </w:rPr>
            </w:r>
            <w:r w:rsidR="002720B8">
              <w:rPr>
                <w:webHidden/>
              </w:rPr>
              <w:fldChar w:fldCharType="separate"/>
            </w:r>
            <w:r w:rsidR="002541B6">
              <w:rPr>
                <w:webHidden/>
              </w:rPr>
              <w:t>3</w:t>
            </w:r>
            <w:r w:rsidR="002720B8">
              <w:rPr>
                <w:webHidden/>
              </w:rPr>
              <w:fldChar w:fldCharType="end"/>
            </w:r>
          </w:hyperlink>
        </w:p>
        <w:p w:rsidR="002720B8" w:rsidRDefault="00B53623">
          <w:pPr>
            <w:pStyle w:val="TOC1"/>
            <w:rPr>
              <w:rFonts w:asciiTheme="minorHAnsi" w:eastAsiaTheme="minorEastAsia" w:hAnsiTheme="minorHAnsi" w:cstheme="minorBidi"/>
              <w:kern w:val="0"/>
              <w:sz w:val="22"/>
            </w:rPr>
          </w:pPr>
          <w:hyperlink w:anchor="_Toc460936380" w:history="1">
            <w:r w:rsidR="002720B8" w:rsidRPr="00A175B3">
              <w:rPr>
                <w:rStyle w:val="Hyperlink"/>
              </w:rPr>
              <w:t>Contents</w:t>
            </w:r>
            <w:r w:rsidR="002720B8">
              <w:rPr>
                <w:webHidden/>
              </w:rPr>
              <w:tab/>
            </w:r>
            <w:r w:rsidR="002720B8">
              <w:rPr>
                <w:webHidden/>
              </w:rPr>
              <w:fldChar w:fldCharType="begin"/>
            </w:r>
            <w:r w:rsidR="002720B8">
              <w:rPr>
                <w:webHidden/>
              </w:rPr>
              <w:instrText xml:space="preserve"> PAGEREF _Toc460936380 \h </w:instrText>
            </w:r>
            <w:r w:rsidR="002720B8">
              <w:rPr>
                <w:webHidden/>
              </w:rPr>
            </w:r>
            <w:r w:rsidR="002720B8">
              <w:rPr>
                <w:webHidden/>
              </w:rPr>
              <w:fldChar w:fldCharType="separate"/>
            </w:r>
            <w:r w:rsidR="002541B6">
              <w:rPr>
                <w:webHidden/>
              </w:rPr>
              <w:t>4</w:t>
            </w:r>
            <w:r w:rsidR="002720B8">
              <w:rPr>
                <w:webHidden/>
              </w:rPr>
              <w:fldChar w:fldCharType="end"/>
            </w:r>
          </w:hyperlink>
        </w:p>
        <w:p w:rsidR="002720B8" w:rsidRDefault="00B53623">
          <w:pPr>
            <w:pStyle w:val="TOC1"/>
            <w:rPr>
              <w:rFonts w:asciiTheme="minorHAnsi" w:eastAsiaTheme="minorEastAsia" w:hAnsiTheme="minorHAnsi" w:cstheme="minorBidi"/>
              <w:kern w:val="0"/>
              <w:sz w:val="22"/>
            </w:rPr>
          </w:pPr>
          <w:hyperlink w:anchor="_Toc460936381" w:history="1">
            <w:r w:rsidR="002720B8" w:rsidRPr="00A175B3">
              <w:rPr>
                <w:rStyle w:val="Hyperlink"/>
              </w:rPr>
              <w:t>Summary of findings</w:t>
            </w:r>
            <w:r w:rsidR="002720B8">
              <w:rPr>
                <w:webHidden/>
              </w:rPr>
              <w:tab/>
            </w:r>
            <w:r w:rsidR="002720B8">
              <w:rPr>
                <w:webHidden/>
              </w:rPr>
              <w:fldChar w:fldCharType="begin"/>
            </w:r>
            <w:r w:rsidR="002720B8">
              <w:rPr>
                <w:webHidden/>
              </w:rPr>
              <w:instrText xml:space="preserve"> PAGEREF _Toc460936381 \h </w:instrText>
            </w:r>
            <w:r w:rsidR="002720B8">
              <w:rPr>
                <w:webHidden/>
              </w:rPr>
            </w:r>
            <w:r w:rsidR="002720B8">
              <w:rPr>
                <w:webHidden/>
              </w:rPr>
              <w:fldChar w:fldCharType="separate"/>
            </w:r>
            <w:r w:rsidR="002541B6">
              <w:rPr>
                <w:webHidden/>
              </w:rPr>
              <w:t>5</w:t>
            </w:r>
            <w:r w:rsidR="002720B8">
              <w:rPr>
                <w:webHidden/>
              </w:rPr>
              <w:fldChar w:fldCharType="end"/>
            </w:r>
          </w:hyperlink>
        </w:p>
        <w:p w:rsidR="002720B8" w:rsidRDefault="00B53623">
          <w:pPr>
            <w:pStyle w:val="TOC1"/>
            <w:rPr>
              <w:rFonts w:asciiTheme="minorHAnsi" w:eastAsiaTheme="minorEastAsia" w:hAnsiTheme="minorHAnsi" w:cstheme="minorBidi"/>
              <w:kern w:val="0"/>
              <w:sz w:val="22"/>
            </w:rPr>
          </w:pPr>
          <w:hyperlink w:anchor="_Toc460936382" w:history="1">
            <w:r w:rsidR="002720B8" w:rsidRPr="00A175B3">
              <w:rPr>
                <w:rStyle w:val="Hyperlink"/>
              </w:rPr>
              <w:t>Worker fatalities</w:t>
            </w:r>
            <w:r w:rsidR="002720B8">
              <w:rPr>
                <w:webHidden/>
              </w:rPr>
              <w:tab/>
            </w:r>
            <w:r w:rsidR="002720B8">
              <w:rPr>
                <w:webHidden/>
              </w:rPr>
              <w:fldChar w:fldCharType="begin"/>
            </w:r>
            <w:r w:rsidR="002720B8">
              <w:rPr>
                <w:webHidden/>
              </w:rPr>
              <w:instrText xml:space="preserve"> PAGEREF _Toc460936382 \h </w:instrText>
            </w:r>
            <w:r w:rsidR="002720B8">
              <w:rPr>
                <w:webHidden/>
              </w:rPr>
            </w:r>
            <w:r w:rsidR="002720B8">
              <w:rPr>
                <w:webHidden/>
              </w:rPr>
              <w:fldChar w:fldCharType="separate"/>
            </w:r>
            <w:r w:rsidR="002541B6">
              <w:rPr>
                <w:webHidden/>
              </w:rPr>
              <w:t>6</w:t>
            </w:r>
            <w:r w:rsidR="002720B8">
              <w:rPr>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83" w:history="1">
            <w:r w:rsidR="002720B8" w:rsidRPr="00A175B3">
              <w:rPr>
                <w:rStyle w:val="Hyperlink"/>
                <w:noProof/>
              </w:rPr>
              <w:t>Sex</w:t>
            </w:r>
            <w:r w:rsidR="002720B8">
              <w:rPr>
                <w:noProof/>
                <w:webHidden/>
              </w:rPr>
              <w:tab/>
            </w:r>
            <w:r w:rsidR="002720B8">
              <w:rPr>
                <w:noProof/>
                <w:webHidden/>
              </w:rPr>
              <w:fldChar w:fldCharType="begin"/>
            </w:r>
            <w:r w:rsidR="002720B8">
              <w:rPr>
                <w:noProof/>
                <w:webHidden/>
              </w:rPr>
              <w:instrText xml:space="preserve"> PAGEREF _Toc460936383 \h </w:instrText>
            </w:r>
            <w:r w:rsidR="002720B8">
              <w:rPr>
                <w:noProof/>
                <w:webHidden/>
              </w:rPr>
            </w:r>
            <w:r w:rsidR="002720B8">
              <w:rPr>
                <w:noProof/>
                <w:webHidden/>
              </w:rPr>
              <w:fldChar w:fldCharType="separate"/>
            </w:r>
            <w:r w:rsidR="002541B6">
              <w:rPr>
                <w:noProof/>
                <w:webHidden/>
              </w:rPr>
              <w:t>6</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84" w:history="1">
            <w:r w:rsidR="002720B8" w:rsidRPr="00A175B3">
              <w:rPr>
                <w:rStyle w:val="Hyperlink"/>
                <w:noProof/>
              </w:rPr>
              <w:t>Age group</w:t>
            </w:r>
            <w:r w:rsidR="002720B8">
              <w:rPr>
                <w:noProof/>
                <w:webHidden/>
              </w:rPr>
              <w:tab/>
            </w:r>
            <w:r w:rsidR="002720B8">
              <w:rPr>
                <w:noProof/>
                <w:webHidden/>
              </w:rPr>
              <w:fldChar w:fldCharType="begin"/>
            </w:r>
            <w:r w:rsidR="002720B8">
              <w:rPr>
                <w:noProof/>
                <w:webHidden/>
              </w:rPr>
              <w:instrText xml:space="preserve"> PAGEREF _Toc460936384 \h </w:instrText>
            </w:r>
            <w:r w:rsidR="002720B8">
              <w:rPr>
                <w:noProof/>
                <w:webHidden/>
              </w:rPr>
            </w:r>
            <w:r w:rsidR="002720B8">
              <w:rPr>
                <w:noProof/>
                <w:webHidden/>
              </w:rPr>
              <w:fldChar w:fldCharType="separate"/>
            </w:r>
            <w:r w:rsidR="002541B6">
              <w:rPr>
                <w:noProof/>
                <w:webHidden/>
              </w:rPr>
              <w:t>7</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85" w:history="1">
            <w:r w:rsidR="002720B8" w:rsidRPr="00A175B3">
              <w:rPr>
                <w:rStyle w:val="Hyperlink"/>
                <w:noProof/>
              </w:rPr>
              <w:t>Mechanism of fatality</w:t>
            </w:r>
            <w:r w:rsidR="002720B8">
              <w:rPr>
                <w:noProof/>
                <w:webHidden/>
              </w:rPr>
              <w:tab/>
            </w:r>
            <w:r w:rsidR="002720B8">
              <w:rPr>
                <w:noProof/>
                <w:webHidden/>
              </w:rPr>
              <w:fldChar w:fldCharType="begin"/>
            </w:r>
            <w:r w:rsidR="002720B8">
              <w:rPr>
                <w:noProof/>
                <w:webHidden/>
              </w:rPr>
              <w:instrText xml:space="preserve"> PAGEREF _Toc460936385 \h </w:instrText>
            </w:r>
            <w:r w:rsidR="002720B8">
              <w:rPr>
                <w:noProof/>
                <w:webHidden/>
              </w:rPr>
            </w:r>
            <w:r w:rsidR="002720B8">
              <w:rPr>
                <w:noProof/>
                <w:webHidden/>
              </w:rPr>
              <w:fldChar w:fldCharType="separate"/>
            </w:r>
            <w:r w:rsidR="002541B6">
              <w:rPr>
                <w:noProof/>
                <w:webHidden/>
              </w:rPr>
              <w:t>8</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86" w:history="1">
            <w:r w:rsidR="002720B8" w:rsidRPr="00A175B3">
              <w:rPr>
                <w:rStyle w:val="Hyperlink"/>
                <w:noProof/>
              </w:rPr>
              <w:t>Breakdown agency</w:t>
            </w:r>
            <w:r w:rsidR="002720B8">
              <w:rPr>
                <w:noProof/>
                <w:webHidden/>
              </w:rPr>
              <w:tab/>
            </w:r>
            <w:r w:rsidR="002720B8">
              <w:rPr>
                <w:noProof/>
                <w:webHidden/>
              </w:rPr>
              <w:fldChar w:fldCharType="begin"/>
            </w:r>
            <w:r w:rsidR="002720B8">
              <w:rPr>
                <w:noProof/>
                <w:webHidden/>
              </w:rPr>
              <w:instrText xml:space="preserve"> PAGEREF _Toc460936386 \h </w:instrText>
            </w:r>
            <w:r w:rsidR="002720B8">
              <w:rPr>
                <w:noProof/>
                <w:webHidden/>
              </w:rPr>
            </w:r>
            <w:r w:rsidR="002720B8">
              <w:rPr>
                <w:noProof/>
                <w:webHidden/>
              </w:rPr>
              <w:fldChar w:fldCharType="separate"/>
            </w:r>
            <w:r w:rsidR="002541B6">
              <w:rPr>
                <w:noProof/>
                <w:webHidden/>
              </w:rPr>
              <w:t>9</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87" w:history="1">
            <w:r w:rsidR="002720B8" w:rsidRPr="00A175B3">
              <w:rPr>
                <w:rStyle w:val="Hyperlink"/>
                <w:noProof/>
              </w:rPr>
              <w:t>Involvement of vehicles</w:t>
            </w:r>
            <w:r w:rsidR="002720B8">
              <w:rPr>
                <w:noProof/>
                <w:webHidden/>
              </w:rPr>
              <w:tab/>
            </w:r>
            <w:r w:rsidR="002720B8">
              <w:rPr>
                <w:noProof/>
                <w:webHidden/>
              </w:rPr>
              <w:fldChar w:fldCharType="begin"/>
            </w:r>
            <w:r w:rsidR="002720B8">
              <w:rPr>
                <w:noProof/>
                <w:webHidden/>
              </w:rPr>
              <w:instrText xml:space="preserve"> PAGEREF _Toc460936387 \h </w:instrText>
            </w:r>
            <w:r w:rsidR="002720B8">
              <w:rPr>
                <w:noProof/>
                <w:webHidden/>
              </w:rPr>
            </w:r>
            <w:r w:rsidR="002720B8">
              <w:rPr>
                <w:noProof/>
                <w:webHidden/>
              </w:rPr>
              <w:fldChar w:fldCharType="separate"/>
            </w:r>
            <w:r w:rsidR="002541B6">
              <w:rPr>
                <w:noProof/>
                <w:webHidden/>
              </w:rPr>
              <w:t>9</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88" w:history="1">
            <w:r w:rsidR="002720B8" w:rsidRPr="00A175B3">
              <w:rPr>
                <w:rStyle w:val="Hyperlink"/>
                <w:noProof/>
              </w:rPr>
              <w:t>Fatalities due to vehicle collisions</w:t>
            </w:r>
            <w:r w:rsidR="002720B8">
              <w:rPr>
                <w:noProof/>
                <w:webHidden/>
              </w:rPr>
              <w:tab/>
            </w:r>
            <w:r w:rsidR="002720B8">
              <w:rPr>
                <w:noProof/>
                <w:webHidden/>
              </w:rPr>
              <w:fldChar w:fldCharType="begin"/>
            </w:r>
            <w:r w:rsidR="002720B8">
              <w:rPr>
                <w:noProof/>
                <w:webHidden/>
              </w:rPr>
              <w:instrText xml:space="preserve"> PAGEREF _Toc460936388 \h </w:instrText>
            </w:r>
            <w:r w:rsidR="002720B8">
              <w:rPr>
                <w:noProof/>
                <w:webHidden/>
              </w:rPr>
            </w:r>
            <w:r w:rsidR="002720B8">
              <w:rPr>
                <w:noProof/>
                <w:webHidden/>
              </w:rPr>
              <w:fldChar w:fldCharType="separate"/>
            </w:r>
            <w:r w:rsidR="002541B6">
              <w:rPr>
                <w:noProof/>
                <w:webHidden/>
              </w:rPr>
              <w:t>10</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89" w:history="1">
            <w:r w:rsidR="002720B8" w:rsidRPr="00A175B3">
              <w:rPr>
                <w:rStyle w:val="Hyperlink"/>
                <w:noProof/>
              </w:rPr>
              <w:t>Fatalities due to being hit by moving objects</w:t>
            </w:r>
            <w:r w:rsidR="002720B8">
              <w:rPr>
                <w:noProof/>
                <w:webHidden/>
              </w:rPr>
              <w:tab/>
            </w:r>
            <w:r w:rsidR="002720B8">
              <w:rPr>
                <w:noProof/>
                <w:webHidden/>
              </w:rPr>
              <w:fldChar w:fldCharType="begin"/>
            </w:r>
            <w:r w:rsidR="002720B8">
              <w:rPr>
                <w:noProof/>
                <w:webHidden/>
              </w:rPr>
              <w:instrText xml:space="preserve"> PAGEREF _Toc460936389 \h </w:instrText>
            </w:r>
            <w:r w:rsidR="002720B8">
              <w:rPr>
                <w:noProof/>
                <w:webHidden/>
              </w:rPr>
            </w:r>
            <w:r w:rsidR="002720B8">
              <w:rPr>
                <w:noProof/>
                <w:webHidden/>
              </w:rPr>
              <w:fldChar w:fldCharType="separate"/>
            </w:r>
            <w:r w:rsidR="002541B6">
              <w:rPr>
                <w:noProof/>
                <w:webHidden/>
              </w:rPr>
              <w:t>11</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0" w:history="1">
            <w:r w:rsidR="002720B8" w:rsidRPr="00A175B3">
              <w:rPr>
                <w:rStyle w:val="Hyperlink"/>
                <w:noProof/>
              </w:rPr>
              <w:t>Fatalities due to falls from a height</w:t>
            </w:r>
            <w:r w:rsidR="002720B8">
              <w:rPr>
                <w:noProof/>
                <w:webHidden/>
              </w:rPr>
              <w:tab/>
            </w:r>
            <w:r w:rsidR="002720B8">
              <w:rPr>
                <w:noProof/>
                <w:webHidden/>
              </w:rPr>
              <w:fldChar w:fldCharType="begin"/>
            </w:r>
            <w:r w:rsidR="002720B8">
              <w:rPr>
                <w:noProof/>
                <w:webHidden/>
              </w:rPr>
              <w:instrText xml:space="preserve"> PAGEREF _Toc460936390 \h </w:instrText>
            </w:r>
            <w:r w:rsidR="002720B8">
              <w:rPr>
                <w:noProof/>
                <w:webHidden/>
              </w:rPr>
            </w:r>
            <w:r w:rsidR="002720B8">
              <w:rPr>
                <w:noProof/>
                <w:webHidden/>
              </w:rPr>
              <w:fldChar w:fldCharType="separate"/>
            </w:r>
            <w:r w:rsidR="002541B6">
              <w:rPr>
                <w:noProof/>
                <w:webHidden/>
              </w:rPr>
              <w:t>11</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1" w:history="1">
            <w:r w:rsidR="002720B8" w:rsidRPr="00A175B3">
              <w:rPr>
                <w:rStyle w:val="Hyperlink"/>
                <w:noProof/>
              </w:rPr>
              <w:t>Fatalities due to being hit by falling objects</w:t>
            </w:r>
            <w:r w:rsidR="002720B8">
              <w:rPr>
                <w:noProof/>
                <w:webHidden/>
              </w:rPr>
              <w:tab/>
            </w:r>
            <w:r w:rsidR="002720B8">
              <w:rPr>
                <w:noProof/>
                <w:webHidden/>
              </w:rPr>
              <w:fldChar w:fldCharType="begin"/>
            </w:r>
            <w:r w:rsidR="002720B8">
              <w:rPr>
                <w:noProof/>
                <w:webHidden/>
              </w:rPr>
              <w:instrText xml:space="preserve"> PAGEREF _Toc460936391 \h </w:instrText>
            </w:r>
            <w:r w:rsidR="002720B8">
              <w:rPr>
                <w:noProof/>
                <w:webHidden/>
              </w:rPr>
            </w:r>
            <w:r w:rsidR="002720B8">
              <w:rPr>
                <w:noProof/>
                <w:webHidden/>
              </w:rPr>
              <w:fldChar w:fldCharType="separate"/>
            </w:r>
            <w:r w:rsidR="002541B6">
              <w:rPr>
                <w:noProof/>
                <w:webHidden/>
              </w:rPr>
              <w:t>12</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2" w:history="1">
            <w:r w:rsidR="002720B8" w:rsidRPr="00A175B3">
              <w:rPr>
                <w:rStyle w:val="Hyperlink"/>
                <w:noProof/>
              </w:rPr>
              <w:t>Industry</w:t>
            </w:r>
            <w:r w:rsidR="002720B8">
              <w:rPr>
                <w:noProof/>
                <w:webHidden/>
              </w:rPr>
              <w:tab/>
            </w:r>
            <w:r w:rsidR="002720B8">
              <w:rPr>
                <w:noProof/>
                <w:webHidden/>
              </w:rPr>
              <w:fldChar w:fldCharType="begin"/>
            </w:r>
            <w:r w:rsidR="002720B8">
              <w:rPr>
                <w:noProof/>
                <w:webHidden/>
              </w:rPr>
              <w:instrText xml:space="preserve"> PAGEREF _Toc460936392 \h </w:instrText>
            </w:r>
            <w:r w:rsidR="002720B8">
              <w:rPr>
                <w:noProof/>
                <w:webHidden/>
              </w:rPr>
            </w:r>
            <w:r w:rsidR="002720B8">
              <w:rPr>
                <w:noProof/>
                <w:webHidden/>
              </w:rPr>
              <w:fldChar w:fldCharType="separate"/>
            </w:r>
            <w:r w:rsidR="002541B6">
              <w:rPr>
                <w:noProof/>
                <w:webHidden/>
              </w:rPr>
              <w:t>13</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3" w:history="1">
            <w:r w:rsidR="002720B8" w:rsidRPr="00A175B3">
              <w:rPr>
                <w:rStyle w:val="Hyperlink"/>
                <w:noProof/>
              </w:rPr>
              <w:t>Priority industries</w:t>
            </w:r>
            <w:r w:rsidR="002720B8">
              <w:rPr>
                <w:noProof/>
                <w:webHidden/>
              </w:rPr>
              <w:tab/>
            </w:r>
            <w:r w:rsidR="002720B8">
              <w:rPr>
                <w:noProof/>
                <w:webHidden/>
              </w:rPr>
              <w:fldChar w:fldCharType="begin"/>
            </w:r>
            <w:r w:rsidR="002720B8">
              <w:rPr>
                <w:noProof/>
                <w:webHidden/>
              </w:rPr>
              <w:instrText xml:space="preserve"> PAGEREF _Toc460936393 \h </w:instrText>
            </w:r>
            <w:r w:rsidR="002720B8">
              <w:rPr>
                <w:noProof/>
                <w:webHidden/>
              </w:rPr>
            </w:r>
            <w:r w:rsidR="002720B8">
              <w:rPr>
                <w:noProof/>
                <w:webHidden/>
              </w:rPr>
              <w:fldChar w:fldCharType="separate"/>
            </w:r>
            <w:r w:rsidR="002541B6">
              <w:rPr>
                <w:noProof/>
                <w:webHidden/>
              </w:rPr>
              <w:t>15</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4" w:history="1">
            <w:r w:rsidR="002720B8" w:rsidRPr="00A175B3">
              <w:rPr>
                <w:rStyle w:val="Hyperlink"/>
                <w:noProof/>
              </w:rPr>
              <w:t>Occupation</w:t>
            </w:r>
            <w:r w:rsidR="002720B8">
              <w:rPr>
                <w:noProof/>
                <w:webHidden/>
              </w:rPr>
              <w:tab/>
            </w:r>
            <w:r w:rsidR="002720B8">
              <w:rPr>
                <w:noProof/>
                <w:webHidden/>
              </w:rPr>
              <w:fldChar w:fldCharType="begin"/>
            </w:r>
            <w:r w:rsidR="002720B8">
              <w:rPr>
                <w:noProof/>
                <w:webHidden/>
              </w:rPr>
              <w:instrText xml:space="preserve"> PAGEREF _Toc460936394 \h </w:instrText>
            </w:r>
            <w:r w:rsidR="002720B8">
              <w:rPr>
                <w:noProof/>
                <w:webHidden/>
              </w:rPr>
            </w:r>
            <w:r w:rsidR="002720B8">
              <w:rPr>
                <w:noProof/>
                <w:webHidden/>
              </w:rPr>
              <w:fldChar w:fldCharType="separate"/>
            </w:r>
            <w:r w:rsidR="002541B6">
              <w:rPr>
                <w:noProof/>
                <w:webHidden/>
              </w:rPr>
              <w:t>18</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5" w:history="1">
            <w:r w:rsidR="002720B8" w:rsidRPr="00A175B3">
              <w:rPr>
                <w:rStyle w:val="Hyperlink"/>
                <w:noProof/>
              </w:rPr>
              <w:t>State/territory of fatality</w:t>
            </w:r>
            <w:r w:rsidR="002720B8">
              <w:rPr>
                <w:noProof/>
                <w:webHidden/>
              </w:rPr>
              <w:tab/>
            </w:r>
            <w:r w:rsidR="002720B8">
              <w:rPr>
                <w:noProof/>
                <w:webHidden/>
              </w:rPr>
              <w:fldChar w:fldCharType="begin"/>
            </w:r>
            <w:r w:rsidR="002720B8">
              <w:rPr>
                <w:noProof/>
                <w:webHidden/>
              </w:rPr>
              <w:instrText xml:space="preserve"> PAGEREF _Toc460936395 \h </w:instrText>
            </w:r>
            <w:r w:rsidR="002720B8">
              <w:rPr>
                <w:noProof/>
                <w:webHidden/>
              </w:rPr>
            </w:r>
            <w:r w:rsidR="002720B8">
              <w:rPr>
                <w:noProof/>
                <w:webHidden/>
              </w:rPr>
              <w:fldChar w:fldCharType="separate"/>
            </w:r>
            <w:r w:rsidR="002541B6">
              <w:rPr>
                <w:noProof/>
                <w:webHidden/>
              </w:rPr>
              <w:t>19</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6" w:history="1">
            <w:r w:rsidR="002720B8" w:rsidRPr="00A175B3">
              <w:rPr>
                <w:rStyle w:val="Hyperlink"/>
                <w:noProof/>
              </w:rPr>
              <w:t>State/territory by industry</w:t>
            </w:r>
            <w:r w:rsidR="002720B8">
              <w:rPr>
                <w:noProof/>
                <w:webHidden/>
              </w:rPr>
              <w:tab/>
            </w:r>
            <w:r w:rsidR="002720B8">
              <w:rPr>
                <w:noProof/>
                <w:webHidden/>
              </w:rPr>
              <w:fldChar w:fldCharType="begin"/>
            </w:r>
            <w:r w:rsidR="002720B8">
              <w:rPr>
                <w:noProof/>
                <w:webHidden/>
              </w:rPr>
              <w:instrText xml:space="preserve"> PAGEREF _Toc460936396 \h </w:instrText>
            </w:r>
            <w:r w:rsidR="002720B8">
              <w:rPr>
                <w:noProof/>
                <w:webHidden/>
              </w:rPr>
            </w:r>
            <w:r w:rsidR="002720B8">
              <w:rPr>
                <w:noProof/>
                <w:webHidden/>
              </w:rPr>
              <w:fldChar w:fldCharType="separate"/>
            </w:r>
            <w:r w:rsidR="002541B6">
              <w:rPr>
                <w:noProof/>
                <w:webHidden/>
              </w:rPr>
              <w:t>19</w:t>
            </w:r>
            <w:r w:rsidR="002720B8">
              <w:rPr>
                <w:noProof/>
                <w:webHidden/>
              </w:rPr>
              <w:fldChar w:fldCharType="end"/>
            </w:r>
          </w:hyperlink>
        </w:p>
        <w:p w:rsidR="002720B8" w:rsidRDefault="00B53623">
          <w:pPr>
            <w:pStyle w:val="TOC1"/>
            <w:rPr>
              <w:rFonts w:asciiTheme="minorHAnsi" w:eastAsiaTheme="minorEastAsia" w:hAnsiTheme="minorHAnsi" w:cstheme="minorBidi"/>
              <w:kern w:val="0"/>
              <w:sz w:val="22"/>
            </w:rPr>
          </w:pPr>
          <w:hyperlink w:anchor="_Toc460936397" w:history="1">
            <w:r w:rsidR="002720B8" w:rsidRPr="00A175B3">
              <w:rPr>
                <w:rStyle w:val="Hyperlink"/>
              </w:rPr>
              <w:t>Bystander fatalities</w:t>
            </w:r>
            <w:r w:rsidR="002720B8">
              <w:rPr>
                <w:webHidden/>
              </w:rPr>
              <w:tab/>
            </w:r>
            <w:r w:rsidR="002720B8">
              <w:rPr>
                <w:webHidden/>
              </w:rPr>
              <w:fldChar w:fldCharType="begin"/>
            </w:r>
            <w:r w:rsidR="002720B8">
              <w:rPr>
                <w:webHidden/>
              </w:rPr>
              <w:instrText xml:space="preserve"> PAGEREF _Toc460936397 \h </w:instrText>
            </w:r>
            <w:r w:rsidR="002720B8">
              <w:rPr>
                <w:webHidden/>
              </w:rPr>
            </w:r>
            <w:r w:rsidR="002720B8">
              <w:rPr>
                <w:webHidden/>
              </w:rPr>
              <w:fldChar w:fldCharType="separate"/>
            </w:r>
            <w:r w:rsidR="002541B6">
              <w:rPr>
                <w:webHidden/>
              </w:rPr>
              <w:t>21</w:t>
            </w:r>
            <w:r w:rsidR="002720B8">
              <w:rPr>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8" w:history="1">
            <w:r w:rsidR="002720B8" w:rsidRPr="00A175B3">
              <w:rPr>
                <w:rStyle w:val="Hyperlink"/>
                <w:noProof/>
              </w:rPr>
              <w:t>Age group</w:t>
            </w:r>
            <w:r w:rsidR="002720B8">
              <w:rPr>
                <w:noProof/>
                <w:webHidden/>
              </w:rPr>
              <w:tab/>
            </w:r>
            <w:r w:rsidR="002720B8">
              <w:rPr>
                <w:noProof/>
                <w:webHidden/>
              </w:rPr>
              <w:fldChar w:fldCharType="begin"/>
            </w:r>
            <w:r w:rsidR="002720B8">
              <w:rPr>
                <w:noProof/>
                <w:webHidden/>
              </w:rPr>
              <w:instrText xml:space="preserve"> PAGEREF _Toc460936398 \h </w:instrText>
            </w:r>
            <w:r w:rsidR="002720B8">
              <w:rPr>
                <w:noProof/>
                <w:webHidden/>
              </w:rPr>
            </w:r>
            <w:r w:rsidR="002720B8">
              <w:rPr>
                <w:noProof/>
                <w:webHidden/>
              </w:rPr>
              <w:fldChar w:fldCharType="separate"/>
            </w:r>
            <w:r w:rsidR="002541B6">
              <w:rPr>
                <w:noProof/>
                <w:webHidden/>
              </w:rPr>
              <w:t>21</w:t>
            </w:r>
            <w:r w:rsidR="002720B8">
              <w:rPr>
                <w:noProof/>
                <w:webHidden/>
              </w:rPr>
              <w:fldChar w:fldCharType="end"/>
            </w:r>
          </w:hyperlink>
        </w:p>
        <w:p w:rsidR="002720B8" w:rsidRDefault="00B53623">
          <w:pPr>
            <w:pStyle w:val="TOC2"/>
            <w:tabs>
              <w:tab w:val="right" w:leader="dot" w:pos="9742"/>
            </w:tabs>
            <w:rPr>
              <w:rFonts w:asciiTheme="minorHAnsi" w:eastAsiaTheme="minorEastAsia" w:hAnsiTheme="minorHAnsi" w:cstheme="minorBidi"/>
              <w:noProof/>
              <w:kern w:val="0"/>
              <w:sz w:val="22"/>
            </w:rPr>
          </w:pPr>
          <w:hyperlink w:anchor="_Toc460936399" w:history="1">
            <w:r w:rsidR="002720B8" w:rsidRPr="00A175B3">
              <w:rPr>
                <w:rStyle w:val="Hyperlink"/>
                <w:noProof/>
              </w:rPr>
              <w:t>Mechanism of fatality</w:t>
            </w:r>
            <w:r w:rsidR="002720B8">
              <w:rPr>
                <w:noProof/>
                <w:webHidden/>
              </w:rPr>
              <w:tab/>
            </w:r>
            <w:r w:rsidR="002720B8">
              <w:rPr>
                <w:noProof/>
                <w:webHidden/>
              </w:rPr>
              <w:fldChar w:fldCharType="begin"/>
            </w:r>
            <w:r w:rsidR="002720B8">
              <w:rPr>
                <w:noProof/>
                <w:webHidden/>
              </w:rPr>
              <w:instrText xml:space="preserve"> PAGEREF _Toc460936399 \h </w:instrText>
            </w:r>
            <w:r w:rsidR="002720B8">
              <w:rPr>
                <w:noProof/>
                <w:webHidden/>
              </w:rPr>
            </w:r>
            <w:r w:rsidR="002720B8">
              <w:rPr>
                <w:noProof/>
                <w:webHidden/>
              </w:rPr>
              <w:fldChar w:fldCharType="separate"/>
            </w:r>
            <w:r w:rsidR="002541B6">
              <w:rPr>
                <w:noProof/>
                <w:webHidden/>
              </w:rPr>
              <w:t>21</w:t>
            </w:r>
            <w:r w:rsidR="002720B8">
              <w:rPr>
                <w:noProof/>
                <w:webHidden/>
              </w:rPr>
              <w:fldChar w:fldCharType="end"/>
            </w:r>
          </w:hyperlink>
        </w:p>
        <w:p w:rsidR="002720B8" w:rsidRDefault="00B53623">
          <w:pPr>
            <w:pStyle w:val="TOC1"/>
            <w:rPr>
              <w:rFonts w:asciiTheme="minorHAnsi" w:eastAsiaTheme="minorEastAsia" w:hAnsiTheme="minorHAnsi" w:cstheme="minorBidi"/>
              <w:kern w:val="0"/>
              <w:sz w:val="22"/>
            </w:rPr>
          </w:pPr>
          <w:hyperlink w:anchor="_Toc460936400" w:history="1">
            <w:r w:rsidR="002720B8" w:rsidRPr="00A175B3">
              <w:rPr>
                <w:rStyle w:val="Hyperlink"/>
              </w:rPr>
              <w:t>Glossary</w:t>
            </w:r>
            <w:r w:rsidR="002720B8">
              <w:rPr>
                <w:webHidden/>
              </w:rPr>
              <w:tab/>
            </w:r>
            <w:r w:rsidR="002720B8">
              <w:rPr>
                <w:webHidden/>
              </w:rPr>
              <w:fldChar w:fldCharType="begin"/>
            </w:r>
            <w:r w:rsidR="002720B8">
              <w:rPr>
                <w:webHidden/>
              </w:rPr>
              <w:instrText xml:space="preserve"> PAGEREF _Toc460936400 \h </w:instrText>
            </w:r>
            <w:r w:rsidR="002720B8">
              <w:rPr>
                <w:webHidden/>
              </w:rPr>
            </w:r>
            <w:r w:rsidR="002720B8">
              <w:rPr>
                <w:webHidden/>
              </w:rPr>
              <w:fldChar w:fldCharType="separate"/>
            </w:r>
            <w:r w:rsidR="002541B6">
              <w:rPr>
                <w:webHidden/>
              </w:rPr>
              <w:t>22</w:t>
            </w:r>
            <w:r w:rsidR="002720B8">
              <w:rPr>
                <w:webHidden/>
              </w:rPr>
              <w:fldChar w:fldCharType="end"/>
            </w:r>
          </w:hyperlink>
        </w:p>
        <w:p w:rsidR="002720B8" w:rsidRDefault="00B53623">
          <w:pPr>
            <w:pStyle w:val="TOC1"/>
            <w:rPr>
              <w:rFonts w:asciiTheme="minorHAnsi" w:eastAsiaTheme="minorEastAsia" w:hAnsiTheme="minorHAnsi" w:cstheme="minorBidi"/>
              <w:kern w:val="0"/>
              <w:sz w:val="22"/>
            </w:rPr>
          </w:pPr>
          <w:hyperlink w:anchor="_Toc460936401" w:history="1">
            <w:r w:rsidR="002720B8" w:rsidRPr="00A175B3">
              <w:rPr>
                <w:rStyle w:val="Hyperlink"/>
              </w:rPr>
              <w:t>Appendices</w:t>
            </w:r>
            <w:r w:rsidR="002720B8">
              <w:rPr>
                <w:webHidden/>
              </w:rPr>
              <w:tab/>
            </w:r>
            <w:r w:rsidR="002720B8">
              <w:rPr>
                <w:webHidden/>
              </w:rPr>
              <w:fldChar w:fldCharType="begin"/>
            </w:r>
            <w:r w:rsidR="002720B8">
              <w:rPr>
                <w:webHidden/>
              </w:rPr>
              <w:instrText xml:space="preserve"> PAGEREF _Toc460936401 \h </w:instrText>
            </w:r>
            <w:r w:rsidR="002720B8">
              <w:rPr>
                <w:webHidden/>
              </w:rPr>
            </w:r>
            <w:r w:rsidR="002720B8">
              <w:rPr>
                <w:webHidden/>
              </w:rPr>
              <w:fldChar w:fldCharType="separate"/>
            </w:r>
            <w:r w:rsidR="002541B6">
              <w:rPr>
                <w:webHidden/>
              </w:rPr>
              <w:t>24</w:t>
            </w:r>
            <w:r w:rsidR="002720B8">
              <w:rPr>
                <w:webHidden/>
              </w:rPr>
              <w:fldChar w:fldCharType="end"/>
            </w:r>
          </w:hyperlink>
        </w:p>
        <w:p w:rsidR="0075723F" w:rsidRDefault="0075723F" w:rsidP="0075723F">
          <w:r w:rsidRPr="00336437">
            <w:rPr>
              <w:bCs/>
              <w:noProof/>
            </w:rPr>
            <w:fldChar w:fldCharType="end"/>
          </w:r>
        </w:p>
      </w:sdtContent>
    </w:sdt>
    <w:p w:rsidR="0075723F" w:rsidRDefault="0075723F" w:rsidP="0075723F">
      <w:pPr>
        <w:rPr>
          <w:b/>
          <w:sz w:val="40"/>
          <w:szCs w:val="40"/>
        </w:rPr>
      </w:pPr>
      <w:r>
        <w:br w:type="page"/>
      </w:r>
    </w:p>
    <w:p w:rsidR="0075723F" w:rsidRPr="00BB19E6" w:rsidRDefault="00DF6FE9" w:rsidP="00247D72">
      <w:pPr>
        <w:pStyle w:val="Heading1"/>
      </w:pPr>
      <w:bookmarkStart w:id="16" w:name="_Toc460936381"/>
      <w:bookmarkEnd w:id="7"/>
      <w:r w:rsidRPr="00DF6FE9">
        <w:lastRenderedPageBreak/>
        <w:t>Summary of findings</w:t>
      </w:r>
      <w:bookmarkEnd w:id="16"/>
    </w:p>
    <w:p w:rsidR="00DF6FE9" w:rsidRPr="00DF6FE9" w:rsidRDefault="00DF6FE9" w:rsidP="002E75D0">
      <w:bookmarkStart w:id="17" w:name="_Toc453937800"/>
      <w:bookmarkStart w:id="18" w:name="_Toc453938270"/>
      <w:bookmarkStart w:id="19" w:name="_Toc453938657"/>
      <w:bookmarkEnd w:id="15"/>
      <w:bookmarkEnd w:id="14"/>
      <w:bookmarkEnd w:id="13"/>
      <w:bookmarkEnd w:id="12"/>
      <w:bookmarkEnd w:id="11"/>
      <w:bookmarkEnd w:id="10"/>
      <w:bookmarkEnd w:id="9"/>
      <w:bookmarkEnd w:id="8"/>
      <w:r w:rsidRPr="00DF6FE9">
        <w:t xml:space="preserve">In the 13 years from 2003 to 2015, 3207 workers have lost their lives in work-related </w:t>
      </w:r>
      <w:r w:rsidR="00DA1B48">
        <w:t>incidents</w:t>
      </w:r>
      <w:r w:rsidRPr="00DF6FE9">
        <w:t>.</w:t>
      </w:r>
    </w:p>
    <w:p w:rsidR="00DF6FE9" w:rsidRPr="00DF6FE9" w:rsidRDefault="00DF6FE9" w:rsidP="002E75D0">
      <w:r w:rsidRPr="00DF6FE9">
        <w:t>The fatality rate has decreased by 44 per cent from 3.0 fatalities per 100 000 workers in 2007 to 1.6 in 2015.</w:t>
      </w:r>
    </w:p>
    <w:p w:rsidR="00DF6FE9" w:rsidRPr="00DF6FE9" w:rsidRDefault="00DF6FE9" w:rsidP="002E75D0">
      <w:r w:rsidRPr="00DF6FE9">
        <w:t>In 2015, 195 workers were fatally injured at work. This is 37 per cent lower than the highest number of worker deaths recorded in the series (310) in 2007.</w:t>
      </w:r>
    </w:p>
    <w:p w:rsidR="00DF6FE9" w:rsidRPr="00DF6FE9" w:rsidRDefault="00DF6FE9" w:rsidP="002E75D0">
      <w:r w:rsidRPr="00DF6FE9">
        <w:t>The 195 fatalities in 2015 equates to a fatality rate of 1.6 fatalities per 100 000 workers. This is the lowest fatality rate since the series began 13 years ago. The highest fatality rate of 3.0 was recorded in 2004 and 2007.</w:t>
      </w:r>
    </w:p>
    <w:p w:rsidR="00DF6FE9" w:rsidRPr="00DF6FE9" w:rsidRDefault="00DF6FE9" w:rsidP="002E75D0">
      <w:r w:rsidRPr="00DF6FE9">
        <w:t xml:space="preserve">In 2015, 187 of the 195 fatalities (96 per cent) involved male workers. </w:t>
      </w:r>
    </w:p>
    <w:p w:rsidR="00DF6FE9" w:rsidRPr="00DF6FE9" w:rsidRDefault="00DF6FE9" w:rsidP="002E75D0">
      <w:r w:rsidRPr="00DF6FE9">
        <w:t>Across the 13 years of the series, two-thirds of worker fatalities involved vehicles. In 2015, 115 of the 195 fatalities (59 per cent) involved a vehicle.</w:t>
      </w:r>
    </w:p>
    <w:p w:rsidR="00DF6FE9" w:rsidRPr="00DF6FE9" w:rsidRDefault="00DF6FE9" w:rsidP="002E75D0">
      <w:r w:rsidRPr="00DF6FE9">
        <w:t>In 2015, 53 workers (27 per cent) were killed in a vehicle collision, 27 workers (14 per cent) were killed when they were hit by mo</w:t>
      </w:r>
      <w:r w:rsidR="004B6802">
        <w:t>ving objects, and 26 workers (13</w:t>
      </w:r>
      <w:r w:rsidRPr="00DF6FE9">
        <w:t xml:space="preserve"> per cent) died after falling from height.</w:t>
      </w:r>
    </w:p>
    <w:p w:rsidR="00DF6FE9" w:rsidRPr="00DF6FE9" w:rsidRDefault="00DF6FE9" w:rsidP="002E75D0">
      <w:r w:rsidRPr="00DF6FE9">
        <w:t xml:space="preserve">In 2015, almost half (47 per cent) of the worker fatalities occurred within the Transport, postal and warehousing </w:t>
      </w:r>
      <w:r w:rsidR="00F33BCB">
        <w:t>and</w:t>
      </w:r>
      <w:r w:rsidRPr="00DF6FE9">
        <w:t xml:space="preserve"> Agriculture, forestry and fishing industries.</w:t>
      </w:r>
    </w:p>
    <w:p w:rsidR="00DF6FE9" w:rsidRDefault="00DF6FE9" w:rsidP="002E75D0">
      <w:r w:rsidRPr="00DF6FE9">
        <w:t xml:space="preserve">Over the period from 2003–15, 60 per cent of bystander fatalities were due to a vehicle </w:t>
      </w:r>
      <w:r w:rsidR="002700E8">
        <w:t>collision</w:t>
      </w:r>
      <w:r w:rsidRPr="00DF6FE9">
        <w:t>, with being hit by moving objects accounting for a further 16 per cent.</w:t>
      </w:r>
    </w:p>
    <w:p w:rsidR="00DF6FE9" w:rsidRDefault="00DF6FE9">
      <w:pPr>
        <w:rPr>
          <w:b/>
          <w:sz w:val="40"/>
          <w:szCs w:val="40"/>
        </w:rPr>
      </w:pPr>
      <w:bookmarkStart w:id="20" w:name="_Toc453938271"/>
      <w:bookmarkEnd w:id="17"/>
      <w:bookmarkEnd w:id="18"/>
      <w:bookmarkEnd w:id="19"/>
      <w:r>
        <w:br w:type="page"/>
      </w:r>
    </w:p>
    <w:p w:rsidR="0075723F" w:rsidRDefault="0075723F" w:rsidP="00247D72">
      <w:pPr>
        <w:pStyle w:val="Heading1"/>
      </w:pPr>
      <w:bookmarkStart w:id="21" w:name="_Toc460936382"/>
      <w:r>
        <w:lastRenderedPageBreak/>
        <w:t>Worker fatalities</w:t>
      </w:r>
      <w:bookmarkEnd w:id="20"/>
      <w:bookmarkEnd w:id="21"/>
    </w:p>
    <w:p w:rsidR="00DF6FE9" w:rsidRDefault="00DF6FE9" w:rsidP="00DF6FE9">
      <w:r>
        <w:t xml:space="preserve">Injuries at work resulted in the deaths of 195 workers in 2015, one more than in 2014 which was the lowest number since the series began in 2003. The highest number of work-related injury fatalities was recorded in 2007 when there were 310 deaths. </w:t>
      </w:r>
    </w:p>
    <w:p w:rsidR="0075723F" w:rsidRDefault="00DF6FE9" w:rsidP="00DF6FE9">
      <w:r>
        <w:t>Figure 1 shows the fatality rate of 1.6 fatalities per 100 000 workers in 2015 is the lowest rate since the series began</w:t>
      </w:r>
      <w:r w:rsidR="0075723F" w:rsidRPr="00D96574">
        <w:t>.</w:t>
      </w:r>
    </w:p>
    <w:p w:rsidR="0075723F" w:rsidRPr="005E6422" w:rsidRDefault="0075723F" w:rsidP="0075723F">
      <w:pPr>
        <w:pStyle w:val="Heading4"/>
      </w:pPr>
      <w:r w:rsidRPr="005E6422">
        <w:t xml:space="preserve">Figure </w:t>
      </w:r>
      <w:fldSimple w:instr=" SEQ Figure \* ARABIC ">
        <w:r w:rsidR="001A7C10">
          <w:rPr>
            <w:noProof/>
          </w:rPr>
          <w:t>1</w:t>
        </w:r>
      </w:fldSimple>
      <w:r w:rsidRPr="005E6422">
        <w:t xml:space="preserve">: </w:t>
      </w:r>
      <w:r w:rsidR="003E4871" w:rsidRPr="003E4871">
        <w:t>Worker fatalities: number of fatalities and fatality rate, 2003 to 2015</w:t>
      </w:r>
    </w:p>
    <w:p w:rsidR="0075723F" w:rsidRPr="005E6422" w:rsidRDefault="003E4871" w:rsidP="0075723F">
      <w:r>
        <w:rPr>
          <w:noProof/>
        </w:rPr>
        <w:drawing>
          <wp:inline distT="0" distB="0" distL="0" distR="0" wp14:anchorId="5F1A8031" wp14:editId="16B4CE31">
            <wp:extent cx="5175885" cy="2329180"/>
            <wp:effectExtent l="0" t="0" r="5715" b="0"/>
            <wp:docPr id="3" name="Picture 3" descr="Figure 1 shows the fatality rate of 1.6 fatalities per 100 000 workers in 2015 is the lowest rate since the series began." title="Figure 1: Worker fatalities: number of fatalities and fatality rate, 2003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5885" cy="2329180"/>
                    </a:xfrm>
                    <a:prstGeom prst="rect">
                      <a:avLst/>
                    </a:prstGeom>
                    <a:noFill/>
                    <a:ln>
                      <a:noFill/>
                    </a:ln>
                  </pic:spPr>
                </pic:pic>
              </a:graphicData>
            </a:graphic>
          </wp:inline>
        </w:drawing>
      </w:r>
    </w:p>
    <w:p w:rsidR="0075723F" w:rsidRDefault="003E4871" w:rsidP="0075723F">
      <w:pPr>
        <w:pStyle w:val="Heading2"/>
      </w:pPr>
      <w:bookmarkStart w:id="22" w:name="_Toc460936383"/>
      <w:r>
        <w:t>Sex</w:t>
      </w:r>
      <w:bookmarkEnd w:id="22"/>
    </w:p>
    <w:p w:rsidR="003E4871" w:rsidRDefault="003E4871" w:rsidP="003E4871">
      <w:r>
        <w:t>In 2015, 96 per cent (187 of the 195 fatalities) of workers killed were men.</w:t>
      </w:r>
    </w:p>
    <w:p w:rsidR="003E4871" w:rsidRDefault="003E4871" w:rsidP="003E4871">
      <w:r>
        <w:t>Figure 2 shows the fatality rate for male workers declined over the 13 years from 4.7 fatalities pe</w:t>
      </w:r>
      <w:r w:rsidR="00B870AC">
        <w:t>r 100 000 workers in 2003 to 3.0</w:t>
      </w:r>
      <w:r>
        <w:t xml:space="preserve"> in 2015. Over the same period the fatality rate for female w</w:t>
      </w:r>
      <w:r w:rsidR="000F4048">
        <w:t>orkers decreased from 0.3 to 0.</w:t>
      </w:r>
      <w:r w:rsidR="001E1113">
        <w:t>1</w:t>
      </w:r>
      <w:r>
        <w:t>.</w:t>
      </w:r>
    </w:p>
    <w:p w:rsidR="003E4871" w:rsidRDefault="003E4871" w:rsidP="003E4871">
      <w:pPr>
        <w:pStyle w:val="Heading4"/>
      </w:pPr>
      <w:r w:rsidRPr="005E6422">
        <w:t xml:space="preserve">Figure </w:t>
      </w:r>
      <w:r>
        <w:t>2</w:t>
      </w:r>
      <w:r w:rsidRPr="005E6422">
        <w:t xml:space="preserve">: </w:t>
      </w:r>
      <w:r w:rsidRPr="003E4871">
        <w:t>Worker fatalities: fatality rate by sex, 2003 to 2015</w:t>
      </w:r>
    </w:p>
    <w:p w:rsidR="003E4871" w:rsidRDefault="004B6802" w:rsidP="003E4871">
      <w:r>
        <w:rPr>
          <w:noProof/>
        </w:rPr>
        <w:drawing>
          <wp:inline distT="0" distB="0" distL="0" distR="0" wp14:anchorId="3156E0FA" wp14:editId="6D01B2FB">
            <wp:extent cx="5019675" cy="2400300"/>
            <wp:effectExtent l="0" t="0" r="9525" b="0"/>
            <wp:docPr id="1" name="Picture 1" descr="Figure 2 shows the fatality rate for male workers declined over the 13 years from 4.7 fatalities per 100 000 workers in 2003 to 3.0 in 2015. Over the same period the fatality rate for female workers decreased from 0.3 to 0.1." title="Figure 2: Worker fatalities: fatality rate by sex, 2003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9675" cy="2400300"/>
                    </a:xfrm>
                    <a:prstGeom prst="rect">
                      <a:avLst/>
                    </a:prstGeom>
                    <a:noFill/>
                    <a:ln>
                      <a:noFill/>
                    </a:ln>
                  </pic:spPr>
                </pic:pic>
              </a:graphicData>
            </a:graphic>
          </wp:inline>
        </w:drawing>
      </w:r>
    </w:p>
    <w:p w:rsidR="003E4871" w:rsidRPr="003E4871" w:rsidRDefault="003E4871" w:rsidP="003E4871"/>
    <w:p w:rsidR="0075723F" w:rsidRDefault="0075723F" w:rsidP="003E4871">
      <w:pPr>
        <w:rPr>
          <w:b/>
        </w:rPr>
      </w:pPr>
      <w:r>
        <w:br w:type="page"/>
      </w:r>
    </w:p>
    <w:p w:rsidR="003E4871" w:rsidRDefault="003E4871" w:rsidP="002E75D0">
      <w:pPr>
        <w:pStyle w:val="Heading2"/>
      </w:pPr>
      <w:bookmarkStart w:id="23" w:name="_Toc460936384"/>
      <w:r w:rsidRPr="003E4871">
        <w:lastRenderedPageBreak/>
        <w:t>Age group</w:t>
      </w:r>
      <w:bookmarkEnd w:id="23"/>
    </w:p>
    <w:p w:rsidR="003E4871" w:rsidRPr="003E4871" w:rsidRDefault="003E4871" w:rsidP="002E75D0">
      <w:r w:rsidRPr="003E4871">
        <w:t>Table 1 shows the distribution of fatalities by age group. This distribution shows there were fewer fatalities in the youngest and oldest age groups, which reflects the lower workforce participation of these age groups compared with other age groups.</w:t>
      </w:r>
    </w:p>
    <w:p w:rsidR="003E4871" w:rsidRDefault="003E4871" w:rsidP="002E75D0">
      <w:r w:rsidRPr="003E4871">
        <w:t>While the number of fatalities in 2015 is the second lowest in the series, the age profile was similar to previous years. The exception was the 65 years and over age group, which accounted for a slightly higher proportion of fatalities than other years.</w:t>
      </w:r>
    </w:p>
    <w:p w:rsidR="003E4871" w:rsidRDefault="003E4871" w:rsidP="002E75D0">
      <w:r>
        <w:t xml:space="preserve">These data show the 45–54 years age group recorded the highest number of fatalities in the past 13 years. </w:t>
      </w:r>
    </w:p>
    <w:p w:rsidR="0075723F" w:rsidRPr="005E6422" w:rsidRDefault="003E4871" w:rsidP="003E4871">
      <w:pPr>
        <w:pStyle w:val="Heading4"/>
      </w:pPr>
      <w:r w:rsidRPr="003E4871">
        <w:t>Table 1: Worker fatalities: number by age group, 2003 to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orker fatalities: number by age group, 2003 to 2015"/>
        <w:tblDescription w:val="Table 1: Worker fatalities: number by age group, 2003 to 2015"/>
      </w:tblPr>
      <w:tblGrid>
        <w:gridCol w:w="1246"/>
        <w:gridCol w:w="1246"/>
        <w:gridCol w:w="1246"/>
        <w:gridCol w:w="1246"/>
        <w:gridCol w:w="1246"/>
        <w:gridCol w:w="1246"/>
        <w:gridCol w:w="1246"/>
        <w:gridCol w:w="1246"/>
      </w:tblGrid>
      <w:tr w:rsidR="00014B05" w:rsidRPr="002E75D0"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1246" w:type="dxa"/>
            <w:shd w:val="clear" w:color="auto" w:fill="B8CCE4" w:themeFill="accent1" w:themeFillTint="66"/>
          </w:tcPr>
          <w:p w:rsidR="00014B05" w:rsidRPr="0071446B" w:rsidRDefault="00014B05" w:rsidP="00D36746">
            <w:pPr>
              <w:pStyle w:val="HeaderRow"/>
            </w:pPr>
            <w:r w:rsidRPr="0071446B">
              <w:t>Year</w:t>
            </w:r>
          </w:p>
        </w:tc>
        <w:tc>
          <w:tcPr>
            <w:tcW w:w="1246" w:type="dxa"/>
            <w:shd w:val="clear" w:color="auto" w:fill="B8CCE4" w:themeFill="accent1" w:themeFillTint="66"/>
          </w:tcPr>
          <w:p w:rsidR="00014B05" w:rsidRPr="002E75D0" w:rsidRDefault="00014B05" w:rsidP="00D36746">
            <w:pPr>
              <w:pStyle w:val="HeaderRow"/>
              <w:cnfStyle w:val="000000000000" w:firstRow="0" w:lastRow="0" w:firstColumn="0" w:lastColumn="0" w:oddVBand="0" w:evenVBand="0" w:oddHBand="0" w:evenHBand="0" w:firstRowFirstColumn="0" w:firstRowLastColumn="0" w:lastRowFirstColumn="0" w:lastRowLastColumn="0"/>
            </w:pPr>
            <w:r w:rsidRPr="002E75D0">
              <w:t>Less than 25</w:t>
            </w:r>
          </w:p>
        </w:tc>
        <w:tc>
          <w:tcPr>
            <w:tcW w:w="1246" w:type="dxa"/>
            <w:shd w:val="clear" w:color="auto" w:fill="B8CCE4" w:themeFill="accent1" w:themeFillTint="66"/>
          </w:tcPr>
          <w:p w:rsidR="00014B05" w:rsidRPr="002E75D0" w:rsidRDefault="00014B05" w:rsidP="00D36746">
            <w:pPr>
              <w:pStyle w:val="HeaderRow"/>
              <w:cnfStyle w:val="000000000000" w:firstRow="0" w:lastRow="0" w:firstColumn="0" w:lastColumn="0" w:oddVBand="0" w:evenVBand="0" w:oddHBand="0" w:evenHBand="0" w:firstRowFirstColumn="0" w:firstRowLastColumn="0" w:lastRowFirstColumn="0" w:lastRowLastColumn="0"/>
            </w:pPr>
            <w:r w:rsidRPr="002E75D0">
              <w:t>25-34</w:t>
            </w:r>
          </w:p>
        </w:tc>
        <w:tc>
          <w:tcPr>
            <w:tcW w:w="1246" w:type="dxa"/>
            <w:shd w:val="clear" w:color="auto" w:fill="B8CCE4" w:themeFill="accent1" w:themeFillTint="66"/>
          </w:tcPr>
          <w:p w:rsidR="00014B05" w:rsidRPr="002E75D0" w:rsidRDefault="00014B05" w:rsidP="00D36746">
            <w:pPr>
              <w:pStyle w:val="HeaderRow"/>
              <w:cnfStyle w:val="000000000000" w:firstRow="0" w:lastRow="0" w:firstColumn="0" w:lastColumn="0" w:oddVBand="0" w:evenVBand="0" w:oddHBand="0" w:evenHBand="0" w:firstRowFirstColumn="0" w:firstRowLastColumn="0" w:lastRowFirstColumn="0" w:lastRowLastColumn="0"/>
            </w:pPr>
            <w:r w:rsidRPr="002E75D0">
              <w:t>35-44</w:t>
            </w:r>
          </w:p>
        </w:tc>
        <w:tc>
          <w:tcPr>
            <w:tcW w:w="1246" w:type="dxa"/>
            <w:shd w:val="clear" w:color="auto" w:fill="B8CCE4" w:themeFill="accent1" w:themeFillTint="66"/>
          </w:tcPr>
          <w:p w:rsidR="00014B05" w:rsidRPr="002E75D0" w:rsidRDefault="00014B05" w:rsidP="00D36746">
            <w:pPr>
              <w:pStyle w:val="HeaderRow"/>
              <w:cnfStyle w:val="000000000000" w:firstRow="0" w:lastRow="0" w:firstColumn="0" w:lastColumn="0" w:oddVBand="0" w:evenVBand="0" w:oddHBand="0" w:evenHBand="0" w:firstRowFirstColumn="0" w:firstRowLastColumn="0" w:lastRowFirstColumn="0" w:lastRowLastColumn="0"/>
            </w:pPr>
            <w:r w:rsidRPr="002E75D0">
              <w:t>45-54</w:t>
            </w:r>
          </w:p>
        </w:tc>
        <w:tc>
          <w:tcPr>
            <w:tcW w:w="1246" w:type="dxa"/>
            <w:shd w:val="clear" w:color="auto" w:fill="B8CCE4" w:themeFill="accent1" w:themeFillTint="66"/>
          </w:tcPr>
          <w:p w:rsidR="00014B05" w:rsidRPr="002E75D0" w:rsidRDefault="00014B05" w:rsidP="00D36746">
            <w:pPr>
              <w:pStyle w:val="HeaderRow"/>
              <w:cnfStyle w:val="000000000000" w:firstRow="0" w:lastRow="0" w:firstColumn="0" w:lastColumn="0" w:oddVBand="0" w:evenVBand="0" w:oddHBand="0" w:evenHBand="0" w:firstRowFirstColumn="0" w:firstRowLastColumn="0" w:lastRowFirstColumn="0" w:lastRowLastColumn="0"/>
            </w:pPr>
            <w:r w:rsidRPr="002E75D0">
              <w:t>55-64</w:t>
            </w:r>
          </w:p>
        </w:tc>
        <w:tc>
          <w:tcPr>
            <w:tcW w:w="1246" w:type="dxa"/>
            <w:shd w:val="clear" w:color="auto" w:fill="B8CCE4" w:themeFill="accent1" w:themeFillTint="66"/>
          </w:tcPr>
          <w:p w:rsidR="00014B05" w:rsidRPr="002E75D0" w:rsidRDefault="00014B05" w:rsidP="005B1996">
            <w:pPr>
              <w:pStyle w:val="HeaderRow"/>
              <w:cnfStyle w:val="000000000000" w:firstRow="0" w:lastRow="0" w:firstColumn="0" w:lastColumn="0" w:oddVBand="0" w:evenVBand="0" w:oddHBand="0" w:evenHBand="0" w:firstRowFirstColumn="0" w:firstRowLastColumn="0" w:lastRowFirstColumn="0" w:lastRowLastColumn="0"/>
            </w:pPr>
            <w:r w:rsidRPr="002E75D0">
              <w:t>65 and over</w:t>
            </w:r>
          </w:p>
        </w:tc>
        <w:tc>
          <w:tcPr>
            <w:tcW w:w="1246" w:type="dxa"/>
            <w:shd w:val="clear" w:color="auto" w:fill="B8CCE4" w:themeFill="accent1" w:themeFillTint="66"/>
          </w:tcPr>
          <w:p w:rsidR="00014B05" w:rsidRPr="002E75D0" w:rsidRDefault="00014B05" w:rsidP="00D36746">
            <w:pPr>
              <w:pStyle w:val="HeaderRow"/>
              <w:cnfStyle w:val="000000000000" w:firstRow="0" w:lastRow="0" w:firstColumn="0" w:lastColumn="0" w:oddVBand="0" w:evenVBand="0" w:oddHBand="0" w:evenHBand="0" w:firstRowFirstColumn="0" w:firstRowLastColumn="0" w:lastRowFirstColumn="0" w:lastRowLastColumn="0"/>
            </w:pPr>
            <w:r w:rsidRPr="002E75D0">
              <w:t>Total*</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2003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61</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40</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259</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2004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62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284</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2005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41</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258</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2006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72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51</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60</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284</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2007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68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68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310</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2008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63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50</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283</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2009</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21</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63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59</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258</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2010</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18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39</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50</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29</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228</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2011</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21</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41</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224</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2012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31</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53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229</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2013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18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30</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201</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2014</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27</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32</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194</w:t>
            </w:r>
          </w:p>
        </w:tc>
      </w:tr>
      <w:tr w:rsidR="00014B05" w:rsidRPr="002E75D0" w:rsidTr="005B1996">
        <w:trPr>
          <w:trHeight w:val="227"/>
        </w:trPr>
        <w:tc>
          <w:tcPr>
            <w:cnfStyle w:val="001000000000" w:firstRow="0" w:lastRow="0" w:firstColumn="1" w:lastColumn="0" w:oddVBand="0" w:evenVBand="0" w:oddHBand="0" w:evenHBand="0" w:firstRowFirstColumn="0" w:firstRowLastColumn="0" w:lastRowFirstColumn="0" w:lastRowLastColumn="0"/>
            <w:tcW w:w="1246" w:type="dxa"/>
            <w:vAlign w:val="bottom"/>
          </w:tcPr>
          <w:p w:rsidR="00014B05" w:rsidRPr="002E75D0" w:rsidRDefault="00014B05" w:rsidP="00F46C0F">
            <w:pPr>
              <w:pStyle w:val="Tablerowheading2"/>
            </w:pPr>
            <w:r w:rsidRPr="002E75D0">
              <w:t>2015</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16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33</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26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46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38</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36</w:t>
            </w:r>
          </w:p>
        </w:tc>
        <w:tc>
          <w:tcPr>
            <w:tcW w:w="1246" w:type="dxa"/>
            <w:vAlign w:val="bottom"/>
          </w:tcPr>
          <w:p w:rsidR="00014B05" w:rsidRPr="002E75D0" w:rsidRDefault="00014B05" w:rsidP="00F46C0F">
            <w:pPr>
              <w:pStyle w:val="Tablerowheading2"/>
              <w:cnfStyle w:val="000000000000" w:firstRow="0" w:lastRow="0" w:firstColumn="0" w:lastColumn="0" w:oddVBand="0" w:evenVBand="0" w:oddHBand="0" w:evenHBand="0" w:firstRowFirstColumn="0" w:firstRowLastColumn="0" w:lastRowFirstColumn="0" w:lastRowLastColumn="0"/>
            </w:pPr>
            <w:r w:rsidRPr="002E75D0">
              <w:t>195</w:t>
            </w:r>
          </w:p>
        </w:tc>
      </w:tr>
      <w:tr w:rsidR="00014B05" w:rsidRPr="002E75D0" w:rsidTr="005B1996">
        <w:trPr>
          <w:trHeight w:val="283"/>
        </w:trPr>
        <w:tc>
          <w:tcPr>
            <w:cnfStyle w:val="001000000000" w:firstRow="0" w:lastRow="0" w:firstColumn="1" w:lastColumn="0" w:oddVBand="0" w:evenVBand="0" w:oddHBand="0" w:evenHBand="0" w:firstRowFirstColumn="0" w:firstRowLastColumn="0" w:lastRowFirstColumn="0" w:lastRowLastColumn="0"/>
            <w:tcW w:w="1246" w:type="dxa"/>
            <w:shd w:val="clear" w:color="auto" w:fill="B8CCE4" w:themeFill="accent1" w:themeFillTint="66"/>
          </w:tcPr>
          <w:p w:rsidR="00014B05" w:rsidRPr="002E75D0" w:rsidRDefault="00014B05" w:rsidP="004D3B47">
            <w:pPr>
              <w:pStyle w:val="Tabletotal"/>
            </w:pPr>
            <w:r w:rsidRPr="002E75D0">
              <w:t>Total</w:t>
            </w:r>
          </w:p>
        </w:tc>
        <w:tc>
          <w:tcPr>
            <w:tcW w:w="1246" w:type="dxa"/>
            <w:shd w:val="clear" w:color="auto" w:fill="B8CCE4" w:themeFill="accent1" w:themeFillTint="66"/>
          </w:tcPr>
          <w:p w:rsidR="00014B05" w:rsidRPr="002E75D0" w:rsidRDefault="00014B05" w:rsidP="004D3B47">
            <w:pPr>
              <w:pStyle w:val="Tabletotal"/>
              <w:cnfStyle w:val="000000000000" w:firstRow="0" w:lastRow="0" w:firstColumn="0" w:lastColumn="0" w:oddVBand="0" w:evenVBand="0" w:oddHBand="0" w:evenHBand="0" w:firstRowFirstColumn="0" w:firstRowLastColumn="0" w:lastRowFirstColumn="0" w:lastRowLastColumn="0"/>
            </w:pPr>
            <w:r w:rsidRPr="002E75D0">
              <w:t>320</w:t>
            </w:r>
          </w:p>
        </w:tc>
        <w:tc>
          <w:tcPr>
            <w:tcW w:w="1246" w:type="dxa"/>
            <w:shd w:val="clear" w:color="auto" w:fill="B8CCE4" w:themeFill="accent1" w:themeFillTint="66"/>
          </w:tcPr>
          <w:p w:rsidR="00014B05" w:rsidRPr="002E75D0" w:rsidRDefault="00014B05" w:rsidP="004D3B47">
            <w:pPr>
              <w:pStyle w:val="Tabletotal"/>
              <w:cnfStyle w:val="000000000000" w:firstRow="0" w:lastRow="0" w:firstColumn="0" w:lastColumn="0" w:oddVBand="0" w:evenVBand="0" w:oddHBand="0" w:evenHBand="0" w:firstRowFirstColumn="0" w:firstRowLastColumn="0" w:lastRowFirstColumn="0" w:lastRowLastColumn="0"/>
            </w:pPr>
            <w:r w:rsidRPr="002E75D0">
              <w:t>539</w:t>
            </w:r>
          </w:p>
        </w:tc>
        <w:tc>
          <w:tcPr>
            <w:tcW w:w="1246" w:type="dxa"/>
            <w:shd w:val="clear" w:color="auto" w:fill="B8CCE4" w:themeFill="accent1" w:themeFillTint="66"/>
          </w:tcPr>
          <w:p w:rsidR="00014B05" w:rsidRPr="002E75D0" w:rsidRDefault="00014B05" w:rsidP="004D3B47">
            <w:pPr>
              <w:pStyle w:val="Tabletotal"/>
              <w:cnfStyle w:val="000000000000" w:firstRow="0" w:lastRow="0" w:firstColumn="0" w:lastColumn="0" w:oddVBand="0" w:evenVBand="0" w:oddHBand="0" w:evenHBand="0" w:firstRowFirstColumn="0" w:firstRowLastColumn="0" w:lastRowFirstColumn="0" w:lastRowLastColumn="0"/>
            </w:pPr>
            <w:r w:rsidRPr="002E75D0">
              <w:t>627</w:t>
            </w:r>
          </w:p>
        </w:tc>
        <w:tc>
          <w:tcPr>
            <w:tcW w:w="1246" w:type="dxa"/>
            <w:shd w:val="clear" w:color="auto" w:fill="B8CCE4" w:themeFill="accent1" w:themeFillTint="66"/>
          </w:tcPr>
          <w:p w:rsidR="00014B05" w:rsidRPr="002E75D0" w:rsidRDefault="00014B05" w:rsidP="004D3B47">
            <w:pPr>
              <w:pStyle w:val="Tabletotal"/>
              <w:cnfStyle w:val="000000000000" w:firstRow="0" w:lastRow="0" w:firstColumn="0" w:lastColumn="0" w:oddVBand="0" w:evenVBand="0" w:oddHBand="0" w:evenHBand="0" w:firstRowFirstColumn="0" w:firstRowLastColumn="0" w:lastRowFirstColumn="0" w:lastRowLastColumn="0"/>
            </w:pPr>
            <w:r w:rsidRPr="002E75D0">
              <w:t>710</w:t>
            </w:r>
          </w:p>
        </w:tc>
        <w:tc>
          <w:tcPr>
            <w:tcW w:w="1246" w:type="dxa"/>
            <w:shd w:val="clear" w:color="auto" w:fill="B8CCE4" w:themeFill="accent1" w:themeFillTint="66"/>
          </w:tcPr>
          <w:p w:rsidR="00014B05" w:rsidRPr="002E75D0" w:rsidRDefault="00014B05" w:rsidP="004D3B47">
            <w:pPr>
              <w:pStyle w:val="Tabletotal"/>
              <w:cnfStyle w:val="000000000000" w:firstRow="0" w:lastRow="0" w:firstColumn="0" w:lastColumn="0" w:oddVBand="0" w:evenVBand="0" w:oddHBand="0" w:evenHBand="0" w:firstRowFirstColumn="0" w:firstRowLastColumn="0" w:lastRowFirstColumn="0" w:lastRowLastColumn="0"/>
            </w:pPr>
            <w:r w:rsidRPr="002E75D0">
              <w:t>614</w:t>
            </w:r>
          </w:p>
        </w:tc>
        <w:tc>
          <w:tcPr>
            <w:tcW w:w="1246" w:type="dxa"/>
            <w:shd w:val="clear" w:color="auto" w:fill="B8CCE4" w:themeFill="accent1" w:themeFillTint="66"/>
          </w:tcPr>
          <w:p w:rsidR="00014B05" w:rsidRPr="002E75D0" w:rsidRDefault="00014B05" w:rsidP="004D3B47">
            <w:pPr>
              <w:pStyle w:val="Tabletotal"/>
              <w:cnfStyle w:val="000000000000" w:firstRow="0" w:lastRow="0" w:firstColumn="0" w:lastColumn="0" w:oddVBand="0" w:evenVBand="0" w:oddHBand="0" w:evenHBand="0" w:firstRowFirstColumn="0" w:firstRowLastColumn="0" w:lastRowFirstColumn="0" w:lastRowLastColumn="0"/>
            </w:pPr>
            <w:r w:rsidRPr="002E75D0">
              <w:t>395</w:t>
            </w:r>
          </w:p>
        </w:tc>
        <w:tc>
          <w:tcPr>
            <w:tcW w:w="1246" w:type="dxa"/>
            <w:shd w:val="clear" w:color="auto" w:fill="B8CCE4" w:themeFill="accent1" w:themeFillTint="66"/>
          </w:tcPr>
          <w:p w:rsidR="00014B05" w:rsidRPr="002E75D0" w:rsidRDefault="00014B05" w:rsidP="004D3B47">
            <w:pPr>
              <w:pStyle w:val="Tabletotal"/>
              <w:cnfStyle w:val="000000000000" w:firstRow="0" w:lastRow="0" w:firstColumn="0" w:lastColumn="0" w:oddVBand="0" w:evenVBand="0" w:oddHBand="0" w:evenHBand="0" w:firstRowFirstColumn="0" w:firstRowLastColumn="0" w:lastRowFirstColumn="0" w:lastRowLastColumn="0"/>
            </w:pPr>
            <w:r w:rsidRPr="002E75D0">
              <w:t>3 207</w:t>
            </w:r>
          </w:p>
        </w:tc>
      </w:tr>
    </w:tbl>
    <w:p w:rsidR="00E44844" w:rsidRDefault="00014B05" w:rsidP="00383468">
      <w:pPr>
        <w:pStyle w:val="Footnote"/>
      </w:pPr>
      <w:r w:rsidRPr="00014B05">
        <w:t>* Total includes persons where age at death is unknown</w:t>
      </w:r>
    </w:p>
    <w:p w:rsidR="00FF3D53" w:rsidRDefault="00FF3D53" w:rsidP="00FF3D53">
      <w:bookmarkStart w:id="24" w:name="_Toc453938275"/>
      <w:r w:rsidRPr="00AA0083">
        <w:t xml:space="preserve">Figure 3 shows fatality rates have fallen over the past 13 years for all age groups. However, while the gap between the oldest age group and the younger age groups has narrowed, the fatality rate of the oldest age group remains four to </w:t>
      </w:r>
      <w:r w:rsidR="00741038">
        <w:t>10</w:t>
      </w:r>
      <w:r w:rsidRPr="00AA0083">
        <w:t xml:space="preserve"> times higher than the younger age groups.</w:t>
      </w:r>
    </w:p>
    <w:p w:rsidR="00FF3D53" w:rsidRPr="00CE598D" w:rsidRDefault="00FF3D53" w:rsidP="00FF3D53">
      <w:r>
        <w:t xml:space="preserve">In 2015, fatality rates generally increased with age from 0.8 fatalities per 100 000 workers in those aged under 25 years to 8.3 in workers aged 65 years and over. </w:t>
      </w:r>
    </w:p>
    <w:p w:rsidR="00FF3D53" w:rsidRPr="00FF3D53" w:rsidRDefault="00FF3D53" w:rsidP="002E75D0">
      <w:pPr>
        <w:pStyle w:val="Heading4"/>
      </w:pPr>
      <w:r w:rsidRPr="00FF3D53">
        <w:t>Figure 3: Worker fatalities: fatality rate by age group, 2003 to 2015</w:t>
      </w:r>
    </w:p>
    <w:p w:rsidR="00FF3D53" w:rsidRDefault="00FF3D53" w:rsidP="00383468">
      <w:pPr>
        <w:pStyle w:val="Footnote"/>
      </w:pPr>
      <w:r>
        <w:rPr>
          <w:noProof/>
        </w:rPr>
        <w:drawing>
          <wp:inline distT="0" distB="0" distL="0" distR="0" wp14:anchorId="753C310E" wp14:editId="2132D941">
            <wp:extent cx="5219700" cy="2968593"/>
            <wp:effectExtent l="0" t="0" r="0" b="3810"/>
            <wp:docPr id="9" name="Picture 9" descr="Figure 3 shows fatality rates have fallen over the past 13 years for all age groups." title="Figure 3: fatalities: fatality rate by age group, 2003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22690" cy="2970293"/>
                    </a:xfrm>
                    <a:prstGeom prst="rect">
                      <a:avLst/>
                    </a:prstGeom>
                    <a:noFill/>
                    <a:ln>
                      <a:noFill/>
                    </a:ln>
                  </pic:spPr>
                </pic:pic>
              </a:graphicData>
            </a:graphic>
          </wp:inline>
        </w:drawing>
      </w:r>
    </w:p>
    <w:bookmarkEnd w:id="24"/>
    <w:p w:rsidR="00970FB8" w:rsidRDefault="00970FB8">
      <w:pPr>
        <w:rPr>
          <w:b/>
          <w:sz w:val="28"/>
          <w:szCs w:val="28"/>
        </w:rPr>
      </w:pPr>
      <w:r>
        <w:rPr>
          <w:b/>
          <w:sz w:val="28"/>
          <w:szCs w:val="28"/>
        </w:rPr>
        <w:br w:type="page"/>
      </w:r>
    </w:p>
    <w:p w:rsidR="00FF3D53" w:rsidRDefault="00FF3D53" w:rsidP="002E75D0">
      <w:pPr>
        <w:pStyle w:val="Heading2"/>
      </w:pPr>
      <w:bookmarkStart w:id="25" w:name="_Toc460936385"/>
      <w:r w:rsidRPr="00FF3D53">
        <w:lastRenderedPageBreak/>
        <w:t>Mechanism of fatality</w:t>
      </w:r>
      <w:bookmarkEnd w:id="25"/>
      <w:r w:rsidRPr="00FF3D53">
        <w:t xml:space="preserve"> </w:t>
      </w:r>
    </w:p>
    <w:p w:rsidR="00FF3D53" w:rsidRDefault="00FF3D53" w:rsidP="00FF3D53">
      <w:r>
        <w:t xml:space="preserve">Table 2 shows </w:t>
      </w:r>
      <w:r w:rsidR="00F33BCB">
        <w:t xml:space="preserve">53 </w:t>
      </w:r>
      <w:r>
        <w:t xml:space="preserve">worker fatalities in 2015 </w:t>
      </w:r>
      <w:r w:rsidR="00F33BCB">
        <w:t xml:space="preserve">(27 per cent) </w:t>
      </w:r>
      <w:r>
        <w:t xml:space="preserve">were due to a vehicle </w:t>
      </w:r>
      <w:r w:rsidR="002700E8">
        <w:t>collision</w:t>
      </w:r>
      <w:r>
        <w:t xml:space="preserve">. This mechanism is used when an occupant of a vehicle is killed following a collision with another vehicle or a stationary object. This is a major reduction from previous years with the highest being recorded in 2007 with 129 fatalities. </w:t>
      </w:r>
    </w:p>
    <w:p w:rsidR="00FF3D53" w:rsidRDefault="00FF3D53" w:rsidP="00FF3D53">
      <w:r>
        <w:t xml:space="preserve">Being hit by moving objects, falls from a height and being hit by falling objects accounted for 14 per cent, 13 per cent and 11 per cent of fatalities respectively in 2015. </w:t>
      </w:r>
    </w:p>
    <w:p w:rsidR="0075723F" w:rsidRDefault="00FF3D53" w:rsidP="00FF3D53">
      <w:r>
        <w:t>The top four mechanisms accounted for almost two-thirds of work-related fatalities in 2015 (65 per cent). For the complete time series see Appendix A1.</w:t>
      </w:r>
    </w:p>
    <w:p w:rsidR="0075723F" w:rsidRDefault="0075723F" w:rsidP="0075723F">
      <w:pPr>
        <w:pStyle w:val="Heading4"/>
      </w:pPr>
      <w:r>
        <w:t xml:space="preserve">Table </w:t>
      </w:r>
      <w:r w:rsidR="00FF3D53">
        <w:t>2</w:t>
      </w:r>
      <w:r>
        <w:t xml:space="preserve">: </w:t>
      </w:r>
      <w:r w:rsidR="00FF3D53" w:rsidRPr="00FF3D53">
        <w:t>Worker fatalities: number by mechanism of incident, 2003 to 2015 (selected years, sorted by 2015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Worker fatalities: number by mechanism of incident, 2003 to 2015 (selected years, sorted by 2015 fatalities)"/>
        <w:tblDescription w:val="Table 2: Worker fatalities: number by mechanism of incident, 2003 to 2015 (selected years, sorted by 2015 fatalities)"/>
      </w:tblPr>
      <w:tblGrid>
        <w:gridCol w:w="3150"/>
        <w:gridCol w:w="572"/>
        <w:gridCol w:w="572"/>
        <w:gridCol w:w="572"/>
        <w:gridCol w:w="572"/>
        <w:gridCol w:w="572"/>
        <w:gridCol w:w="572"/>
        <w:gridCol w:w="572"/>
        <w:gridCol w:w="1413"/>
        <w:gridCol w:w="1401"/>
      </w:tblGrid>
      <w:tr w:rsidR="00FF3D53" w:rsidRPr="00FF3D53"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FF3D53" w:rsidRPr="0071446B" w:rsidRDefault="00FF3D53" w:rsidP="00D36746">
            <w:pPr>
              <w:pStyle w:val="HeaderRow"/>
            </w:pPr>
            <w:r w:rsidRPr="0071446B">
              <w:t>Mechanism of incident</w:t>
            </w:r>
          </w:p>
        </w:tc>
        <w:tc>
          <w:tcPr>
            <w:tcW w:w="0" w:type="auto"/>
            <w:shd w:val="clear" w:color="auto" w:fill="B8CCE4" w:themeFill="accent1" w:themeFillTint="66"/>
          </w:tcPr>
          <w:p w:rsidR="00FF3D53" w:rsidRPr="0071446B" w:rsidRDefault="00FF3D53" w:rsidP="00D36746">
            <w:pPr>
              <w:pStyle w:val="HeaderRow"/>
              <w:cnfStyle w:val="000000000000" w:firstRow="0" w:lastRow="0" w:firstColumn="0" w:lastColumn="0" w:oddVBand="0" w:evenVBand="0" w:oddHBand="0" w:evenHBand="0" w:firstRowFirstColumn="0" w:firstRowLastColumn="0" w:lastRowFirstColumn="0" w:lastRowLastColumn="0"/>
            </w:pPr>
            <w:r w:rsidRPr="0071446B">
              <w:t>2003</w:t>
            </w:r>
          </w:p>
        </w:tc>
        <w:tc>
          <w:tcPr>
            <w:tcW w:w="0" w:type="auto"/>
            <w:shd w:val="clear" w:color="auto" w:fill="B8CCE4" w:themeFill="accent1" w:themeFillTint="66"/>
          </w:tcPr>
          <w:p w:rsidR="00FF3D53" w:rsidRPr="0071446B" w:rsidRDefault="00FF3D53" w:rsidP="00D36746">
            <w:pPr>
              <w:pStyle w:val="HeaderRow"/>
              <w:cnfStyle w:val="000000000000" w:firstRow="0" w:lastRow="0" w:firstColumn="0" w:lastColumn="0" w:oddVBand="0" w:evenVBand="0" w:oddHBand="0" w:evenHBand="0" w:firstRowFirstColumn="0" w:firstRowLastColumn="0" w:lastRowFirstColumn="0" w:lastRowLastColumn="0"/>
            </w:pPr>
            <w:r w:rsidRPr="0071446B">
              <w:t>2005</w:t>
            </w:r>
          </w:p>
        </w:tc>
        <w:tc>
          <w:tcPr>
            <w:tcW w:w="0" w:type="auto"/>
            <w:shd w:val="clear" w:color="auto" w:fill="B8CCE4" w:themeFill="accent1" w:themeFillTint="66"/>
          </w:tcPr>
          <w:p w:rsidR="00FF3D53" w:rsidRPr="0071446B" w:rsidRDefault="00FF3D53" w:rsidP="00D36746">
            <w:pPr>
              <w:pStyle w:val="HeaderRow"/>
              <w:cnfStyle w:val="000000000000" w:firstRow="0" w:lastRow="0" w:firstColumn="0" w:lastColumn="0" w:oddVBand="0" w:evenVBand="0" w:oddHBand="0" w:evenHBand="0" w:firstRowFirstColumn="0" w:firstRowLastColumn="0" w:lastRowFirstColumn="0" w:lastRowLastColumn="0"/>
            </w:pPr>
            <w:r w:rsidRPr="0071446B">
              <w:t>2007</w:t>
            </w:r>
          </w:p>
        </w:tc>
        <w:tc>
          <w:tcPr>
            <w:tcW w:w="0" w:type="auto"/>
            <w:shd w:val="clear" w:color="auto" w:fill="B8CCE4" w:themeFill="accent1" w:themeFillTint="66"/>
          </w:tcPr>
          <w:p w:rsidR="00FF3D53" w:rsidRPr="0071446B" w:rsidRDefault="00FF3D53" w:rsidP="00D36746">
            <w:pPr>
              <w:pStyle w:val="HeaderRow"/>
              <w:cnfStyle w:val="000000000000" w:firstRow="0" w:lastRow="0" w:firstColumn="0" w:lastColumn="0" w:oddVBand="0" w:evenVBand="0" w:oddHBand="0" w:evenHBand="0" w:firstRowFirstColumn="0" w:firstRowLastColumn="0" w:lastRowFirstColumn="0" w:lastRowLastColumn="0"/>
            </w:pPr>
            <w:r w:rsidRPr="0071446B">
              <w:t>2009</w:t>
            </w:r>
          </w:p>
        </w:tc>
        <w:tc>
          <w:tcPr>
            <w:tcW w:w="0" w:type="auto"/>
            <w:shd w:val="clear" w:color="auto" w:fill="B8CCE4" w:themeFill="accent1" w:themeFillTint="66"/>
          </w:tcPr>
          <w:p w:rsidR="00FF3D53" w:rsidRPr="0071446B" w:rsidRDefault="00FF3D53" w:rsidP="00D36746">
            <w:pPr>
              <w:pStyle w:val="HeaderRow"/>
              <w:cnfStyle w:val="000000000000" w:firstRow="0" w:lastRow="0" w:firstColumn="0" w:lastColumn="0" w:oddVBand="0" w:evenVBand="0" w:oddHBand="0" w:evenHBand="0" w:firstRowFirstColumn="0" w:firstRowLastColumn="0" w:lastRowFirstColumn="0" w:lastRowLastColumn="0"/>
            </w:pPr>
            <w:r w:rsidRPr="0071446B">
              <w:t>2011</w:t>
            </w:r>
          </w:p>
        </w:tc>
        <w:tc>
          <w:tcPr>
            <w:tcW w:w="0" w:type="auto"/>
            <w:shd w:val="clear" w:color="auto" w:fill="B8CCE4" w:themeFill="accent1" w:themeFillTint="66"/>
          </w:tcPr>
          <w:p w:rsidR="00FF3D53" w:rsidRPr="0071446B" w:rsidRDefault="00FF3D53" w:rsidP="00D36746">
            <w:pPr>
              <w:pStyle w:val="HeaderRow"/>
              <w:cnfStyle w:val="000000000000" w:firstRow="0" w:lastRow="0" w:firstColumn="0" w:lastColumn="0" w:oddVBand="0" w:evenVBand="0" w:oddHBand="0" w:evenHBand="0" w:firstRowFirstColumn="0" w:firstRowLastColumn="0" w:lastRowFirstColumn="0" w:lastRowLastColumn="0"/>
            </w:pPr>
            <w:r w:rsidRPr="0071446B">
              <w:t>2013</w:t>
            </w:r>
          </w:p>
        </w:tc>
        <w:tc>
          <w:tcPr>
            <w:tcW w:w="0" w:type="auto"/>
            <w:shd w:val="clear" w:color="auto" w:fill="B8CCE4" w:themeFill="accent1" w:themeFillTint="66"/>
          </w:tcPr>
          <w:p w:rsidR="00FF3D53" w:rsidRPr="0071446B" w:rsidRDefault="00FF3D53" w:rsidP="00D36746">
            <w:pPr>
              <w:pStyle w:val="HeaderRow"/>
              <w:cnfStyle w:val="000000000000" w:firstRow="0" w:lastRow="0" w:firstColumn="0" w:lastColumn="0" w:oddVBand="0" w:evenVBand="0" w:oddHBand="0" w:evenHBand="0" w:firstRowFirstColumn="0" w:firstRowLastColumn="0" w:lastRowFirstColumn="0" w:lastRowLastColumn="0"/>
            </w:pPr>
            <w:r w:rsidRPr="0071446B">
              <w:t>2015</w:t>
            </w:r>
          </w:p>
        </w:tc>
        <w:tc>
          <w:tcPr>
            <w:tcW w:w="0" w:type="auto"/>
            <w:shd w:val="clear" w:color="auto" w:fill="B8CCE4" w:themeFill="accent1" w:themeFillTint="66"/>
          </w:tcPr>
          <w:p w:rsidR="00FF3D53" w:rsidRPr="0071446B" w:rsidRDefault="00AB503C" w:rsidP="00D36746">
            <w:pPr>
              <w:pStyle w:val="HeaderRow"/>
              <w:cnfStyle w:val="000000000000" w:firstRow="0" w:lastRow="0" w:firstColumn="0" w:lastColumn="0" w:oddVBand="0" w:evenVBand="0" w:oddHBand="0" w:evenHBand="0" w:firstRowFirstColumn="0" w:firstRowLastColumn="0" w:lastRowFirstColumn="0" w:lastRowLastColumn="0"/>
            </w:pPr>
            <w:r w:rsidRPr="0071446B">
              <w:t>% of 2015</w:t>
            </w:r>
            <w:r w:rsidR="00B870AC">
              <w:t xml:space="preserve"> fatalities</w:t>
            </w:r>
          </w:p>
        </w:tc>
        <w:tc>
          <w:tcPr>
            <w:tcW w:w="0" w:type="auto"/>
            <w:shd w:val="clear" w:color="auto" w:fill="B8CCE4" w:themeFill="accent1" w:themeFillTint="66"/>
          </w:tcPr>
          <w:p w:rsidR="00FF3D53" w:rsidRPr="0071446B" w:rsidRDefault="00FF3D53" w:rsidP="00D36746">
            <w:pPr>
              <w:pStyle w:val="HeaderRow"/>
              <w:cnfStyle w:val="000000000000" w:firstRow="0" w:lastRow="0" w:firstColumn="0" w:lastColumn="0" w:oddVBand="0" w:evenVBand="0" w:oddHBand="0" w:evenHBand="0" w:firstRowFirstColumn="0" w:firstRowLastColumn="0" w:lastRowFirstColumn="0" w:lastRowLastColumn="0"/>
            </w:pPr>
            <w:r w:rsidRPr="0071446B">
              <w:t>% of total</w:t>
            </w:r>
            <w:r w:rsidR="00B870AC">
              <w:t xml:space="preserve"> fatalities</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Vehicle collision</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108</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103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129</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78</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69</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53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27%</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39%</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Being hit by moving objects</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40</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29</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38</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19</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27</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12%</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 xml:space="preserve">Falls from a height  </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27</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26</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29</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26</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Being hit by falling objects</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27</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9%</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Rollover of non-road vehicle</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9</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7%</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Being trapped between stationary and moving objects</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9</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7</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7</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6%</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Being trapped by moving machinery</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6</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10</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9</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Contact with electricity</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10</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8</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8</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Drowning</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8</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Explosion</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Being assaulted by a person or persons</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7</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8</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6</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Being hit by an animal</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6</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w:t>
            </w:r>
          </w:p>
        </w:tc>
      </w:tr>
      <w:tr w:rsidR="00FF3D5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FF3D53" w:rsidRPr="00DD23E3" w:rsidRDefault="00FF3D53" w:rsidP="00F46C0F">
            <w:pPr>
              <w:pStyle w:val="Tablerowheading2"/>
            </w:pPr>
            <w:r w:rsidRPr="00DD23E3">
              <w:t>Other mechanisms</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12</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15</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24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13</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14</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6</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11</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6%</w:t>
            </w:r>
          </w:p>
        </w:tc>
        <w:tc>
          <w:tcPr>
            <w:tcW w:w="0" w:type="auto"/>
            <w:vAlign w:val="bottom"/>
          </w:tcPr>
          <w:p w:rsidR="00FF3D53" w:rsidRPr="00DD23E3" w:rsidRDefault="00FF3D53" w:rsidP="00F46C0F">
            <w:pPr>
              <w:pStyle w:val="Tablerowheading2"/>
              <w:cnfStyle w:val="000000000000" w:firstRow="0" w:lastRow="0" w:firstColumn="0" w:lastColumn="0" w:oddVBand="0" w:evenVBand="0" w:oddHBand="0" w:evenHBand="0" w:firstRowFirstColumn="0" w:firstRowLastColumn="0" w:lastRowFirstColumn="0" w:lastRowLastColumn="0"/>
            </w:pPr>
            <w:r w:rsidRPr="00DD23E3">
              <w:t>5%</w:t>
            </w:r>
          </w:p>
        </w:tc>
      </w:tr>
      <w:tr w:rsidR="00FF3D53" w:rsidRPr="00970FB8" w:rsidTr="004D3B4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FF3D53" w:rsidRPr="00970FB8" w:rsidRDefault="00FF3D53" w:rsidP="004D3B47">
            <w:pPr>
              <w:pStyle w:val="Tabletotal"/>
            </w:pPr>
            <w:r w:rsidRPr="00970FB8">
              <w:t>Total*</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259</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258</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310</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258</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224</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201</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195</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c>
          <w:tcPr>
            <w:tcW w:w="0" w:type="auto"/>
            <w:shd w:val="clear" w:color="auto" w:fill="B8CCE4" w:themeFill="accent1" w:themeFillTint="66"/>
          </w:tcPr>
          <w:p w:rsidR="00FF3D53" w:rsidRPr="00970FB8" w:rsidRDefault="00FF3D53"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r>
    </w:tbl>
    <w:p w:rsidR="005A60DE" w:rsidRDefault="005A60DE" w:rsidP="00383468">
      <w:pPr>
        <w:pStyle w:val="Footnote"/>
      </w:pPr>
      <w:r w:rsidRPr="005A60DE">
        <w:t xml:space="preserve">* The percentages shown in this table have been rounded to the nearest whole </w:t>
      </w:r>
      <w:proofErr w:type="gramStart"/>
      <w:r w:rsidRPr="005A60DE">
        <w:t>number,</w:t>
      </w:r>
      <w:proofErr w:type="gramEnd"/>
      <w:r w:rsidRPr="005A60DE">
        <w:t xml:space="preserve"> therefore the sum of percentage figures for each column may not equal the total.</w:t>
      </w:r>
    </w:p>
    <w:p w:rsidR="005A60DE" w:rsidRPr="005A60DE" w:rsidRDefault="005A60DE" w:rsidP="00CE598D">
      <w:bookmarkStart w:id="26" w:name="_Toc453938276"/>
      <w:bookmarkStart w:id="27" w:name="_Toc445363840"/>
      <w:r w:rsidRPr="005A60DE">
        <w:t xml:space="preserve">Table 3 shows the profile of fatalities by mechanism is roughly similar across the age groups. The exception to this is the 65 years and over age group which had a lower proportion of fatalities due to vehicle </w:t>
      </w:r>
      <w:r w:rsidR="002A5A8F">
        <w:t>collision</w:t>
      </w:r>
      <w:r w:rsidRPr="005A60DE">
        <w:t xml:space="preserve"> (24 per cent compared with 37 per cent to 46 per cent for the other age groups) and slightly higher proportions due to being hit by moving objects and falls from a height. </w:t>
      </w:r>
    </w:p>
    <w:p w:rsidR="005A60DE" w:rsidRDefault="005A60DE" w:rsidP="00CE598D">
      <w:r w:rsidRPr="005A60DE">
        <w:t>This oldest age group also had considerably more in the other mechanisms category of which rollover of non-road vehicle was a major contributor.</w:t>
      </w:r>
    </w:p>
    <w:p w:rsidR="005A60DE" w:rsidRDefault="005A60DE" w:rsidP="008D03AF">
      <w:pPr>
        <w:pStyle w:val="Heading4"/>
      </w:pPr>
      <w:r w:rsidRPr="005A60DE">
        <w:t>Table 3: Worker fatalities: percentage by mechanism of incident and age group, 2003 to 2015 combined</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Worker fatalities: percentage by mechanism of incident and age group, 2003 to 2015 combined"/>
        <w:tblDescription w:val="Table 3: Worker fatalities: percentage by mechanism of incident and age group, 2003 to 2015 combined"/>
      </w:tblPr>
      <w:tblGrid>
        <w:gridCol w:w="2781"/>
        <w:gridCol w:w="1525"/>
        <w:gridCol w:w="804"/>
        <w:gridCol w:w="804"/>
        <w:gridCol w:w="804"/>
        <w:gridCol w:w="804"/>
        <w:gridCol w:w="1421"/>
        <w:gridCol w:w="804"/>
      </w:tblGrid>
      <w:tr w:rsidR="00CE598D" w:rsidRPr="0071446B"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5A60DE" w:rsidRPr="0071446B" w:rsidRDefault="005A60DE" w:rsidP="00D36746">
            <w:pPr>
              <w:pStyle w:val="HeaderRow"/>
            </w:pPr>
            <w:r w:rsidRPr="0071446B">
              <w:t>Mechanism of incident</w:t>
            </w:r>
          </w:p>
        </w:tc>
        <w:tc>
          <w:tcPr>
            <w:tcW w:w="0" w:type="auto"/>
            <w:shd w:val="clear" w:color="auto" w:fill="B8CCE4" w:themeFill="accent1" w:themeFillTint="66"/>
          </w:tcPr>
          <w:p w:rsidR="005A60DE" w:rsidRPr="0071446B" w:rsidRDefault="005A60DE" w:rsidP="00D36746">
            <w:pPr>
              <w:pStyle w:val="HeaderRow"/>
              <w:cnfStyle w:val="000000000000" w:firstRow="0" w:lastRow="0" w:firstColumn="0" w:lastColumn="0" w:oddVBand="0" w:evenVBand="0" w:oddHBand="0" w:evenHBand="0" w:firstRowFirstColumn="0" w:firstRowLastColumn="0" w:lastRowFirstColumn="0" w:lastRowLastColumn="0"/>
            </w:pPr>
            <w:r w:rsidRPr="0071446B">
              <w:t>Less than 25</w:t>
            </w:r>
          </w:p>
        </w:tc>
        <w:tc>
          <w:tcPr>
            <w:tcW w:w="0" w:type="auto"/>
            <w:shd w:val="clear" w:color="auto" w:fill="B8CCE4" w:themeFill="accent1" w:themeFillTint="66"/>
          </w:tcPr>
          <w:p w:rsidR="005A60DE" w:rsidRPr="0071446B" w:rsidRDefault="005A60DE" w:rsidP="00D36746">
            <w:pPr>
              <w:pStyle w:val="HeaderRow"/>
              <w:cnfStyle w:val="000000000000" w:firstRow="0" w:lastRow="0" w:firstColumn="0" w:lastColumn="0" w:oddVBand="0" w:evenVBand="0" w:oddHBand="0" w:evenHBand="0" w:firstRowFirstColumn="0" w:firstRowLastColumn="0" w:lastRowFirstColumn="0" w:lastRowLastColumn="0"/>
            </w:pPr>
            <w:r w:rsidRPr="0071446B">
              <w:t>25-34</w:t>
            </w:r>
          </w:p>
        </w:tc>
        <w:tc>
          <w:tcPr>
            <w:tcW w:w="0" w:type="auto"/>
            <w:shd w:val="clear" w:color="auto" w:fill="B8CCE4" w:themeFill="accent1" w:themeFillTint="66"/>
          </w:tcPr>
          <w:p w:rsidR="005A60DE" w:rsidRPr="0071446B" w:rsidRDefault="005A60DE" w:rsidP="00D36746">
            <w:pPr>
              <w:pStyle w:val="HeaderRow"/>
              <w:cnfStyle w:val="000000000000" w:firstRow="0" w:lastRow="0" w:firstColumn="0" w:lastColumn="0" w:oddVBand="0" w:evenVBand="0" w:oddHBand="0" w:evenHBand="0" w:firstRowFirstColumn="0" w:firstRowLastColumn="0" w:lastRowFirstColumn="0" w:lastRowLastColumn="0"/>
            </w:pPr>
            <w:r w:rsidRPr="0071446B">
              <w:t>35-44</w:t>
            </w:r>
          </w:p>
        </w:tc>
        <w:tc>
          <w:tcPr>
            <w:tcW w:w="0" w:type="auto"/>
            <w:shd w:val="clear" w:color="auto" w:fill="B8CCE4" w:themeFill="accent1" w:themeFillTint="66"/>
          </w:tcPr>
          <w:p w:rsidR="005A60DE" w:rsidRPr="0071446B" w:rsidRDefault="005A60DE" w:rsidP="00D36746">
            <w:pPr>
              <w:pStyle w:val="HeaderRow"/>
              <w:cnfStyle w:val="000000000000" w:firstRow="0" w:lastRow="0" w:firstColumn="0" w:lastColumn="0" w:oddVBand="0" w:evenVBand="0" w:oddHBand="0" w:evenHBand="0" w:firstRowFirstColumn="0" w:firstRowLastColumn="0" w:lastRowFirstColumn="0" w:lastRowLastColumn="0"/>
            </w:pPr>
            <w:r w:rsidRPr="0071446B">
              <w:t>45-54</w:t>
            </w:r>
          </w:p>
        </w:tc>
        <w:tc>
          <w:tcPr>
            <w:tcW w:w="0" w:type="auto"/>
            <w:shd w:val="clear" w:color="auto" w:fill="B8CCE4" w:themeFill="accent1" w:themeFillTint="66"/>
          </w:tcPr>
          <w:p w:rsidR="005A60DE" w:rsidRPr="0071446B" w:rsidRDefault="005A60DE" w:rsidP="00D36746">
            <w:pPr>
              <w:pStyle w:val="HeaderRow"/>
              <w:cnfStyle w:val="000000000000" w:firstRow="0" w:lastRow="0" w:firstColumn="0" w:lastColumn="0" w:oddVBand="0" w:evenVBand="0" w:oddHBand="0" w:evenHBand="0" w:firstRowFirstColumn="0" w:firstRowLastColumn="0" w:lastRowFirstColumn="0" w:lastRowLastColumn="0"/>
            </w:pPr>
            <w:r w:rsidRPr="0071446B">
              <w:t>55-64</w:t>
            </w:r>
          </w:p>
        </w:tc>
        <w:tc>
          <w:tcPr>
            <w:tcW w:w="0" w:type="auto"/>
            <w:shd w:val="clear" w:color="auto" w:fill="B8CCE4" w:themeFill="accent1" w:themeFillTint="66"/>
          </w:tcPr>
          <w:p w:rsidR="005A60DE" w:rsidRPr="0071446B" w:rsidRDefault="005A60DE" w:rsidP="00D36746">
            <w:pPr>
              <w:pStyle w:val="HeaderRow"/>
              <w:cnfStyle w:val="000000000000" w:firstRow="0" w:lastRow="0" w:firstColumn="0" w:lastColumn="0" w:oddVBand="0" w:evenVBand="0" w:oddHBand="0" w:evenHBand="0" w:firstRowFirstColumn="0" w:firstRowLastColumn="0" w:lastRowFirstColumn="0" w:lastRowLastColumn="0"/>
            </w:pPr>
            <w:r w:rsidRPr="0071446B">
              <w:t>65 and over</w:t>
            </w:r>
          </w:p>
        </w:tc>
        <w:tc>
          <w:tcPr>
            <w:tcW w:w="0" w:type="auto"/>
            <w:shd w:val="clear" w:color="auto" w:fill="B8CCE4" w:themeFill="accent1" w:themeFillTint="66"/>
          </w:tcPr>
          <w:p w:rsidR="005A60DE" w:rsidRPr="0071446B" w:rsidRDefault="005A60DE" w:rsidP="00D36746">
            <w:pPr>
              <w:pStyle w:val="HeaderRow"/>
              <w:cnfStyle w:val="000000000000" w:firstRow="0" w:lastRow="0" w:firstColumn="0" w:lastColumn="0" w:oddVBand="0" w:evenVBand="0" w:oddHBand="0" w:evenHBand="0" w:firstRowFirstColumn="0" w:firstRowLastColumn="0" w:lastRowFirstColumn="0" w:lastRowLastColumn="0"/>
            </w:pPr>
            <w:r w:rsidRPr="0071446B">
              <w:t>Total</w:t>
            </w:r>
          </w:p>
        </w:tc>
      </w:tr>
      <w:tr w:rsidR="005A60DE" w:rsidTr="00F46C0F">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5A60DE" w:rsidRPr="0071446B" w:rsidRDefault="005A60DE" w:rsidP="00F46C0F">
            <w:pPr>
              <w:pStyle w:val="Tablerowheading2"/>
            </w:pPr>
            <w:r w:rsidRPr="0071446B">
              <w:t>Vehicle collision</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40%</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42%</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46%</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41%</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37%</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24%</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39%</w:t>
            </w:r>
          </w:p>
        </w:tc>
      </w:tr>
      <w:tr w:rsidR="005A60DE" w:rsidTr="00F46C0F">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5A60DE" w:rsidRPr="0071446B" w:rsidRDefault="005A60DE" w:rsidP="00F46C0F">
            <w:pPr>
              <w:pStyle w:val="Tablerowheading2"/>
            </w:pPr>
            <w:r w:rsidRPr="0071446B">
              <w:t>Being hit by moving objects</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12%</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8%</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10%</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13%</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14%</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16%</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12%</w:t>
            </w:r>
          </w:p>
        </w:tc>
      </w:tr>
      <w:tr w:rsidR="005A60DE" w:rsidTr="00F46C0F">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5A60DE" w:rsidRPr="0071446B" w:rsidRDefault="005A60DE" w:rsidP="00F46C0F">
            <w:pPr>
              <w:pStyle w:val="Tablerowheading2"/>
            </w:pPr>
            <w:r w:rsidRPr="0071446B">
              <w:t xml:space="preserve">Falls from a height  </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8%</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9%</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8%</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12%</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14%</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16%</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11%</w:t>
            </w:r>
          </w:p>
        </w:tc>
      </w:tr>
      <w:tr w:rsidR="005A60DE" w:rsidTr="00F46C0F">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5A60DE" w:rsidRPr="0071446B" w:rsidRDefault="005A60DE" w:rsidP="00F46C0F">
            <w:pPr>
              <w:pStyle w:val="Tablerowheading2"/>
            </w:pPr>
            <w:r w:rsidRPr="0071446B">
              <w:t>Being hit by falling objects</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7%</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9%</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12%</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7%</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10%</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9%</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9%</w:t>
            </w:r>
          </w:p>
        </w:tc>
      </w:tr>
      <w:tr w:rsidR="005A60DE" w:rsidTr="00F46C0F">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5A60DE" w:rsidRPr="0071446B" w:rsidRDefault="005A60DE" w:rsidP="00F46C0F">
            <w:pPr>
              <w:pStyle w:val="Tablerowheading2"/>
            </w:pPr>
            <w:r w:rsidRPr="0071446B">
              <w:t>Contact with electricity</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9%</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7%</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4%</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5%</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4%</w:t>
            </w:r>
          </w:p>
        </w:tc>
      </w:tr>
      <w:tr w:rsidR="005A60DE" w:rsidTr="00F46C0F">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5A60DE" w:rsidRPr="0071446B" w:rsidRDefault="005A60DE" w:rsidP="00F46C0F">
            <w:pPr>
              <w:pStyle w:val="Tablerowheading2"/>
            </w:pPr>
            <w:r w:rsidRPr="0071446B">
              <w:t>Other mechanisms</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23%</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24%</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21%</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22%</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23%</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33%</w:t>
            </w:r>
          </w:p>
        </w:tc>
        <w:tc>
          <w:tcPr>
            <w:tcW w:w="0" w:type="auto"/>
            <w:vAlign w:val="bottom"/>
          </w:tcPr>
          <w:p w:rsidR="005A60DE" w:rsidRPr="00E71026" w:rsidRDefault="005A60DE" w:rsidP="00F46C0F">
            <w:pPr>
              <w:pStyle w:val="Tablerowheading2"/>
              <w:cnfStyle w:val="000000000000" w:firstRow="0" w:lastRow="0" w:firstColumn="0" w:lastColumn="0" w:oddVBand="0" w:evenVBand="0" w:oddHBand="0" w:evenHBand="0" w:firstRowFirstColumn="0" w:firstRowLastColumn="0" w:lastRowFirstColumn="0" w:lastRowLastColumn="0"/>
            </w:pPr>
            <w:r w:rsidRPr="00E71026">
              <w:t>24%</w:t>
            </w:r>
          </w:p>
        </w:tc>
      </w:tr>
      <w:tr w:rsidR="005A60DE" w:rsidRPr="00970FB8" w:rsidTr="004D3B4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5A60DE" w:rsidRPr="0071446B" w:rsidRDefault="005A60DE" w:rsidP="004D3B47">
            <w:pPr>
              <w:pStyle w:val="Tabletotal"/>
            </w:pPr>
            <w:r w:rsidRPr="0071446B">
              <w:t>Total*</w:t>
            </w:r>
          </w:p>
        </w:tc>
        <w:tc>
          <w:tcPr>
            <w:tcW w:w="0" w:type="auto"/>
            <w:shd w:val="clear" w:color="auto" w:fill="B8CCE4" w:themeFill="accent1" w:themeFillTint="66"/>
          </w:tcPr>
          <w:p w:rsidR="005A60DE" w:rsidRPr="00970FB8" w:rsidRDefault="005A60DE"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c>
          <w:tcPr>
            <w:tcW w:w="0" w:type="auto"/>
            <w:shd w:val="clear" w:color="auto" w:fill="B8CCE4" w:themeFill="accent1" w:themeFillTint="66"/>
          </w:tcPr>
          <w:p w:rsidR="005A60DE" w:rsidRPr="00970FB8" w:rsidRDefault="005A60DE"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c>
          <w:tcPr>
            <w:tcW w:w="0" w:type="auto"/>
            <w:shd w:val="clear" w:color="auto" w:fill="B8CCE4" w:themeFill="accent1" w:themeFillTint="66"/>
          </w:tcPr>
          <w:p w:rsidR="005A60DE" w:rsidRPr="00970FB8" w:rsidRDefault="005A60DE"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c>
          <w:tcPr>
            <w:tcW w:w="0" w:type="auto"/>
            <w:shd w:val="clear" w:color="auto" w:fill="B8CCE4" w:themeFill="accent1" w:themeFillTint="66"/>
          </w:tcPr>
          <w:p w:rsidR="005A60DE" w:rsidRPr="00970FB8" w:rsidRDefault="005A60DE"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c>
          <w:tcPr>
            <w:tcW w:w="0" w:type="auto"/>
            <w:shd w:val="clear" w:color="auto" w:fill="B8CCE4" w:themeFill="accent1" w:themeFillTint="66"/>
          </w:tcPr>
          <w:p w:rsidR="005A60DE" w:rsidRPr="00970FB8" w:rsidRDefault="005A60DE"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c>
          <w:tcPr>
            <w:tcW w:w="0" w:type="auto"/>
            <w:shd w:val="clear" w:color="auto" w:fill="B8CCE4" w:themeFill="accent1" w:themeFillTint="66"/>
          </w:tcPr>
          <w:p w:rsidR="005A60DE" w:rsidRPr="00970FB8" w:rsidRDefault="005A60DE"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c>
          <w:tcPr>
            <w:tcW w:w="0" w:type="auto"/>
            <w:shd w:val="clear" w:color="auto" w:fill="B8CCE4" w:themeFill="accent1" w:themeFillTint="66"/>
          </w:tcPr>
          <w:p w:rsidR="005A60DE" w:rsidRPr="00970FB8" w:rsidRDefault="005A60DE" w:rsidP="004D3B47">
            <w:pPr>
              <w:pStyle w:val="Tabletotal"/>
              <w:cnfStyle w:val="000000000000" w:firstRow="0" w:lastRow="0" w:firstColumn="0" w:lastColumn="0" w:oddVBand="0" w:evenVBand="0" w:oddHBand="0" w:evenHBand="0" w:firstRowFirstColumn="0" w:firstRowLastColumn="0" w:lastRowFirstColumn="0" w:lastRowLastColumn="0"/>
            </w:pPr>
            <w:r w:rsidRPr="00970FB8">
              <w:t>100%</w:t>
            </w:r>
          </w:p>
        </w:tc>
      </w:tr>
    </w:tbl>
    <w:p w:rsidR="005A60DE" w:rsidRPr="005A60DE" w:rsidRDefault="005A60DE" w:rsidP="00383468">
      <w:pPr>
        <w:pStyle w:val="Footnote"/>
      </w:pPr>
      <w:r w:rsidRPr="005A60DE">
        <w:t xml:space="preserve">* The percentages shown in this table have been rounded to the nearest whole </w:t>
      </w:r>
      <w:proofErr w:type="gramStart"/>
      <w:r w:rsidRPr="005A60DE">
        <w:t>number,</w:t>
      </w:r>
      <w:proofErr w:type="gramEnd"/>
      <w:r w:rsidRPr="005A60DE">
        <w:t xml:space="preserve"> therefore the sum of percentage figures for each column may not equal the total.</w:t>
      </w:r>
    </w:p>
    <w:p w:rsidR="005A60DE" w:rsidRDefault="005A60DE">
      <w:pPr>
        <w:rPr>
          <w:b/>
          <w:sz w:val="28"/>
          <w:szCs w:val="28"/>
        </w:rPr>
      </w:pPr>
      <w:r>
        <w:br w:type="page"/>
      </w:r>
    </w:p>
    <w:p w:rsidR="008D03AF" w:rsidRDefault="008D03AF" w:rsidP="0071446B">
      <w:pPr>
        <w:pStyle w:val="Heading2"/>
      </w:pPr>
      <w:bookmarkStart w:id="28" w:name="_Toc460936386"/>
      <w:bookmarkEnd w:id="26"/>
      <w:r w:rsidRPr="008D03AF">
        <w:lastRenderedPageBreak/>
        <w:t>Breakdown agency</w:t>
      </w:r>
      <w:bookmarkEnd w:id="28"/>
    </w:p>
    <w:p w:rsidR="008D03AF" w:rsidRDefault="008D03AF" w:rsidP="008D03AF">
      <w:r>
        <w:t xml:space="preserve">The breakdown agency identifies the object, substance or circumstance principally involved at the point at which things started to go wrong. </w:t>
      </w:r>
    </w:p>
    <w:p w:rsidR="008D03AF" w:rsidRDefault="008D03AF" w:rsidP="008D03AF">
      <w:r>
        <w:t xml:space="preserve">Table 4 shows the breakdown agency of mobile plant and </w:t>
      </w:r>
      <w:r w:rsidRPr="00CE598D">
        <w:t xml:space="preserve">transport accounted for 61 per cent of fatalities over the 2003–15 period and 53 per cent of fatalities in 2015. Within this group, trucks, semi-trailers or </w:t>
      </w:r>
      <w:proofErr w:type="gramStart"/>
      <w:r w:rsidRPr="00CE598D">
        <w:t>lorries</w:t>
      </w:r>
      <w:proofErr w:type="gramEnd"/>
      <w:r w:rsidRPr="00CE598D">
        <w:t xml:space="preserve"> was the biggest contributor accounting for 18 per cent of all worker fatalities. This was followed by cars</w:t>
      </w:r>
      <w:r>
        <w:t>, station wagons, vans or utilities with 9 per cent and tractors with 4 per cent.</w:t>
      </w:r>
    </w:p>
    <w:p w:rsidR="0075723F" w:rsidRPr="005E6422" w:rsidRDefault="008D03AF" w:rsidP="008D03AF">
      <w:r>
        <w:t xml:space="preserve">For the complete time series see Appendix </w:t>
      </w:r>
      <w:proofErr w:type="spellStart"/>
      <w:r>
        <w:t>A2</w:t>
      </w:r>
      <w:proofErr w:type="spellEnd"/>
      <w:r>
        <w:t>.</w:t>
      </w:r>
    </w:p>
    <w:p w:rsidR="0075723F" w:rsidRPr="00A07E79" w:rsidRDefault="0075723F" w:rsidP="0075723F">
      <w:pPr>
        <w:pStyle w:val="Heading4"/>
      </w:pPr>
      <w:r>
        <w:t xml:space="preserve">Table </w:t>
      </w:r>
      <w:fldSimple w:instr=" SEQ Table \* ARABIC ">
        <w:r w:rsidR="001A7C10">
          <w:rPr>
            <w:noProof/>
          </w:rPr>
          <w:t>4</w:t>
        </w:r>
      </w:fldSimple>
      <w:r>
        <w:t xml:space="preserve">: </w:t>
      </w:r>
      <w:r w:rsidR="008D03AF" w:rsidRPr="008D03AF">
        <w:t>Worker fatalities: number and proportion</w:t>
      </w:r>
      <w:r w:rsidR="004B6802">
        <w:t xml:space="preserve"> by selected breakdown agencies</w:t>
      </w:r>
      <w:r w:rsidR="00661796">
        <w:t>*</w:t>
      </w:r>
      <w:r w:rsidR="008D03AF" w:rsidRPr="008D03AF">
        <w:t>, 2003 to 2015 (selected years, sorted by total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Worker fatalities: number and proportion by selected breakdown agencies*, 2003 to 2015 (selected years, sorted by total fatalities)"/>
        <w:tblDescription w:val="Table 4: Worker fatalities: number and proportion by selected breakdown agencies*, 2003 to 2015 (selected years, sorted by total fatalities)"/>
      </w:tblPr>
      <w:tblGrid>
        <w:gridCol w:w="2816"/>
        <w:gridCol w:w="572"/>
        <w:gridCol w:w="572"/>
        <w:gridCol w:w="572"/>
        <w:gridCol w:w="572"/>
        <w:gridCol w:w="572"/>
        <w:gridCol w:w="572"/>
        <w:gridCol w:w="572"/>
        <w:gridCol w:w="599"/>
        <w:gridCol w:w="1279"/>
        <w:gridCol w:w="1270"/>
      </w:tblGrid>
      <w:tr w:rsidR="003043C3" w:rsidRPr="008D03AF"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8D03AF" w:rsidRPr="0071446B" w:rsidRDefault="008D03AF" w:rsidP="00D36746">
            <w:pPr>
              <w:pStyle w:val="HeaderRow"/>
            </w:pPr>
            <w:r w:rsidRPr="0071446B">
              <w:t>Breakdown agency</w:t>
            </w:r>
          </w:p>
        </w:tc>
        <w:tc>
          <w:tcPr>
            <w:tcW w:w="0" w:type="auto"/>
            <w:shd w:val="clear" w:color="auto" w:fill="B8CCE4" w:themeFill="accent1" w:themeFillTint="66"/>
            <w:vAlign w:val="bottom"/>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2003</w:t>
            </w:r>
          </w:p>
        </w:tc>
        <w:tc>
          <w:tcPr>
            <w:tcW w:w="0" w:type="auto"/>
            <w:shd w:val="clear" w:color="auto" w:fill="B8CCE4" w:themeFill="accent1" w:themeFillTint="66"/>
            <w:vAlign w:val="bottom"/>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2005</w:t>
            </w:r>
          </w:p>
        </w:tc>
        <w:tc>
          <w:tcPr>
            <w:tcW w:w="0" w:type="auto"/>
            <w:shd w:val="clear" w:color="auto" w:fill="B8CCE4" w:themeFill="accent1" w:themeFillTint="66"/>
            <w:vAlign w:val="bottom"/>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2007</w:t>
            </w:r>
          </w:p>
        </w:tc>
        <w:tc>
          <w:tcPr>
            <w:tcW w:w="0" w:type="auto"/>
            <w:shd w:val="clear" w:color="auto" w:fill="B8CCE4" w:themeFill="accent1" w:themeFillTint="66"/>
            <w:vAlign w:val="bottom"/>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2009</w:t>
            </w:r>
          </w:p>
        </w:tc>
        <w:tc>
          <w:tcPr>
            <w:tcW w:w="0" w:type="auto"/>
            <w:shd w:val="clear" w:color="auto" w:fill="B8CCE4" w:themeFill="accent1" w:themeFillTint="66"/>
            <w:vAlign w:val="bottom"/>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2011</w:t>
            </w:r>
          </w:p>
        </w:tc>
        <w:tc>
          <w:tcPr>
            <w:tcW w:w="0" w:type="auto"/>
            <w:shd w:val="clear" w:color="auto" w:fill="B8CCE4" w:themeFill="accent1" w:themeFillTint="66"/>
            <w:vAlign w:val="bottom"/>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2013</w:t>
            </w:r>
          </w:p>
        </w:tc>
        <w:tc>
          <w:tcPr>
            <w:tcW w:w="0" w:type="auto"/>
            <w:shd w:val="clear" w:color="auto" w:fill="B8CCE4" w:themeFill="accent1" w:themeFillTint="66"/>
            <w:vAlign w:val="bottom"/>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2015</w:t>
            </w:r>
          </w:p>
        </w:tc>
        <w:tc>
          <w:tcPr>
            <w:tcW w:w="0" w:type="auto"/>
            <w:shd w:val="clear" w:color="auto" w:fill="B8CCE4" w:themeFill="accent1" w:themeFillTint="66"/>
            <w:vAlign w:val="bottom"/>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Total</w:t>
            </w:r>
          </w:p>
        </w:tc>
        <w:tc>
          <w:tcPr>
            <w:tcW w:w="0" w:type="auto"/>
            <w:shd w:val="clear" w:color="auto" w:fill="B8CCE4" w:themeFill="accent1" w:themeFillTint="66"/>
            <w:vAlign w:val="top"/>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 of 2015</w:t>
            </w:r>
            <w:r w:rsidR="00857A9C">
              <w:t xml:space="preserve"> fatalities</w:t>
            </w:r>
            <w:r w:rsidRPr="008D03AF">
              <w:t xml:space="preserve"> </w:t>
            </w:r>
          </w:p>
        </w:tc>
        <w:tc>
          <w:tcPr>
            <w:tcW w:w="0" w:type="auto"/>
            <w:shd w:val="clear" w:color="auto" w:fill="B8CCE4" w:themeFill="accent1" w:themeFillTint="66"/>
            <w:vAlign w:val="top"/>
          </w:tcPr>
          <w:p w:rsidR="008D03AF" w:rsidRPr="008D03AF" w:rsidRDefault="008D03AF" w:rsidP="00D36746">
            <w:pPr>
              <w:pStyle w:val="HeaderRow"/>
              <w:cnfStyle w:val="000000000000" w:firstRow="0" w:lastRow="0" w:firstColumn="0" w:lastColumn="0" w:oddVBand="0" w:evenVBand="0" w:oddHBand="0" w:evenHBand="0" w:firstRowFirstColumn="0" w:firstRowLastColumn="0" w:lastRowFirstColumn="0" w:lastRowLastColumn="0"/>
            </w:pPr>
            <w:r w:rsidRPr="008D03AF">
              <w:t xml:space="preserve">% of total </w:t>
            </w:r>
            <w:r w:rsidR="00857A9C">
              <w:t>fatalities</w:t>
            </w:r>
          </w:p>
        </w:tc>
      </w:tr>
      <w:tr w:rsidR="00857A9C" w:rsidRPr="003043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3043C3" w:rsidRDefault="008D03AF" w:rsidP="00F46C0F">
            <w:pPr>
              <w:pStyle w:val="HeaderRow"/>
            </w:pPr>
            <w:r w:rsidRPr="003043C3">
              <w:t>Mobile plant and transport</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161</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151</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192</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167</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132</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123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103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1952</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53%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61%</w:t>
            </w:r>
          </w:p>
        </w:tc>
      </w:tr>
      <w:tr w:rsidR="00857A9C" w:rsidRPr="00CE598D"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71446B" w:rsidRDefault="008D03AF" w:rsidP="00F46C0F">
            <w:pPr>
              <w:pStyle w:val="Tablerowheading2"/>
            </w:pPr>
            <w:r w:rsidRPr="0071446B">
              <w:t>Road transport</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99</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100</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139</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110</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72</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73</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54</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1232</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28%</w:t>
            </w:r>
          </w:p>
        </w:tc>
        <w:tc>
          <w:tcPr>
            <w:tcW w:w="0" w:type="auto"/>
            <w:vAlign w:val="bottom"/>
          </w:tcPr>
          <w:p w:rsidR="008D03AF" w:rsidRPr="00612475" w:rsidRDefault="008D03AF" w:rsidP="00CE598D">
            <w:pPr>
              <w:pStyle w:val="Tablerowheading2"/>
              <w:cnfStyle w:val="000000000000" w:firstRow="0" w:lastRow="0" w:firstColumn="0" w:lastColumn="0" w:oddVBand="0" w:evenVBand="0" w:oddHBand="0" w:evenHBand="0" w:firstRowFirstColumn="0" w:firstRowLastColumn="0" w:lastRowFirstColumn="0" w:lastRowLastColumn="0"/>
            </w:pPr>
            <w:r w:rsidRPr="00612475">
              <w:t>38%</w:t>
            </w:r>
          </w:p>
        </w:tc>
      </w:tr>
      <w:tr w:rsidR="00857A9C" w:rsidRPr="003043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3043C3" w:rsidRDefault="008D03AF" w:rsidP="00F46C0F">
            <w:pPr>
              <w:pStyle w:val="Tablerowheading4"/>
            </w:pPr>
            <w:r w:rsidRPr="003043C3">
              <w:t>Trucks, semi-trailers, lorries</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58</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50</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76</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65</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47</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42</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36</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730</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18%</w:t>
            </w:r>
          </w:p>
        </w:tc>
        <w:tc>
          <w:tcPr>
            <w:tcW w:w="0" w:type="auto"/>
            <w:vAlign w:val="bottom"/>
          </w:tcPr>
          <w:p w:rsidR="008D03AF" w:rsidRPr="00612475"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612475">
              <w:t>23%</w:t>
            </w:r>
          </w:p>
        </w:tc>
      </w:tr>
      <w:tr w:rsidR="00857A9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4"/>
            </w:pPr>
            <w:r w:rsidRPr="00F975B9">
              <w:t>Cars, station wagons, vans, utilities</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38</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54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41</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18</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442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9%</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14%</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Other mobile plant</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20</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15</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15</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204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8%</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r>
      <w:tr w:rsidR="00857A9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4"/>
            </w:pPr>
            <w:r w:rsidRPr="00F975B9">
              <w:t>Tractors, agricultural or otherwise</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9</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149</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5%</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Air transport</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15</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11</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11</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21</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10</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184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Self-propelled plant</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8</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10</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11</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11</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9</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136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Other transport</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10</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Water transport</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9</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5</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69</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w:t>
            </w:r>
          </w:p>
        </w:tc>
      </w:tr>
      <w:tr w:rsidR="00857A9C" w:rsidRPr="003043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8D03AF" w:rsidRDefault="008D03AF" w:rsidP="00F46C0F">
            <w:pPr>
              <w:pStyle w:val="HeaderRow"/>
            </w:pPr>
            <w:r w:rsidRPr="008D03AF">
              <w:t>Machinery and (mainly) fixed plant</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23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32</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29</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31</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32</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24</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17</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342</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9%</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11%</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Conveyors and lifting plant</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20</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18</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9</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198</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5%</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Electrical installation</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11</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w:t>
            </w:r>
          </w:p>
        </w:tc>
      </w:tr>
      <w:tr w:rsidR="00857A9C" w:rsidRPr="003043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8D03AF" w:rsidRDefault="008D03AF" w:rsidP="00F46C0F">
            <w:pPr>
              <w:pStyle w:val="Tablerowheading2"/>
              <w:rPr>
                <w:b/>
              </w:rPr>
            </w:pPr>
            <w:r w:rsidRPr="008D03AF">
              <w:rPr>
                <w:b/>
              </w:rPr>
              <w:t>Environmental agencies</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29</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27</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28</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25</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21</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17</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33</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336</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17%</w:t>
            </w:r>
          </w:p>
        </w:tc>
        <w:tc>
          <w:tcPr>
            <w:tcW w:w="0" w:type="auto"/>
            <w:vAlign w:val="bottom"/>
          </w:tcPr>
          <w:p w:rsidR="008D03AF" w:rsidRPr="00CE598D"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CE598D">
              <w:t>10%</w:t>
            </w:r>
          </w:p>
        </w:tc>
      </w:tr>
      <w:tr w:rsidR="00857A9C" w:rsidRPr="003043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937555" w:rsidRDefault="008D03AF" w:rsidP="00F46C0F">
            <w:pPr>
              <w:pStyle w:val="HeaderRow"/>
            </w:pPr>
            <w:r w:rsidRPr="00937555">
              <w:t xml:space="preserve">Non-powered </w:t>
            </w:r>
            <w:proofErr w:type="spellStart"/>
            <w:r w:rsidRPr="00937555">
              <w:t>handtools</w:t>
            </w:r>
            <w:proofErr w:type="spellEnd"/>
            <w:r w:rsidRPr="00937555">
              <w:t>, appliances and equipment</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11</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24</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8</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14</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18</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204</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9%</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6%</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Ladders, mobile ramps and stairways, and scaffolding</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5</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82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3%</w:t>
            </w:r>
          </w:p>
        </w:tc>
      </w:tr>
      <w:tr w:rsidR="00857A9C" w:rsidRPr="003043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937555" w:rsidRDefault="008D03AF" w:rsidP="00F46C0F">
            <w:pPr>
              <w:pStyle w:val="HeaderRow"/>
            </w:pPr>
            <w:r w:rsidRPr="00937555">
              <w:t>Animal, human and biological agencies</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15</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14</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14</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9</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11</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11</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158</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6%</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5%</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Live four-legged animals</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71</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Human agencies</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10</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65</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2%</w:t>
            </w:r>
          </w:p>
        </w:tc>
      </w:tr>
      <w:tr w:rsidR="00857A9C" w:rsidRPr="00937555"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F975B9" w:rsidRDefault="008D03AF" w:rsidP="00F46C0F">
            <w:pPr>
              <w:pStyle w:val="Tablerowheading2"/>
            </w:pPr>
            <w:r w:rsidRPr="00F975B9">
              <w:t>Powered equipment, tools and appliances</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8</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10</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8</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7</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6</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94</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3%</w:t>
            </w:r>
          </w:p>
        </w:tc>
        <w:tc>
          <w:tcPr>
            <w:tcW w:w="0" w:type="auto"/>
            <w:vAlign w:val="bottom"/>
          </w:tcPr>
          <w:p w:rsidR="008D03AF" w:rsidRPr="00F975B9" w:rsidRDefault="008D03AF" w:rsidP="00847E04">
            <w:pPr>
              <w:pStyle w:val="Tabletext"/>
              <w:cnfStyle w:val="000000000000" w:firstRow="0" w:lastRow="0" w:firstColumn="0" w:lastColumn="0" w:oddVBand="0" w:evenVBand="0" w:oddHBand="0" w:evenHBand="0" w:firstRowFirstColumn="0" w:firstRowLastColumn="0" w:lastRowFirstColumn="0" w:lastRowLastColumn="0"/>
            </w:pPr>
            <w:r w:rsidRPr="00F975B9">
              <w:t>3%</w:t>
            </w:r>
          </w:p>
        </w:tc>
      </w:tr>
      <w:tr w:rsidR="00857A9C" w:rsidRPr="003043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937555" w:rsidRDefault="008D03AF" w:rsidP="00F46C0F">
            <w:pPr>
              <w:pStyle w:val="HeaderRow"/>
            </w:pPr>
            <w:r w:rsidRPr="00937555">
              <w:t>Materials and substances</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7</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8</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5</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8</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6</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6</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89</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3%</w:t>
            </w:r>
          </w:p>
        </w:tc>
      </w:tr>
      <w:tr w:rsidR="00857A9C" w:rsidRPr="003043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8D03AF" w:rsidRPr="00937555" w:rsidRDefault="008D03AF" w:rsidP="00F46C0F">
            <w:pPr>
              <w:pStyle w:val="HeaderRow"/>
            </w:pPr>
            <w:r w:rsidRPr="00937555">
              <w:t>Chemicals and chemical products</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2</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4</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 xml:space="preserve"> ..</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3</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2</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29</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w:t>
            </w:r>
          </w:p>
        </w:tc>
        <w:tc>
          <w:tcPr>
            <w:tcW w:w="0" w:type="auto"/>
            <w:vAlign w:val="bottom"/>
          </w:tcPr>
          <w:p w:rsidR="008D03AF" w:rsidRPr="00CE598D" w:rsidRDefault="008D03AF" w:rsidP="00F46C0F">
            <w:pPr>
              <w:pStyle w:val="HeaderRow"/>
              <w:cnfStyle w:val="000000000000" w:firstRow="0" w:lastRow="0" w:firstColumn="0" w:lastColumn="0" w:oddVBand="0" w:evenVBand="0" w:oddHBand="0" w:evenHBand="0" w:firstRowFirstColumn="0" w:firstRowLastColumn="0" w:lastRowFirstColumn="0" w:lastRowLastColumn="0"/>
            </w:pPr>
            <w:r w:rsidRPr="00CE598D">
              <w:t>1%</w:t>
            </w:r>
          </w:p>
        </w:tc>
      </w:tr>
      <w:tr w:rsidR="003043C3" w:rsidRPr="00612475" w:rsidTr="004D3B47">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8D03AF" w:rsidRPr="00937555" w:rsidRDefault="008D03AF" w:rsidP="004D3B47">
            <w:pPr>
              <w:pStyle w:val="Tabletotal"/>
            </w:pPr>
            <w:r w:rsidRPr="00937555">
              <w:t>Total*</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259</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258</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310</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258</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224</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201</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195</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3207</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100%</w:t>
            </w:r>
          </w:p>
        </w:tc>
        <w:tc>
          <w:tcPr>
            <w:tcW w:w="0" w:type="auto"/>
            <w:shd w:val="clear" w:color="auto" w:fill="B8CCE4" w:themeFill="accent1" w:themeFillTint="66"/>
          </w:tcPr>
          <w:p w:rsidR="008D03AF" w:rsidRPr="00937555" w:rsidRDefault="008D03AF" w:rsidP="004D3B47">
            <w:pPr>
              <w:pStyle w:val="Tabletotal"/>
              <w:cnfStyle w:val="000000000000" w:firstRow="0" w:lastRow="0" w:firstColumn="0" w:lastColumn="0" w:oddVBand="0" w:evenVBand="0" w:oddHBand="0" w:evenHBand="0" w:firstRowFirstColumn="0" w:firstRowLastColumn="0" w:lastRowFirstColumn="0" w:lastRowLastColumn="0"/>
            </w:pPr>
            <w:r w:rsidRPr="00937555">
              <w:t>100%</w:t>
            </w:r>
          </w:p>
        </w:tc>
      </w:tr>
    </w:tbl>
    <w:p w:rsidR="00937555" w:rsidRPr="002A4D5C" w:rsidRDefault="00937555" w:rsidP="00383468">
      <w:pPr>
        <w:pStyle w:val="Footnote"/>
      </w:pPr>
      <w:r w:rsidRPr="002A4D5C">
        <w:t xml:space="preserve">Note: Only selected breakdown agency subgroups and classes are included. Therefore the number of fatalities in the selected subcategories will not add to the category total. </w:t>
      </w:r>
    </w:p>
    <w:p w:rsidR="00937555" w:rsidRPr="00145F43" w:rsidRDefault="00937555" w:rsidP="00383468">
      <w:pPr>
        <w:pStyle w:val="Footnote"/>
      </w:pPr>
      <w:r w:rsidRPr="00145F43">
        <w:t>* The total number of fatalities and percentage figures for each column shown in this table will not add to the total due to rounding and the inclusion of selected breakdown agency subgroups and classes within the major group headings.</w:t>
      </w:r>
    </w:p>
    <w:p w:rsidR="00937555" w:rsidRDefault="00937555" w:rsidP="00857A9C">
      <w:pPr>
        <w:pStyle w:val="Heading2"/>
      </w:pPr>
      <w:bookmarkStart w:id="29" w:name="_Toc460936387"/>
      <w:r w:rsidRPr="00937555">
        <w:t>Involvement of vehicles</w:t>
      </w:r>
      <w:bookmarkEnd w:id="29"/>
    </w:p>
    <w:p w:rsidR="00937555" w:rsidRPr="00937555" w:rsidRDefault="00937555" w:rsidP="00857A9C">
      <w:r w:rsidRPr="00937555">
        <w:t xml:space="preserve">Over the 2003 to 2015 period, 2081 (65 per cent) worker fatalities involved vehicles. Of these, almost half (49 per cent) occurred on a public road. </w:t>
      </w:r>
    </w:p>
    <w:p w:rsidR="00937555" w:rsidRPr="00937555" w:rsidRDefault="00937555" w:rsidP="00857A9C">
      <w:r w:rsidRPr="00937555">
        <w:t>One-third (1022) of all worker fatalities arose from injuries that involved a vehicle on a public road, one-third (1059) involved a vehicle not on a public road and the remaining one-third (1126) did not involve a vehicle.</w:t>
      </w:r>
    </w:p>
    <w:p w:rsidR="00937555" w:rsidRDefault="00937555" w:rsidP="00857A9C">
      <w:r w:rsidRPr="00937555">
        <w:t>Table 5 shows 89 per cent of worker fatalities involving vehicles on public roads were the result of a vehicle collision. This was followed by being hit by moving objects which accounted for 8 per cent.</w:t>
      </w:r>
    </w:p>
    <w:p w:rsidR="002720B8" w:rsidRDefault="002720B8">
      <w:pPr>
        <w:rPr>
          <w:b/>
        </w:rPr>
      </w:pPr>
      <w:r>
        <w:br w:type="page"/>
      </w:r>
    </w:p>
    <w:p w:rsidR="0075723F" w:rsidRDefault="0075723F" w:rsidP="00937555">
      <w:pPr>
        <w:pStyle w:val="Heading4"/>
      </w:pPr>
      <w:r>
        <w:lastRenderedPageBreak/>
        <w:t xml:space="preserve">Table </w:t>
      </w:r>
      <w:fldSimple w:instr=" SEQ Table \* ARABIC ">
        <w:r w:rsidR="001A7C10">
          <w:rPr>
            <w:noProof/>
          </w:rPr>
          <w:t>5</w:t>
        </w:r>
      </w:fldSimple>
      <w:r>
        <w:t xml:space="preserve">: </w:t>
      </w:r>
      <w:r w:rsidR="00937555" w:rsidRPr="00937555">
        <w:t>Worker fatalities by vehicle involvement: number by public road status and mechanism of incident, 2003 to 2015 combined (sorted by total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Worker fatalities by vehicle involvement: number by public road status and mechanism of incident, 2003 to 2015 combined (sorted by total fatalities)"/>
        <w:tblDescription w:val="Table 5: Worker fatalities by vehicle involvement: number by public road status and mechanism of incident, 2003 to 2015 combined (sorted by total fatalities)"/>
      </w:tblPr>
      <w:tblGrid>
        <w:gridCol w:w="3889"/>
        <w:gridCol w:w="1443"/>
        <w:gridCol w:w="1713"/>
        <w:gridCol w:w="626"/>
        <w:gridCol w:w="1671"/>
        <w:gridCol w:w="626"/>
      </w:tblGrid>
      <w:tr w:rsidR="004A4F7F" w:rsidRPr="004A4F7F" w:rsidTr="005B1996">
        <w:trPr>
          <w:tblHeader/>
        </w:trPr>
        <w:tc>
          <w:tcPr>
            <w:cnfStyle w:val="001000000000" w:firstRow="0" w:lastRow="0" w:firstColumn="1" w:lastColumn="0" w:oddVBand="0" w:evenVBand="0" w:oddHBand="0" w:evenHBand="0" w:firstRowFirstColumn="0" w:firstRowLastColumn="0" w:lastRowFirstColumn="0" w:lastRowLastColumn="0"/>
            <w:tcW w:w="3889" w:type="dxa"/>
            <w:shd w:val="clear" w:color="auto" w:fill="B8CCE4" w:themeFill="accent1" w:themeFillTint="66"/>
            <w:vAlign w:val="bottom"/>
          </w:tcPr>
          <w:p w:rsidR="004A4F7F" w:rsidRPr="004A4F7F" w:rsidRDefault="004A4F7F" w:rsidP="00D36746">
            <w:pPr>
              <w:pStyle w:val="HeaderRow"/>
            </w:pPr>
            <w:r w:rsidRPr="004A4F7F">
              <w:t xml:space="preserve"> </w:t>
            </w:r>
          </w:p>
        </w:tc>
        <w:tc>
          <w:tcPr>
            <w:tcW w:w="0" w:type="auto"/>
            <w:gridSpan w:val="3"/>
            <w:shd w:val="clear" w:color="auto" w:fill="B8CCE4" w:themeFill="accent1" w:themeFillTint="66"/>
            <w:vAlign w:val="bottom"/>
          </w:tcPr>
          <w:p w:rsidR="004A4F7F" w:rsidRPr="004A4F7F"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4A4F7F">
              <w:t>Vehicle involved</w:t>
            </w:r>
          </w:p>
        </w:tc>
        <w:tc>
          <w:tcPr>
            <w:tcW w:w="0" w:type="auto"/>
            <w:shd w:val="clear" w:color="auto" w:fill="B8CCE4" w:themeFill="accent1" w:themeFillTint="66"/>
            <w:vAlign w:val="bottom"/>
          </w:tcPr>
          <w:p w:rsidR="004A4F7F" w:rsidRPr="004A4F7F"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4A4F7F">
              <w:t>No vehicle involved</w:t>
            </w:r>
          </w:p>
        </w:tc>
        <w:tc>
          <w:tcPr>
            <w:tcW w:w="0" w:type="auto"/>
            <w:shd w:val="clear" w:color="auto" w:fill="B8CCE4" w:themeFill="accent1" w:themeFillTint="66"/>
            <w:vAlign w:val="bottom"/>
          </w:tcPr>
          <w:p w:rsidR="004A4F7F" w:rsidRPr="004A4F7F"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4A4F7F">
              <w:t>Total</w:t>
            </w:r>
          </w:p>
        </w:tc>
      </w:tr>
      <w:tr w:rsidR="004A4F7F" w:rsidRPr="004A4F7F" w:rsidTr="00F46C0F">
        <w:tc>
          <w:tcPr>
            <w:cnfStyle w:val="001000000000" w:firstRow="0" w:lastRow="0" w:firstColumn="1" w:lastColumn="0" w:oddVBand="0" w:evenVBand="0" w:oddHBand="0" w:evenHBand="0" w:firstRowFirstColumn="0" w:firstRowLastColumn="0" w:lastRowFirstColumn="0" w:lastRowLastColumn="0"/>
            <w:tcW w:w="3889" w:type="dxa"/>
            <w:shd w:val="clear" w:color="auto" w:fill="B8CCE4" w:themeFill="accent1" w:themeFillTint="66"/>
            <w:vAlign w:val="bottom"/>
          </w:tcPr>
          <w:p w:rsidR="004A4F7F" w:rsidRPr="004A4F7F" w:rsidRDefault="004A4F7F" w:rsidP="00D36746">
            <w:pPr>
              <w:pStyle w:val="HeaderRow"/>
            </w:pPr>
            <w:r w:rsidRPr="004A4F7F">
              <w:t>Mechanism of incident</w:t>
            </w:r>
          </w:p>
        </w:tc>
        <w:tc>
          <w:tcPr>
            <w:tcW w:w="0" w:type="auto"/>
            <w:shd w:val="clear" w:color="auto" w:fill="B8CCE4" w:themeFill="accent1" w:themeFillTint="66"/>
            <w:vAlign w:val="bottom"/>
          </w:tcPr>
          <w:p w:rsidR="004A4F7F" w:rsidRPr="004A4F7F"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4A4F7F">
              <w:t>On a public road</w:t>
            </w:r>
          </w:p>
        </w:tc>
        <w:tc>
          <w:tcPr>
            <w:tcW w:w="0" w:type="auto"/>
            <w:shd w:val="clear" w:color="auto" w:fill="B8CCE4" w:themeFill="accent1" w:themeFillTint="66"/>
            <w:vAlign w:val="bottom"/>
          </w:tcPr>
          <w:p w:rsidR="004A4F7F" w:rsidRPr="004A4F7F"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4A4F7F">
              <w:t>Not on a public road</w:t>
            </w:r>
          </w:p>
        </w:tc>
        <w:tc>
          <w:tcPr>
            <w:tcW w:w="0" w:type="auto"/>
            <w:shd w:val="clear" w:color="auto" w:fill="B8CCE4" w:themeFill="accent1" w:themeFillTint="66"/>
            <w:vAlign w:val="bottom"/>
          </w:tcPr>
          <w:p w:rsidR="004A4F7F" w:rsidRPr="004A4F7F"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4A4F7F">
              <w:t>Total</w:t>
            </w:r>
          </w:p>
        </w:tc>
        <w:tc>
          <w:tcPr>
            <w:tcW w:w="0" w:type="auto"/>
            <w:shd w:val="clear" w:color="auto" w:fill="B8CCE4" w:themeFill="accent1" w:themeFillTint="66"/>
            <w:vAlign w:val="bottom"/>
          </w:tcPr>
          <w:p w:rsidR="004A4F7F" w:rsidRPr="004A4F7F" w:rsidRDefault="004A4F7F"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B8CCE4" w:themeFill="accent1" w:themeFillTint="66"/>
            <w:vAlign w:val="bottom"/>
          </w:tcPr>
          <w:p w:rsidR="004A4F7F" w:rsidRPr="004A4F7F" w:rsidRDefault="004A4F7F" w:rsidP="00D36746">
            <w:pPr>
              <w:pStyle w:val="HeaderRow"/>
              <w:cnfStyle w:val="000000000000" w:firstRow="0" w:lastRow="0" w:firstColumn="0" w:lastColumn="0" w:oddVBand="0" w:evenVBand="0" w:oddHBand="0" w:evenHBand="0" w:firstRowFirstColumn="0" w:firstRowLastColumn="0" w:lastRowFirstColumn="0" w:lastRowLastColumn="0"/>
            </w:pPr>
          </w:p>
        </w:tc>
      </w:tr>
      <w:tr w:rsidR="004A4F7F" w:rsidRPr="00857A9C" w:rsidTr="00F46C0F">
        <w:tc>
          <w:tcPr>
            <w:cnfStyle w:val="001000000000" w:firstRow="0" w:lastRow="0" w:firstColumn="1" w:lastColumn="0" w:oddVBand="0" w:evenVBand="0" w:oddHBand="0" w:evenHBand="0" w:firstRowFirstColumn="0" w:firstRowLastColumn="0" w:lastRowFirstColumn="0" w:lastRowLastColumn="0"/>
            <w:tcW w:w="3889" w:type="dxa"/>
            <w:shd w:val="clear" w:color="auto" w:fill="DBE5F1" w:themeFill="accent1" w:themeFillTint="33"/>
            <w:vAlign w:val="top"/>
          </w:tcPr>
          <w:p w:rsidR="004A4F7F" w:rsidRPr="00857A9C" w:rsidRDefault="004A4F7F" w:rsidP="00D36746">
            <w:pPr>
              <w:pStyle w:val="HeaderRow"/>
            </w:pPr>
            <w:r w:rsidRPr="00857A9C">
              <w:t>Number of fatalities</w:t>
            </w:r>
          </w:p>
        </w:tc>
        <w:tc>
          <w:tcPr>
            <w:tcW w:w="0" w:type="auto"/>
            <w:shd w:val="clear" w:color="auto" w:fill="DBE5F1" w:themeFill="accent1" w:themeFillTint="33"/>
            <w:vAlign w:val="top"/>
          </w:tcPr>
          <w:p w:rsidR="004A4F7F" w:rsidRPr="00857A9C"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857A9C">
              <w:t xml:space="preserve"> </w:t>
            </w:r>
          </w:p>
        </w:tc>
        <w:tc>
          <w:tcPr>
            <w:tcW w:w="0" w:type="auto"/>
            <w:shd w:val="clear" w:color="auto" w:fill="DBE5F1" w:themeFill="accent1" w:themeFillTint="33"/>
            <w:vAlign w:val="top"/>
          </w:tcPr>
          <w:p w:rsidR="004A4F7F" w:rsidRPr="00857A9C"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857A9C">
              <w:t xml:space="preserve"> </w:t>
            </w:r>
          </w:p>
        </w:tc>
        <w:tc>
          <w:tcPr>
            <w:tcW w:w="0" w:type="auto"/>
            <w:shd w:val="clear" w:color="auto" w:fill="DBE5F1" w:themeFill="accent1" w:themeFillTint="33"/>
            <w:vAlign w:val="top"/>
          </w:tcPr>
          <w:p w:rsidR="004A4F7F" w:rsidRPr="00857A9C"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857A9C">
              <w:t xml:space="preserve"> </w:t>
            </w:r>
          </w:p>
        </w:tc>
        <w:tc>
          <w:tcPr>
            <w:tcW w:w="0" w:type="auto"/>
            <w:shd w:val="clear" w:color="auto" w:fill="DBE5F1" w:themeFill="accent1" w:themeFillTint="33"/>
            <w:vAlign w:val="top"/>
          </w:tcPr>
          <w:p w:rsidR="004A4F7F" w:rsidRPr="00857A9C"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857A9C">
              <w:t xml:space="preserve"> </w:t>
            </w:r>
          </w:p>
        </w:tc>
        <w:tc>
          <w:tcPr>
            <w:tcW w:w="0" w:type="auto"/>
            <w:shd w:val="clear" w:color="auto" w:fill="DBE5F1" w:themeFill="accent1" w:themeFillTint="33"/>
            <w:vAlign w:val="top"/>
          </w:tcPr>
          <w:p w:rsidR="004A4F7F" w:rsidRPr="00857A9C" w:rsidRDefault="004A4F7F" w:rsidP="00D36746">
            <w:pPr>
              <w:pStyle w:val="HeaderRow"/>
              <w:cnfStyle w:val="000000000000" w:firstRow="0" w:lastRow="0" w:firstColumn="0" w:lastColumn="0" w:oddVBand="0" w:evenVBand="0" w:oddHBand="0" w:evenHBand="0" w:firstRowFirstColumn="0" w:firstRowLastColumn="0" w:lastRowFirstColumn="0" w:lastRowLastColumn="0"/>
            </w:pPr>
            <w:r w:rsidRPr="00857A9C">
              <w:t xml:space="preserve"> </w:t>
            </w:r>
          </w:p>
        </w:tc>
      </w:tr>
      <w:tr w:rsidR="004A5285" w:rsidRPr="00857A9C" w:rsidTr="00F46C0F">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857A9C" w:rsidRDefault="004A5285" w:rsidP="00F46C0F">
            <w:pPr>
              <w:pStyle w:val="Tablerowheading2"/>
            </w:pPr>
            <w:r w:rsidRPr="00857A9C">
              <w:t>Vehicle collision</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913</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345</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1258</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1258</w:t>
            </w:r>
          </w:p>
        </w:tc>
      </w:tr>
      <w:tr w:rsidR="004A5285" w:rsidRPr="00857A9C" w:rsidTr="00F46C0F">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857A9C" w:rsidRDefault="004A5285" w:rsidP="00F46C0F">
            <w:pPr>
              <w:pStyle w:val="Tablerowheading2"/>
            </w:pPr>
            <w:r w:rsidRPr="00857A9C">
              <w:t>Being hit by moving objects</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82</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194</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276</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111</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387</w:t>
            </w:r>
          </w:p>
        </w:tc>
      </w:tr>
      <w:tr w:rsidR="004A5285" w:rsidRPr="00857A9C" w:rsidTr="00F46C0F">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857A9C" w:rsidRDefault="004A5285" w:rsidP="00F46C0F">
            <w:pPr>
              <w:pStyle w:val="Tablerowheading2"/>
            </w:pPr>
            <w:r w:rsidRPr="00857A9C">
              <w:t>Rollover of non-road vehicle</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10</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127</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137</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137</w:t>
            </w:r>
          </w:p>
        </w:tc>
      </w:tr>
      <w:tr w:rsidR="004A5285" w:rsidRPr="00857A9C" w:rsidTr="00F46C0F">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857A9C" w:rsidRDefault="004A5285" w:rsidP="00F46C0F">
            <w:pPr>
              <w:pStyle w:val="Tablerowheading2"/>
            </w:pPr>
            <w:r w:rsidRPr="00857A9C">
              <w:t>Being trapped between stationary and moving objects</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7</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80</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87</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42</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129</w:t>
            </w:r>
          </w:p>
        </w:tc>
      </w:tr>
      <w:tr w:rsidR="004A5285" w:rsidRPr="00857A9C" w:rsidTr="00F46C0F">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857A9C" w:rsidRDefault="004A5285" w:rsidP="00F46C0F">
            <w:pPr>
              <w:pStyle w:val="Tablerowheading2"/>
            </w:pPr>
            <w:r w:rsidRPr="00857A9C">
              <w:t>Being hit by falling objects</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3</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98</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101</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193</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294</w:t>
            </w:r>
          </w:p>
        </w:tc>
      </w:tr>
      <w:tr w:rsidR="004A5285" w:rsidRPr="00857A9C" w:rsidTr="00F46C0F">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857A9C" w:rsidRDefault="004A5285" w:rsidP="00F46C0F">
            <w:pPr>
              <w:pStyle w:val="Tablerowheading2"/>
            </w:pPr>
            <w:r w:rsidRPr="00857A9C">
              <w:t xml:space="preserve">Falls from a height  </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2</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69</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71</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288</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359</w:t>
            </w:r>
          </w:p>
        </w:tc>
      </w:tr>
      <w:tr w:rsidR="004A5285" w:rsidRPr="00857A9C" w:rsidTr="00F46C0F">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857A9C" w:rsidRDefault="004A5285" w:rsidP="00F46C0F">
            <w:pPr>
              <w:pStyle w:val="Tablerowheading2"/>
            </w:pPr>
            <w:r w:rsidRPr="00857A9C">
              <w:t>Other mechanisms</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5</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146</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151</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492</w:t>
            </w:r>
          </w:p>
        </w:tc>
        <w:tc>
          <w:tcPr>
            <w:tcW w:w="0" w:type="auto"/>
            <w:vAlign w:val="bottom"/>
          </w:tcPr>
          <w:p w:rsidR="004A5285" w:rsidRPr="00857A9C"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857A9C">
              <w:t>643</w:t>
            </w:r>
          </w:p>
        </w:tc>
      </w:tr>
      <w:tr w:rsidR="004A5285" w:rsidRPr="00857A9C" w:rsidTr="00F46C0F">
        <w:tc>
          <w:tcPr>
            <w:cnfStyle w:val="001000000000" w:firstRow="0" w:lastRow="0" w:firstColumn="1" w:lastColumn="0" w:oddVBand="0" w:evenVBand="0" w:oddHBand="0" w:evenHBand="0" w:firstRowFirstColumn="0" w:firstRowLastColumn="0" w:lastRowFirstColumn="0" w:lastRowLastColumn="0"/>
            <w:tcW w:w="3889" w:type="dxa"/>
            <w:shd w:val="clear" w:color="auto" w:fill="B8CCE4" w:themeFill="accent1" w:themeFillTint="66"/>
          </w:tcPr>
          <w:p w:rsidR="004A5285" w:rsidRPr="00857A9C" w:rsidRDefault="004A5285" w:rsidP="004D3B47">
            <w:pPr>
              <w:pStyle w:val="Tabletotal"/>
            </w:pPr>
            <w:r w:rsidRPr="00857A9C">
              <w:t>Total</w:t>
            </w:r>
          </w:p>
        </w:tc>
        <w:tc>
          <w:tcPr>
            <w:tcW w:w="0" w:type="auto"/>
            <w:shd w:val="clear" w:color="auto" w:fill="B8CCE4" w:themeFill="accent1" w:themeFillTint="66"/>
          </w:tcPr>
          <w:p w:rsidR="004A5285" w:rsidRPr="00857A9C"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857A9C">
              <w:t>1022</w:t>
            </w:r>
          </w:p>
        </w:tc>
        <w:tc>
          <w:tcPr>
            <w:tcW w:w="0" w:type="auto"/>
            <w:shd w:val="clear" w:color="auto" w:fill="B8CCE4" w:themeFill="accent1" w:themeFillTint="66"/>
          </w:tcPr>
          <w:p w:rsidR="004A5285" w:rsidRPr="00857A9C"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857A9C">
              <w:t>1059</w:t>
            </w:r>
          </w:p>
        </w:tc>
        <w:tc>
          <w:tcPr>
            <w:tcW w:w="0" w:type="auto"/>
            <w:shd w:val="clear" w:color="auto" w:fill="B8CCE4" w:themeFill="accent1" w:themeFillTint="66"/>
          </w:tcPr>
          <w:p w:rsidR="004A5285" w:rsidRPr="00857A9C"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857A9C">
              <w:t>2081</w:t>
            </w:r>
          </w:p>
        </w:tc>
        <w:tc>
          <w:tcPr>
            <w:tcW w:w="0" w:type="auto"/>
            <w:shd w:val="clear" w:color="auto" w:fill="B8CCE4" w:themeFill="accent1" w:themeFillTint="66"/>
          </w:tcPr>
          <w:p w:rsidR="004A5285" w:rsidRPr="00857A9C"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857A9C">
              <w:t>1126</w:t>
            </w:r>
          </w:p>
        </w:tc>
        <w:tc>
          <w:tcPr>
            <w:tcW w:w="0" w:type="auto"/>
            <w:shd w:val="clear" w:color="auto" w:fill="B8CCE4" w:themeFill="accent1" w:themeFillTint="66"/>
          </w:tcPr>
          <w:p w:rsidR="004A5285" w:rsidRPr="00857A9C"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857A9C">
              <w:t>3207</w:t>
            </w:r>
          </w:p>
        </w:tc>
      </w:tr>
      <w:tr w:rsidR="004A5285" w:rsidTr="00F46C0F">
        <w:tc>
          <w:tcPr>
            <w:cnfStyle w:val="001000000000" w:firstRow="0" w:lastRow="0" w:firstColumn="1" w:lastColumn="0" w:oddVBand="0" w:evenVBand="0" w:oddHBand="0" w:evenHBand="0" w:firstRowFirstColumn="0" w:firstRowLastColumn="0" w:lastRowFirstColumn="0" w:lastRowLastColumn="0"/>
            <w:tcW w:w="3889" w:type="dxa"/>
            <w:shd w:val="clear" w:color="auto" w:fill="DBE5F1" w:themeFill="accent1" w:themeFillTint="33"/>
            <w:vAlign w:val="top"/>
          </w:tcPr>
          <w:p w:rsidR="004A5285" w:rsidRPr="009E2547" w:rsidRDefault="004A5285" w:rsidP="00847E04">
            <w:pPr>
              <w:pStyle w:val="Tablerowheading"/>
            </w:pPr>
            <w:r w:rsidRPr="009E2547">
              <w:t>Percentage of fatalities</w:t>
            </w:r>
          </w:p>
        </w:tc>
        <w:tc>
          <w:tcPr>
            <w:tcW w:w="0" w:type="auto"/>
            <w:shd w:val="clear" w:color="auto" w:fill="DBE5F1" w:themeFill="accent1" w:themeFillTint="33"/>
            <w:vAlign w:val="top"/>
          </w:tcPr>
          <w:p w:rsidR="004A5285" w:rsidRPr="009E2547" w:rsidRDefault="004A5285" w:rsidP="00847E04">
            <w:pPr>
              <w:pStyle w:val="Tablerowheading"/>
              <w:cnfStyle w:val="000000000000" w:firstRow="0" w:lastRow="0" w:firstColumn="0" w:lastColumn="0" w:oddVBand="0" w:evenVBand="0" w:oddHBand="0" w:evenHBand="0" w:firstRowFirstColumn="0" w:firstRowLastColumn="0" w:lastRowFirstColumn="0" w:lastRowLastColumn="0"/>
            </w:pPr>
            <w:r w:rsidRPr="009E2547">
              <w:t xml:space="preserve"> </w:t>
            </w:r>
          </w:p>
        </w:tc>
        <w:tc>
          <w:tcPr>
            <w:tcW w:w="0" w:type="auto"/>
            <w:shd w:val="clear" w:color="auto" w:fill="DBE5F1" w:themeFill="accent1" w:themeFillTint="33"/>
            <w:vAlign w:val="top"/>
          </w:tcPr>
          <w:p w:rsidR="004A5285" w:rsidRPr="009E2547" w:rsidRDefault="004A5285" w:rsidP="00847E04">
            <w:pPr>
              <w:pStyle w:val="Tablerowheading"/>
              <w:cnfStyle w:val="000000000000" w:firstRow="0" w:lastRow="0" w:firstColumn="0" w:lastColumn="0" w:oddVBand="0" w:evenVBand="0" w:oddHBand="0" w:evenHBand="0" w:firstRowFirstColumn="0" w:firstRowLastColumn="0" w:lastRowFirstColumn="0" w:lastRowLastColumn="0"/>
            </w:pPr>
            <w:r w:rsidRPr="009E2547">
              <w:t xml:space="preserve"> </w:t>
            </w:r>
          </w:p>
        </w:tc>
        <w:tc>
          <w:tcPr>
            <w:tcW w:w="0" w:type="auto"/>
            <w:shd w:val="clear" w:color="auto" w:fill="DBE5F1" w:themeFill="accent1" w:themeFillTint="33"/>
            <w:vAlign w:val="top"/>
          </w:tcPr>
          <w:p w:rsidR="004A5285" w:rsidRPr="009E2547" w:rsidRDefault="004A5285" w:rsidP="00847E04">
            <w:pPr>
              <w:pStyle w:val="Tablerowheading"/>
              <w:cnfStyle w:val="000000000000" w:firstRow="0" w:lastRow="0" w:firstColumn="0" w:lastColumn="0" w:oddVBand="0" w:evenVBand="0" w:oddHBand="0" w:evenHBand="0" w:firstRowFirstColumn="0" w:firstRowLastColumn="0" w:lastRowFirstColumn="0" w:lastRowLastColumn="0"/>
            </w:pPr>
            <w:r w:rsidRPr="009E2547">
              <w:t xml:space="preserve"> </w:t>
            </w:r>
          </w:p>
        </w:tc>
        <w:tc>
          <w:tcPr>
            <w:tcW w:w="0" w:type="auto"/>
            <w:shd w:val="clear" w:color="auto" w:fill="DBE5F1" w:themeFill="accent1" w:themeFillTint="33"/>
            <w:vAlign w:val="top"/>
          </w:tcPr>
          <w:p w:rsidR="004A5285" w:rsidRPr="009E2547" w:rsidRDefault="004A5285" w:rsidP="00847E04">
            <w:pPr>
              <w:pStyle w:val="Tablerowheading"/>
              <w:cnfStyle w:val="000000000000" w:firstRow="0" w:lastRow="0" w:firstColumn="0" w:lastColumn="0" w:oddVBand="0" w:evenVBand="0" w:oddHBand="0" w:evenHBand="0" w:firstRowFirstColumn="0" w:firstRowLastColumn="0" w:lastRowFirstColumn="0" w:lastRowLastColumn="0"/>
            </w:pPr>
            <w:r w:rsidRPr="009E2547">
              <w:t xml:space="preserve"> </w:t>
            </w:r>
          </w:p>
        </w:tc>
        <w:tc>
          <w:tcPr>
            <w:tcW w:w="0" w:type="auto"/>
            <w:shd w:val="clear" w:color="auto" w:fill="DBE5F1" w:themeFill="accent1" w:themeFillTint="33"/>
            <w:vAlign w:val="top"/>
          </w:tcPr>
          <w:p w:rsidR="004A5285" w:rsidRPr="009E2547" w:rsidRDefault="004A5285" w:rsidP="00847E04">
            <w:pPr>
              <w:pStyle w:val="Tablerowheading"/>
              <w:cnfStyle w:val="000000000000" w:firstRow="0" w:lastRow="0" w:firstColumn="0" w:lastColumn="0" w:oddVBand="0" w:evenVBand="0" w:oddHBand="0" w:evenHBand="0" w:firstRowFirstColumn="0" w:firstRowLastColumn="0" w:lastRowFirstColumn="0" w:lastRowLastColumn="0"/>
            </w:pPr>
            <w:r w:rsidRPr="009E2547">
              <w:t xml:space="preserve"> </w:t>
            </w:r>
          </w:p>
        </w:tc>
      </w:tr>
      <w:tr w:rsidR="004A5285" w:rsidRPr="00CE598D" w:rsidTr="00471807">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CE598D" w:rsidRDefault="004A5285" w:rsidP="00471807">
            <w:pPr>
              <w:pStyle w:val="Tablerowheading2"/>
            </w:pPr>
            <w:r w:rsidRPr="00CE598D">
              <w:t>Vehicle collision</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89%</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33%</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60%</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39%</w:t>
            </w:r>
          </w:p>
        </w:tc>
      </w:tr>
      <w:tr w:rsidR="004A5285" w:rsidRPr="00CE598D" w:rsidTr="00471807">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CE598D" w:rsidRDefault="004A5285" w:rsidP="00471807">
            <w:pPr>
              <w:pStyle w:val="Tablerowheading2"/>
            </w:pPr>
            <w:r w:rsidRPr="00CE598D">
              <w:t>Being hit by moving objects</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8%</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18%</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13%</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10%</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12%</w:t>
            </w:r>
          </w:p>
        </w:tc>
      </w:tr>
      <w:tr w:rsidR="004A5285" w:rsidRPr="00CE598D" w:rsidTr="00471807">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CE598D" w:rsidRDefault="004A5285" w:rsidP="00471807">
            <w:pPr>
              <w:pStyle w:val="Tablerowheading2"/>
            </w:pPr>
            <w:r w:rsidRPr="00CE598D">
              <w:t>Rollover of non-road vehicle</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12%</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7%</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r>
      <w:tr w:rsidR="004A5285" w:rsidRPr="00CE598D" w:rsidTr="00471807">
        <w:trPr>
          <w:trHeight w:val="283"/>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CE598D" w:rsidRDefault="004A5285" w:rsidP="00471807">
            <w:pPr>
              <w:pStyle w:val="Tablerowheading2"/>
            </w:pPr>
            <w:r w:rsidRPr="00CE598D">
              <w:t>Being trapped between stationary and moving objects</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8%</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r>
      <w:tr w:rsidR="004A5285" w:rsidRPr="00CE598D" w:rsidTr="00471807">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CE598D" w:rsidRDefault="004A5285" w:rsidP="00471807">
            <w:pPr>
              <w:pStyle w:val="Tablerowheading2"/>
            </w:pPr>
            <w:r w:rsidRPr="00CE598D">
              <w:t>Being hit by falling objects</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0%</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9%</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5%</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17%</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9%</w:t>
            </w:r>
          </w:p>
        </w:tc>
      </w:tr>
      <w:tr w:rsidR="004A5285" w:rsidRPr="00CE598D" w:rsidTr="00471807">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CE598D" w:rsidRDefault="004A5285" w:rsidP="00471807">
            <w:pPr>
              <w:pStyle w:val="Tablerowheading2"/>
            </w:pPr>
            <w:r w:rsidRPr="00CE598D">
              <w:t xml:space="preserve">Falls from a height  </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0%</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7%</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3%</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26%</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11%</w:t>
            </w:r>
          </w:p>
        </w:tc>
      </w:tr>
      <w:tr w:rsidR="004A5285" w:rsidRPr="00CE598D" w:rsidTr="00471807">
        <w:trPr>
          <w:trHeight w:val="227"/>
        </w:trPr>
        <w:tc>
          <w:tcPr>
            <w:cnfStyle w:val="001000000000" w:firstRow="0" w:lastRow="0" w:firstColumn="1" w:lastColumn="0" w:oddVBand="0" w:evenVBand="0" w:oddHBand="0" w:evenHBand="0" w:firstRowFirstColumn="0" w:firstRowLastColumn="0" w:lastRowFirstColumn="0" w:lastRowLastColumn="0"/>
            <w:tcW w:w="3889" w:type="dxa"/>
            <w:vAlign w:val="bottom"/>
          </w:tcPr>
          <w:p w:rsidR="004A5285" w:rsidRPr="00CE598D" w:rsidRDefault="004A5285" w:rsidP="00471807">
            <w:pPr>
              <w:pStyle w:val="Tablerowheading2"/>
            </w:pPr>
            <w:r w:rsidRPr="00CE598D">
              <w:t>Other mechanisms</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0%</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14%</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7%</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44%</w:t>
            </w:r>
          </w:p>
        </w:tc>
        <w:tc>
          <w:tcPr>
            <w:tcW w:w="0" w:type="auto"/>
            <w:vAlign w:val="bottom"/>
          </w:tcPr>
          <w:p w:rsidR="004A5285" w:rsidRPr="00CE598D" w:rsidRDefault="004A5285" w:rsidP="00A438BA">
            <w:pPr>
              <w:pStyle w:val="Tablerowheading2"/>
              <w:cnfStyle w:val="000000000000" w:firstRow="0" w:lastRow="0" w:firstColumn="0" w:lastColumn="0" w:oddVBand="0" w:evenVBand="0" w:oddHBand="0" w:evenHBand="0" w:firstRowFirstColumn="0" w:firstRowLastColumn="0" w:lastRowFirstColumn="0" w:lastRowLastColumn="0"/>
            </w:pPr>
            <w:r w:rsidRPr="00CE598D">
              <w:t>20%</w:t>
            </w:r>
          </w:p>
        </w:tc>
      </w:tr>
      <w:tr w:rsidR="004A5285" w:rsidRPr="004A4F7F" w:rsidTr="00F46C0F">
        <w:trPr>
          <w:trHeight w:val="283"/>
        </w:trPr>
        <w:tc>
          <w:tcPr>
            <w:cnfStyle w:val="001000000000" w:firstRow="0" w:lastRow="0" w:firstColumn="1" w:lastColumn="0" w:oddVBand="0" w:evenVBand="0" w:oddHBand="0" w:evenHBand="0" w:firstRowFirstColumn="0" w:firstRowLastColumn="0" w:lastRowFirstColumn="0" w:lastRowLastColumn="0"/>
            <w:tcW w:w="3889" w:type="dxa"/>
            <w:shd w:val="clear" w:color="auto" w:fill="B8CCE4" w:themeFill="accent1" w:themeFillTint="66"/>
          </w:tcPr>
          <w:p w:rsidR="004A5285" w:rsidRPr="004A4F7F" w:rsidRDefault="004A5285" w:rsidP="004D3B47">
            <w:pPr>
              <w:pStyle w:val="Tabletotal"/>
            </w:pPr>
            <w:r w:rsidRPr="004A4F7F">
              <w:t>Total*</w:t>
            </w:r>
          </w:p>
        </w:tc>
        <w:tc>
          <w:tcPr>
            <w:tcW w:w="0" w:type="auto"/>
            <w:shd w:val="clear" w:color="auto" w:fill="B8CCE4" w:themeFill="accent1" w:themeFillTint="66"/>
          </w:tcPr>
          <w:p w:rsidR="004A5285" w:rsidRPr="004A4F7F"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4A4F7F">
              <w:t>100%</w:t>
            </w:r>
          </w:p>
        </w:tc>
        <w:tc>
          <w:tcPr>
            <w:tcW w:w="0" w:type="auto"/>
            <w:shd w:val="clear" w:color="auto" w:fill="B8CCE4" w:themeFill="accent1" w:themeFillTint="66"/>
          </w:tcPr>
          <w:p w:rsidR="004A5285" w:rsidRPr="004A4F7F"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4A4F7F">
              <w:t>100%</w:t>
            </w:r>
          </w:p>
        </w:tc>
        <w:tc>
          <w:tcPr>
            <w:tcW w:w="0" w:type="auto"/>
            <w:shd w:val="clear" w:color="auto" w:fill="B8CCE4" w:themeFill="accent1" w:themeFillTint="66"/>
          </w:tcPr>
          <w:p w:rsidR="004A5285" w:rsidRPr="004A4F7F"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4A4F7F">
              <w:t>100%</w:t>
            </w:r>
          </w:p>
        </w:tc>
        <w:tc>
          <w:tcPr>
            <w:tcW w:w="0" w:type="auto"/>
            <w:shd w:val="clear" w:color="auto" w:fill="B8CCE4" w:themeFill="accent1" w:themeFillTint="66"/>
          </w:tcPr>
          <w:p w:rsidR="004A5285" w:rsidRPr="004A4F7F"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4A4F7F">
              <w:t>100%</w:t>
            </w:r>
          </w:p>
        </w:tc>
        <w:tc>
          <w:tcPr>
            <w:tcW w:w="0" w:type="auto"/>
            <w:shd w:val="clear" w:color="auto" w:fill="B8CCE4" w:themeFill="accent1" w:themeFillTint="66"/>
          </w:tcPr>
          <w:p w:rsidR="004A5285" w:rsidRPr="004A4F7F" w:rsidRDefault="004A5285" w:rsidP="004D3B47">
            <w:pPr>
              <w:pStyle w:val="Tabletotal"/>
              <w:cnfStyle w:val="000000000000" w:firstRow="0" w:lastRow="0" w:firstColumn="0" w:lastColumn="0" w:oddVBand="0" w:evenVBand="0" w:oddHBand="0" w:evenHBand="0" w:firstRowFirstColumn="0" w:firstRowLastColumn="0" w:lastRowFirstColumn="0" w:lastRowLastColumn="0"/>
            </w:pPr>
            <w:r w:rsidRPr="004A4F7F">
              <w:t>100%</w:t>
            </w:r>
          </w:p>
        </w:tc>
      </w:tr>
    </w:tbl>
    <w:p w:rsidR="004A4F7F" w:rsidRPr="00857A9C" w:rsidRDefault="004A4F7F" w:rsidP="00383468">
      <w:pPr>
        <w:pStyle w:val="Footnote"/>
      </w:pPr>
      <w:r w:rsidRPr="00857A9C">
        <w:t xml:space="preserve">* The percentages shown in this table have been rounded to the nearest whole </w:t>
      </w:r>
      <w:proofErr w:type="gramStart"/>
      <w:r w:rsidRPr="00857A9C">
        <w:t>number,</w:t>
      </w:r>
      <w:proofErr w:type="gramEnd"/>
      <w:r w:rsidRPr="00857A9C">
        <w:t xml:space="preserve"> therefore the sum of percentage figures for each column may not equal the total.</w:t>
      </w:r>
    </w:p>
    <w:p w:rsidR="0075723F" w:rsidRDefault="004A4F7F" w:rsidP="0075723F">
      <w:pPr>
        <w:pStyle w:val="Heading2"/>
      </w:pPr>
      <w:bookmarkStart w:id="30" w:name="_Toc460936388"/>
      <w:r w:rsidRPr="004A4F7F">
        <w:t>Fatalities due to vehicle collisions</w:t>
      </w:r>
      <w:bookmarkEnd w:id="30"/>
    </w:p>
    <w:p w:rsidR="004A4F7F" w:rsidRDefault="004A4F7F" w:rsidP="00CE598D">
      <w:r>
        <w:t xml:space="preserve">Table 6 shows in the 13 years from 2003 to 2015, 1258 workers died in a </w:t>
      </w:r>
      <w:r w:rsidRPr="001E1113">
        <w:rPr>
          <w:iCs/>
        </w:rPr>
        <w:t>vehicle collision.</w:t>
      </w:r>
      <w:r>
        <w:t xml:space="preserve"> This is an average of 97 workers each year, compared </w:t>
      </w:r>
      <w:r w:rsidRPr="000B7797">
        <w:t>with the 53 recorded in 2015</w:t>
      </w:r>
      <w:r w:rsidRPr="00CE598D">
        <w:rPr>
          <w:i/>
          <w:iCs/>
        </w:rPr>
        <w:t xml:space="preserve">. </w:t>
      </w:r>
      <w:r>
        <w:t xml:space="preserve">Of these, </w:t>
      </w:r>
      <w:r w:rsidRPr="00D6265D">
        <w:t>almost two-thirds</w:t>
      </w:r>
      <w:r>
        <w:t xml:space="preserve"> (64 per cent) involved a single vehicle. </w:t>
      </w:r>
    </w:p>
    <w:p w:rsidR="004A4F7F" w:rsidRDefault="004A4F7F" w:rsidP="00CE598D">
      <w:r>
        <w:t xml:space="preserve">Of all worker fatalities, </w:t>
      </w:r>
      <w:r w:rsidRPr="00D6265D">
        <w:t>one-quarter (</w:t>
      </w:r>
      <w:r>
        <w:t>25</w:t>
      </w:r>
      <w:r w:rsidRPr="00D6265D">
        <w:t xml:space="preserve"> per cent)</w:t>
      </w:r>
      <w:r>
        <w:t xml:space="preserve"> involved a worker dying in a single vehicle collision, with 12 per cent in </w:t>
      </w:r>
      <w:r w:rsidRPr="00A355B5">
        <w:t>a heavy vehicle.</w:t>
      </w:r>
    </w:p>
    <w:p w:rsidR="0075723F" w:rsidRDefault="0075723F" w:rsidP="0075723F">
      <w:pPr>
        <w:pStyle w:val="Heading4"/>
      </w:pPr>
      <w:r>
        <w:t xml:space="preserve">Table </w:t>
      </w:r>
      <w:fldSimple w:instr=" SEQ Table \* ARABIC ">
        <w:r w:rsidR="001A7C10">
          <w:rPr>
            <w:noProof/>
          </w:rPr>
          <w:t>6</w:t>
        </w:r>
      </w:fldSimple>
      <w:r>
        <w:t xml:space="preserve">: </w:t>
      </w:r>
      <w:r w:rsidR="004A4F7F" w:rsidRPr="004A4F7F">
        <w:t>Worker fatalities due to vehicle collision: number by breakdown agency, 2003 to 2015 (selected years, sorted by total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Worker fatalities due to vehicle collision: number by breakdown agency, 2003 to 2015 (selected years, sorted by total fatalities)"/>
        <w:tblDescription w:val="Table 6: Worker fatalities due to vehicle collision: number by breakdown agency, 2003 to 2015 (selected years, sorted by total fatalities)"/>
      </w:tblPr>
      <w:tblGrid>
        <w:gridCol w:w="3036"/>
        <w:gridCol w:w="572"/>
        <w:gridCol w:w="572"/>
        <w:gridCol w:w="572"/>
        <w:gridCol w:w="572"/>
        <w:gridCol w:w="572"/>
        <w:gridCol w:w="572"/>
        <w:gridCol w:w="572"/>
        <w:gridCol w:w="599"/>
        <w:gridCol w:w="801"/>
        <w:gridCol w:w="1528"/>
      </w:tblGrid>
      <w:tr w:rsidR="00CC3FDC" w:rsidRPr="00857A9C"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CC3FDC" w:rsidRPr="00857A9C" w:rsidRDefault="00CC3FDC" w:rsidP="00D36746">
            <w:pPr>
              <w:pStyle w:val="HeaderRow"/>
            </w:pPr>
            <w:r w:rsidRPr="00857A9C">
              <w:t>Type of incident</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2003</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2005</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2007</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2009</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2011</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2013</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2015</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Total</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 of total</w:t>
            </w:r>
          </w:p>
        </w:tc>
        <w:tc>
          <w:tcPr>
            <w:tcW w:w="0" w:type="auto"/>
            <w:shd w:val="clear" w:color="auto" w:fill="B8CCE4" w:themeFill="accent1" w:themeFillTint="66"/>
            <w:vAlign w:val="bottom"/>
          </w:tcPr>
          <w:p w:rsidR="00CC3FDC" w:rsidRPr="00857A9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57A9C">
              <w:t>% of all worker fatalities</w:t>
            </w:r>
          </w:p>
        </w:tc>
      </w:tr>
      <w:tr w:rsidR="00CC3FDC" w:rsidRPr="00847E04" w:rsidTr="00F46C0F">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bottom"/>
          </w:tcPr>
          <w:p w:rsidR="00CC3FDC" w:rsidRPr="00847E04" w:rsidRDefault="00CC3FDC" w:rsidP="00D36746">
            <w:pPr>
              <w:pStyle w:val="HeaderRow"/>
            </w:pPr>
            <w:r w:rsidRPr="00847E04">
              <w:t>Single vehicle collision</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66</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71</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85</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70</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55</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42</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34</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816</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64%</w:t>
            </w:r>
          </w:p>
        </w:tc>
        <w:tc>
          <w:tcPr>
            <w:tcW w:w="0" w:type="auto"/>
            <w:shd w:val="clear" w:color="auto" w:fill="DBE5F1" w:themeFill="accent1" w:themeFillTint="33"/>
            <w:vAlign w:val="bottom"/>
          </w:tcPr>
          <w:p w:rsidR="00CC3FDC" w:rsidRPr="00847E04"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847E04">
              <w:t>25%</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F46C0F">
            <w:pPr>
              <w:pStyle w:val="Tablerowheading2"/>
            </w:pPr>
            <w:r w:rsidRPr="000C2BCC">
              <w:t>Heavy vehicle</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27</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33</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46</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33</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25</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20</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16</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374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30%</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12%</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F46C0F">
            <w:pPr>
              <w:pStyle w:val="Tablerowheading2"/>
            </w:pPr>
            <w:r w:rsidRPr="000C2BCC">
              <w:t>Aircraft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10</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9</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19</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10</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5</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174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9%</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5%</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F46C0F">
            <w:pPr>
              <w:pStyle w:val="Tablerowheading2"/>
            </w:pPr>
            <w:r w:rsidRPr="000C2BCC">
              <w:t>Light vehicle</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9</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13</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16</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8</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5</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6</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164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5%</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F46C0F">
            <w:pPr>
              <w:pStyle w:val="Tablerowheading2"/>
            </w:pPr>
            <w:r w:rsidRPr="000C2BCC">
              <w:t>Quad bike</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5</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26</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9%</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F46C0F">
            <w:pPr>
              <w:pStyle w:val="Tablerowheading2"/>
            </w:pPr>
            <w:r w:rsidRPr="000C2BCC">
              <w:t>Motorbike</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25</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0%*</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F46C0F">
            <w:pPr>
              <w:pStyle w:val="Tablerowheading2"/>
            </w:pPr>
            <w:r w:rsidRPr="000C2BCC">
              <w:t>Agriculture vehicle</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19</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0%*</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F46C0F">
            <w:pPr>
              <w:pStyle w:val="Tablerowheading2"/>
            </w:pPr>
            <w:r w:rsidRPr="000C2BCC">
              <w:t>Watercraft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17</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0%*</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D11BB9">
            <w:pPr>
              <w:pStyle w:val="Tablerowheading2"/>
            </w:pPr>
            <w:r w:rsidRPr="000C2BCC">
              <w:t xml:space="preserve">Other single vehicle </w:t>
            </w:r>
            <w:r w:rsidR="00D11BB9">
              <w:t>collision</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17</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4%</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r>
      <w:tr w:rsidR="00CC3FDC" w:rsidRPr="00857A9C" w:rsidTr="00F46C0F">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bottom"/>
          </w:tcPr>
          <w:p w:rsidR="00CC3FDC" w:rsidRPr="00857A9C" w:rsidRDefault="00CC3FDC" w:rsidP="00F46C0F">
            <w:pPr>
              <w:pStyle w:val="Tablerowheading"/>
            </w:pPr>
            <w:r w:rsidRPr="00857A9C">
              <w:t>Multi vehicle collision</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42</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32</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44</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42</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23</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27</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19</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442</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36%</w:t>
            </w:r>
          </w:p>
        </w:tc>
        <w:tc>
          <w:tcPr>
            <w:tcW w:w="0" w:type="auto"/>
            <w:shd w:val="clear" w:color="auto" w:fill="DBE5F1" w:themeFill="accent1" w:themeFillTint="33"/>
            <w:vAlign w:val="bottom"/>
          </w:tcPr>
          <w:p w:rsidR="00CC3FDC" w:rsidRPr="00B26183" w:rsidRDefault="00CC3FDC" w:rsidP="00847E04">
            <w:pPr>
              <w:pStyle w:val="Tablerowheading"/>
              <w:cnfStyle w:val="000000000000" w:firstRow="0" w:lastRow="0" w:firstColumn="0" w:lastColumn="0" w:oddVBand="0" w:evenVBand="0" w:oddHBand="0" w:evenHBand="0" w:firstRowFirstColumn="0" w:firstRowLastColumn="0" w:lastRowFirstColumn="0" w:lastRowLastColumn="0"/>
            </w:pPr>
            <w:r w:rsidRPr="00B26183">
              <w:t>14%</w:t>
            </w:r>
          </w:p>
        </w:tc>
      </w:tr>
      <w:tr w:rsidR="00CC3FDC" w:rsidRPr="00CE598D" w:rsidTr="00F46C0F">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E598D" w:rsidRDefault="00CC3FDC" w:rsidP="00D11BB9">
            <w:pPr>
              <w:pStyle w:val="Tablerowheading2"/>
            </w:pPr>
            <w:r w:rsidRPr="00CE598D">
              <w:t xml:space="preserve">Occupant in light vehicle killed in </w:t>
            </w:r>
            <w:r w:rsidR="00D11BB9">
              <w:t>collision</w:t>
            </w:r>
            <w:r w:rsidRPr="00CE598D">
              <w:t xml:space="preserve"> with a heavy vehicle</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10</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10</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10</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11</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8</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5</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104</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9%</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3%</w:t>
            </w:r>
          </w:p>
        </w:tc>
      </w:tr>
      <w:tr w:rsidR="00CC3FDC" w:rsidRPr="00CE598D"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E598D" w:rsidRDefault="00CC3FDC" w:rsidP="00F46C0F">
            <w:pPr>
              <w:pStyle w:val="Tablerowheading2"/>
            </w:pPr>
            <w:r w:rsidRPr="00CE598D">
              <w:t>Two heavy vehicles</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16</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9</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12</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13</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6</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7</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5</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136</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9%</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r>
      <w:tr w:rsidR="00CC3FDC" w:rsidRPr="00CE598D"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E598D" w:rsidRDefault="00CC3FDC" w:rsidP="00F46C0F">
            <w:pPr>
              <w:pStyle w:val="Tablerowheading2"/>
            </w:pPr>
            <w:r w:rsidRPr="00CE598D">
              <w:t>Two light vehicles</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9</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12</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6</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7</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2</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5</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87</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8%</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3%</w:t>
            </w:r>
          </w:p>
        </w:tc>
      </w:tr>
      <w:tr w:rsidR="00CC3FDC" w:rsidRPr="00CE598D" w:rsidTr="00F46C0F">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E598D" w:rsidRDefault="00CC3FDC" w:rsidP="00F46C0F">
            <w:pPr>
              <w:pStyle w:val="Tablerowheading2"/>
            </w:pPr>
            <w:r w:rsidRPr="00CE598D">
              <w:t xml:space="preserve">Occupant in a heavy vehicle killed in </w:t>
            </w:r>
            <w:r w:rsidR="002700E8">
              <w:t>collision</w:t>
            </w:r>
            <w:r w:rsidRPr="00CE598D">
              <w:t xml:space="preserve"> with light vehicle</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2</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7</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3</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2</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43</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4%</w:t>
            </w:r>
          </w:p>
        </w:tc>
        <w:tc>
          <w:tcPr>
            <w:tcW w:w="0" w:type="auto"/>
            <w:vAlign w:val="bottom"/>
          </w:tcPr>
          <w:p w:rsidR="00CC3FDC" w:rsidRPr="00CE598D"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CE598D">
              <w:t>1%</w:t>
            </w:r>
          </w:p>
        </w:tc>
      </w:tr>
      <w:tr w:rsidR="00CC3FDC"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0C2BCC" w:rsidRDefault="00CC3FDC" w:rsidP="00D11BB9">
            <w:pPr>
              <w:pStyle w:val="Tablerowheading2"/>
            </w:pPr>
            <w:r w:rsidRPr="000C2BCC">
              <w:t xml:space="preserve">Other multi-vehicle </w:t>
            </w:r>
            <w:r w:rsidR="00D11BB9">
              <w:t>collision</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6</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5</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5</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1</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3</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72</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6%</w:t>
            </w:r>
          </w:p>
        </w:tc>
        <w:tc>
          <w:tcPr>
            <w:tcW w:w="0" w:type="auto"/>
            <w:vAlign w:val="bottom"/>
          </w:tcPr>
          <w:p w:rsidR="00CC3FDC" w:rsidRPr="000C2BCC" w:rsidRDefault="00CC3FDC" w:rsidP="00847E04">
            <w:pPr>
              <w:pStyle w:val="Tablerowheading2"/>
              <w:cnfStyle w:val="000000000000" w:firstRow="0" w:lastRow="0" w:firstColumn="0" w:lastColumn="0" w:oddVBand="0" w:evenVBand="0" w:oddHBand="0" w:evenHBand="0" w:firstRowFirstColumn="0" w:firstRowLastColumn="0" w:lastRowFirstColumn="0" w:lastRowLastColumn="0"/>
            </w:pPr>
            <w:r w:rsidRPr="000C2BCC">
              <w:t>2%</w:t>
            </w:r>
          </w:p>
        </w:tc>
      </w:tr>
      <w:tr w:rsidR="00CC3FDC" w:rsidRPr="00CC3FDC" w:rsidTr="00857A9C">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top"/>
          </w:tcPr>
          <w:p w:rsidR="00CC3FDC" w:rsidRPr="00CC3FDC" w:rsidRDefault="00CC3FDC" w:rsidP="00D11BB9">
            <w:pPr>
              <w:pStyle w:val="Tabletotal"/>
            </w:pPr>
            <w:r w:rsidRPr="00CC3FDC">
              <w:t xml:space="preserve">Total worker fatalities due to vehicle </w:t>
            </w:r>
            <w:r w:rsidR="00D11BB9">
              <w:t>collision</w:t>
            </w:r>
            <w:r w:rsidRPr="00CC3FDC">
              <w:t>*</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108</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103</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129</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112</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78</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69</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53</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1258</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100%</w:t>
            </w:r>
          </w:p>
        </w:tc>
        <w:tc>
          <w:tcPr>
            <w:tcW w:w="0" w:type="auto"/>
            <w:shd w:val="clear" w:color="auto" w:fill="B8CCE4" w:themeFill="accent1" w:themeFillTint="66"/>
            <w:vAlign w:val="bottom"/>
          </w:tcPr>
          <w:p w:rsidR="00CC3FDC" w:rsidRPr="00CC3FDC" w:rsidRDefault="00CC3FDC" w:rsidP="00847E04">
            <w:pPr>
              <w:pStyle w:val="Tabletotal"/>
              <w:cnfStyle w:val="000000000000" w:firstRow="0" w:lastRow="0" w:firstColumn="0" w:lastColumn="0" w:oddVBand="0" w:evenVBand="0" w:oddHBand="0" w:evenHBand="0" w:firstRowFirstColumn="0" w:firstRowLastColumn="0" w:lastRowFirstColumn="0" w:lastRowLastColumn="0"/>
            </w:pPr>
            <w:r w:rsidRPr="00CC3FDC">
              <w:t>39%</w:t>
            </w:r>
          </w:p>
        </w:tc>
      </w:tr>
    </w:tbl>
    <w:p w:rsidR="00CC3FDC" w:rsidRDefault="00CC3FDC" w:rsidP="00383468">
      <w:pPr>
        <w:pStyle w:val="Footnote"/>
      </w:pPr>
      <w:r w:rsidRPr="00CC3FDC">
        <w:t xml:space="preserve">* The percentages shown in this table have been rounded to the nearest whole </w:t>
      </w:r>
      <w:proofErr w:type="gramStart"/>
      <w:r w:rsidRPr="00CC3FDC">
        <w:t>number,</w:t>
      </w:r>
      <w:proofErr w:type="gramEnd"/>
      <w:r w:rsidRPr="00CC3FDC">
        <w:t xml:space="preserve"> therefore the sum of percentage figures for each column may not equal the total. </w:t>
      </w:r>
    </w:p>
    <w:p w:rsidR="004D3B47" w:rsidRDefault="004D3B47">
      <w:pPr>
        <w:rPr>
          <w:b/>
          <w:sz w:val="28"/>
          <w:szCs w:val="28"/>
        </w:rPr>
      </w:pPr>
      <w:r>
        <w:br w:type="page"/>
      </w:r>
    </w:p>
    <w:p w:rsidR="0075723F" w:rsidRDefault="00CC3FDC" w:rsidP="0075723F">
      <w:pPr>
        <w:pStyle w:val="Heading2"/>
      </w:pPr>
      <w:bookmarkStart w:id="31" w:name="_Toc460936389"/>
      <w:r w:rsidRPr="00CC3FDC">
        <w:lastRenderedPageBreak/>
        <w:t>Fatalities due to being hit by moving objects</w:t>
      </w:r>
      <w:bookmarkEnd w:id="31"/>
    </w:p>
    <w:p w:rsidR="00CC3FDC" w:rsidRDefault="00CC3FDC" w:rsidP="0075723F">
      <w:r w:rsidRPr="00CC3FDC">
        <w:t xml:space="preserve">Over the 13 years from 2003 to 2015, 387 workers died as a result of being hit by moving objects, which amounted to 12 per cent of all worker fatalities over this period. In 2015, 27 workers died due to this mechanism. Table 7 shows more than two-thirds (270 fatalities) of these incidents involved mobile plant and transport. Over the 13 years, 142 workers died after being hit by a heavy vehicle (truck, semi-trailer, </w:t>
      </w:r>
      <w:proofErr w:type="gramStart"/>
      <w:r w:rsidRPr="00CC3FDC">
        <w:t>lorries</w:t>
      </w:r>
      <w:proofErr w:type="gramEnd"/>
      <w:r w:rsidRPr="00CC3FDC">
        <w:t>) or a light vehicle (cars, station wagons, vans, utilities).</w:t>
      </w:r>
    </w:p>
    <w:p w:rsidR="0075723F" w:rsidRDefault="0075723F" w:rsidP="0075723F">
      <w:pPr>
        <w:pStyle w:val="Heading4"/>
      </w:pPr>
      <w:r>
        <w:t xml:space="preserve">Table </w:t>
      </w:r>
      <w:fldSimple w:instr=" SEQ Table \* ARABIC ">
        <w:r w:rsidR="001A7C10">
          <w:rPr>
            <w:noProof/>
          </w:rPr>
          <w:t>7</w:t>
        </w:r>
      </w:fldSimple>
      <w:r>
        <w:t xml:space="preserve">: </w:t>
      </w:r>
      <w:r w:rsidR="00CC3FDC" w:rsidRPr="00CC3FDC">
        <w:t>Worker fatalities due to being hit by moving objects: number by breakdown agency, 2003 to 2015 (selected years, sorted by total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 Worker fatalities due to being hit by moving objects: number by breakdown agency, 2003 to 2015 (selected years, sorted by total fatalities)"/>
        <w:tblDescription w:val="Table 7: Worker fatalities due to being hit by moving objects: number by breakdown agency, 2003 to 2015 (selected years, sorted by total fatalities)"/>
      </w:tblPr>
      <w:tblGrid>
        <w:gridCol w:w="2996"/>
        <w:gridCol w:w="572"/>
        <w:gridCol w:w="572"/>
        <w:gridCol w:w="572"/>
        <w:gridCol w:w="572"/>
        <w:gridCol w:w="572"/>
        <w:gridCol w:w="572"/>
        <w:gridCol w:w="572"/>
        <w:gridCol w:w="599"/>
        <w:gridCol w:w="809"/>
        <w:gridCol w:w="1560"/>
      </w:tblGrid>
      <w:tr w:rsidR="00CC3FDC" w:rsidRPr="00CC3FDC"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CC3FDC" w:rsidRPr="00CC3FDC" w:rsidRDefault="00CC3FDC" w:rsidP="00D36746">
            <w:pPr>
              <w:pStyle w:val="HeaderRow"/>
            </w:pPr>
            <w:r w:rsidRPr="00CC3FDC">
              <w:t>Breakdown agency</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2003</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2005</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2007</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2009</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2011</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2013</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2015</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Total</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 of total</w:t>
            </w:r>
          </w:p>
        </w:tc>
        <w:tc>
          <w:tcPr>
            <w:tcW w:w="0" w:type="auto"/>
            <w:shd w:val="clear" w:color="auto" w:fill="B8CCE4" w:themeFill="accent1" w:themeFillTint="66"/>
            <w:vAlign w:val="bottom"/>
          </w:tcPr>
          <w:p w:rsidR="00CC3FDC" w:rsidRPr="00CC3FDC" w:rsidRDefault="00CC3FDC" w:rsidP="00D36746">
            <w:pPr>
              <w:pStyle w:val="HeaderRow"/>
              <w:cnfStyle w:val="000000000000" w:firstRow="0" w:lastRow="0" w:firstColumn="0" w:lastColumn="0" w:oddVBand="0" w:evenVBand="0" w:oddHBand="0" w:evenHBand="0" w:firstRowFirstColumn="0" w:firstRowLastColumn="0" w:lastRowFirstColumn="0" w:lastRowLastColumn="0"/>
            </w:pPr>
            <w:r w:rsidRPr="00CC3FDC">
              <w:t>% of all worker fatalities</w:t>
            </w:r>
          </w:p>
        </w:tc>
      </w:tr>
      <w:tr w:rsidR="00CC3FDC" w:rsidRPr="00CC3FDC" w:rsidTr="00471807">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C3FDC" w:rsidRDefault="00CC3FDC" w:rsidP="00F46C0F">
            <w:pPr>
              <w:pStyle w:val="Tablerowheading"/>
            </w:pPr>
            <w:r w:rsidRPr="00CC3FDC">
              <w:t xml:space="preserve">Mobile plant </w:t>
            </w:r>
            <w:r w:rsidR="00247D72">
              <w:t>and</w:t>
            </w:r>
            <w:r w:rsidRPr="00CC3FDC">
              <w:t xml:space="preserve"> transport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26</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27</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23</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16</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16</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17</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270</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70%</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8%</w:t>
            </w:r>
          </w:p>
        </w:tc>
      </w:tr>
      <w:tr w:rsidR="00CC3FDC"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8E6495" w:rsidRDefault="00CC3FDC" w:rsidP="00F46C0F">
            <w:pPr>
              <w:pStyle w:val="Tablerowheading2"/>
            </w:pPr>
            <w:r w:rsidRPr="008E6495">
              <w:t>Trucks, semi-trailers, lorries</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6</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4</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5</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9</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6</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5</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3</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80</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21%</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w:t>
            </w:r>
          </w:p>
        </w:tc>
      </w:tr>
      <w:tr w:rsidR="00CC3FDC"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8E6495" w:rsidRDefault="00CC3FDC" w:rsidP="00F46C0F">
            <w:pPr>
              <w:pStyle w:val="Tablerowheading2"/>
            </w:pPr>
            <w:r w:rsidRPr="008E6495">
              <w:t>Cars, station wagons, vans, utilities</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7</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7</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4</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4</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5</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62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16%</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w:t>
            </w:r>
          </w:p>
        </w:tc>
      </w:tr>
      <w:tr w:rsidR="00CC3FDC"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8E6495" w:rsidRDefault="00CC3FDC" w:rsidP="00F46C0F">
            <w:pPr>
              <w:pStyle w:val="Tablerowheading2"/>
            </w:pPr>
            <w:r w:rsidRPr="008E6495">
              <w:t>Self-propelled plant</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6</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4</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3</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3</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6</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46</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w:t>
            </w:r>
          </w:p>
        </w:tc>
      </w:tr>
      <w:tr w:rsidR="00CC3FDC"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8E6495" w:rsidRDefault="00CC3FDC" w:rsidP="00F46C0F">
            <w:pPr>
              <w:pStyle w:val="Tablerowheading2"/>
            </w:pPr>
            <w:r w:rsidRPr="008E6495">
              <w:t>Tractors, agricultural or otherwise</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4</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3</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3</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37</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10%</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w:t>
            </w:r>
          </w:p>
        </w:tc>
      </w:tr>
      <w:tr w:rsidR="00CC3FDC"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8E6495" w:rsidRDefault="00CC3FDC" w:rsidP="00F46C0F">
            <w:pPr>
              <w:pStyle w:val="Tablerowheading2"/>
            </w:pPr>
            <w:r w:rsidRPr="008E6495">
              <w:t>Other mobile or transport</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3</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5</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8</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4</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3</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45</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12%</w:t>
            </w:r>
          </w:p>
        </w:tc>
        <w:tc>
          <w:tcPr>
            <w:tcW w:w="0" w:type="auto"/>
            <w:vAlign w:val="bottom"/>
          </w:tcPr>
          <w:p w:rsidR="00CC3FDC" w:rsidRPr="008E6495" w:rsidRDefault="00CC3FDC" w:rsidP="00471807">
            <w:pPr>
              <w:pStyle w:val="Tablerowheading2"/>
              <w:cnfStyle w:val="000000000000" w:firstRow="0" w:lastRow="0" w:firstColumn="0" w:lastColumn="0" w:oddVBand="0" w:evenVBand="0" w:oddHBand="0" w:evenHBand="0" w:firstRowFirstColumn="0" w:firstRowLastColumn="0" w:lastRowFirstColumn="0" w:lastRowLastColumn="0"/>
            </w:pPr>
            <w:r w:rsidRPr="008E6495">
              <w:t>1%</w:t>
            </w:r>
          </w:p>
        </w:tc>
      </w:tr>
      <w:tr w:rsidR="00CC3FDC" w:rsidRPr="00CC3FDC" w:rsidTr="00471807">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C3FDC" w:rsidRDefault="00CC3FDC" w:rsidP="00F46C0F">
            <w:pPr>
              <w:pStyle w:val="Tablerowheading"/>
            </w:pPr>
            <w:r w:rsidRPr="00CC3FDC">
              <w:t xml:space="preserve">Machinery </w:t>
            </w:r>
            <w:r w:rsidR="00247D72">
              <w:t>and</w:t>
            </w:r>
            <w:r w:rsidRPr="00CC3FDC">
              <w:t xml:space="preserve"> (mainly) fixed plant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4</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5</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8%</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r>
      <w:tr w:rsidR="00CC3FDC" w:rsidRPr="00CC3FDC" w:rsidTr="00471807">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C3FDC" w:rsidRDefault="00CC3FDC" w:rsidP="00F46C0F">
            <w:pPr>
              <w:pStyle w:val="Tablerowheading"/>
            </w:pPr>
            <w:r w:rsidRPr="00CC3FDC">
              <w:t xml:space="preserve">Non-powered </w:t>
            </w:r>
            <w:proofErr w:type="spellStart"/>
            <w:r w:rsidRPr="00CC3FDC">
              <w:t>handtools</w:t>
            </w:r>
            <w:proofErr w:type="spellEnd"/>
            <w:r w:rsidRPr="00CC3FDC">
              <w:t xml:space="preserve">, appliances </w:t>
            </w:r>
            <w:r w:rsidR="00247D72">
              <w:t>and</w:t>
            </w:r>
            <w:r w:rsidRPr="00CC3FDC">
              <w:t xml:space="preserve"> equipment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30</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8%</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r>
      <w:tr w:rsidR="00CC3FDC" w:rsidRPr="00CC3FDC" w:rsidTr="00471807">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C3FDC" w:rsidRDefault="00CC3FDC" w:rsidP="00F46C0F">
            <w:pPr>
              <w:pStyle w:val="Tablerowheading"/>
            </w:pPr>
            <w:r w:rsidRPr="00CC3FDC">
              <w:t xml:space="preserve">Powered equipment, tools </w:t>
            </w:r>
            <w:r w:rsidR="00247D72">
              <w:t>and</w:t>
            </w:r>
            <w:r w:rsidRPr="00CC3FDC">
              <w:t xml:space="preserve"> appliances</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5</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25</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6%</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r>
      <w:tr w:rsidR="00CC3FDC" w:rsidRPr="00CC3FDC" w:rsidTr="00471807">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C3FDC" w:rsidRDefault="00CC3FDC" w:rsidP="00F46C0F">
            <w:pPr>
              <w:pStyle w:val="Tablerowheading"/>
            </w:pPr>
            <w:r w:rsidRPr="00CC3FDC">
              <w:t>Environmental agencies</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10</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0%*</w:t>
            </w:r>
          </w:p>
        </w:tc>
      </w:tr>
      <w:tr w:rsidR="00CC3FDC" w:rsidRPr="00CC3FDC" w:rsidTr="00471807">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C3FDC" w:rsidRDefault="00CC3FDC" w:rsidP="00F46C0F">
            <w:pPr>
              <w:pStyle w:val="Tablerowheading"/>
            </w:pPr>
            <w:r w:rsidRPr="00CC3FDC">
              <w:t xml:space="preserve">Materials </w:t>
            </w:r>
            <w:r w:rsidR="00247D72">
              <w:t>and</w:t>
            </w:r>
            <w:r w:rsidRPr="00CC3FDC">
              <w:t xml:space="preserve"> substances</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10</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3%</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0%*</w:t>
            </w:r>
          </w:p>
        </w:tc>
      </w:tr>
      <w:tr w:rsidR="00CC3FDC" w:rsidRPr="00CC3FDC" w:rsidTr="00471807">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C3FDC" w:rsidRDefault="00CC3FDC" w:rsidP="00F46C0F">
            <w:pPr>
              <w:pStyle w:val="Tablerowheading"/>
            </w:pPr>
            <w:r w:rsidRPr="00CC3FDC">
              <w:t xml:space="preserve">Chemicals </w:t>
            </w:r>
            <w:r w:rsidR="00247D72">
              <w:t>and</w:t>
            </w:r>
            <w:r w:rsidRPr="00CC3FDC">
              <w:t xml:space="preserve"> chemical products</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7</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0%*</w:t>
            </w:r>
          </w:p>
        </w:tc>
      </w:tr>
      <w:tr w:rsidR="00CC3FDC" w:rsidRPr="00CC3FDC" w:rsidTr="00471807">
        <w:tc>
          <w:tcPr>
            <w:cnfStyle w:val="001000000000" w:firstRow="0" w:lastRow="0" w:firstColumn="1" w:lastColumn="0" w:oddVBand="0" w:evenVBand="0" w:oddHBand="0" w:evenHBand="0" w:firstRowFirstColumn="0" w:firstRowLastColumn="0" w:lastRowFirstColumn="0" w:lastRowLastColumn="0"/>
            <w:tcW w:w="0" w:type="auto"/>
            <w:vAlign w:val="bottom"/>
          </w:tcPr>
          <w:p w:rsidR="00CC3FDC" w:rsidRPr="00CC3FDC" w:rsidRDefault="00CC3FDC" w:rsidP="00F46C0F">
            <w:pPr>
              <w:pStyle w:val="Tablerowheading"/>
            </w:pPr>
            <w:r w:rsidRPr="00CC3FDC">
              <w:t xml:space="preserve">Animal, human </w:t>
            </w:r>
            <w:r w:rsidR="00247D72">
              <w:t>and</w:t>
            </w:r>
            <w:r w:rsidRPr="00CC3FDC">
              <w:t xml:space="preserve"> biological agencies</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2</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1%</w:t>
            </w:r>
          </w:p>
        </w:tc>
        <w:tc>
          <w:tcPr>
            <w:tcW w:w="0" w:type="auto"/>
            <w:vAlign w:val="bottom"/>
          </w:tcPr>
          <w:p w:rsidR="00CC3FDC" w:rsidRPr="00CC3FDC" w:rsidRDefault="00CC3FDC" w:rsidP="00471807">
            <w:pPr>
              <w:pStyle w:val="Tablerowheading"/>
              <w:cnfStyle w:val="000000000000" w:firstRow="0" w:lastRow="0" w:firstColumn="0" w:lastColumn="0" w:oddVBand="0" w:evenVBand="0" w:oddHBand="0" w:evenHBand="0" w:firstRowFirstColumn="0" w:firstRowLastColumn="0" w:lastRowFirstColumn="0" w:lastRowLastColumn="0"/>
            </w:pPr>
            <w:r w:rsidRPr="00CC3FDC">
              <w:t>0%*</w:t>
            </w:r>
          </w:p>
        </w:tc>
      </w:tr>
      <w:tr w:rsidR="00CC3FDC" w:rsidRPr="00CC3FDC" w:rsidTr="004D3B4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CC3FDC" w:rsidRPr="00CC3FDC" w:rsidRDefault="00CC3FDC" w:rsidP="004D3B47">
            <w:pPr>
              <w:pStyle w:val="Tabletotal"/>
            </w:pPr>
            <w:r w:rsidRPr="00CC3FDC">
              <w:t>Total*</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40</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29</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38</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31</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19</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24</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27</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387</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100%</w:t>
            </w:r>
          </w:p>
        </w:tc>
        <w:tc>
          <w:tcPr>
            <w:tcW w:w="0" w:type="auto"/>
            <w:shd w:val="clear" w:color="auto" w:fill="B8CCE4" w:themeFill="accent1" w:themeFillTint="66"/>
          </w:tcPr>
          <w:p w:rsidR="00CC3FDC" w:rsidRPr="00CC3FDC" w:rsidRDefault="00CC3FDC" w:rsidP="004D3B47">
            <w:pPr>
              <w:pStyle w:val="Tabletotal"/>
              <w:cnfStyle w:val="000000000000" w:firstRow="0" w:lastRow="0" w:firstColumn="0" w:lastColumn="0" w:oddVBand="0" w:evenVBand="0" w:oddHBand="0" w:evenHBand="0" w:firstRowFirstColumn="0" w:firstRowLastColumn="0" w:lastRowFirstColumn="0" w:lastRowLastColumn="0"/>
            </w:pPr>
            <w:r w:rsidRPr="00CC3FDC">
              <w:t>12%</w:t>
            </w:r>
          </w:p>
        </w:tc>
      </w:tr>
    </w:tbl>
    <w:p w:rsidR="00CC3FDC" w:rsidRDefault="00CC3FDC" w:rsidP="00383468">
      <w:pPr>
        <w:pStyle w:val="Footnote"/>
      </w:pPr>
      <w:r w:rsidRPr="00CC3FDC">
        <w:t>*The total number of fatalities and percentage figures for each column shown in this table will not add to the total due to rounding and the inclusion of selected breakdown agency subgroups and classes within the major group headings.</w:t>
      </w:r>
    </w:p>
    <w:p w:rsidR="0075723F" w:rsidRDefault="00990994" w:rsidP="0075723F">
      <w:pPr>
        <w:pStyle w:val="Heading2"/>
      </w:pPr>
      <w:bookmarkStart w:id="32" w:name="_Toc460936390"/>
      <w:bookmarkStart w:id="33" w:name="_Toc453938279"/>
      <w:r w:rsidRPr="00990994">
        <w:t>Fatalities due to falls from a height</w:t>
      </w:r>
      <w:bookmarkEnd w:id="32"/>
      <w:r>
        <w:t xml:space="preserve"> </w:t>
      </w:r>
      <w:bookmarkEnd w:id="33"/>
    </w:p>
    <w:p w:rsidR="00990994" w:rsidRPr="00990994" w:rsidRDefault="00990994" w:rsidP="004870BC">
      <w:r w:rsidRPr="00990994">
        <w:t xml:space="preserve">Over the 13 years from 2003 to 2015, 359 workers died following falls from a height, which amounted to 11 per cent of all worker fatalities. In 2015, 26 workers died due to this mechanism. </w:t>
      </w:r>
    </w:p>
    <w:p w:rsidR="00990994" w:rsidRPr="00990994" w:rsidRDefault="00990994" w:rsidP="004870BC">
      <w:r w:rsidRPr="00990994">
        <w:t xml:space="preserve">Table 8 shows over the past 13 years falls from a height most commonly involved falls from a roof (59 fatalities), ladders (54 fatalities), horses, donkeys and mules (33 fatalities) and trucks, semi-trailers and lorries (26 fatalities). </w:t>
      </w:r>
    </w:p>
    <w:p w:rsidR="002720B8" w:rsidRDefault="002720B8">
      <w:pPr>
        <w:rPr>
          <w:b/>
        </w:rPr>
      </w:pPr>
      <w:r>
        <w:br w:type="page"/>
      </w:r>
    </w:p>
    <w:p w:rsidR="0075723F" w:rsidRDefault="0075723F" w:rsidP="0075723F">
      <w:pPr>
        <w:pStyle w:val="Heading4"/>
      </w:pPr>
      <w:r>
        <w:lastRenderedPageBreak/>
        <w:t xml:space="preserve">Table </w:t>
      </w:r>
      <w:fldSimple w:instr=" SEQ Table \* ARABIC ">
        <w:r w:rsidR="001A7C10">
          <w:rPr>
            <w:noProof/>
          </w:rPr>
          <w:t>8</w:t>
        </w:r>
      </w:fldSimple>
      <w:r>
        <w:t xml:space="preserve">: </w:t>
      </w:r>
      <w:r w:rsidR="00990994" w:rsidRPr="00990994">
        <w:t>Worker fatalities due to falls from a height: number by breakdown agency, 2003 to 2015 (selected years, sorted by total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8: Worker fatalities due to falls from a height: number by breakdown agency, 2003 to 2015 (selected years, sorted by total fatalities)"/>
        <w:tblDescription w:val="Table 8: Worker fatalities due to falls from a height: number by breakdown agency, 2003 to 2015 (selected years, sorted by total fatalities)"/>
      </w:tblPr>
      <w:tblGrid>
        <w:gridCol w:w="2996"/>
        <w:gridCol w:w="572"/>
        <w:gridCol w:w="572"/>
        <w:gridCol w:w="572"/>
        <w:gridCol w:w="572"/>
        <w:gridCol w:w="572"/>
        <w:gridCol w:w="572"/>
        <w:gridCol w:w="572"/>
        <w:gridCol w:w="599"/>
        <w:gridCol w:w="809"/>
        <w:gridCol w:w="1560"/>
      </w:tblGrid>
      <w:tr w:rsidR="00990994" w:rsidRPr="00990994"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990994" w:rsidRPr="00990994" w:rsidRDefault="00990994" w:rsidP="00D36746">
            <w:pPr>
              <w:pStyle w:val="HeaderRow"/>
            </w:pPr>
            <w:r w:rsidRPr="00990994">
              <w:t>Breakdown agency</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2003</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2005</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2007</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2009</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2011</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2013</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2015</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Total</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 of total</w:t>
            </w:r>
          </w:p>
        </w:tc>
        <w:tc>
          <w:tcPr>
            <w:tcW w:w="0" w:type="auto"/>
            <w:shd w:val="clear" w:color="auto" w:fill="B8CCE4" w:themeFill="accent1" w:themeFillTint="66"/>
            <w:vAlign w:val="bottom"/>
          </w:tcPr>
          <w:p w:rsidR="00990994" w:rsidRPr="00990994" w:rsidRDefault="00990994" w:rsidP="00D36746">
            <w:pPr>
              <w:pStyle w:val="HeaderRow"/>
              <w:cnfStyle w:val="000000000000" w:firstRow="0" w:lastRow="0" w:firstColumn="0" w:lastColumn="0" w:oddVBand="0" w:evenVBand="0" w:oddHBand="0" w:evenHBand="0" w:firstRowFirstColumn="0" w:firstRowLastColumn="0" w:lastRowFirstColumn="0" w:lastRowLastColumn="0"/>
            </w:pPr>
            <w:r w:rsidRPr="00990994">
              <w:t>% of all worker fatalities</w:t>
            </w:r>
          </w:p>
        </w:tc>
      </w:tr>
      <w:tr w:rsidR="00990994" w:rsidRPr="00970FB8"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970FB8" w:rsidRDefault="00990994" w:rsidP="00F46C0F">
            <w:pPr>
              <w:pStyle w:val="HeaderRow"/>
            </w:pPr>
            <w:r w:rsidRPr="00970FB8">
              <w:t>Environmental agencies</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14</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12</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10</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13</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6</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6</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11</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138</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38%</w:t>
            </w:r>
          </w:p>
        </w:tc>
        <w:tc>
          <w:tcPr>
            <w:tcW w:w="0" w:type="auto"/>
            <w:vAlign w:val="bottom"/>
          </w:tcPr>
          <w:p w:rsidR="00990994" w:rsidRPr="00970FB8"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70FB8">
              <w:t>4%</w:t>
            </w:r>
          </w:p>
        </w:tc>
      </w:tr>
      <w:tr w:rsidR="00990994" w:rsidRPr="00E532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E532C3" w:rsidRDefault="00990994" w:rsidP="00F46C0F">
            <w:pPr>
              <w:pStyle w:val="Tablerowheading2"/>
            </w:pPr>
            <w:r w:rsidRPr="00E532C3">
              <w:t>Roof</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9</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6</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4</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2</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6</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59</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16%</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2%</w:t>
            </w:r>
          </w:p>
        </w:tc>
      </w:tr>
      <w:tr w:rsidR="00990994" w:rsidRPr="00E532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E532C3" w:rsidRDefault="00990994" w:rsidP="00F46C0F">
            <w:pPr>
              <w:pStyle w:val="Tablerowheading2"/>
            </w:pPr>
            <w:r w:rsidRPr="00E532C3">
              <w:t>Buildings under construction or demolition</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19</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5%</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w:t>
            </w:r>
          </w:p>
        </w:tc>
      </w:tr>
      <w:tr w:rsidR="00990994" w:rsidRPr="00E532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E532C3" w:rsidRDefault="00990994" w:rsidP="00F46C0F">
            <w:pPr>
              <w:pStyle w:val="Tablerowheading2"/>
            </w:pPr>
            <w:r w:rsidRPr="00E532C3">
              <w:t>Internal building structures</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6</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2%</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0%*</w:t>
            </w:r>
          </w:p>
        </w:tc>
      </w:tr>
      <w:tr w:rsidR="00990994" w:rsidRPr="00E532C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E532C3" w:rsidRDefault="00990994" w:rsidP="00F46C0F">
            <w:pPr>
              <w:pStyle w:val="Tablerowheading2"/>
            </w:pPr>
            <w:r w:rsidRPr="00E532C3">
              <w:t>Openings in floors, walls or ceilings</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2</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6</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2%</w:t>
            </w:r>
          </w:p>
        </w:tc>
        <w:tc>
          <w:tcPr>
            <w:tcW w:w="0" w:type="auto"/>
            <w:vAlign w:val="bottom"/>
          </w:tcPr>
          <w:p w:rsidR="00990994" w:rsidRPr="00E532C3"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E532C3">
              <w:t>0%*</w:t>
            </w:r>
          </w:p>
        </w:tc>
      </w:tr>
      <w:tr w:rsidR="00990994" w:rsidRP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990994" w:rsidRDefault="00990994" w:rsidP="00F46C0F">
            <w:pPr>
              <w:pStyle w:val="HeaderRow"/>
            </w:pPr>
            <w:r w:rsidRPr="00990994">
              <w:t xml:space="preserve">Non-powered </w:t>
            </w:r>
            <w:proofErr w:type="spellStart"/>
            <w:r w:rsidRPr="00990994">
              <w:t>handtools</w:t>
            </w:r>
            <w:proofErr w:type="spellEnd"/>
            <w:r w:rsidRPr="00990994">
              <w:t xml:space="preserve">, appliances </w:t>
            </w:r>
            <w:r w:rsidR="00247D72">
              <w:t>and</w:t>
            </w:r>
            <w:r w:rsidRPr="00990994">
              <w:t xml:space="preserve"> equipment</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5</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5</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12</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6</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7</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4</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6</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87</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24%</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3%</w:t>
            </w:r>
          </w:p>
        </w:tc>
      </w:tr>
      <w:tr w:rsid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285CDF" w:rsidRDefault="00990994" w:rsidP="00F46C0F">
            <w:pPr>
              <w:pStyle w:val="Tablerowheading2"/>
            </w:pPr>
            <w:r w:rsidRPr="00285CDF">
              <w:t>Ladders</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9</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4</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6</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54</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15%</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r>
      <w:tr w:rsid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285CDF" w:rsidRDefault="00990994" w:rsidP="00F46C0F">
            <w:pPr>
              <w:pStyle w:val="Tablerowheading2"/>
            </w:pPr>
            <w:r w:rsidRPr="00285CDF">
              <w:t>Scaffolding</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16</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4%</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0%*</w:t>
            </w:r>
          </w:p>
        </w:tc>
      </w:tr>
      <w:tr w:rsidR="00990994" w:rsidRP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990994" w:rsidRDefault="00990994" w:rsidP="00F46C0F">
            <w:pPr>
              <w:pStyle w:val="HeaderRow"/>
            </w:pPr>
            <w:r w:rsidRPr="00990994">
              <w:t xml:space="preserve">Mobile plant </w:t>
            </w:r>
            <w:r w:rsidR="00247D72">
              <w:t>and</w:t>
            </w:r>
            <w:r w:rsidRPr="00990994">
              <w:t xml:space="preserve"> transport</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2</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4</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1</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3</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5</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7</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4</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59</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16%</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2%</w:t>
            </w:r>
          </w:p>
        </w:tc>
      </w:tr>
      <w:tr w:rsid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285CDF" w:rsidRDefault="00990994" w:rsidP="00F46C0F">
            <w:pPr>
              <w:pStyle w:val="Tablerowheading2"/>
            </w:pPr>
            <w:r w:rsidRPr="00285CDF">
              <w:t>Trucks, semi-trailers, lorries</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26</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7%</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w:t>
            </w:r>
          </w:p>
        </w:tc>
      </w:tr>
      <w:tr w:rsid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285CDF" w:rsidRDefault="00990994" w:rsidP="00F46C0F">
            <w:pPr>
              <w:pStyle w:val="Tablerowheading2"/>
            </w:pPr>
            <w:r w:rsidRPr="00285CDF">
              <w:t>Motorised craft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11</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0%*</w:t>
            </w:r>
          </w:p>
        </w:tc>
      </w:tr>
      <w:tr w:rsidR="00990994" w:rsidRP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990994" w:rsidRDefault="00990994" w:rsidP="00F46C0F">
            <w:pPr>
              <w:pStyle w:val="HeaderRow"/>
            </w:pPr>
            <w:r w:rsidRPr="00990994">
              <w:t xml:space="preserve">Machinery </w:t>
            </w:r>
            <w:r w:rsidR="00247D72">
              <w:t>and</w:t>
            </w:r>
            <w:r w:rsidRPr="00990994">
              <w:t xml:space="preserve"> (mainly) fixed plant</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3</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2</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5</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5</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2</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3</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2</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40</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11%</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1%</w:t>
            </w:r>
          </w:p>
        </w:tc>
      </w:tr>
      <w:tr w:rsid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285CDF" w:rsidRDefault="00990994" w:rsidP="00F46C0F">
            <w:pPr>
              <w:pStyle w:val="Tablerowheading2"/>
            </w:pPr>
            <w:r w:rsidRPr="00285CDF">
              <w:t>Elevating work platforms</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5</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18</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5%</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w:t>
            </w:r>
          </w:p>
        </w:tc>
      </w:tr>
      <w:tr w:rsidR="00990994" w:rsidRP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990994" w:rsidRDefault="00990994" w:rsidP="00F46C0F">
            <w:pPr>
              <w:pStyle w:val="HeaderRow"/>
            </w:pPr>
            <w:r w:rsidRPr="00990994">
              <w:t xml:space="preserve">Animal, human </w:t>
            </w:r>
            <w:r w:rsidR="00247D72">
              <w:t>and</w:t>
            </w:r>
            <w:r w:rsidRPr="00990994">
              <w:t xml:space="preserve"> biological agencies</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3</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3</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4</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2</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2</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4</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3</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35</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10%</w:t>
            </w:r>
          </w:p>
        </w:tc>
        <w:tc>
          <w:tcPr>
            <w:tcW w:w="0" w:type="auto"/>
            <w:vAlign w:val="bottom"/>
          </w:tcPr>
          <w:p w:rsidR="00990994" w:rsidRPr="00990994" w:rsidRDefault="00990994" w:rsidP="00E532C3">
            <w:pPr>
              <w:pStyle w:val="HeaderRow"/>
              <w:cnfStyle w:val="000000000000" w:firstRow="0" w:lastRow="0" w:firstColumn="0" w:lastColumn="0" w:oddVBand="0" w:evenVBand="0" w:oddHBand="0" w:evenHBand="0" w:firstRowFirstColumn="0" w:firstRowLastColumn="0" w:lastRowFirstColumn="0" w:lastRowLastColumn="0"/>
            </w:pPr>
            <w:r w:rsidRPr="00990994">
              <w:t>1%</w:t>
            </w:r>
          </w:p>
        </w:tc>
      </w:tr>
      <w:tr w:rsidR="00990994"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990994" w:rsidRPr="00285CDF" w:rsidRDefault="00990994" w:rsidP="00F46C0F">
            <w:pPr>
              <w:pStyle w:val="Tablerowheading2"/>
            </w:pPr>
            <w:r w:rsidRPr="00285CDF">
              <w:t>Horses, donkeys, mules</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4</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2</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33</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9%</w:t>
            </w:r>
          </w:p>
        </w:tc>
        <w:tc>
          <w:tcPr>
            <w:tcW w:w="0" w:type="auto"/>
            <w:vAlign w:val="bottom"/>
          </w:tcPr>
          <w:p w:rsidR="00990994" w:rsidRPr="00285CDF" w:rsidRDefault="00990994" w:rsidP="00E532C3">
            <w:pPr>
              <w:pStyle w:val="Tablerowheading2"/>
              <w:cnfStyle w:val="000000000000" w:firstRow="0" w:lastRow="0" w:firstColumn="0" w:lastColumn="0" w:oddVBand="0" w:evenVBand="0" w:oddHBand="0" w:evenHBand="0" w:firstRowFirstColumn="0" w:firstRowLastColumn="0" w:lastRowFirstColumn="0" w:lastRowLastColumn="0"/>
            </w:pPr>
            <w:r w:rsidRPr="00285CDF">
              <w:t>1%</w:t>
            </w:r>
          </w:p>
        </w:tc>
      </w:tr>
      <w:tr w:rsidR="00990994" w:rsidRPr="00990994" w:rsidTr="006625B8">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990994" w:rsidRPr="00990994" w:rsidRDefault="00990994" w:rsidP="006625B8">
            <w:pPr>
              <w:pStyle w:val="Tabletotal"/>
            </w:pPr>
            <w:r w:rsidRPr="00990994">
              <w:t>Total*</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27</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26</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32</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29</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22</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24</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26</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359</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100%</w:t>
            </w:r>
          </w:p>
        </w:tc>
        <w:tc>
          <w:tcPr>
            <w:tcW w:w="0" w:type="auto"/>
            <w:shd w:val="clear" w:color="auto" w:fill="B8CCE4" w:themeFill="accent1" w:themeFillTint="66"/>
          </w:tcPr>
          <w:p w:rsidR="00990994" w:rsidRPr="00990994" w:rsidRDefault="00990994" w:rsidP="006625B8">
            <w:pPr>
              <w:pStyle w:val="Tabletotal"/>
              <w:cnfStyle w:val="000000000000" w:firstRow="0" w:lastRow="0" w:firstColumn="0" w:lastColumn="0" w:oddVBand="0" w:evenVBand="0" w:oddHBand="0" w:evenHBand="0" w:firstRowFirstColumn="0" w:firstRowLastColumn="0" w:lastRowFirstColumn="0" w:lastRowLastColumn="0"/>
            </w:pPr>
            <w:r w:rsidRPr="00990994">
              <w:t>11%</w:t>
            </w:r>
          </w:p>
        </w:tc>
      </w:tr>
    </w:tbl>
    <w:p w:rsidR="00990994" w:rsidRDefault="00990994" w:rsidP="00383468">
      <w:pPr>
        <w:pStyle w:val="Footnote"/>
      </w:pPr>
      <w:r w:rsidRPr="00990994">
        <w:t>* The sum of the number of fatalities and percentage figures for each column may not equal the total due to rounding and the inclusion of selected subcategories in some breakdown agencies. The total also includes fatalities where the breakdown agency was unknown.</w:t>
      </w:r>
    </w:p>
    <w:p w:rsidR="00145F43" w:rsidRPr="00E532C3" w:rsidRDefault="00145F43" w:rsidP="00E532C3">
      <w:pPr>
        <w:pStyle w:val="Heading2"/>
      </w:pPr>
      <w:bookmarkStart w:id="34" w:name="_Toc460936391"/>
      <w:r w:rsidRPr="00E532C3">
        <w:t xml:space="preserve">Fatalities due to </w:t>
      </w:r>
      <w:r w:rsidR="009A2724" w:rsidRPr="00E532C3">
        <w:t>being hit by falling objects</w:t>
      </w:r>
      <w:bookmarkEnd w:id="34"/>
    </w:p>
    <w:p w:rsidR="009A2724" w:rsidRPr="009A2724" w:rsidRDefault="009A2724" w:rsidP="00E532C3">
      <w:r w:rsidRPr="009A2724">
        <w:t xml:space="preserve">Over the 13 years from 2003 to 2015, 294 workers died due to being hit by falling objects, which amounted to </w:t>
      </w:r>
      <w:r w:rsidR="00AB6AFB">
        <w:t>9</w:t>
      </w:r>
      <w:r w:rsidRPr="009A2724">
        <w:t xml:space="preserve"> per cent of all worker fatalities. This mechanism claimed the lives of 21 workers in 2015.</w:t>
      </w:r>
    </w:p>
    <w:p w:rsidR="00145F43" w:rsidRPr="00990994" w:rsidRDefault="009A2724" w:rsidP="00E532C3">
      <w:r w:rsidRPr="009A2724">
        <w:t xml:space="preserve">Table 9 provides more detail on the object (agency) which hit the worker. Over the 13 years, 69 workers were killed by falling vegetation. This is 23 per cent of all workers who died as a result of being hit by falling objects and </w:t>
      </w:r>
      <w:r w:rsidR="00AB6AFB">
        <w:t>2</w:t>
      </w:r>
      <w:r w:rsidRPr="009A2724">
        <w:t xml:space="preserve"> per cent of all worker fatalities</w:t>
      </w:r>
      <w:r>
        <w:t>.</w:t>
      </w:r>
    </w:p>
    <w:p w:rsidR="00145F43" w:rsidRDefault="00145F43" w:rsidP="00145F43">
      <w:pPr>
        <w:pStyle w:val="Heading4"/>
      </w:pPr>
      <w:r>
        <w:t xml:space="preserve">Table 9: </w:t>
      </w:r>
      <w:r w:rsidRPr="00145F43">
        <w:t>Worker fatalities due to being hit by falling objects: number by agency, 2003 to 2015 (selected years, sorted by total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 Worker fatalities due to being hit by falling objects: number by agency, 2003 to 2015 (selected years, sorted by total fatalities)"/>
        <w:tblDescription w:val="Table 9: Worker fatalities due to being hit by falling objects: number by agency, 2003 to 2015 (selected years, sorted by total fatalities)"/>
      </w:tblPr>
      <w:tblGrid>
        <w:gridCol w:w="2996"/>
        <w:gridCol w:w="572"/>
        <w:gridCol w:w="572"/>
        <w:gridCol w:w="572"/>
        <w:gridCol w:w="572"/>
        <w:gridCol w:w="572"/>
        <w:gridCol w:w="572"/>
        <w:gridCol w:w="572"/>
        <w:gridCol w:w="599"/>
        <w:gridCol w:w="809"/>
        <w:gridCol w:w="1560"/>
      </w:tblGrid>
      <w:tr w:rsidR="00145F43" w:rsidRPr="004D7768"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145F43" w:rsidRPr="004D7768" w:rsidRDefault="00145F43" w:rsidP="00D36746">
            <w:pPr>
              <w:pStyle w:val="HeaderRow"/>
            </w:pPr>
            <w:r w:rsidRPr="004D7768">
              <w:t>Agency</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2003</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2005</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2007</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2009</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2011</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2013</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2015</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Total</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 of total</w:t>
            </w:r>
          </w:p>
        </w:tc>
        <w:tc>
          <w:tcPr>
            <w:tcW w:w="0" w:type="auto"/>
            <w:shd w:val="clear" w:color="auto" w:fill="B8CCE4" w:themeFill="accent1" w:themeFillTint="66"/>
            <w:vAlign w:val="bottom"/>
          </w:tcPr>
          <w:p w:rsidR="00145F43" w:rsidRPr="004D7768" w:rsidRDefault="00145F43" w:rsidP="00D36746">
            <w:pPr>
              <w:pStyle w:val="HeaderRow"/>
              <w:cnfStyle w:val="000000000000" w:firstRow="0" w:lastRow="0" w:firstColumn="0" w:lastColumn="0" w:oddVBand="0" w:evenVBand="0" w:oddHBand="0" w:evenHBand="0" w:firstRowFirstColumn="0" w:firstRowLastColumn="0" w:lastRowFirstColumn="0" w:lastRowLastColumn="0"/>
            </w:pPr>
            <w:r w:rsidRPr="004D7768">
              <w:t>% of all worker fatalities</w:t>
            </w:r>
          </w:p>
        </w:tc>
      </w:tr>
      <w:tr w:rsidR="00145F43" w:rsidRPr="004D7768"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4D7768" w:rsidRDefault="00145F43" w:rsidP="00F46C0F">
            <w:pPr>
              <w:pStyle w:val="HeaderRow"/>
            </w:pPr>
            <w:r w:rsidRPr="004D7768">
              <w:t>Environmental agencies</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7</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11</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8</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2</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16</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8</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3</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100</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34%</w:t>
            </w:r>
          </w:p>
        </w:tc>
        <w:tc>
          <w:tcPr>
            <w:tcW w:w="0" w:type="auto"/>
            <w:vAlign w:val="bottom"/>
          </w:tcPr>
          <w:p w:rsidR="00145F43" w:rsidRPr="004D7768"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4D7768">
              <w:t>3%</w:t>
            </w:r>
          </w:p>
        </w:tc>
      </w:tr>
      <w:tr w:rsidR="00145F4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1B55F9" w:rsidRDefault="00145F43" w:rsidP="00F46C0F">
            <w:pPr>
              <w:pStyle w:val="Tablerowheading2"/>
            </w:pPr>
            <w:r w:rsidRPr="001B55F9">
              <w:t>Vegetation</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5</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10</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5</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6</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69</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23%</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r>
      <w:tr w:rsidR="00145F4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1B55F9" w:rsidRDefault="00145F43" w:rsidP="00F46C0F">
            <w:pPr>
              <w:pStyle w:val="Tablerowheading2"/>
            </w:pPr>
            <w:r w:rsidRPr="001B55F9">
              <w:t>Buildings and other structures</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3</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3</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25</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9%</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r>
      <w:tr w:rsidR="00145F43" w:rsidRPr="004D7768"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E532C3" w:rsidRDefault="00145F43" w:rsidP="00F46C0F">
            <w:pPr>
              <w:pStyle w:val="HeaderRow"/>
            </w:pPr>
            <w:r w:rsidRPr="00E532C3">
              <w:t xml:space="preserve">Materials </w:t>
            </w:r>
            <w:r w:rsidR="00247D72" w:rsidRPr="00E532C3">
              <w:t>and</w:t>
            </w:r>
            <w:r w:rsidRPr="00E532C3">
              <w:t xml:space="preserve"> substances</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5</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4</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7</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4</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7</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5</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81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28%</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w:t>
            </w:r>
          </w:p>
        </w:tc>
      </w:tr>
      <w:tr w:rsidR="00145F4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1B55F9" w:rsidRDefault="00145F43" w:rsidP="00F46C0F">
            <w:pPr>
              <w:pStyle w:val="Tablerowheading2"/>
            </w:pPr>
            <w:r w:rsidRPr="001B55F9">
              <w:t>Ferrous and non-ferrous metal</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3</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4</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31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r>
      <w:tr w:rsidR="00145F43" w:rsidRPr="004D7768"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E532C3" w:rsidRDefault="00145F43" w:rsidP="00F46C0F">
            <w:pPr>
              <w:pStyle w:val="HeaderRow"/>
            </w:pPr>
            <w:r w:rsidRPr="00E532C3">
              <w:t xml:space="preserve">Mobile plant </w:t>
            </w:r>
            <w:r w:rsidR="00247D72" w:rsidRPr="00E532C3">
              <w:t>and</w:t>
            </w:r>
            <w:r w:rsidRPr="00E532C3">
              <w:t xml:space="preserve"> transport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2</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5</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7</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10</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56</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19%</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2%</w:t>
            </w:r>
          </w:p>
        </w:tc>
      </w:tr>
      <w:tr w:rsidR="00145F4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1B55F9" w:rsidRDefault="00145F43" w:rsidP="00F46C0F">
            <w:pPr>
              <w:pStyle w:val="Tablerowheading2"/>
            </w:pPr>
            <w:r w:rsidRPr="001B55F9">
              <w:t>Trucks, semi-trailers, lorries</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3</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3</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17</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6%</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r>
      <w:tr w:rsidR="00145F4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1B55F9" w:rsidRDefault="00145F43" w:rsidP="00F46C0F">
            <w:pPr>
              <w:pStyle w:val="Tablerowheading2"/>
            </w:pPr>
            <w:r w:rsidRPr="001B55F9">
              <w:t>Cars, station wagons, vans, utilities</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7</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0%*</w:t>
            </w:r>
          </w:p>
        </w:tc>
      </w:tr>
      <w:tr w:rsidR="00145F43" w:rsidRPr="004D7768" w:rsidTr="00F46C0F">
        <w:trPr>
          <w:trHeight w:val="283"/>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E532C3" w:rsidRDefault="00145F43" w:rsidP="00F46C0F">
            <w:pPr>
              <w:pStyle w:val="HeaderRow"/>
            </w:pPr>
            <w:r w:rsidRPr="00E532C3">
              <w:t xml:space="preserve">Non-powered </w:t>
            </w:r>
            <w:proofErr w:type="spellStart"/>
            <w:r w:rsidRPr="00E532C3">
              <w:t>handtools</w:t>
            </w:r>
            <w:proofErr w:type="spellEnd"/>
            <w:r w:rsidRPr="00E532C3">
              <w:t xml:space="preserve">, appliances </w:t>
            </w:r>
            <w:r w:rsidR="00247D72" w:rsidRPr="00E532C3">
              <w:t>and</w:t>
            </w:r>
            <w:r w:rsidRPr="00E532C3">
              <w:t xml:space="preserve"> equipment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5</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2</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2</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2</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33</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r>
      <w:tr w:rsidR="00145F4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1B55F9" w:rsidRDefault="00145F43" w:rsidP="00F46C0F">
            <w:pPr>
              <w:pStyle w:val="Tablerowheading2"/>
            </w:pPr>
            <w:r w:rsidRPr="001B55F9">
              <w:t>Storage equipment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4%</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0%*</w:t>
            </w:r>
          </w:p>
        </w:tc>
      </w:tr>
      <w:tr w:rsidR="00145F43" w:rsidRPr="004D7768" w:rsidTr="00F46C0F">
        <w:trPr>
          <w:trHeight w:val="283"/>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E532C3" w:rsidRDefault="00145F43" w:rsidP="00F46C0F">
            <w:pPr>
              <w:pStyle w:val="HeaderRow"/>
            </w:pPr>
            <w:r w:rsidRPr="00E532C3">
              <w:t xml:space="preserve">Machinery </w:t>
            </w:r>
            <w:r w:rsidR="00247D72" w:rsidRPr="00E532C3">
              <w:t>and</w:t>
            </w:r>
            <w:r w:rsidRPr="00E532C3">
              <w:t xml:space="preserve"> (mainly) fixed plant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4</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20</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7%</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r>
      <w:tr w:rsidR="00145F43" w:rsidTr="00F46C0F">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1B55F9" w:rsidRDefault="00145F43" w:rsidP="00F46C0F">
            <w:pPr>
              <w:pStyle w:val="Tablerowheading2"/>
            </w:pPr>
            <w:r w:rsidRPr="001B55F9">
              <w:t>Cranes</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1</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6</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2%</w:t>
            </w:r>
          </w:p>
        </w:tc>
        <w:tc>
          <w:tcPr>
            <w:tcW w:w="0" w:type="auto"/>
            <w:vAlign w:val="bottom"/>
          </w:tcPr>
          <w:p w:rsidR="00145F43" w:rsidRPr="001B55F9" w:rsidRDefault="00145F43" w:rsidP="00E532C3">
            <w:pPr>
              <w:pStyle w:val="Tablerowheading2"/>
              <w:cnfStyle w:val="000000000000" w:firstRow="0" w:lastRow="0" w:firstColumn="0" w:lastColumn="0" w:oddVBand="0" w:evenVBand="0" w:oddHBand="0" w:evenHBand="0" w:firstRowFirstColumn="0" w:firstRowLastColumn="0" w:lastRowFirstColumn="0" w:lastRowLastColumn="0"/>
            </w:pPr>
            <w:r w:rsidRPr="001B55F9">
              <w:t>0%*</w:t>
            </w:r>
          </w:p>
        </w:tc>
      </w:tr>
      <w:tr w:rsidR="00145F43" w:rsidRPr="004D7768" w:rsidTr="00F46C0F">
        <w:trPr>
          <w:trHeight w:val="283"/>
        </w:trPr>
        <w:tc>
          <w:tcPr>
            <w:cnfStyle w:val="001000000000" w:firstRow="0" w:lastRow="0" w:firstColumn="1" w:lastColumn="0" w:oddVBand="0" w:evenVBand="0" w:oddHBand="0" w:evenHBand="0" w:firstRowFirstColumn="0" w:firstRowLastColumn="0" w:lastRowFirstColumn="0" w:lastRowLastColumn="0"/>
            <w:tcW w:w="0" w:type="auto"/>
            <w:vAlign w:val="bottom"/>
          </w:tcPr>
          <w:p w:rsidR="00145F43" w:rsidRPr="00E532C3" w:rsidRDefault="00145F43" w:rsidP="00F46C0F">
            <w:pPr>
              <w:pStyle w:val="HeaderRow"/>
            </w:pPr>
            <w:r w:rsidRPr="00E532C3">
              <w:t xml:space="preserve">Powered equipment, tools </w:t>
            </w:r>
            <w:r w:rsidR="00247D72" w:rsidRPr="00E532C3">
              <w:t>and</w:t>
            </w:r>
            <w:r w:rsidRPr="00E532C3">
              <w:t xml:space="preserve"> appliances</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3</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1%</w:t>
            </w:r>
          </w:p>
        </w:tc>
        <w:tc>
          <w:tcPr>
            <w:tcW w:w="0" w:type="auto"/>
            <w:vAlign w:val="bottom"/>
          </w:tcPr>
          <w:p w:rsidR="00145F43" w:rsidRPr="00E532C3" w:rsidRDefault="00145F43" w:rsidP="00E532C3">
            <w:pPr>
              <w:pStyle w:val="HeaderRow"/>
              <w:cnfStyle w:val="000000000000" w:firstRow="0" w:lastRow="0" w:firstColumn="0" w:lastColumn="0" w:oddVBand="0" w:evenVBand="0" w:oddHBand="0" w:evenHBand="0" w:firstRowFirstColumn="0" w:firstRowLastColumn="0" w:lastRowFirstColumn="0" w:lastRowLastColumn="0"/>
            </w:pPr>
            <w:r w:rsidRPr="00E532C3">
              <w:t>0%*</w:t>
            </w:r>
          </w:p>
        </w:tc>
      </w:tr>
      <w:tr w:rsidR="00145F43" w:rsidRPr="004D7768" w:rsidTr="006625B8">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145F43" w:rsidRPr="004D7768" w:rsidRDefault="00145F43" w:rsidP="006625B8">
            <w:pPr>
              <w:pStyle w:val="Tabletotal"/>
            </w:pPr>
            <w:r w:rsidRPr="004D7768">
              <w:t>Total*</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15</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25</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24</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15</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27</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25</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21</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294</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100%</w:t>
            </w:r>
          </w:p>
        </w:tc>
        <w:tc>
          <w:tcPr>
            <w:tcW w:w="0" w:type="auto"/>
            <w:shd w:val="clear" w:color="auto" w:fill="B8CCE4" w:themeFill="accent1" w:themeFillTint="66"/>
          </w:tcPr>
          <w:p w:rsidR="00145F43" w:rsidRPr="004D7768" w:rsidRDefault="00145F43" w:rsidP="006625B8">
            <w:pPr>
              <w:pStyle w:val="Tabletotal"/>
              <w:cnfStyle w:val="000000000000" w:firstRow="0" w:lastRow="0" w:firstColumn="0" w:lastColumn="0" w:oddVBand="0" w:evenVBand="0" w:oddHBand="0" w:evenHBand="0" w:firstRowFirstColumn="0" w:firstRowLastColumn="0" w:lastRowFirstColumn="0" w:lastRowLastColumn="0"/>
            </w:pPr>
            <w:r w:rsidRPr="004D7768">
              <w:t>9%</w:t>
            </w:r>
          </w:p>
        </w:tc>
      </w:tr>
    </w:tbl>
    <w:p w:rsidR="004D7768" w:rsidRPr="004D7768" w:rsidRDefault="004D7768" w:rsidP="00383468">
      <w:pPr>
        <w:pStyle w:val="Footnote"/>
      </w:pPr>
      <w:r w:rsidRPr="004D7768">
        <w:t xml:space="preserve">Note: Only selected agency subgroups are included. Therefore the number of fatalities in the selected subcategories will not add to the category total. </w:t>
      </w:r>
    </w:p>
    <w:p w:rsidR="00145F43" w:rsidRPr="00990994" w:rsidRDefault="004D7768" w:rsidP="00383468">
      <w:pPr>
        <w:pStyle w:val="Footnote"/>
      </w:pPr>
      <w:r w:rsidRPr="004D7768">
        <w:t>*The total number of fatalities and percentage figures for each column shown in this table will not add to the total due to rounding and the inclusion of selected breakdown agency subgroups and classes within the major group headings.</w:t>
      </w:r>
    </w:p>
    <w:p w:rsidR="004D7768" w:rsidRDefault="004D7768">
      <w:pPr>
        <w:rPr>
          <w:b/>
          <w:sz w:val="28"/>
          <w:szCs w:val="28"/>
        </w:rPr>
      </w:pPr>
      <w:bookmarkStart w:id="35" w:name="_Toc453938280"/>
      <w:r>
        <w:br w:type="page"/>
      </w:r>
    </w:p>
    <w:p w:rsidR="004D7768" w:rsidRDefault="004D7768" w:rsidP="004D7768">
      <w:pPr>
        <w:pStyle w:val="Heading2"/>
      </w:pPr>
      <w:bookmarkStart w:id="36" w:name="_Toc460936392"/>
      <w:r>
        <w:lastRenderedPageBreak/>
        <w:t>Industry</w:t>
      </w:r>
      <w:bookmarkEnd w:id="36"/>
    </w:p>
    <w:p w:rsidR="004D7768" w:rsidRPr="004D7768" w:rsidRDefault="004D7768" w:rsidP="00E532C3">
      <w:r w:rsidRPr="004D7768">
        <w:t xml:space="preserve">Figure 4 shows in 2015, 47 per cent of the workers who died were employed either in the Agriculture, forestry and fishing (52 fatalities) or the Transport, postal and warehousing industries (40 fatalities). </w:t>
      </w:r>
    </w:p>
    <w:bookmarkEnd w:id="35"/>
    <w:p w:rsidR="0075723F" w:rsidRPr="005E6422" w:rsidRDefault="0075723F" w:rsidP="0075723F">
      <w:pPr>
        <w:pStyle w:val="Heading4"/>
      </w:pPr>
      <w:r>
        <w:t xml:space="preserve">Figure </w:t>
      </w:r>
      <w:r w:rsidR="004D7768">
        <w:t>4</w:t>
      </w:r>
      <w:r>
        <w:t xml:space="preserve">: </w:t>
      </w:r>
      <w:r w:rsidR="004D7768" w:rsidRPr="004D7768">
        <w:t>Worker fatalities: proportion by industry of employer, all years (2003 to 2015 combined) and 2015</w:t>
      </w:r>
    </w:p>
    <w:p w:rsidR="0075723F" w:rsidRDefault="0042771C" w:rsidP="0075723F">
      <w:pPr>
        <w:rPr>
          <w:noProof/>
        </w:rPr>
      </w:pPr>
      <w:r>
        <w:rPr>
          <w:noProof/>
        </w:rPr>
        <w:drawing>
          <wp:inline distT="0" distB="0" distL="0" distR="0" wp14:anchorId="0346F07E" wp14:editId="5384C792">
            <wp:extent cx="4352925" cy="2983733"/>
            <wp:effectExtent l="0" t="0" r="0" b="7620"/>
            <wp:docPr id="5" name="Picture 5" descr="Figure 4 shows in 2015, 47 per cent of the workers who died were employed either in the Agriculture, forestry and fishing (52 fatalities) or the Transport, postal and warehousing industries (40 fatalities). " title="Figure 4: Worker fatalities: proportion by industry of employer, all years (2003 to 2015 combined) an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5472" cy="2985479"/>
                    </a:xfrm>
                    <a:prstGeom prst="rect">
                      <a:avLst/>
                    </a:prstGeom>
                    <a:noFill/>
                    <a:ln>
                      <a:noFill/>
                    </a:ln>
                  </pic:spPr>
                </pic:pic>
              </a:graphicData>
            </a:graphic>
          </wp:inline>
        </w:drawing>
      </w:r>
    </w:p>
    <w:p w:rsidR="00597C3B" w:rsidRDefault="00597C3B" w:rsidP="00597C3B">
      <w:r w:rsidRPr="004D7768">
        <w:t xml:space="preserve">Table 10 shows the top four industries have had decreases in worker fatalities over the period from 2003 to 2015. Agriculture, forestry and fishing industry recorded the highest proportion of fatalities in 2015 representing more than one quarter of all worker fatalities. For the complete time series see Appendix </w:t>
      </w:r>
      <w:proofErr w:type="spellStart"/>
      <w:r w:rsidRPr="004D7768">
        <w:t>A3</w:t>
      </w:r>
      <w:proofErr w:type="spellEnd"/>
      <w:r w:rsidRPr="004D7768">
        <w:t>.</w:t>
      </w:r>
    </w:p>
    <w:p w:rsidR="0075723F" w:rsidRDefault="0075723F" w:rsidP="0075723F">
      <w:pPr>
        <w:pStyle w:val="Heading4"/>
      </w:pPr>
      <w:r>
        <w:t xml:space="preserve">Table </w:t>
      </w:r>
      <w:r w:rsidR="00501056">
        <w:t>10</w:t>
      </w:r>
      <w:r>
        <w:t xml:space="preserve">: </w:t>
      </w:r>
      <w:r w:rsidR="00501056">
        <w:t>Worker fatalities: number by industry of employer, 2003 to 2015 (selected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Worker fatalities: number by industry of employer, 2003 to 2015 (selected years)"/>
        <w:tblDescription w:val="Table 10: Worker fatalities: number by industry of employer, 2003 to 2015 (selected years)"/>
      </w:tblPr>
      <w:tblGrid>
        <w:gridCol w:w="2849"/>
        <w:gridCol w:w="572"/>
        <w:gridCol w:w="572"/>
        <w:gridCol w:w="572"/>
        <w:gridCol w:w="572"/>
        <w:gridCol w:w="572"/>
        <w:gridCol w:w="572"/>
        <w:gridCol w:w="572"/>
        <w:gridCol w:w="599"/>
        <w:gridCol w:w="850"/>
        <w:gridCol w:w="1666"/>
      </w:tblGrid>
      <w:tr w:rsidR="001524E5" w:rsidRPr="001524E5"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1524E5" w:rsidRPr="001524E5" w:rsidRDefault="001524E5" w:rsidP="00D36746">
            <w:pPr>
              <w:pStyle w:val="HeaderRow"/>
            </w:pPr>
            <w:r w:rsidRPr="001524E5">
              <w:t>Industry of employer</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2003</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2005</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2007</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2009</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2011</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2013</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2015</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Total</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 of 2015</w:t>
            </w:r>
          </w:p>
        </w:tc>
        <w:tc>
          <w:tcPr>
            <w:tcW w:w="0" w:type="auto"/>
            <w:shd w:val="clear" w:color="auto" w:fill="B8CCE4" w:themeFill="accent1" w:themeFillTint="66"/>
            <w:vAlign w:val="bottom"/>
          </w:tcPr>
          <w:p w:rsidR="001524E5" w:rsidRPr="001524E5" w:rsidRDefault="001524E5" w:rsidP="00D36746">
            <w:pPr>
              <w:pStyle w:val="HeaderRow"/>
              <w:cnfStyle w:val="000000000000" w:firstRow="0" w:lastRow="0" w:firstColumn="0" w:lastColumn="0" w:oddVBand="0" w:evenVBand="0" w:oddHBand="0" w:evenHBand="0" w:firstRowFirstColumn="0" w:firstRowLastColumn="0" w:lastRowFirstColumn="0" w:lastRowLastColumn="0"/>
            </w:pPr>
            <w:r w:rsidRPr="001524E5">
              <w:t>% of all worker fatalities</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Agriculture, forestry and fishing</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59</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744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23%</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Transport, postal and warehousing</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83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754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24%</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Construction</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469</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15%</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Manufacturing</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275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9%</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Mining</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9</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122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Administrative and support services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109</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 xml:space="preserve">Arts </w:t>
            </w:r>
            <w:r w:rsidR="00247D72">
              <w:t>and</w:t>
            </w:r>
            <w:r w:rsidRPr="00B9564D">
              <w:t xml:space="preserve"> recreation services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Other services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Public administration and safety</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9</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123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Electricity, gas, water and waste services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59</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Wholesale trade</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98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Retail trade</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82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Accommodation and food services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Professional, scientific and technical services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7</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50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Education and training</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Health care and social assistance</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Rental, hiring and real estate services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2</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46</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Information media and telecommunications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15</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0%*</w:t>
            </w:r>
          </w:p>
        </w:tc>
      </w:tr>
      <w:tr w:rsidR="001524E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1524E5" w:rsidRPr="00B9564D" w:rsidRDefault="001524E5" w:rsidP="00471807">
            <w:pPr>
              <w:pStyle w:val="Tablerowheading2"/>
            </w:pPr>
            <w:r w:rsidRPr="00B9564D">
              <w:t>Financial and insurance services</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1</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3</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8</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0%*</w:t>
            </w:r>
          </w:p>
        </w:tc>
        <w:tc>
          <w:tcPr>
            <w:tcW w:w="0" w:type="auto"/>
            <w:vAlign w:val="bottom"/>
          </w:tcPr>
          <w:p w:rsidR="001524E5" w:rsidRPr="00B9564D" w:rsidRDefault="001524E5" w:rsidP="00471807">
            <w:pPr>
              <w:pStyle w:val="Tablerowheading2"/>
              <w:cnfStyle w:val="000000000000" w:firstRow="0" w:lastRow="0" w:firstColumn="0" w:lastColumn="0" w:oddVBand="0" w:evenVBand="0" w:oddHBand="0" w:evenHBand="0" w:firstRowFirstColumn="0" w:firstRowLastColumn="0" w:lastRowFirstColumn="0" w:lastRowLastColumn="0"/>
            </w:pPr>
            <w:r w:rsidRPr="00B9564D">
              <w:t>0%*</w:t>
            </w:r>
          </w:p>
        </w:tc>
      </w:tr>
      <w:tr w:rsidR="001524E5" w:rsidRPr="00350405" w:rsidTr="0047180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1524E5" w:rsidRPr="00350405" w:rsidRDefault="00350405" w:rsidP="00471807">
            <w:pPr>
              <w:pStyle w:val="Tabletotal"/>
            </w:pPr>
            <w:r w:rsidRPr="00350405">
              <w:t>All industries</w:t>
            </w:r>
            <w:r w:rsidR="001524E5" w:rsidRPr="00350405">
              <w:t>*</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259</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258</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310</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258</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224</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201</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195</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3207</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100%</w:t>
            </w:r>
          </w:p>
        </w:tc>
        <w:tc>
          <w:tcPr>
            <w:tcW w:w="0" w:type="auto"/>
            <w:shd w:val="clear" w:color="auto" w:fill="B8CCE4" w:themeFill="accent1" w:themeFillTint="66"/>
          </w:tcPr>
          <w:p w:rsidR="001524E5" w:rsidRPr="00350405" w:rsidRDefault="001524E5" w:rsidP="00471807">
            <w:pPr>
              <w:pStyle w:val="Tabletotal"/>
              <w:cnfStyle w:val="000000000000" w:firstRow="0" w:lastRow="0" w:firstColumn="0" w:lastColumn="0" w:oddVBand="0" w:evenVBand="0" w:oddHBand="0" w:evenHBand="0" w:firstRowFirstColumn="0" w:firstRowLastColumn="0" w:lastRowFirstColumn="0" w:lastRowLastColumn="0"/>
            </w:pPr>
            <w:r w:rsidRPr="00350405">
              <w:t>100%</w:t>
            </w:r>
          </w:p>
        </w:tc>
      </w:tr>
    </w:tbl>
    <w:p w:rsidR="001524E5" w:rsidRDefault="00AB6AFB" w:rsidP="00383468">
      <w:pPr>
        <w:pStyle w:val="Footnote"/>
      </w:pPr>
      <w:r>
        <w:t>*</w:t>
      </w:r>
      <w:r w:rsidR="001524E5" w:rsidRPr="001524E5">
        <w:t xml:space="preserve">The percentages shown in this table have been rounded to the nearest whole </w:t>
      </w:r>
      <w:proofErr w:type="gramStart"/>
      <w:r w:rsidR="001524E5" w:rsidRPr="001524E5">
        <w:t>number,</w:t>
      </w:r>
      <w:proofErr w:type="gramEnd"/>
      <w:r w:rsidR="001524E5" w:rsidRPr="001524E5">
        <w:t xml:space="preserve"> therefore the sum of percentage figures for each column may not equal the total</w:t>
      </w:r>
      <w:r w:rsidR="001524E5">
        <w:t>.</w:t>
      </w:r>
    </w:p>
    <w:p w:rsidR="00350405" w:rsidRDefault="00350405" w:rsidP="00350405">
      <w:r>
        <w:lastRenderedPageBreak/>
        <w:t xml:space="preserve">Fatality rates, expressed as fatalities per 100 000 workers, are best used when comparing risk across industries. Table 11 shows in 2015 the Agriculture, forestry and fishing industry recorded the highest fatality rate with 16.7 fatalities per 100 000 workers. The fatality rate for this industry in 2015 is over </w:t>
      </w:r>
      <w:r w:rsidR="00741038">
        <w:t>10</w:t>
      </w:r>
      <w:r>
        <w:t xml:space="preserve"> times the all industries fatality rate of 1.6. </w:t>
      </w:r>
    </w:p>
    <w:p w:rsidR="00350405" w:rsidRDefault="00350405" w:rsidP="00350405">
      <w:r>
        <w:t>It must be noted that fatality rates are sensitive to the number of workers employed in each industry, and therefore are liable to show volatility in those industries which employ the fewest workers even when small variations in the number of fatalities are recorded. Therefore, the actual number of fatalities should be considered when interpreting the fatality rates.</w:t>
      </w:r>
    </w:p>
    <w:p w:rsidR="0075723F" w:rsidRDefault="00350405" w:rsidP="00350405">
      <w:r>
        <w:t xml:space="preserve">For the complete time series see Appendix </w:t>
      </w:r>
      <w:proofErr w:type="spellStart"/>
      <w:r>
        <w:t>A4</w:t>
      </w:r>
      <w:proofErr w:type="spellEnd"/>
      <w:r w:rsidR="0075723F" w:rsidRPr="005E6422">
        <w:t>.</w:t>
      </w:r>
    </w:p>
    <w:p w:rsidR="00350405" w:rsidRDefault="00350405" w:rsidP="00350405">
      <w:pPr>
        <w:pStyle w:val="Heading4"/>
      </w:pPr>
      <w:r>
        <w:t xml:space="preserve">Table 11: Worker fatalities: </w:t>
      </w:r>
      <w:r w:rsidRPr="00350405">
        <w:t>fatality rate (fatalities per 100 000 workers) by industry of employer, 2003 to 2015 (selected years)</w:t>
      </w:r>
    </w:p>
    <w:tbl>
      <w:tblPr>
        <w:tblStyle w:val="TableGrid"/>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1: Worker fatalities: fatality rate (fatalities per 100 000 workers) by industry of employer, 2003 to 2015 (selected years)"/>
        <w:tblDescription w:val="Table 11: Worker fatalities: fatality rate (fatalities per 100 000 workers) by industry of employer, 2003 to 2015 (selected years)"/>
      </w:tblPr>
      <w:tblGrid>
        <w:gridCol w:w="4168"/>
        <w:gridCol w:w="697"/>
        <w:gridCol w:w="697"/>
        <w:gridCol w:w="698"/>
        <w:gridCol w:w="698"/>
        <w:gridCol w:w="698"/>
        <w:gridCol w:w="698"/>
        <w:gridCol w:w="698"/>
        <w:gridCol w:w="731"/>
      </w:tblGrid>
      <w:tr w:rsidR="00350405" w:rsidRPr="00350405"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350405" w:rsidRPr="00350405" w:rsidRDefault="00350405" w:rsidP="00D36746">
            <w:pPr>
              <w:pStyle w:val="HeaderRow"/>
            </w:pPr>
            <w:r w:rsidRPr="00350405">
              <w:t>Industry of employer</w:t>
            </w:r>
          </w:p>
        </w:tc>
        <w:tc>
          <w:tcPr>
            <w:tcW w:w="0" w:type="auto"/>
            <w:shd w:val="clear" w:color="auto" w:fill="B8CCE4" w:themeFill="accent1" w:themeFillTint="66"/>
          </w:tcPr>
          <w:p w:rsidR="00350405" w:rsidRPr="00350405" w:rsidRDefault="00350405" w:rsidP="00D36746">
            <w:pPr>
              <w:pStyle w:val="HeaderRow"/>
              <w:cnfStyle w:val="000000000000" w:firstRow="0" w:lastRow="0" w:firstColumn="0" w:lastColumn="0" w:oddVBand="0" w:evenVBand="0" w:oddHBand="0" w:evenHBand="0" w:firstRowFirstColumn="0" w:firstRowLastColumn="0" w:lastRowFirstColumn="0" w:lastRowLastColumn="0"/>
            </w:pPr>
            <w:r w:rsidRPr="00350405">
              <w:t>2003</w:t>
            </w:r>
          </w:p>
        </w:tc>
        <w:tc>
          <w:tcPr>
            <w:tcW w:w="0" w:type="auto"/>
            <w:shd w:val="clear" w:color="auto" w:fill="B8CCE4" w:themeFill="accent1" w:themeFillTint="66"/>
          </w:tcPr>
          <w:p w:rsidR="00350405" w:rsidRPr="00350405" w:rsidRDefault="00350405" w:rsidP="00D36746">
            <w:pPr>
              <w:pStyle w:val="HeaderRow"/>
              <w:cnfStyle w:val="000000000000" w:firstRow="0" w:lastRow="0" w:firstColumn="0" w:lastColumn="0" w:oddVBand="0" w:evenVBand="0" w:oddHBand="0" w:evenHBand="0" w:firstRowFirstColumn="0" w:firstRowLastColumn="0" w:lastRowFirstColumn="0" w:lastRowLastColumn="0"/>
            </w:pPr>
            <w:r w:rsidRPr="00350405">
              <w:t>2005</w:t>
            </w:r>
          </w:p>
        </w:tc>
        <w:tc>
          <w:tcPr>
            <w:tcW w:w="0" w:type="auto"/>
            <w:shd w:val="clear" w:color="auto" w:fill="B8CCE4" w:themeFill="accent1" w:themeFillTint="66"/>
          </w:tcPr>
          <w:p w:rsidR="00350405" w:rsidRPr="00350405" w:rsidRDefault="00350405" w:rsidP="00D36746">
            <w:pPr>
              <w:pStyle w:val="HeaderRow"/>
              <w:cnfStyle w:val="000000000000" w:firstRow="0" w:lastRow="0" w:firstColumn="0" w:lastColumn="0" w:oddVBand="0" w:evenVBand="0" w:oddHBand="0" w:evenHBand="0" w:firstRowFirstColumn="0" w:firstRowLastColumn="0" w:lastRowFirstColumn="0" w:lastRowLastColumn="0"/>
            </w:pPr>
            <w:r w:rsidRPr="00350405">
              <w:t>2007</w:t>
            </w:r>
          </w:p>
        </w:tc>
        <w:tc>
          <w:tcPr>
            <w:tcW w:w="0" w:type="auto"/>
            <w:shd w:val="clear" w:color="auto" w:fill="B8CCE4" w:themeFill="accent1" w:themeFillTint="66"/>
          </w:tcPr>
          <w:p w:rsidR="00350405" w:rsidRPr="00350405" w:rsidRDefault="00350405" w:rsidP="00D36746">
            <w:pPr>
              <w:pStyle w:val="HeaderRow"/>
              <w:cnfStyle w:val="000000000000" w:firstRow="0" w:lastRow="0" w:firstColumn="0" w:lastColumn="0" w:oddVBand="0" w:evenVBand="0" w:oddHBand="0" w:evenHBand="0" w:firstRowFirstColumn="0" w:firstRowLastColumn="0" w:lastRowFirstColumn="0" w:lastRowLastColumn="0"/>
            </w:pPr>
            <w:r w:rsidRPr="00350405">
              <w:t>2009</w:t>
            </w:r>
          </w:p>
        </w:tc>
        <w:tc>
          <w:tcPr>
            <w:tcW w:w="0" w:type="auto"/>
            <w:shd w:val="clear" w:color="auto" w:fill="B8CCE4" w:themeFill="accent1" w:themeFillTint="66"/>
          </w:tcPr>
          <w:p w:rsidR="00350405" w:rsidRPr="00350405" w:rsidRDefault="00350405" w:rsidP="00D36746">
            <w:pPr>
              <w:pStyle w:val="HeaderRow"/>
              <w:cnfStyle w:val="000000000000" w:firstRow="0" w:lastRow="0" w:firstColumn="0" w:lastColumn="0" w:oddVBand="0" w:evenVBand="0" w:oddHBand="0" w:evenHBand="0" w:firstRowFirstColumn="0" w:firstRowLastColumn="0" w:lastRowFirstColumn="0" w:lastRowLastColumn="0"/>
            </w:pPr>
            <w:r w:rsidRPr="00350405">
              <w:t>2011</w:t>
            </w:r>
          </w:p>
        </w:tc>
        <w:tc>
          <w:tcPr>
            <w:tcW w:w="0" w:type="auto"/>
            <w:shd w:val="clear" w:color="auto" w:fill="B8CCE4" w:themeFill="accent1" w:themeFillTint="66"/>
          </w:tcPr>
          <w:p w:rsidR="00350405" w:rsidRPr="00350405" w:rsidRDefault="00350405" w:rsidP="00D36746">
            <w:pPr>
              <w:pStyle w:val="HeaderRow"/>
              <w:cnfStyle w:val="000000000000" w:firstRow="0" w:lastRow="0" w:firstColumn="0" w:lastColumn="0" w:oddVBand="0" w:evenVBand="0" w:oddHBand="0" w:evenHBand="0" w:firstRowFirstColumn="0" w:firstRowLastColumn="0" w:lastRowFirstColumn="0" w:lastRowLastColumn="0"/>
            </w:pPr>
            <w:r w:rsidRPr="00350405">
              <w:t>2013</w:t>
            </w:r>
          </w:p>
        </w:tc>
        <w:tc>
          <w:tcPr>
            <w:tcW w:w="0" w:type="auto"/>
            <w:shd w:val="clear" w:color="auto" w:fill="B8CCE4" w:themeFill="accent1" w:themeFillTint="66"/>
          </w:tcPr>
          <w:p w:rsidR="00350405" w:rsidRPr="00350405" w:rsidRDefault="00350405" w:rsidP="00D36746">
            <w:pPr>
              <w:pStyle w:val="HeaderRow"/>
              <w:cnfStyle w:val="000000000000" w:firstRow="0" w:lastRow="0" w:firstColumn="0" w:lastColumn="0" w:oddVBand="0" w:evenVBand="0" w:oddHBand="0" w:evenHBand="0" w:firstRowFirstColumn="0" w:firstRowLastColumn="0" w:lastRowFirstColumn="0" w:lastRowLastColumn="0"/>
            </w:pPr>
            <w:r w:rsidRPr="00350405">
              <w:t>2015</w:t>
            </w:r>
          </w:p>
        </w:tc>
        <w:tc>
          <w:tcPr>
            <w:tcW w:w="0" w:type="auto"/>
            <w:shd w:val="clear" w:color="auto" w:fill="B8CCE4" w:themeFill="accent1" w:themeFillTint="66"/>
          </w:tcPr>
          <w:p w:rsidR="00350405" w:rsidRPr="00350405" w:rsidRDefault="00350405" w:rsidP="00D36746">
            <w:pPr>
              <w:pStyle w:val="HeaderRow"/>
              <w:cnfStyle w:val="000000000000" w:firstRow="0" w:lastRow="0" w:firstColumn="0" w:lastColumn="0" w:oddVBand="0" w:evenVBand="0" w:oddHBand="0" w:evenHBand="0" w:firstRowFirstColumn="0" w:firstRowLastColumn="0" w:lastRowFirstColumn="0" w:lastRowLastColumn="0"/>
            </w:pPr>
            <w:r w:rsidRPr="00350405">
              <w:t>Total</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Agriculture, forestry </w:t>
            </w:r>
            <w:r w:rsidR="00247D72">
              <w:t>and</w:t>
            </w:r>
            <w:r w:rsidRPr="00C953ED">
              <w:t xml:space="preserve"> fishing</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16.4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17.6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17.8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18.7</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17.3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16.7</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17.0</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Transport, postal </w:t>
            </w:r>
            <w:r w:rsidR="00247D72">
              <w:t>and</w:t>
            </w:r>
            <w:r w:rsidRPr="00C953ED">
              <w:t xml:space="preserve"> warehousing</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14.6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11.1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11.0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8.3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7.8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6.6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10.6</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Construction</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5.8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4.8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3.7</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4.0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3.8</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Manufacturing</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2.2</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Administrative </w:t>
            </w:r>
            <w:r w:rsidR="00247D72">
              <w:t>and</w:t>
            </w:r>
            <w:r w:rsidRPr="00C953ED">
              <w:t xml:space="preserve"> support services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1.7</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2.3</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Arts </w:t>
            </w:r>
            <w:r w:rsidR="00247D72">
              <w:t>and</w:t>
            </w:r>
            <w:r w:rsidRPr="00C953ED">
              <w:t xml:space="preserve"> recreation services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5.2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2.9</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Public administration </w:t>
            </w:r>
            <w:r w:rsidR="00247D72">
              <w:t>and</w:t>
            </w:r>
            <w:r w:rsidRPr="00C953ED">
              <w:t xml:space="preserve"> safety</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1.4</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Mining</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12.4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7.6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5.1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6.1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2.7</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4.4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5.3</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Wholesale trade</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0.7</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1.9</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Retail trade</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0.6</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0.7</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Health care </w:t>
            </w:r>
            <w:r w:rsidR="00247D72">
              <w:t>and</w:t>
            </w:r>
            <w:r w:rsidRPr="00C953ED">
              <w:t xml:space="preserve"> social assistance</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640BA0" w:rsidP="00471807">
            <w:pPr>
              <w:pStyle w:val="Tablerowheading2"/>
            </w:pPr>
            <w:r>
              <w:t>Other s</w:t>
            </w:r>
            <w:r w:rsidR="00350405" w:rsidRPr="00C953ED">
              <w:t>ervices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1.2</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Professional, scientific </w:t>
            </w:r>
            <w:r w:rsidR="00247D72">
              <w:t>and</w:t>
            </w:r>
            <w:r w:rsidRPr="00C953ED">
              <w:t xml:space="preserve"> technical services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Accommodation </w:t>
            </w:r>
            <w:r w:rsidR="00247D72">
              <w:t>and</w:t>
            </w:r>
            <w:r w:rsidRPr="00C953ED">
              <w:t xml:space="preserve"> food services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0.9</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Information media </w:t>
            </w:r>
            <w:r w:rsidR="00247D72">
              <w:t>and</w:t>
            </w:r>
            <w:r w:rsidRPr="00C953ED">
              <w:t xml:space="preserve"> telecommunications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Electricity, gas, water </w:t>
            </w:r>
            <w:r w:rsidR="00247D72">
              <w:t>and</w:t>
            </w:r>
            <w:r w:rsidRPr="00C953ED">
              <w:t xml:space="preserve"> waste services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5.5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6.0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2.7</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3.6</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Rental, hiring </w:t>
            </w:r>
            <w:r w:rsidR="00247D72">
              <w:t>and</w:t>
            </w:r>
            <w:r w:rsidRPr="00C953ED">
              <w:t xml:space="preserve"> real estate services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2.4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3.4</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5.0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1.1</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1.0</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1.8</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Education </w:t>
            </w:r>
            <w:r w:rsidR="00247D72">
              <w:t>and</w:t>
            </w:r>
            <w:r w:rsidRPr="00C953ED">
              <w:t xml:space="preserve"> training</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0.5</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r>
      <w:tr w:rsidR="00350405" w:rsidTr="00471807">
        <w:trPr>
          <w:trHeight w:val="272"/>
        </w:trPr>
        <w:tc>
          <w:tcPr>
            <w:cnfStyle w:val="001000000000" w:firstRow="0" w:lastRow="0" w:firstColumn="1" w:lastColumn="0" w:oddVBand="0" w:evenVBand="0" w:oddHBand="0" w:evenHBand="0" w:firstRowFirstColumn="0" w:firstRowLastColumn="0" w:lastRowFirstColumn="0" w:lastRowLastColumn="0"/>
            <w:tcW w:w="0" w:type="auto"/>
            <w:vAlign w:val="bottom"/>
          </w:tcPr>
          <w:p w:rsidR="00350405" w:rsidRPr="00C953ED" w:rsidRDefault="00350405" w:rsidP="00471807">
            <w:pPr>
              <w:pStyle w:val="Tablerowheading2"/>
            </w:pPr>
            <w:r w:rsidRPr="00C953ED">
              <w:t xml:space="preserve">Financial </w:t>
            </w:r>
            <w:r w:rsidR="00247D72">
              <w:t>and</w:t>
            </w:r>
            <w:r w:rsidRPr="00C953ED">
              <w:t xml:space="preserve"> insurance services</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0.3</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0.8</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w:t>
            </w:r>
          </w:p>
        </w:tc>
        <w:tc>
          <w:tcPr>
            <w:tcW w:w="0" w:type="auto"/>
            <w:vAlign w:val="bottom"/>
          </w:tcPr>
          <w:p w:rsidR="00350405" w:rsidRPr="00C953ED" w:rsidRDefault="00350405" w:rsidP="00471807">
            <w:pPr>
              <w:pStyle w:val="Tablerowheading2"/>
              <w:cnfStyle w:val="000000000000" w:firstRow="0" w:lastRow="0" w:firstColumn="0" w:lastColumn="0" w:oddVBand="0" w:evenVBand="0" w:oddHBand="0" w:evenHBand="0" w:firstRowFirstColumn="0" w:firstRowLastColumn="0" w:lastRowFirstColumn="0" w:lastRowLastColumn="0"/>
            </w:pPr>
            <w:r w:rsidRPr="00C953ED">
              <w:t>0.2</w:t>
            </w:r>
          </w:p>
        </w:tc>
      </w:tr>
      <w:tr w:rsidR="00350405" w:rsidRPr="00350405" w:rsidTr="0047180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350405" w:rsidRPr="00350405" w:rsidRDefault="00350405" w:rsidP="00471807">
            <w:pPr>
              <w:pStyle w:val="Tabletotal"/>
            </w:pPr>
            <w:r w:rsidRPr="00350405">
              <w:t>All industries</w:t>
            </w:r>
          </w:p>
        </w:tc>
        <w:tc>
          <w:tcPr>
            <w:tcW w:w="0" w:type="auto"/>
            <w:shd w:val="clear" w:color="auto" w:fill="B8CCE4" w:themeFill="accent1" w:themeFillTint="66"/>
          </w:tcPr>
          <w:p w:rsidR="00350405" w:rsidRPr="00350405" w:rsidRDefault="00350405" w:rsidP="00471807">
            <w:pPr>
              <w:pStyle w:val="Tabletotal"/>
              <w:cnfStyle w:val="000000000000" w:firstRow="0" w:lastRow="0" w:firstColumn="0" w:lastColumn="0" w:oddVBand="0" w:evenVBand="0" w:oddHBand="0" w:evenHBand="0" w:firstRowFirstColumn="0" w:firstRowLastColumn="0" w:lastRowFirstColumn="0" w:lastRowLastColumn="0"/>
            </w:pPr>
            <w:r w:rsidRPr="00350405">
              <w:t>2.7</w:t>
            </w:r>
          </w:p>
        </w:tc>
        <w:tc>
          <w:tcPr>
            <w:tcW w:w="0" w:type="auto"/>
            <w:shd w:val="clear" w:color="auto" w:fill="B8CCE4" w:themeFill="accent1" w:themeFillTint="66"/>
          </w:tcPr>
          <w:p w:rsidR="00350405" w:rsidRPr="00350405" w:rsidRDefault="00350405" w:rsidP="00471807">
            <w:pPr>
              <w:pStyle w:val="Tabletotal"/>
              <w:cnfStyle w:val="000000000000" w:firstRow="0" w:lastRow="0" w:firstColumn="0" w:lastColumn="0" w:oddVBand="0" w:evenVBand="0" w:oddHBand="0" w:evenHBand="0" w:firstRowFirstColumn="0" w:firstRowLastColumn="0" w:lastRowFirstColumn="0" w:lastRowLastColumn="0"/>
            </w:pPr>
            <w:r w:rsidRPr="00350405">
              <w:t>2.6</w:t>
            </w:r>
          </w:p>
        </w:tc>
        <w:tc>
          <w:tcPr>
            <w:tcW w:w="0" w:type="auto"/>
            <w:shd w:val="clear" w:color="auto" w:fill="B8CCE4" w:themeFill="accent1" w:themeFillTint="66"/>
          </w:tcPr>
          <w:p w:rsidR="00350405" w:rsidRPr="00350405" w:rsidRDefault="00350405" w:rsidP="00471807">
            <w:pPr>
              <w:pStyle w:val="Tabletotal"/>
              <w:cnfStyle w:val="000000000000" w:firstRow="0" w:lastRow="0" w:firstColumn="0" w:lastColumn="0" w:oddVBand="0" w:evenVBand="0" w:oddHBand="0" w:evenHBand="0" w:firstRowFirstColumn="0" w:firstRowLastColumn="0" w:lastRowFirstColumn="0" w:lastRowLastColumn="0"/>
            </w:pPr>
            <w:r w:rsidRPr="00350405">
              <w:t>3.0</w:t>
            </w:r>
          </w:p>
        </w:tc>
        <w:tc>
          <w:tcPr>
            <w:tcW w:w="0" w:type="auto"/>
            <w:shd w:val="clear" w:color="auto" w:fill="B8CCE4" w:themeFill="accent1" w:themeFillTint="66"/>
          </w:tcPr>
          <w:p w:rsidR="00350405" w:rsidRPr="00350405" w:rsidRDefault="00350405" w:rsidP="00471807">
            <w:pPr>
              <w:pStyle w:val="Tabletotal"/>
              <w:cnfStyle w:val="000000000000" w:firstRow="0" w:lastRow="0" w:firstColumn="0" w:lastColumn="0" w:oddVBand="0" w:evenVBand="0" w:oddHBand="0" w:evenHBand="0" w:firstRowFirstColumn="0" w:firstRowLastColumn="0" w:lastRowFirstColumn="0" w:lastRowLastColumn="0"/>
            </w:pPr>
            <w:r w:rsidRPr="00350405">
              <w:t>2.4</w:t>
            </w:r>
          </w:p>
        </w:tc>
        <w:tc>
          <w:tcPr>
            <w:tcW w:w="0" w:type="auto"/>
            <w:shd w:val="clear" w:color="auto" w:fill="B8CCE4" w:themeFill="accent1" w:themeFillTint="66"/>
          </w:tcPr>
          <w:p w:rsidR="00350405" w:rsidRPr="00350405" w:rsidRDefault="00350405" w:rsidP="00471807">
            <w:pPr>
              <w:pStyle w:val="Tabletotal"/>
              <w:cnfStyle w:val="000000000000" w:firstRow="0" w:lastRow="0" w:firstColumn="0" w:lastColumn="0" w:oddVBand="0" w:evenVBand="0" w:oddHBand="0" w:evenHBand="0" w:firstRowFirstColumn="0" w:firstRowLastColumn="0" w:lastRowFirstColumn="0" w:lastRowLastColumn="0"/>
            </w:pPr>
            <w:r w:rsidRPr="00350405">
              <w:t>2.0</w:t>
            </w:r>
          </w:p>
        </w:tc>
        <w:tc>
          <w:tcPr>
            <w:tcW w:w="0" w:type="auto"/>
            <w:shd w:val="clear" w:color="auto" w:fill="B8CCE4" w:themeFill="accent1" w:themeFillTint="66"/>
          </w:tcPr>
          <w:p w:rsidR="00350405" w:rsidRPr="00350405" w:rsidRDefault="00350405" w:rsidP="00471807">
            <w:pPr>
              <w:pStyle w:val="Tabletotal"/>
              <w:cnfStyle w:val="000000000000" w:firstRow="0" w:lastRow="0" w:firstColumn="0" w:lastColumn="0" w:oddVBand="0" w:evenVBand="0" w:oddHBand="0" w:evenHBand="0" w:firstRowFirstColumn="0" w:firstRowLastColumn="0" w:lastRowFirstColumn="0" w:lastRowLastColumn="0"/>
            </w:pPr>
            <w:r w:rsidRPr="00350405">
              <w:t>1.7</w:t>
            </w:r>
          </w:p>
        </w:tc>
        <w:tc>
          <w:tcPr>
            <w:tcW w:w="0" w:type="auto"/>
            <w:shd w:val="clear" w:color="auto" w:fill="B8CCE4" w:themeFill="accent1" w:themeFillTint="66"/>
          </w:tcPr>
          <w:p w:rsidR="00350405" w:rsidRPr="00350405" w:rsidRDefault="00350405" w:rsidP="00471807">
            <w:pPr>
              <w:pStyle w:val="Tabletotal"/>
              <w:cnfStyle w:val="000000000000" w:firstRow="0" w:lastRow="0" w:firstColumn="0" w:lastColumn="0" w:oddVBand="0" w:evenVBand="0" w:oddHBand="0" w:evenHBand="0" w:firstRowFirstColumn="0" w:firstRowLastColumn="0" w:lastRowFirstColumn="0" w:lastRowLastColumn="0"/>
            </w:pPr>
            <w:r w:rsidRPr="00350405">
              <w:t>1.6</w:t>
            </w:r>
          </w:p>
        </w:tc>
        <w:tc>
          <w:tcPr>
            <w:tcW w:w="0" w:type="auto"/>
            <w:shd w:val="clear" w:color="auto" w:fill="B8CCE4" w:themeFill="accent1" w:themeFillTint="66"/>
          </w:tcPr>
          <w:p w:rsidR="00350405" w:rsidRPr="00350405" w:rsidRDefault="00350405" w:rsidP="00471807">
            <w:pPr>
              <w:pStyle w:val="Tabletotal"/>
              <w:cnfStyle w:val="000000000000" w:firstRow="0" w:lastRow="0" w:firstColumn="0" w:lastColumn="0" w:oddVBand="0" w:evenVBand="0" w:oddHBand="0" w:evenHBand="0" w:firstRowFirstColumn="0" w:firstRowLastColumn="0" w:lastRowFirstColumn="0" w:lastRowLastColumn="0"/>
            </w:pPr>
            <w:r w:rsidRPr="00350405">
              <w:t>2.3</w:t>
            </w:r>
          </w:p>
        </w:tc>
      </w:tr>
    </w:tbl>
    <w:p w:rsidR="00350405" w:rsidRDefault="00350405" w:rsidP="0075723F">
      <w:pPr>
        <w:pStyle w:val="Heading2"/>
      </w:pPr>
      <w:bookmarkStart w:id="37" w:name="_Toc453938285"/>
      <w:bookmarkStart w:id="38" w:name="_Toc442274036"/>
      <w:bookmarkStart w:id="39" w:name="_Toc445363806"/>
    </w:p>
    <w:bookmarkEnd w:id="37"/>
    <w:bookmarkEnd w:id="38"/>
    <w:p w:rsidR="006625B8" w:rsidRDefault="006625B8">
      <w:pPr>
        <w:rPr>
          <w:sz w:val="28"/>
          <w:szCs w:val="28"/>
        </w:rPr>
      </w:pPr>
      <w:r>
        <w:rPr>
          <w:b/>
        </w:rPr>
        <w:br w:type="page"/>
      </w:r>
    </w:p>
    <w:p w:rsidR="0075723F" w:rsidRPr="00350405" w:rsidRDefault="00350405" w:rsidP="0075723F">
      <w:pPr>
        <w:pStyle w:val="Heading2"/>
        <w:rPr>
          <w:b w:val="0"/>
        </w:rPr>
      </w:pPr>
      <w:bookmarkStart w:id="40" w:name="_Toc460936393"/>
      <w:r>
        <w:rPr>
          <w:b w:val="0"/>
        </w:rPr>
        <w:lastRenderedPageBreak/>
        <w:t>Priority industries</w:t>
      </w:r>
      <w:bookmarkEnd w:id="40"/>
    </w:p>
    <w:p w:rsidR="00350405" w:rsidRPr="00350405" w:rsidRDefault="00350405" w:rsidP="00E532C3">
      <w:r w:rsidRPr="00350405">
        <w:t xml:space="preserve">The Australian Work Health and Safety Strategy 2012-2022 </w:t>
      </w:r>
      <w:r w:rsidR="00F33BCB">
        <w:t xml:space="preserve">(Australian Strategy) </w:t>
      </w:r>
      <w:r w:rsidRPr="00350405">
        <w:t>provides a framework to drive improvements in work health and safety in Australia. It promotes a collaborative approach between the Commonwealth, state and territory governments, industry and unions and other organisations to achieve the vision of healthy, safe and productive working lives.</w:t>
      </w:r>
    </w:p>
    <w:p w:rsidR="00350405" w:rsidRPr="00350405" w:rsidRDefault="00350405" w:rsidP="00E532C3">
      <w:r w:rsidRPr="00350405">
        <w:t xml:space="preserve">The Australian Strategy identifies national priority industries and disorders to help direct prevention activities to where they are needed the most. </w:t>
      </w:r>
    </w:p>
    <w:p w:rsidR="00350405" w:rsidRDefault="00350405" w:rsidP="00E532C3">
      <w:r w:rsidRPr="00350405">
        <w:t>The following industries have high numbers and rates of deaths and/or injuries or are by their nature hazardous:</w:t>
      </w:r>
    </w:p>
    <w:p w:rsidR="00350405" w:rsidRDefault="00350405" w:rsidP="00350405">
      <w:pPr>
        <w:pStyle w:val="ListParagraph"/>
        <w:numPr>
          <w:ilvl w:val="0"/>
          <w:numId w:val="20"/>
        </w:numPr>
      </w:pPr>
      <w:r>
        <w:t>Agriculture</w:t>
      </w:r>
    </w:p>
    <w:p w:rsidR="00350405" w:rsidRDefault="00350405" w:rsidP="00350405">
      <w:pPr>
        <w:pStyle w:val="ListParagraph"/>
        <w:numPr>
          <w:ilvl w:val="0"/>
          <w:numId w:val="20"/>
        </w:numPr>
      </w:pPr>
      <w:r>
        <w:t>Road transport</w:t>
      </w:r>
    </w:p>
    <w:p w:rsidR="00350405" w:rsidRDefault="00350405" w:rsidP="00350405">
      <w:pPr>
        <w:pStyle w:val="ListParagraph"/>
        <w:numPr>
          <w:ilvl w:val="0"/>
          <w:numId w:val="20"/>
        </w:numPr>
      </w:pPr>
      <w:r>
        <w:t>Manufacturing</w:t>
      </w:r>
    </w:p>
    <w:p w:rsidR="00350405" w:rsidRDefault="00350405" w:rsidP="00350405">
      <w:pPr>
        <w:pStyle w:val="ListParagraph"/>
        <w:numPr>
          <w:ilvl w:val="0"/>
          <w:numId w:val="20"/>
        </w:numPr>
      </w:pPr>
      <w:r>
        <w:t>Construction</w:t>
      </w:r>
    </w:p>
    <w:p w:rsidR="00350405" w:rsidRDefault="00350405" w:rsidP="00350405">
      <w:pPr>
        <w:pStyle w:val="ListParagraph"/>
        <w:numPr>
          <w:ilvl w:val="0"/>
          <w:numId w:val="20"/>
        </w:numPr>
      </w:pPr>
      <w:r>
        <w:t>Accommodation and food services</w:t>
      </w:r>
    </w:p>
    <w:p w:rsidR="00350405" w:rsidRDefault="00350405" w:rsidP="00350405">
      <w:pPr>
        <w:pStyle w:val="ListParagraph"/>
        <w:numPr>
          <w:ilvl w:val="0"/>
          <w:numId w:val="20"/>
        </w:numPr>
      </w:pPr>
      <w:r>
        <w:t xml:space="preserve">Public administration and safety, and </w:t>
      </w:r>
    </w:p>
    <w:p w:rsidR="00350405" w:rsidRDefault="00350405" w:rsidP="00350405">
      <w:pPr>
        <w:pStyle w:val="ListParagraph"/>
        <w:numPr>
          <w:ilvl w:val="0"/>
          <w:numId w:val="20"/>
        </w:numPr>
      </w:pPr>
      <w:r>
        <w:t>Health care and social assistance.</w:t>
      </w:r>
    </w:p>
    <w:p w:rsidR="00350405" w:rsidRDefault="00350405" w:rsidP="00350405">
      <w:r>
        <w:t xml:space="preserve">For the purposes of this report, only those industries with fatality rates above the all industry rate will be examined in further detail, i.e. Agriculture, Road transport and Construction. </w:t>
      </w:r>
    </w:p>
    <w:p w:rsidR="00350405" w:rsidRDefault="00350405" w:rsidP="00350405">
      <w:r>
        <w:t>Industries such as Accommodation and food services, Health</w:t>
      </w:r>
      <w:r w:rsidR="00F33BCB">
        <w:t xml:space="preserve"> </w:t>
      </w:r>
      <w:r>
        <w:t xml:space="preserve">care and social assistance and Public administration and safety have low fatality rates but are included </w:t>
      </w:r>
      <w:r w:rsidR="00F33BCB">
        <w:t>as</w:t>
      </w:r>
      <w:r>
        <w:t xml:space="preserve"> priority industries due to high injury rates. For information on serious claims in these industries, refer to the</w:t>
      </w:r>
      <w:r w:rsidR="00E01C7E">
        <w:t xml:space="preserve"> latest</w:t>
      </w:r>
      <w:r>
        <w:t xml:space="preserve"> </w:t>
      </w:r>
      <w:r w:rsidRPr="00E01C7E">
        <w:rPr>
          <w:i/>
        </w:rPr>
        <w:t>Australian Workers</w:t>
      </w:r>
      <w:r w:rsidR="00E01C7E">
        <w:rPr>
          <w:i/>
        </w:rPr>
        <w:t>’</w:t>
      </w:r>
      <w:r w:rsidRPr="00E01C7E">
        <w:rPr>
          <w:i/>
        </w:rPr>
        <w:t xml:space="preserve"> Compensation Statistics</w:t>
      </w:r>
      <w:r>
        <w:t>:</w:t>
      </w:r>
    </w:p>
    <w:p w:rsidR="00350405" w:rsidRDefault="00B53623" w:rsidP="00350405">
      <w:hyperlink r:id="rId17" w:history="1">
        <w:r w:rsidR="00E01C7E" w:rsidRPr="007C423F">
          <w:rPr>
            <w:rStyle w:val="Hyperlink"/>
          </w:rPr>
          <w:t>http://www.safeworkaustralia.gov.au/sites/swa/statistics/workers-compensation-data/pages/compendiumofworkerscompensationstatistics</w:t>
        </w:r>
      </w:hyperlink>
    </w:p>
    <w:p w:rsidR="00350405" w:rsidRDefault="00350405" w:rsidP="00350405">
      <w:r>
        <w:t xml:space="preserve">Figure 5 shows that while fatality rates can be volatile over </w:t>
      </w:r>
      <w:proofErr w:type="gramStart"/>
      <w:r>
        <w:t>time,</w:t>
      </w:r>
      <w:proofErr w:type="gramEnd"/>
      <w:r>
        <w:t xml:space="preserve"> they have generally been decreasing for the selected priority industries over the last 13 years</w:t>
      </w:r>
      <w:r w:rsidR="00E01C7E">
        <w:t>,</w:t>
      </w:r>
      <w:r>
        <w:t xml:space="preserve"> apart from Agriculture where the rate has remained close to 15.0 for much of the period. Although the Road transport fatality rate has decreased over the period it is still over eight times the all industry rate (13.3 compared with 1.6).</w:t>
      </w:r>
    </w:p>
    <w:p w:rsidR="00E01C7E" w:rsidRPr="005E6422" w:rsidRDefault="00E01C7E" w:rsidP="00E01C7E">
      <w:pPr>
        <w:pStyle w:val="Heading4"/>
      </w:pPr>
      <w:r>
        <w:t xml:space="preserve">Figure 5: </w:t>
      </w:r>
      <w:r w:rsidRPr="00E01C7E">
        <w:t>Worker fatalities: fatality rate (fatalities per 100 000 workers) by industry of employer, 2003 to 2015</w:t>
      </w:r>
    </w:p>
    <w:p w:rsidR="00350405" w:rsidRDefault="004B6802" w:rsidP="00350405">
      <w:r>
        <w:rPr>
          <w:noProof/>
        </w:rPr>
        <w:drawing>
          <wp:inline distT="0" distB="0" distL="0" distR="0" wp14:anchorId="27E915EB" wp14:editId="33FA95BD">
            <wp:extent cx="5410200" cy="3144320"/>
            <wp:effectExtent l="0" t="0" r="0" b="0"/>
            <wp:docPr id="4" name="Picture 4" descr="Figure 5 shows that while fatality rates can be volatile over time, they have generally been decreasing for the selected priority industries over the last 13 years, apart from Agriculture where the rate has remained close to 15.0 for much of the period." title="Figure 5: Worker fatalities: fatality rate (fatalities per 100 000 workers) by industry of employer, 2003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1310" cy="3144965"/>
                    </a:xfrm>
                    <a:prstGeom prst="rect">
                      <a:avLst/>
                    </a:prstGeom>
                    <a:noFill/>
                    <a:ln>
                      <a:noFill/>
                    </a:ln>
                  </pic:spPr>
                </pic:pic>
              </a:graphicData>
            </a:graphic>
          </wp:inline>
        </w:drawing>
      </w:r>
    </w:p>
    <w:p w:rsidR="006625B8" w:rsidRDefault="006625B8">
      <w:pPr>
        <w:rPr>
          <w:b/>
        </w:rPr>
      </w:pPr>
      <w:r>
        <w:br w:type="page"/>
      </w:r>
    </w:p>
    <w:p w:rsidR="0075723F" w:rsidRPr="005E6422" w:rsidRDefault="0075723F" w:rsidP="00350405">
      <w:pPr>
        <w:pStyle w:val="Heading4"/>
      </w:pPr>
      <w:r>
        <w:lastRenderedPageBreak/>
        <w:t xml:space="preserve">Table </w:t>
      </w:r>
      <w:r w:rsidR="00E01C7E">
        <w:t xml:space="preserve">12: Worker fatalities: </w:t>
      </w:r>
      <w:r w:rsidR="00E01C7E" w:rsidRPr="00E01C7E">
        <w:t>Agriculture sub-divisions by mechanism of incident, 2003 to 2015 (combined)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2: Worker fatalities: Agriculture sub-divisions by mechanism of incident, 2003 to 2015 (combined)"/>
        <w:tblDescription w:val="Table 12: Worker fatalities: Agriculture sub-divisions by mechanism of incident, 2003 to 2015 (combined)"/>
      </w:tblPr>
      <w:tblGrid>
        <w:gridCol w:w="1346"/>
        <w:gridCol w:w="961"/>
        <w:gridCol w:w="1099"/>
        <w:gridCol w:w="1034"/>
        <w:gridCol w:w="1012"/>
        <w:gridCol w:w="846"/>
        <w:gridCol w:w="1515"/>
        <w:gridCol w:w="913"/>
        <w:gridCol w:w="643"/>
        <w:gridCol w:w="599"/>
      </w:tblGrid>
      <w:tr w:rsidR="00E01C7E" w:rsidRPr="00556A4B"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E01C7E" w:rsidRPr="00556A4B" w:rsidRDefault="00E01C7E" w:rsidP="00D36746">
            <w:pPr>
              <w:pStyle w:val="HeaderRow"/>
            </w:pPr>
            <w:r w:rsidRPr="00556A4B">
              <w:t>Industry sub-divisions</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Vehicle collision</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Rollover of non-road vehicle</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Being hit by moving objects</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Being hit by falling objects</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Falls from a height</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Being trapped between stationary and moving objects</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Being hit by an animal</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Other</w:t>
            </w:r>
          </w:p>
        </w:tc>
        <w:tc>
          <w:tcPr>
            <w:tcW w:w="0" w:type="auto"/>
            <w:shd w:val="clear" w:color="auto" w:fill="B8CCE4" w:themeFill="accent1" w:themeFillTint="66"/>
            <w:vAlign w:val="bottom"/>
          </w:tcPr>
          <w:p w:rsidR="00E01C7E" w:rsidRPr="00556A4B" w:rsidRDefault="00E01C7E" w:rsidP="00D36746">
            <w:pPr>
              <w:pStyle w:val="HeaderRow"/>
              <w:cnfStyle w:val="000000000000" w:firstRow="0" w:lastRow="0" w:firstColumn="0" w:lastColumn="0" w:oddVBand="0" w:evenVBand="0" w:oddHBand="0" w:evenHBand="0" w:firstRowFirstColumn="0" w:firstRowLastColumn="0" w:lastRowFirstColumn="0" w:lastRowLastColumn="0"/>
            </w:pPr>
            <w:r w:rsidRPr="00556A4B">
              <w:t>Total</w:t>
            </w:r>
          </w:p>
        </w:tc>
      </w:tr>
      <w:tr w:rsidR="00E01C7E" w:rsidTr="00E532C3">
        <w:tc>
          <w:tcPr>
            <w:cnfStyle w:val="001000000000" w:firstRow="0" w:lastRow="0" w:firstColumn="1" w:lastColumn="0" w:oddVBand="0" w:evenVBand="0" w:oddHBand="0" w:evenHBand="0" w:firstRowFirstColumn="0" w:firstRowLastColumn="0" w:lastRowFirstColumn="0" w:lastRowLastColumn="0"/>
            <w:tcW w:w="0" w:type="auto"/>
            <w:vAlign w:val="top"/>
          </w:tcPr>
          <w:p w:rsidR="00E01C7E" w:rsidRPr="00CA605A" w:rsidRDefault="00E01C7E" w:rsidP="00ED4143">
            <w:pPr>
              <w:pStyle w:val="Tablerowheading2"/>
            </w:pPr>
            <w:r w:rsidRPr="00CA605A">
              <w:t xml:space="preserve">Sheep, beef cattle </w:t>
            </w:r>
            <w:r w:rsidR="00247D72">
              <w:t>and</w:t>
            </w:r>
            <w:r w:rsidRPr="00CA605A">
              <w:t xml:space="preserve"> grain farming</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109</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50</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56</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34</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29</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19</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16</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62</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375</w:t>
            </w:r>
          </w:p>
        </w:tc>
      </w:tr>
      <w:tr w:rsidR="00E01C7E" w:rsidTr="00E532C3">
        <w:tc>
          <w:tcPr>
            <w:cnfStyle w:val="001000000000" w:firstRow="0" w:lastRow="0" w:firstColumn="1" w:lastColumn="0" w:oddVBand="0" w:evenVBand="0" w:oddHBand="0" w:evenHBand="0" w:firstRowFirstColumn="0" w:firstRowLastColumn="0" w:lastRowFirstColumn="0" w:lastRowLastColumn="0"/>
            <w:tcW w:w="0" w:type="auto"/>
            <w:vAlign w:val="top"/>
          </w:tcPr>
          <w:p w:rsidR="00E01C7E" w:rsidRPr="00CA605A" w:rsidRDefault="00E01C7E" w:rsidP="00ED4143">
            <w:pPr>
              <w:pStyle w:val="Tablerowheading2"/>
            </w:pPr>
            <w:r w:rsidRPr="00CA605A">
              <w:t>Other crop growing</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10</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7</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7</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4</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8</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52</w:t>
            </w:r>
          </w:p>
        </w:tc>
      </w:tr>
      <w:tr w:rsidR="00E01C7E" w:rsidTr="00E532C3">
        <w:tc>
          <w:tcPr>
            <w:cnfStyle w:val="001000000000" w:firstRow="0" w:lastRow="0" w:firstColumn="1" w:lastColumn="0" w:oddVBand="0" w:evenVBand="0" w:oddHBand="0" w:evenHBand="0" w:firstRowFirstColumn="0" w:firstRowLastColumn="0" w:lastRowFirstColumn="0" w:lastRowLastColumn="0"/>
            <w:tcW w:w="0" w:type="auto"/>
            <w:vAlign w:val="top"/>
          </w:tcPr>
          <w:p w:rsidR="00E01C7E" w:rsidRPr="00CA605A" w:rsidRDefault="00E01C7E" w:rsidP="00ED4143">
            <w:pPr>
              <w:pStyle w:val="Tablerowheading2"/>
            </w:pPr>
            <w:r w:rsidRPr="00CA605A">
              <w:t xml:space="preserve">Fruit </w:t>
            </w:r>
            <w:r w:rsidR="00247D72">
              <w:t>and</w:t>
            </w:r>
            <w:r w:rsidRPr="00CA605A">
              <w:t xml:space="preserve"> tree nut growing</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5</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10</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5</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6</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4</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37</w:t>
            </w:r>
          </w:p>
        </w:tc>
      </w:tr>
      <w:tr w:rsidR="00E01C7E" w:rsidTr="00E532C3">
        <w:tc>
          <w:tcPr>
            <w:cnfStyle w:val="001000000000" w:firstRow="0" w:lastRow="0" w:firstColumn="1" w:lastColumn="0" w:oddVBand="0" w:evenVBand="0" w:oddHBand="0" w:evenHBand="0" w:firstRowFirstColumn="0" w:firstRowLastColumn="0" w:lastRowFirstColumn="0" w:lastRowLastColumn="0"/>
            <w:tcW w:w="0" w:type="auto"/>
            <w:vAlign w:val="top"/>
          </w:tcPr>
          <w:p w:rsidR="00E01C7E" w:rsidRPr="00CA605A" w:rsidRDefault="00E01C7E" w:rsidP="00ED4143">
            <w:pPr>
              <w:pStyle w:val="Tablerowheading2"/>
            </w:pPr>
            <w:r w:rsidRPr="00CA605A">
              <w:t>Other livestock farming</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8</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7</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4</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37</w:t>
            </w:r>
          </w:p>
        </w:tc>
      </w:tr>
      <w:tr w:rsidR="00E01C7E" w:rsidTr="00E532C3">
        <w:tc>
          <w:tcPr>
            <w:cnfStyle w:val="001000000000" w:firstRow="0" w:lastRow="0" w:firstColumn="1" w:lastColumn="0" w:oddVBand="0" w:evenVBand="0" w:oddHBand="0" w:evenHBand="0" w:firstRowFirstColumn="0" w:firstRowLastColumn="0" w:lastRowFirstColumn="0" w:lastRowLastColumn="0"/>
            <w:tcW w:w="0" w:type="auto"/>
            <w:vAlign w:val="top"/>
          </w:tcPr>
          <w:p w:rsidR="00E01C7E" w:rsidRPr="00CA605A" w:rsidRDefault="00E01C7E" w:rsidP="00ED4143">
            <w:pPr>
              <w:pStyle w:val="Tablerowheading2"/>
            </w:pPr>
            <w:r w:rsidRPr="00CA605A">
              <w:t>Dairy cattle farming</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5</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2</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25</w:t>
            </w:r>
          </w:p>
        </w:tc>
      </w:tr>
      <w:tr w:rsidR="00E01C7E" w:rsidTr="00E532C3">
        <w:tc>
          <w:tcPr>
            <w:cnfStyle w:val="001000000000" w:firstRow="0" w:lastRow="0" w:firstColumn="1" w:lastColumn="0" w:oddVBand="0" w:evenVBand="0" w:oddHBand="0" w:evenHBand="0" w:firstRowFirstColumn="0" w:firstRowLastColumn="0" w:lastRowFirstColumn="0" w:lastRowLastColumn="0"/>
            <w:tcW w:w="0" w:type="auto"/>
            <w:vAlign w:val="top"/>
          </w:tcPr>
          <w:p w:rsidR="00E01C7E" w:rsidRPr="00CA605A" w:rsidRDefault="00E01C7E" w:rsidP="00ED4143">
            <w:pPr>
              <w:pStyle w:val="Tablerowheading2"/>
            </w:pPr>
            <w:r w:rsidRPr="00CA605A">
              <w:t xml:space="preserve">Mushroom </w:t>
            </w:r>
            <w:r w:rsidR="00247D72">
              <w:t>and</w:t>
            </w:r>
            <w:r w:rsidRPr="00CA605A">
              <w:t xml:space="preserve"> vegetable growing</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6</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2</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6</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19</w:t>
            </w:r>
          </w:p>
        </w:tc>
      </w:tr>
      <w:tr w:rsidR="00E01C7E" w:rsidTr="00E532C3">
        <w:tc>
          <w:tcPr>
            <w:cnfStyle w:val="001000000000" w:firstRow="0" w:lastRow="0" w:firstColumn="1" w:lastColumn="0" w:oddVBand="0" w:evenVBand="0" w:oddHBand="0" w:evenHBand="0" w:firstRowFirstColumn="0" w:firstRowLastColumn="0" w:lastRowFirstColumn="0" w:lastRowLastColumn="0"/>
            <w:tcW w:w="0" w:type="auto"/>
            <w:vAlign w:val="top"/>
          </w:tcPr>
          <w:p w:rsidR="00E01C7E" w:rsidRPr="00CA605A" w:rsidRDefault="00E01C7E" w:rsidP="00ED4143">
            <w:pPr>
              <w:pStyle w:val="Tablerowheading2"/>
            </w:pPr>
            <w:r w:rsidRPr="00CA605A">
              <w:t xml:space="preserve">Nursery </w:t>
            </w:r>
            <w:r w:rsidR="00247D72">
              <w:t>and</w:t>
            </w:r>
            <w:r w:rsidRPr="00CA605A">
              <w:t xml:space="preserve"> floriculture production</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2</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7</w:t>
            </w:r>
          </w:p>
        </w:tc>
      </w:tr>
      <w:tr w:rsidR="00E01C7E" w:rsidTr="00E532C3">
        <w:tc>
          <w:tcPr>
            <w:cnfStyle w:val="001000000000" w:firstRow="0" w:lastRow="0" w:firstColumn="1" w:lastColumn="0" w:oddVBand="0" w:evenVBand="0" w:oddHBand="0" w:evenHBand="0" w:firstRowFirstColumn="0" w:firstRowLastColumn="0" w:lastRowFirstColumn="0" w:lastRowLastColumn="0"/>
            <w:tcW w:w="0" w:type="auto"/>
            <w:vAlign w:val="top"/>
          </w:tcPr>
          <w:p w:rsidR="00E01C7E" w:rsidRPr="00CA605A" w:rsidRDefault="00E01C7E" w:rsidP="00ED4143">
            <w:pPr>
              <w:pStyle w:val="Tablerowheading2"/>
            </w:pPr>
            <w:r w:rsidRPr="00CA605A">
              <w:t>Poultry farming</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1</w:t>
            </w:r>
          </w:p>
        </w:tc>
        <w:tc>
          <w:tcPr>
            <w:tcW w:w="0" w:type="auto"/>
            <w:vAlign w:val="bottom"/>
          </w:tcPr>
          <w:p w:rsidR="00E01C7E" w:rsidRPr="00CA605A" w:rsidRDefault="00E01C7E" w:rsidP="00ED4143">
            <w:pPr>
              <w:pStyle w:val="Tablerowheading2"/>
              <w:cnfStyle w:val="000000000000" w:firstRow="0" w:lastRow="0" w:firstColumn="0" w:lastColumn="0" w:oddVBand="0" w:evenVBand="0" w:oddHBand="0" w:evenHBand="0" w:firstRowFirstColumn="0" w:firstRowLastColumn="0" w:lastRowFirstColumn="0" w:lastRowLastColumn="0"/>
            </w:pPr>
            <w:r w:rsidRPr="00CA605A">
              <w:t>3</w:t>
            </w:r>
          </w:p>
        </w:tc>
      </w:tr>
      <w:tr w:rsidR="00E01C7E" w:rsidTr="006625B8">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E01C7E" w:rsidRPr="00CA605A" w:rsidRDefault="00E01C7E" w:rsidP="006625B8">
            <w:pPr>
              <w:pStyle w:val="Tabletotal"/>
            </w:pPr>
            <w:r w:rsidRPr="00CA605A">
              <w:t>Agriculture total</w:t>
            </w:r>
          </w:p>
        </w:tc>
        <w:tc>
          <w:tcPr>
            <w:tcW w:w="0" w:type="auto"/>
            <w:shd w:val="clear" w:color="auto" w:fill="B8CCE4" w:themeFill="accent1" w:themeFillTint="66"/>
          </w:tcPr>
          <w:p w:rsidR="00E01C7E" w:rsidRPr="00CA605A"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160</w:t>
            </w:r>
          </w:p>
        </w:tc>
        <w:tc>
          <w:tcPr>
            <w:tcW w:w="0" w:type="auto"/>
            <w:shd w:val="clear" w:color="auto" w:fill="B8CCE4" w:themeFill="accent1" w:themeFillTint="66"/>
          </w:tcPr>
          <w:p w:rsidR="00E01C7E" w:rsidRPr="00CA605A"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87</w:t>
            </w:r>
          </w:p>
        </w:tc>
        <w:tc>
          <w:tcPr>
            <w:tcW w:w="0" w:type="auto"/>
            <w:shd w:val="clear" w:color="auto" w:fill="B8CCE4" w:themeFill="accent1" w:themeFillTint="66"/>
          </w:tcPr>
          <w:p w:rsidR="00E01C7E" w:rsidRPr="00CA605A"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85</w:t>
            </w:r>
          </w:p>
        </w:tc>
        <w:tc>
          <w:tcPr>
            <w:tcW w:w="0" w:type="auto"/>
            <w:shd w:val="clear" w:color="auto" w:fill="B8CCE4" w:themeFill="accent1" w:themeFillTint="66"/>
          </w:tcPr>
          <w:p w:rsidR="00E01C7E" w:rsidRPr="00CA605A"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46</w:t>
            </w:r>
          </w:p>
        </w:tc>
        <w:tc>
          <w:tcPr>
            <w:tcW w:w="0" w:type="auto"/>
            <w:shd w:val="clear" w:color="auto" w:fill="B8CCE4" w:themeFill="accent1" w:themeFillTint="66"/>
          </w:tcPr>
          <w:p w:rsidR="00E01C7E" w:rsidRPr="00CA605A"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36</w:t>
            </w:r>
          </w:p>
        </w:tc>
        <w:tc>
          <w:tcPr>
            <w:tcW w:w="0" w:type="auto"/>
            <w:shd w:val="clear" w:color="auto" w:fill="B8CCE4" w:themeFill="accent1" w:themeFillTint="66"/>
          </w:tcPr>
          <w:p w:rsidR="00E01C7E" w:rsidRPr="00CA605A"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31</w:t>
            </w:r>
          </w:p>
        </w:tc>
        <w:tc>
          <w:tcPr>
            <w:tcW w:w="0" w:type="auto"/>
            <w:shd w:val="clear" w:color="auto" w:fill="B8CCE4" w:themeFill="accent1" w:themeFillTint="66"/>
          </w:tcPr>
          <w:p w:rsidR="00E01C7E" w:rsidRPr="00CA605A"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25</w:t>
            </w:r>
          </w:p>
        </w:tc>
        <w:tc>
          <w:tcPr>
            <w:tcW w:w="0" w:type="auto"/>
            <w:shd w:val="clear" w:color="auto" w:fill="B8CCE4" w:themeFill="accent1" w:themeFillTint="66"/>
          </w:tcPr>
          <w:p w:rsidR="00E01C7E" w:rsidRPr="00CA605A"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85</w:t>
            </w:r>
          </w:p>
        </w:tc>
        <w:tc>
          <w:tcPr>
            <w:tcW w:w="0" w:type="auto"/>
            <w:shd w:val="clear" w:color="auto" w:fill="B8CCE4" w:themeFill="accent1" w:themeFillTint="66"/>
          </w:tcPr>
          <w:p w:rsidR="00E01C7E" w:rsidRDefault="00E01C7E" w:rsidP="006625B8">
            <w:pPr>
              <w:pStyle w:val="Tabletotal"/>
              <w:cnfStyle w:val="000000000000" w:firstRow="0" w:lastRow="0" w:firstColumn="0" w:lastColumn="0" w:oddVBand="0" w:evenVBand="0" w:oddHBand="0" w:evenHBand="0" w:firstRowFirstColumn="0" w:firstRowLastColumn="0" w:lastRowFirstColumn="0" w:lastRowLastColumn="0"/>
            </w:pPr>
            <w:r w:rsidRPr="00CA605A">
              <w:t>555</w:t>
            </w:r>
          </w:p>
        </w:tc>
      </w:tr>
    </w:tbl>
    <w:p w:rsidR="00312C4B" w:rsidRDefault="00312C4B" w:rsidP="00556A4B"/>
    <w:p w:rsidR="00556A4B" w:rsidRDefault="00556A4B" w:rsidP="00556A4B">
      <w:r>
        <w:t>Table 12 shows the number of worker fatalities in Agriculture sub-divisions by mechanism of incident. Almost half (45 per cent of fatalities) of all worker fatalities in Agriculture are due to vehicle collisions and rollover of non-road vehicles, 160 and 87 fatalities, respectively.</w:t>
      </w:r>
    </w:p>
    <w:p w:rsidR="00556A4B" w:rsidRDefault="00556A4B" w:rsidP="00556A4B">
      <w:r>
        <w:t xml:space="preserve">Within the Agriculture industry, the Sheep, beef cattle and grain farming industry makes up more than two-thirds (68 per cent) of the number of fatalities (375 out of 555). Of these nearly half (42 per cent) involved vehicle collisions or rollover of non-road vehicles. In this group, the most common vehicles involved in these fatalities were tractors and quad bikes (38 fatalities each) and light vehicles and aircraft (29 fatalities each). </w:t>
      </w:r>
    </w:p>
    <w:p w:rsidR="00556A4B" w:rsidRDefault="00556A4B" w:rsidP="00556A4B">
      <w:r>
        <w:t xml:space="preserve">Further information on fatalities and injuries that occur on Australian farms can be found in the </w:t>
      </w:r>
      <w:r w:rsidRPr="00556A4B">
        <w:rPr>
          <w:i/>
        </w:rPr>
        <w:t>Work-related injuries and fatalities on Australian farms</w:t>
      </w:r>
      <w:r>
        <w:t xml:space="preserve"> report:</w:t>
      </w:r>
    </w:p>
    <w:p w:rsidR="0075723F" w:rsidRDefault="00B53623" w:rsidP="00556A4B">
      <w:hyperlink r:id="rId19" w:history="1">
        <w:r w:rsidR="00556A4B" w:rsidRPr="007C423F">
          <w:rPr>
            <w:rStyle w:val="Hyperlink"/>
          </w:rPr>
          <w:t>http://www.safeworkaustralia.gov.au/sites/SWA/about/Publications/Documents/759/Work-related-injuries-fatalities-farms.pdf</w:t>
        </w:r>
      </w:hyperlink>
    </w:p>
    <w:p w:rsidR="00FB7F1B" w:rsidRPr="00556A4B" w:rsidRDefault="00FB7F1B" w:rsidP="00FB7F1B">
      <w:r w:rsidRPr="00556A4B">
        <w:t>Over the period from 2003 to 2015, 77 per cent (449 fatalities) of all road transport fatalities involved vehicle collisions, with the vast majority (93 per cent) occurring in the road freight transport industry.</w:t>
      </w:r>
    </w:p>
    <w:p w:rsidR="0075723F" w:rsidRPr="005E6422" w:rsidRDefault="00556A4B" w:rsidP="0075723F">
      <w:pPr>
        <w:pStyle w:val="Heading4"/>
      </w:pPr>
      <w:r>
        <w:t xml:space="preserve">Table 13: </w:t>
      </w:r>
      <w:r w:rsidRPr="00556A4B">
        <w:t>Worker fatalities: Road transport sub-divisions by mechanism of incident, 2003 to 2015 (combined)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3: Worker fatalities: Road transport sub-divisions by mechanism of incident, 2003 to 2015 (combined)"/>
        <w:tblDescription w:val="Table 13: Worker fatalities: Road transport sub-divisions by mechanism of incident, 2003 to 2015 (combined)"/>
      </w:tblPr>
      <w:tblGrid>
        <w:gridCol w:w="1461"/>
        <w:gridCol w:w="996"/>
        <w:gridCol w:w="1124"/>
        <w:gridCol w:w="1096"/>
        <w:gridCol w:w="1707"/>
        <w:gridCol w:w="900"/>
        <w:gridCol w:w="1442"/>
        <w:gridCol w:w="643"/>
        <w:gridCol w:w="599"/>
      </w:tblGrid>
      <w:tr w:rsidR="00556A4B" w:rsidRPr="00556A4B"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556A4B" w:rsidRPr="00556A4B" w:rsidRDefault="00556A4B" w:rsidP="00D36746">
            <w:pPr>
              <w:pStyle w:val="HeaderRow"/>
            </w:pPr>
            <w:bookmarkStart w:id="41" w:name="_Toc442274038"/>
            <w:bookmarkStart w:id="42" w:name="_Toc442340114"/>
            <w:bookmarkStart w:id="43" w:name="_Toc442351446"/>
            <w:r w:rsidRPr="00556A4B">
              <w:t>Industry sub-divisions</w:t>
            </w:r>
          </w:p>
        </w:tc>
        <w:tc>
          <w:tcPr>
            <w:tcW w:w="0" w:type="auto"/>
            <w:shd w:val="clear" w:color="auto" w:fill="B8CCE4" w:themeFill="accent1" w:themeFillTint="66"/>
            <w:vAlign w:val="bottom"/>
          </w:tcPr>
          <w:p w:rsidR="00556A4B" w:rsidRPr="00556A4B" w:rsidRDefault="00556A4B" w:rsidP="00D36746">
            <w:pPr>
              <w:pStyle w:val="HeaderRow"/>
              <w:cnfStyle w:val="000000000000" w:firstRow="0" w:lastRow="0" w:firstColumn="0" w:lastColumn="0" w:oddVBand="0" w:evenVBand="0" w:oddHBand="0" w:evenHBand="0" w:firstRowFirstColumn="0" w:firstRowLastColumn="0" w:lastRowFirstColumn="0" w:lastRowLastColumn="0"/>
            </w:pPr>
            <w:r w:rsidRPr="00556A4B">
              <w:t>Vehicle collision</w:t>
            </w:r>
          </w:p>
        </w:tc>
        <w:tc>
          <w:tcPr>
            <w:tcW w:w="0" w:type="auto"/>
            <w:shd w:val="clear" w:color="auto" w:fill="B8CCE4" w:themeFill="accent1" w:themeFillTint="66"/>
            <w:vAlign w:val="bottom"/>
          </w:tcPr>
          <w:p w:rsidR="00556A4B" w:rsidRPr="00556A4B" w:rsidRDefault="00556A4B" w:rsidP="00D36746">
            <w:pPr>
              <w:pStyle w:val="HeaderRow"/>
              <w:cnfStyle w:val="000000000000" w:firstRow="0" w:lastRow="0" w:firstColumn="0" w:lastColumn="0" w:oddVBand="0" w:evenVBand="0" w:oddHBand="0" w:evenHBand="0" w:firstRowFirstColumn="0" w:firstRowLastColumn="0" w:lastRowFirstColumn="0" w:lastRowLastColumn="0"/>
            </w:pPr>
            <w:r w:rsidRPr="00556A4B">
              <w:t>Being hit by moving objects</w:t>
            </w:r>
          </w:p>
        </w:tc>
        <w:tc>
          <w:tcPr>
            <w:tcW w:w="0" w:type="auto"/>
            <w:shd w:val="clear" w:color="auto" w:fill="B8CCE4" w:themeFill="accent1" w:themeFillTint="66"/>
            <w:vAlign w:val="bottom"/>
          </w:tcPr>
          <w:p w:rsidR="00556A4B" w:rsidRPr="00556A4B" w:rsidRDefault="00556A4B" w:rsidP="00D36746">
            <w:pPr>
              <w:pStyle w:val="HeaderRow"/>
              <w:cnfStyle w:val="000000000000" w:firstRow="0" w:lastRow="0" w:firstColumn="0" w:lastColumn="0" w:oddVBand="0" w:evenVBand="0" w:oddHBand="0" w:evenHBand="0" w:firstRowFirstColumn="0" w:firstRowLastColumn="0" w:lastRowFirstColumn="0" w:lastRowLastColumn="0"/>
            </w:pPr>
            <w:r w:rsidRPr="00556A4B">
              <w:t>Being hit by falling objects</w:t>
            </w:r>
          </w:p>
        </w:tc>
        <w:tc>
          <w:tcPr>
            <w:tcW w:w="0" w:type="auto"/>
            <w:shd w:val="clear" w:color="auto" w:fill="B8CCE4" w:themeFill="accent1" w:themeFillTint="66"/>
            <w:vAlign w:val="bottom"/>
          </w:tcPr>
          <w:p w:rsidR="00556A4B" w:rsidRPr="00556A4B" w:rsidRDefault="00556A4B" w:rsidP="00D36746">
            <w:pPr>
              <w:pStyle w:val="HeaderRow"/>
              <w:cnfStyle w:val="000000000000" w:firstRow="0" w:lastRow="0" w:firstColumn="0" w:lastColumn="0" w:oddVBand="0" w:evenVBand="0" w:oddHBand="0" w:evenHBand="0" w:firstRowFirstColumn="0" w:firstRowLastColumn="0" w:lastRowFirstColumn="0" w:lastRowLastColumn="0"/>
            </w:pPr>
            <w:r w:rsidRPr="00556A4B">
              <w:t>Being trapped between stationary and moving objects</w:t>
            </w:r>
          </w:p>
        </w:tc>
        <w:tc>
          <w:tcPr>
            <w:tcW w:w="0" w:type="auto"/>
            <w:shd w:val="clear" w:color="auto" w:fill="B8CCE4" w:themeFill="accent1" w:themeFillTint="66"/>
            <w:vAlign w:val="bottom"/>
          </w:tcPr>
          <w:p w:rsidR="00556A4B" w:rsidRPr="00556A4B" w:rsidRDefault="00556A4B" w:rsidP="00D36746">
            <w:pPr>
              <w:pStyle w:val="HeaderRow"/>
              <w:cnfStyle w:val="000000000000" w:firstRow="0" w:lastRow="0" w:firstColumn="0" w:lastColumn="0" w:oddVBand="0" w:evenVBand="0" w:oddHBand="0" w:evenHBand="0" w:firstRowFirstColumn="0" w:firstRowLastColumn="0" w:lastRowFirstColumn="0" w:lastRowLastColumn="0"/>
            </w:pPr>
            <w:r w:rsidRPr="00556A4B">
              <w:t>Falls from a height</w:t>
            </w:r>
          </w:p>
        </w:tc>
        <w:tc>
          <w:tcPr>
            <w:tcW w:w="0" w:type="auto"/>
            <w:shd w:val="clear" w:color="auto" w:fill="B8CCE4" w:themeFill="accent1" w:themeFillTint="66"/>
            <w:vAlign w:val="bottom"/>
          </w:tcPr>
          <w:p w:rsidR="00556A4B" w:rsidRPr="00556A4B" w:rsidRDefault="00556A4B" w:rsidP="00D36746">
            <w:pPr>
              <w:pStyle w:val="HeaderRow"/>
              <w:cnfStyle w:val="000000000000" w:firstRow="0" w:lastRow="0" w:firstColumn="0" w:lastColumn="0" w:oddVBand="0" w:evenVBand="0" w:oddHBand="0" w:evenHBand="0" w:firstRowFirstColumn="0" w:firstRowLastColumn="0" w:lastRowFirstColumn="0" w:lastRowLastColumn="0"/>
            </w:pPr>
            <w:r w:rsidRPr="00556A4B">
              <w:t>Being trapped by moving machinery</w:t>
            </w:r>
          </w:p>
        </w:tc>
        <w:tc>
          <w:tcPr>
            <w:tcW w:w="0" w:type="auto"/>
            <w:shd w:val="clear" w:color="auto" w:fill="B8CCE4" w:themeFill="accent1" w:themeFillTint="66"/>
            <w:vAlign w:val="bottom"/>
          </w:tcPr>
          <w:p w:rsidR="00556A4B" w:rsidRPr="00556A4B" w:rsidRDefault="00556A4B" w:rsidP="00D36746">
            <w:pPr>
              <w:pStyle w:val="HeaderRow"/>
              <w:cnfStyle w:val="000000000000" w:firstRow="0" w:lastRow="0" w:firstColumn="0" w:lastColumn="0" w:oddVBand="0" w:evenVBand="0" w:oddHBand="0" w:evenHBand="0" w:firstRowFirstColumn="0" w:firstRowLastColumn="0" w:lastRowFirstColumn="0" w:lastRowLastColumn="0"/>
            </w:pPr>
            <w:r w:rsidRPr="00556A4B">
              <w:t>Other</w:t>
            </w:r>
          </w:p>
        </w:tc>
        <w:tc>
          <w:tcPr>
            <w:tcW w:w="0" w:type="auto"/>
            <w:shd w:val="clear" w:color="auto" w:fill="B8CCE4" w:themeFill="accent1" w:themeFillTint="66"/>
            <w:vAlign w:val="bottom"/>
          </w:tcPr>
          <w:p w:rsidR="00556A4B" w:rsidRPr="00556A4B" w:rsidRDefault="00556A4B" w:rsidP="00D36746">
            <w:pPr>
              <w:pStyle w:val="HeaderRow"/>
              <w:cnfStyle w:val="000000000000" w:firstRow="0" w:lastRow="0" w:firstColumn="0" w:lastColumn="0" w:oddVBand="0" w:evenVBand="0" w:oddHBand="0" w:evenHBand="0" w:firstRowFirstColumn="0" w:firstRowLastColumn="0" w:lastRowFirstColumn="0" w:lastRowLastColumn="0"/>
            </w:pPr>
            <w:r w:rsidRPr="00556A4B">
              <w:t>Total</w:t>
            </w:r>
          </w:p>
        </w:tc>
      </w:tr>
      <w:tr w:rsidR="00556A4B" w:rsidTr="00ED4143">
        <w:tc>
          <w:tcPr>
            <w:cnfStyle w:val="001000000000" w:firstRow="0" w:lastRow="0" w:firstColumn="1" w:lastColumn="0" w:oddVBand="0" w:evenVBand="0" w:oddHBand="0" w:evenHBand="0" w:firstRowFirstColumn="0" w:firstRowLastColumn="0" w:lastRowFirstColumn="0" w:lastRowLastColumn="0"/>
            <w:tcW w:w="0" w:type="auto"/>
            <w:vAlign w:val="top"/>
          </w:tcPr>
          <w:p w:rsidR="00556A4B" w:rsidRPr="00703B2C" w:rsidRDefault="00556A4B" w:rsidP="00ED4143">
            <w:pPr>
              <w:pStyle w:val="HeaderRow"/>
            </w:pPr>
            <w:r w:rsidRPr="00703B2C">
              <w:t>Road freight transport</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418</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35</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23</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17</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13</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5</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24</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535</w:t>
            </w:r>
          </w:p>
        </w:tc>
      </w:tr>
      <w:tr w:rsidR="00556A4B" w:rsidTr="00ED4143">
        <w:tc>
          <w:tcPr>
            <w:cnfStyle w:val="001000000000" w:firstRow="0" w:lastRow="0" w:firstColumn="1" w:lastColumn="0" w:oddVBand="0" w:evenVBand="0" w:oddHBand="0" w:evenHBand="0" w:firstRowFirstColumn="0" w:firstRowLastColumn="0" w:lastRowFirstColumn="0" w:lastRowLastColumn="0"/>
            <w:tcW w:w="0" w:type="auto"/>
            <w:vAlign w:val="top"/>
          </w:tcPr>
          <w:p w:rsidR="00556A4B" w:rsidRPr="00703B2C" w:rsidRDefault="00556A4B" w:rsidP="00ED4143">
            <w:pPr>
              <w:pStyle w:val="HeaderRow"/>
            </w:pPr>
            <w:r w:rsidRPr="00703B2C">
              <w:t>Road passenger transport</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31</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7</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1</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1</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5</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3</w:t>
            </w:r>
          </w:p>
        </w:tc>
        <w:tc>
          <w:tcPr>
            <w:tcW w:w="0" w:type="auto"/>
            <w:vAlign w:val="bottom"/>
          </w:tcPr>
          <w:p w:rsidR="00556A4B" w:rsidRPr="00703B2C" w:rsidRDefault="00556A4B" w:rsidP="00ED4143">
            <w:pPr>
              <w:pStyle w:val="HeaderRow"/>
              <w:cnfStyle w:val="000000000000" w:firstRow="0" w:lastRow="0" w:firstColumn="0" w:lastColumn="0" w:oddVBand="0" w:evenVBand="0" w:oddHBand="0" w:evenHBand="0" w:firstRowFirstColumn="0" w:firstRowLastColumn="0" w:lastRowFirstColumn="0" w:lastRowLastColumn="0"/>
            </w:pPr>
            <w:r w:rsidRPr="00703B2C">
              <w:t>48</w:t>
            </w:r>
          </w:p>
        </w:tc>
      </w:tr>
      <w:tr w:rsidR="00556A4B" w:rsidTr="00ED4143">
        <w:tc>
          <w:tcPr>
            <w:cnfStyle w:val="001000000000" w:firstRow="0" w:lastRow="0" w:firstColumn="1" w:lastColumn="0" w:oddVBand="0" w:evenVBand="0" w:oddHBand="0" w:evenHBand="0" w:firstRowFirstColumn="0" w:firstRowLastColumn="0" w:lastRowFirstColumn="0" w:lastRowLastColumn="0"/>
            <w:tcW w:w="0" w:type="auto"/>
            <w:vAlign w:val="top"/>
          </w:tcPr>
          <w:p w:rsidR="00556A4B" w:rsidRPr="00703B2C" w:rsidRDefault="00556A4B" w:rsidP="00ED4143">
            <w:pPr>
              <w:pStyle w:val="Tablerowheading2"/>
            </w:pPr>
            <w:r w:rsidRPr="00703B2C">
              <w:t>Taxi and other road transport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24</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4</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3</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31</w:t>
            </w:r>
          </w:p>
        </w:tc>
      </w:tr>
      <w:tr w:rsidR="00556A4B" w:rsidTr="00ED4143">
        <w:tc>
          <w:tcPr>
            <w:cnfStyle w:val="001000000000" w:firstRow="0" w:lastRow="0" w:firstColumn="1" w:lastColumn="0" w:oddVBand="0" w:evenVBand="0" w:oddHBand="0" w:evenHBand="0" w:firstRowFirstColumn="0" w:firstRowLastColumn="0" w:lastRowFirstColumn="0" w:lastRowLastColumn="0"/>
            <w:tcW w:w="0" w:type="auto"/>
            <w:vAlign w:val="top"/>
          </w:tcPr>
          <w:p w:rsidR="00556A4B" w:rsidRPr="00703B2C" w:rsidRDefault="00556A4B" w:rsidP="00ED4143">
            <w:pPr>
              <w:pStyle w:val="Tablerowheading2"/>
            </w:pPr>
            <w:r w:rsidRPr="00703B2C">
              <w:t>Urban bus transport (including tramway)</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5</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2</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1</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3</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0</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11</w:t>
            </w:r>
          </w:p>
        </w:tc>
      </w:tr>
      <w:tr w:rsidR="00556A4B" w:rsidTr="00ED4143">
        <w:tc>
          <w:tcPr>
            <w:cnfStyle w:val="001000000000" w:firstRow="0" w:lastRow="0" w:firstColumn="1" w:lastColumn="0" w:oddVBand="0" w:evenVBand="0" w:oddHBand="0" w:evenHBand="0" w:firstRowFirstColumn="0" w:firstRowLastColumn="0" w:lastRowFirstColumn="0" w:lastRowLastColumn="0"/>
            <w:tcW w:w="0" w:type="auto"/>
            <w:vAlign w:val="top"/>
          </w:tcPr>
          <w:p w:rsidR="00556A4B" w:rsidRPr="00703B2C" w:rsidRDefault="00556A4B" w:rsidP="00ED4143">
            <w:pPr>
              <w:pStyle w:val="Tablerowheading2"/>
            </w:pPr>
            <w:r w:rsidRPr="00703B2C">
              <w:t>Interurban and rural bus transport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2</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1</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1</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2</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0</w:t>
            </w:r>
          </w:p>
        </w:tc>
        <w:tc>
          <w:tcPr>
            <w:tcW w:w="0" w:type="auto"/>
            <w:vAlign w:val="bottom"/>
          </w:tcPr>
          <w:p w:rsidR="00556A4B" w:rsidRPr="00703B2C" w:rsidRDefault="00556A4B" w:rsidP="00ED4143">
            <w:pPr>
              <w:pStyle w:val="Tablerowheading2"/>
              <w:cnfStyle w:val="000000000000" w:firstRow="0" w:lastRow="0" w:firstColumn="0" w:lastColumn="0" w:oddVBand="0" w:evenVBand="0" w:oddHBand="0" w:evenHBand="0" w:firstRowFirstColumn="0" w:firstRowLastColumn="0" w:lastRowFirstColumn="0" w:lastRowLastColumn="0"/>
            </w:pPr>
            <w:r w:rsidRPr="00703B2C">
              <w:t>6</w:t>
            </w:r>
          </w:p>
        </w:tc>
      </w:tr>
      <w:tr w:rsidR="00556A4B" w:rsidRPr="00556A4B" w:rsidTr="006625B8">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556A4B" w:rsidRPr="00556A4B" w:rsidRDefault="00312C4B" w:rsidP="006625B8">
            <w:pPr>
              <w:pStyle w:val="Tabletotal"/>
            </w:pPr>
            <w:r>
              <w:t>Road transport t</w:t>
            </w:r>
            <w:r w:rsidR="00556A4B" w:rsidRPr="00556A4B">
              <w:t>otal</w:t>
            </w:r>
          </w:p>
        </w:tc>
        <w:tc>
          <w:tcPr>
            <w:tcW w:w="0" w:type="auto"/>
            <w:shd w:val="clear" w:color="auto" w:fill="B8CCE4" w:themeFill="accent1" w:themeFillTint="66"/>
          </w:tcPr>
          <w:p w:rsidR="00556A4B" w:rsidRPr="00556A4B" w:rsidRDefault="00556A4B" w:rsidP="006625B8">
            <w:pPr>
              <w:pStyle w:val="Tabletotal"/>
              <w:cnfStyle w:val="000000000000" w:firstRow="0" w:lastRow="0" w:firstColumn="0" w:lastColumn="0" w:oddVBand="0" w:evenVBand="0" w:oddHBand="0" w:evenHBand="0" w:firstRowFirstColumn="0" w:firstRowLastColumn="0" w:lastRowFirstColumn="0" w:lastRowLastColumn="0"/>
            </w:pPr>
            <w:r w:rsidRPr="00556A4B">
              <w:t>449</w:t>
            </w:r>
          </w:p>
        </w:tc>
        <w:tc>
          <w:tcPr>
            <w:tcW w:w="0" w:type="auto"/>
            <w:shd w:val="clear" w:color="auto" w:fill="B8CCE4" w:themeFill="accent1" w:themeFillTint="66"/>
          </w:tcPr>
          <w:p w:rsidR="00556A4B" w:rsidRPr="00556A4B" w:rsidRDefault="00556A4B" w:rsidP="006625B8">
            <w:pPr>
              <w:pStyle w:val="Tabletotal"/>
              <w:cnfStyle w:val="000000000000" w:firstRow="0" w:lastRow="0" w:firstColumn="0" w:lastColumn="0" w:oddVBand="0" w:evenVBand="0" w:oddHBand="0" w:evenHBand="0" w:firstRowFirstColumn="0" w:firstRowLastColumn="0" w:lastRowFirstColumn="0" w:lastRowLastColumn="0"/>
            </w:pPr>
            <w:r w:rsidRPr="00556A4B">
              <w:t>42</w:t>
            </w:r>
          </w:p>
        </w:tc>
        <w:tc>
          <w:tcPr>
            <w:tcW w:w="0" w:type="auto"/>
            <w:shd w:val="clear" w:color="auto" w:fill="B8CCE4" w:themeFill="accent1" w:themeFillTint="66"/>
          </w:tcPr>
          <w:p w:rsidR="00556A4B" w:rsidRPr="00556A4B" w:rsidRDefault="00556A4B" w:rsidP="006625B8">
            <w:pPr>
              <w:pStyle w:val="Tabletotal"/>
              <w:cnfStyle w:val="000000000000" w:firstRow="0" w:lastRow="0" w:firstColumn="0" w:lastColumn="0" w:oddVBand="0" w:evenVBand="0" w:oddHBand="0" w:evenHBand="0" w:firstRowFirstColumn="0" w:firstRowLastColumn="0" w:lastRowFirstColumn="0" w:lastRowLastColumn="0"/>
            </w:pPr>
            <w:r w:rsidRPr="00556A4B">
              <w:t>24</w:t>
            </w:r>
          </w:p>
        </w:tc>
        <w:tc>
          <w:tcPr>
            <w:tcW w:w="0" w:type="auto"/>
            <w:shd w:val="clear" w:color="auto" w:fill="B8CCE4" w:themeFill="accent1" w:themeFillTint="66"/>
          </w:tcPr>
          <w:p w:rsidR="00556A4B" w:rsidRPr="00556A4B" w:rsidRDefault="00556A4B" w:rsidP="006625B8">
            <w:pPr>
              <w:pStyle w:val="Tabletotal"/>
              <w:cnfStyle w:val="000000000000" w:firstRow="0" w:lastRow="0" w:firstColumn="0" w:lastColumn="0" w:oddVBand="0" w:evenVBand="0" w:oddHBand="0" w:evenHBand="0" w:firstRowFirstColumn="0" w:firstRowLastColumn="0" w:lastRowFirstColumn="0" w:lastRowLastColumn="0"/>
            </w:pPr>
            <w:r w:rsidRPr="00556A4B">
              <w:t>17</w:t>
            </w:r>
          </w:p>
        </w:tc>
        <w:tc>
          <w:tcPr>
            <w:tcW w:w="0" w:type="auto"/>
            <w:shd w:val="clear" w:color="auto" w:fill="B8CCE4" w:themeFill="accent1" w:themeFillTint="66"/>
          </w:tcPr>
          <w:p w:rsidR="00556A4B" w:rsidRPr="00556A4B" w:rsidRDefault="00556A4B" w:rsidP="006625B8">
            <w:pPr>
              <w:pStyle w:val="Tabletotal"/>
              <w:cnfStyle w:val="000000000000" w:firstRow="0" w:lastRow="0" w:firstColumn="0" w:lastColumn="0" w:oddVBand="0" w:evenVBand="0" w:oddHBand="0" w:evenHBand="0" w:firstRowFirstColumn="0" w:firstRowLastColumn="0" w:lastRowFirstColumn="0" w:lastRowLastColumn="0"/>
            </w:pPr>
            <w:r w:rsidRPr="00556A4B">
              <w:t>14</w:t>
            </w:r>
          </w:p>
        </w:tc>
        <w:tc>
          <w:tcPr>
            <w:tcW w:w="0" w:type="auto"/>
            <w:shd w:val="clear" w:color="auto" w:fill="B8CCE4" w:themeFill="accent1" w:themeFillTint="66"/>
          </w:tcPr>
          <w:p w:rsidR="00556A4B" w:rsidRPr="00556A4B" w:rsidRDefault="00556A4B" w:rsidP="006625B8">
            <w:pPr>
              <w:pStyle w:val="Tabletotal"/>
              <w:cnfStyle w:val="000000000000" w:firstRow="0" w:lastRow="0" w:firstColumn="0" w:lastColumn="0" w:oddVBand="0" w:evenVBand="0" w:oddHBand="0" w:evenHBand="0" w:firstRowFirstColumn="0" w:firstRowLastColumn="0" w:lastRowFirstColumn="0" w:lastRowLastColumn="0"/>
            </w:pPr>
            <w:r w:rsidRPr="00556A4B">
              <w:t>10</w:t>
            </w:r>
          </w:p>
        </w:tc>
        <w:tc>
          <w:tcPr>
            <w:tcW w:w="0" w:type="auto"/>
            <w:shd w:val="clear" w:color="auto" w:fill="B8CCE4" w:themeFill="accent1" w:themeFillTint="66"/>
          </w:tcPr>
          <w:p w:rsidR="00556A4B" w:rsidRPr="00556A4B" w:rsidRDefault="00556A4B" w:rsidP="006625B8">
            <w:pPr>
              <w:pStyle w:val="Tabletotal"/>
              <w:cnfStyle w:val="000000000000" w:firstRow="0" w:lastRow="0" w:firstColumn="0" w:lastColumn="0" w:oddVBand="0" w:evenVBand="0" w:oddHBand="0" w:evenHBand="0" w:firstRowFirstColumn="0" w:firstRowLastColumn="0" w:lastRowFirstColumn="0" w:lastRowLastColumn="0"/>
            </w:pPr>
            <w:r w:rsidRPr="00556A4B">
              <w:t>27</w:t>
            </w:r>
          </w:p>
        </w:tc>
        <w:tc>
          <w:tcPr>
            <w:tcW w:w="0" w:type="auto"/>
            <w:shd w:val="clear" w:color="auto" w:fill="B8CCE4" w:themeFill="accent1" w:themeFillTint="66"/>
          </w:tcPr>
          <w:p w:rsidR="00556A4B" w:rsidRPr="00556A4B" w:rsidRDefault="00556A4B" w:rsidP="006625B8">
            <w:pPr>
              <w:pStyle w:val="Tabletotal"/>
              <w:cnfStyle w:val="000000000000" w:firstRow="0" w:lastRow="0" w:firstColumn="0" w:lastColumn="0" w:oddVBand="0" w:evenVBand="0" w:oddHBand="0" w:evenHBand="0" w:firstRowFirstColumn="0" w:firstRowLastColumn="0" w:lastRowFirstColumn="0" w:lastRowLastColumn="0"/>
            </w:pPr>
            <w:r w:rsidRPr="00556A4B">
              <w:t>583</w:t>
            </w:r>
          </w:p>
        </w:tc>
      </w:tr>
    </w:tbl>
    <w:p w:rsidR="00556A4B" w:rsidRPr="00556A4B" w:rsidRDefault="00556A4B" w:rsidP="00383468">
      <w:pPr>
        <w:pStyle w:val="Footnote"/>
      </w:pPr>
    </w:p>
    <w:p w:rsidR="006625B8" w:rsidRDefault="006625B8">
      <w:r>
        <w:br w:type="page"/>
      </w:r>
    </w:p>
    <w:bookmarkEnd w:id="41"/>
    <w:bookmarkEnd w:id="42"/>
    <w:bookmarkEnd w:id="43"/>
    <w:p w:rsidR="00597C3B" w:rsidRDefault="00597C3B" w:rsidP="00597C3B">
      <w:r>
        <w:lastRenderedPageBreak/>
        <w:t xml:space="preserve">Table 14 shows the mechanism with the highest number of worker fatalities in the Construction industry is falls from a height. These fatalities account for almost one-third (133 out of 469 fatalities) in the industry. </w:t>
      </w:r>
    </w:p>
    <w:p w:rsidR="00597C3B" w:rsidRDefault="00597C3B" w:rsidP="00597C3B">
      <w:r>
        <w:t xml:space="preserve">Within the Construction industry, Construction services recorded the highest number of fatalities with 309, of which 89 were due to falls from a height. Workers in this industry are involved in </w:t>
      </w:r>
      <w:r w:rsidRPr="00312C4B">
        <w:t>earthmoving and excavation, concreting, bricklaying, roofing, plumbing and electrical and carpentry services.</w:t>
      </w:r>
      <w:r>
        <w:rPr>
          <w:color w:val="FF0000"/>
        </w:rPr>
        <w:t xml:space="preserve"> </w:t>
      </w:r>
    </w:p>
    <w:p w:rsidR="00597C3B" w:rsidRDefault="00597C3B" w:rsidP="00597C3B">
      <w:r>
        <w:t>Building installation services recorded the highest number of fatalities from contact with electricity (38 fatalities). Workers in this industry are primarily involved with plumbing, electrical, heating and air conditioning installation.</w:t>
      </w:r>
    </w:p>
    <w:p w:rsidR="00597C3B" w:rsidRDefault="00597C3B" w:rsidP="00597C3B">
      <w:r>
        <w:t xml:space="preserve">For further information on fatalities and injuries refer to the </w:t>
      </w:r>
      <w:r>
        <w:rPr>
          <w:i/>
        </w:rPr>
        <w:t xml:space="preserve">Work-related injuries and fatalities in Construction, 2003 to 2013 </w:t>
      </w:r>
      <w:r>
        <w:t>report:</w:t>
      </w:r>
    </w:p>
    <w:p w:rsidR="00597C3B" w:rsidRDefault="00B53623" w:rsidP="00597C3B">
      <w:pPr>
        <w:pStyle w:val="Caption"/>
        <w:rPr>
          <w:rStyle w:val="Hyperlink"/>
        </w:rPr>
      </w:pPr>
      <w:hyperlink r:id="rId20" w:history="1">
        <w:r w:rsidR="00597C3B" w:rsidRPr="00334A5F">
          <w:rPr>
            <w:rStyle w:val="Hyperlink"/>
          </w:rPr>
          <w:t>http://www.safeworkaustralia.gov.au/sites/SWA/about/Publications/Documents/926/fatalities-in-construction.pdf</w:t>
        </w:r>
      </w:hyperlink>
    </w:p>
    <w:p w:rsidR="00597C3B" w:rsidRDefault="00597C3B" w:rsidP="00556A4B">
      <w:pPr>
        <w:pStyle w:val="Heading4"/>
      </w:pPr>
    </w:p>
    <w:p w:rsidR="00556A4B" w:rsidRPr="005E6422" w:rsidRDefault="00556A4B" w:rsidP="00556A4B">
      <w:pPr>
        <w:pStyle w:val="Heading4"/>
      </w:pPr>
      <w:r>
        <w:t>Table 1</w:t>
      </w:r>
      <w:r w:rsidR="00080ADD">
        <w:t>4</w:t>
      </w:r>
      <w:r>
        <w:t xml:space="preserve">: </w:t>
      </w:r>
      <w:r w:rsidR="00080ADD" w:rsidRPr="00080ADD">
        <w:t>Worker fatalities: Construction sub-divisions by mechanism of incident, 2003 to 2015 (combined)</w:t>
      </w:r>
    </w:p>
    <w:tbl>
      <w:tblPr>
        <w:tblStyle w:val="TableGrid"/>
        <w:tblW w:w="10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Worker fatalities: Construction sub-divisions by mechanism of incident, 2003 to 2015 (combined)"/>
        <w:tblDescription w:val="Table 14: Worker fatalities: Construction sub-divisions by mechanism of incident, 2003 to 2015 (combined)"/>
      </w:tblPr>
      <w:tblGrid>
        <w:gridCol w:w="1586"/>
        <w:gridCol w:w="797"/>
        <w:gridCol w:w="930"/>
        <w:gridCol w:w="1071"/>
        <w:gridCol w:w="952"/>
        <w:gridCol w:w="934"/>
        <w:gridCol w:w="1339"/>
        <w:gridCol w:w="1227"/>
        <w:gridCol w:w="643"/>
        <w:gridCol w:w="599"/>
      </w:tblGrid>
      <w:tr w:rsidR="00080ADD" w:rsidRPr="00ED4143" w:rsidTr="005B1996">
        <w:trPr>
          <w:tblHeader/>
        </w:trPr>
        <w:tc>
          <w:tcPr>
            <w:cnfStyle w:val="001000000000" w:firstRow="0" w:lastRow="0" w:firstColumn="1" w:lastColumn="0" w:oddVBand="0" w:evenVBand="0" w:oddHBand="0" w:evenHBand="0" w:firstRowFirstColumn="0" w:firstRowLastColumn="0" w:lastRowFirstColumn="0" w:lastRowLastColumn="0"/>
            <w:tcW w:w="1587" w:type="dxa"/>
            <w:shd w:val="clear" w:color="auto" w:fill="B8CCE4" w:themeFill="accent1" w:themeFillTint="66"/>
            <w:vAlign w:val="bottom"/>
          </w:tcPr>
          <w:p w:rsidR="00080ADD" w:rsidRPr="00ED4143" w:rsidRDefault="00080ADD" w:rsidP="00D36746">
            <w:pPr>
              <w:pStyle w:val="HeaderRow"/>
            </w:pPr>
            <w:r w:rsidRPr="00ED4143">
              <w:t>Industry sub-division</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Falls from a height</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 xml:space="preserve">Vehicle </w:t>
            </w:r>
            <w:r w:rsidR="00640BA0">
              <w:t>collision</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Contact with electricity</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Being hit by moving objects</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Being hit by falling objects</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Being trapped between stationary and moving objects</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Being trapped by moving machinery</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Other</w:t>
            </w:r>
          </w:p>
        </w:tc>
        <w:tc>
          <w:tcPr>
            <w:tcW w:w="0" w:type="auto"/>
            <w:shd w:val="clear" w:color="auto" w:fill="B8CCE4" w:themeFill="accent1" w:themeFillTint="66"/>
            <w:vAlign w:val="bottom"/>
          </w:tcPr>
          <w:p w:rsidR="00080ADD" w:rsidRPr="00ED4143" w:rsidRDefault="00080ADD" w:rsidP="00D36746">
            <w:pPr>
              <w:pStyle w:val="HeaderRow"/>
              <w:cnfStyle w:val="000000000000" w:firstRow="0" w:lastRow="0" w:firstColumn="0" w:lastColumn="0" w:oddVBand="0" w:evenVBand="0" w:oddHBand="0" w:evenHBand="0" w:firstRowFirstColumn="0" w:firstRowLastColumn="0" w:lastRowFirstColumn="0" w:lastRowLastColumn="0"/>
            </w:pPr>
            <w:r w:rsidRPr="00ED4143">
              <w:t>Total</w:t>
            </w:r>
          </w:p>
        </w:tc>
      </w:tr>
      <w:tr w:rsidR="00080ADD" w:rsidRPr="0016077F"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16077F" w:rsidRDefault="004D3B47" w:rsidP="00ED4143">
            <w:pPr>
              <w:pStyle w:val="HeaderRow"/>
            </w:pPr>
            <w:r>
              <w:t>Building c</w:t>
            </w:r>
            <w:r w:rsidR="00080ADD" w:rsidRPr="0016077F">
              <w:t>onstruction</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34</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9</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5</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2</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15</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3</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1</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5</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74</w:t>
            </w:r>
          </w:p>
        </w:tc>
      </w:tr>
      <w:tr w:rsidR="00080ADD"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3532C3" w:rsidRDefault="00080ADD" w:rsidP="00ED4143">
            <w:pPr>
              <w:pStyle w:val="Tablerowheading2"/>
            </w:pPr>
            <w:r w:rsidRPr="003532C3">
              <w:t>Non-residential building construction</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10</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7</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2</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28</w:t>
            </w:r>
          </w:p>
        </w:tc>
      </w:tr>
      <w:tr w:rsidR="00080ADD"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3532C3" w:rsidRDefault="00080ADD" w:rsidP="00ED4143">
            <w:pPr>
              <w:pStyle w:val="Tablerowheading2"/>
            </w:pPr>
            <w:r w:rsidRPr="003532C3">
              <w:t>Residential building construction</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24</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8</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46</w:t>
            </w:r>
          </w:p>
        </w:tc>
      </w:tr>
      <w:tr w:rsidR="00080ADD" w:rsidRPr="0016077F"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16077F" w:rsidRDefault="004D3B47" w:rsidP="00ED4143">
            <w:pPr>
              <w:pStyle w:val="HeaderRow"/>
            </w:pPr>
            <w:r>
              <w:t>Construction s</w:t>
            </w:r>
            <w:r w:rsidR="00080ADD" w:rsidRPr="0016077F">
              <w:t>ervices</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89</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44</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57</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28</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31</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16</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15</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29</w:t>
            </w:r>
          </w:p>
        </w:tc>
        <w:tc>
          <w:tcPr>
            <w:tcW w:w="0" w:type="auto"/>
            <w:vAlign w:val="bottom"/>
          </w:tcPr>
          <w:p w:rsidR="00080ADD" w:rsidRPr="0016077F"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16077F">
              <w:t>309</w:t>
            </w:r>
          </w:p>
        </w:tc>
      </w:tr>
      <w:tr w:rsidR="00080ADD"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3532C3" w:rsidRDefault="00080ADD" w:rsidP="00ED4143">
            <w:pPr>
              <w:pStyle w:val="Tablerowheading2"/>
            </w:pPr>
            <w:r w:rsidRPr="003532C3">
              <w:t>Building completion services</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26</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2</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3</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3</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3</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43</w:t>
            </w:r>
          </w:p>
        </w:tc>
      </w:tr>
      <w:tr w:rsidR="00080ADD"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3532C3" w:rsidRDefault="00080ADD" w:rsidP="00ED4143">
            <w:pPr>
              <w:pStyle w:val="Tablerowheading2"/>
            </w:pPr>
            <w:r w:rsidRPr="003532C3">
              <w:t>Building installation services</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12</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38</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72</w:t>
            </w:r>
          </w:p>
        </w:tc>
      </w:tr>
      <w:tr w:rsidR="00080ADD"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3532C3" w:rsidRDefault="00080ADD" w:rsidP="00ED4143">
            <w:pPr>
              <w:pStyle w:val="Tablerowheading2"/>
            </w:pPr>
            <w:r w:rsidRPr="003532C3">
              <w:t>Building structure services</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35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6</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12</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7</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2</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6</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76</w:t>
            </w:r>
          </w:p>
        </w:tc>
      </w:tr>
      <w:tr w:rsidR="00080ADD"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3532C3" w:rsidRDefault="00080ADD" w:rsidP="00ED4143">
            <w:pPr>
              <w:pStyle w:val="Tablerowheading2"/>
            </w:pPr>
            <w:r w:rsidRPr="003532C3">
              <w:t xml:space="preserve">Land development </w:t>
            </w:r>
            <w:r w:rsidR="00247D72">
              <w:t>and</w:t>
            </w:r>
            <w:r w:rsidRPr="003532C3">
              <w:t xml:space="preserve"> site preparation services</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12</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8</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10</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77</w:t>
            </w:r>
          </w:p>
        </w:tc>
      </w:tr>
      <w:tr w:rsidR="00080ADD"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3532C3" w:rsidRDefault="00080ADD" w:rsidP="00ED4143">
            <w:pPr>
              <w:pStyle w:val="Tablerowheading2"/>
            </w:pPr>
            <w:r w:rsidRPr="003532C3">
              <w:t>Other construction services</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8</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12</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3</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5</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1</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7</w:t>
            </w:r>
          </w:p>
        </w:tc>
        <w:tc>
          <w:tcPr>
            <w:tcW w:w="0" w:type="auto"/>
            <w:vAlign w:val="bottom"/>
          </w:tcPr>
          <w:p w:rsidR="00080ADD" w:rsidRPr="003532C3" w:rsidRDefault="00080ADD" w:rsidP="004D3B47">
            <w:pPr>
              <w:pStyle w:val="Tablerowheading2"/>
              <w:cnfStyle w:val="000000000000" w:firstRow="0" w:lastRow="0" w:firstColumn="0" w:lastColumn="0" w:oddVBand="0" w:evenVBand="0" w:oddHBand="0" w:evenHBand="0" w:firstRowFirstColumn="0" w:firstRowLastColumn="0" w:lastRowFirstColumn="0" w:lastRowLastColumn="0"/>
            </w:pPr>
            <w:r w:rsidRPr="003532C3">
              <w:t>41</w:t>
            </w:r>
          </w:p>
        </w:tc>
      </w:tr>
      <w:tr w:rsidR="00080ADD" w:rsidRPr="0016077F" w:rsidTr="004D3B47">
        <w:tc>
          <w:tcPr>
            <w:cnfStyle w:val="001000000000" w:firstRow="0" w:lastRow="0" w:firstColumn="1" w:lastColumn="0" w:oddVBand="0" w:evenVBand="0" w:oddHBand="0" w:evenHBand="0" w:firstRowFirstColumn="0" w:firstRowLastColumn="0" w:lastRowFirstColumn="0" w:lastRowLastColumn="0"/>
            <w:tcW w:w="1587" w:type="dxa"/>
            <w:vAlign w:val="top"/>
          </w:tcPr>
          <w:p w:rsidR="00080ADD" w:rsidRPr="00ED4143" w:rsidRDefault="00080ADD" w:rsidP="00ED4143">
            <w:pPr>
              <w:pStyle w:val="HeaderRow"/>
            </w:pPr>
            <w:r w:rsidRPr="00ED4143">
              <w:t xml:space="preserve">Heavy </w:t>
            </w:r>
            <w:r w:rsidR="00247D72" w:rsidRPr="00ED4143">
              <w:t>and</w:t>
            </w:r>
            <w:r w:rsidR="004D3B47">
              <w:t xml:space="preserve"> civil engineering c</w:t>
            </w:r>
            <w:r w:rsidRPr="00ED4143">
              <w:t>onstruction</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10</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20</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5</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25</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8</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4</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3</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11</w:t>
            </w:r>
          </w:p>
        </w:tc>
        <w:tc>
          <w:tcPr>
            <w:tcW w:w="0" w:type="auto"/>
            <w:vAlign w:val="bottom"/>
          </w:tcPr>
          <w:p w:rsidR="00080ADD" w:rsidRPr="00ED4143" w:rsidRDefault="00080ADD" w:rsidP="004D3B47">
            <w:pPr>
              <w:pStyle w:val="HeaderRow"/>
              <w:cnfStyle w:val="000000000000" w:firstRow="0" w:lastRow="0" w:firstColumn="0" w:lastColumn="0" w:oddVBand="0" w:evenVBand="0" w:oddHBand="0" w:evenHBand="0" w:firstRowFirstColumn="0" w:firstRowLastColumn="0" w:lastRowFirstColumn="0" w:lastRowLastColumn="0"/>
            </w:pPr>
            <w:r w:rsidRPr="00ED4143">
              <w:t>86</w:t>
            </w:r>
          </w:p>
        </w:tc>
      </w:tr>
      <w:tr w:rsidR="00080ADD" w:rsidTr="00847E04">
        <w:tc>
          <w:tcPr>
            <w:cnfStyle w:val="001000000000" w:firstRow="0" w:lastRow="0" w:firstColumn="1" w:lastColumn="0" w:oddVBand="0" w:evenVBand="0" w:oddHBand="0" w:evenHBand="0" w:firstRowFirstColumn="0" w:firstRowLastColumn="0" w:lastRowFirstColumn="0" w:lastRowLastColumn="0"/>
            <w:tcW w:w="1587" w:type="dxa"/>
            <w:shd w:val="clear" w:color="auto" w:fill="B8CCE4" w:themeFill="accent1" w:themeFillTint="66"/>
            <w:vAlign w:val="top"/>
          </w:tcPr>
          <w:p w:rsidR="00080ADD" w:rsidRPr="00312C4B" w:rsidRDefault="00080ADD" w:rsidP="00847E04">
            <w:pPr>
              <w:pStyle w:val="Tabletotal"/>
            </w:pPr>
            <w:r w:rsidRPr="00312C4B">
              <w:t>Construction total</w:t>
            </w:r>
          </w:p>
        </w:tc>
        <w:tc>
          <w:tcPr>
            <w:tcW w:w="0" w:type="auto"/>
            <w:shd w:val="clear" w:color="auto" w:fill="B8CCE4" w:themeFill="accent1" w:themeFillTint="66"/>
            <w:vAlign w:val="bottom"/>
          </w:tcPr>
          <w:p w:rsidR="00080ADD" w:rsidRPr="003532C3"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133</w:t>
            </w:r>
          </w:p>
        </w:tc>
        <w:tc>
          <w:tcPr>
            <w:tcW w:w="0" w:type="auto"/>
            <w:shd w:val="clear" w:color="auto" w:fill="B8CCE4" w:themeFill="accent1" w:themeFillTint="66"/>
            <w:vAlign w:val="bottom"/>
          </w:tcPr>
          <w:p w:rsidR="00080ADD" w:rsidRPr="003532C3"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73</w:t>
            </w:r>
          </w:p>
        </w:tc>
        <w:tc>
          <w:tcPr>
            <w:tcW w:w="0" w:type="auto"/>
            <w:shd w:val="clear" w:color="auto" w:fill="B8CCE4" w:themeFill="accent1" w:themeFillTint="66"/>
            <w:vAlign w:val="bottom"/>
          </w:tcPr>
          <w:p w:rsidR="00080ADD" w:rsidRPr="003532C3"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67</w:t>
            </w:r>
          </w:p>
        </w:tc>
        <w:tc>
          <w:tcPr>
            <w:tcW w:w="0" w:type="auto"/>
            <w:shd w:val="clear" w:color="auto" w:fill="B8CCE4" w:themeFill="accent1" w:themeFillTint="66"/>
            <w:vAlign w:val="bottom"/>
          </w:tcPr>
          <w:p w:rsidR="00080ADD" w:rsidRPr="003532C3"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55</w:t>
            </w:r>
          </w:p>
        </w:tc>
        <w:tc>
          <w:tcPr>
            <w:tcW w:w="0" w:type="auto"/>
            <w:shd w:val="clear" w:color="auto" w:fill="B8CCE4" w:themeFill="accent1" w:themeFillTint="66"/>
            <w:vAlign w:val="bottom"/>
          </w:tcPr>
          <w:p w:rsidR="00080ADD" w:rsidRPr="003532C3"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54</w:t>
            </w:r>
          </w:p>
        </w:tc>
        <w:tc>
          <w:tcPr>
            <w:tcW w:w="0" w:type="auto"/>
            <w:shd w:val="clear" w:color="auto" w:fill="B8CCE4" w:themeFill="accent1" w:themeFillTint="66"/>
            <w:vAlign w:val="bottom"/>
          </w:tcPr>
          <w:p w:rsidR="00080ADD" w:rsidRPr="003532C3"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23</w:t>
            </w:r>
          </w:p>
        </w:tc>
        <w:tc>
          <w:tcPr>
            <w:tcW w:w="0" w:type="auto"/>
            <w:shd w:val="clear" w:color="auto" w:fill="B8CCE4" w:themeFill="accent1" w:themeFillTint="66"/>
            <w:vAlign w:val="bottom"/>
          </w:tcPr>
          <w:p w:rsidR="00080ADD" w:rsidRPr="003532C3"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19</w:t>
            </w:r>
          </w:p>
        </w:tc>
        <w:tc>
          <w:tcPr>
            <w:tcW w:w="0" w:type="auto"/>
            <w:shd w:val="clear" w:color="auto" w:fill="B8CCE4" w:themeFill="accent1" w:themeFillTint="66"/>
            <w:vAlign w:val="bottom"/>
          </w:tcPr>
          <w:p w:rsidR="00080ADD" w:rsidRPr="003532C3"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45</w:t>
            </w:r>
          </w:p>
        </w:tc>
        <w:tc>
          <w:tcPr>
            <w:tcW w:w="0" w:type="auto"/>
            <w:shd w:val="clear" w:color="auto" w:fill="B8CCE4" w:themeFill="accent1" w:themeFillTint="66"/>
            <w:vAlign w:val="bottom"/>
          </w:tcPr>
          <w:p w:rsidR="00080ADD" w:rsidRDefault="00080ADD" w:rsidP="00847E04">
            <w:pPr>
              <w:pStyle w:val="Tabletotal"/>
              <w:cnfStyle w:val="000000000000" w:firstRow="0" w:lastRow="0" w:firstColumn="0" w:lastColumn="0" w:oddVBand="0" w:evenVBand="0" w:oddHBand="0" w:evenHBand="0" w:firstRowFirstColumn="0" w:firstRowLastColumn="0" w:lastRowFirstColumn="0" w:lastRowLastColumn="0"/>
            </w:pPr>
            <w:r w:rsidRPr="003532C3">
              <w:t>469</w:t>
            </w:r>
          </w:p>
        </w:tc>
      </w:tr>
    </w:tbl>
    <w:p w:rsidR="00794575" w:rsidRDefault="00794575" w:rsidP="00383468">
      <w:pPr>
        <w:pStyle w:val="Footnote"/>
      </w:pPr>
    </w:p>
    <w:p w:rsidR="005E0FC8" w:rsidRDefault="005E0FC8">
      <w:pPr>
        <w:rPr>
          <w:sz w:val="28"/>
          <w:szCs w:val="28"/>
        </w:rPr>
      </w:pPr>
      <w:bookmarkStart w:id="44" w:name="_Toc453938289"/>
      <w:bookmarkEnd w:id="39"/>
      <w:r>
        <w:rPr>
          <w:b/>
        </w:rPr>
        <w:br w:type="page"/>
      </w:r>
    </w:p>
    <w:p w:rsidR="004A5DF2" w:rsidRPr="00350405" w:rsidRDefault="004A5DF2" w:rsidP="004A5DF2">
      <w:pPr>
        <w:pStyle w:val="Heading2"/>
        <w:rPr>
          <w:b w:val="0"/>
        </w:rPr>
      </w:pPr>
      <w:bookmarkStart w:id="45" w:name="_Toc460936394"/>
      <w:r>
        <w:rPr>
          <w:b w:val="0"/>
        </w:rPr>
        <w:lastRenderedPageBreak/>
        <w:t>Occupation</w:t>
      </w:r>
      <w:bookmarkEnd w:id="45"/>
    </w:p>
    <w:p w:rsidR="004A5DF2" w:rsidRDefault="004A5DF2" w:rsidP="00847E04">
      <w:r w:rsidRPr="004A5DF2">
        <w:t xml:space="preserve">In 2015, 34 per cent (66 fatalities) of the workers killed were employed as machinery operators and drivers. Labourers accounted for a further 23 per cent (44 fatalities) of fatalities followed by managers (16 per cent – 32 fatalities) and technicians and trades workers (14 per cent – 28 fatalities). For the complete time series see Appendix </w:t>
      </w:r>
      <w:proofErr w:type="spellStart"/>
      <w:r w:rsidRPr="004A5DF2">
        <w:t>A5</w:t>
      </w:r>
      <w:proofErr w:type="spellEnd"/>
      <w:r w:rsidRPr="004A5DF2">
        <w:t>.</w:t>
      </w:r>
    </w:p>
    <w:p w:rsidR="004A5DF2" w:rsidRDefault="004A5DF2" w:rsidP="004A5DF2">
      <w:pPr>
        <w:pStyle w:val="Heading4"/>
      </w:pPr>
      <w:r>
        <w:t xml:space="preserve">Table 15: </w:t>
      </w:r>
      <w:r w:rsidR="005E0FC8">
        <w:t xml:space="preserve">Worker fatalities: </w:t>
      </w:r>
      <w:r w:rsidRPr="004A5DF2">
        <w:t>number of fatalities and fatality rate by occupation, 2003 to 2015 (selected years, sorted by 2015 fatalities)</w:t>
      </w:r>
    </w:p>
    <w:tbl>
      <w:tblPr>
        <w:tblStyle w:val="TableGrid"/>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5: Worker fatalities: number of fatalities and fatality rate by occupation, 2003 to 2015 (selected years, sorted by 2015 fatalities)"/>
        <w:tblDescription w:val="Table 15: Worker fatalities: number of fatalities and fatality rate by occupation, 2003 to 2015 (selected years, sorted by 2015 fatalities)"/>
      </w:tblPr>
      <w:tblGrid>
        <w:gridCol w:w="5079"/>
        <w:gridCol w:w="668"/>
        <w:gridCol w:w="667"/>
        <w:gridCol w:w="667"/>
        <w:gridCol w:w="667"/>
        <w:gridCol w:w="667"/>
        <w:gridCol w:w="667"/>
        <w:gridCol w:w="667"/>
      </w:tblGrid>
      <w:tr w:rsidR="004A5DF2" w:rsidRPr="00921BEB"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4A5DF2" w:rsidRPr="00921BEB" w:rsidRDefault="004A5DF2" w:rsidP="00D36746">
            <w:pPr>
              <w:pStyle w:val="HeaderRow"/>
            </w:pPr>
            <w:r w:rsidRPr="00921BEB">
              <w:t>Occupation</w:t>
            </w:r>
          </w:p>
        </w:tc>
        <w:tc>
          <w:tcPr>
            <w:tcW w:w="0" w:type="auto"/>
            <w:shd w:val="clear" w:color="auto" w:fill="B8CCE4" w:themeFill="accent1" w:themeFillTint="66"/>
          </w:tcPr>
          <w:p w:rsidR="004A5DF2" w:rsidRPr="00921BEB"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921BEB">
              <w:t>2003</w:t>
            </w:r>
          </w:p>
        </w:tc>
        <w:tc>
          <w:tcPr>
            <w:tcW w:w="0" w:type="auto"/>
            <w:shd w:val="clear" w:color="auto" w:fill="B8CCE4" w:themeFill="accent1" w:themeFillTint="66"/>
          </w:tcPr>
          <w:p w:rsidR="004A5DF2" w:rsidRPr="00921BEB"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921BEB">
              <w:t>2005</w:t>
            </w:r>
          </w:p>
        </w:tc>
        <w:tc>
          <w:tcPr>
            <w:tcW w:w="0" w:type="auto"/>
            <w:shd w:val="clear" w:color="auto" w:fill="B8CCE4" w:themeFill="accent1" w:themeFillTint="66"/>
          </w:tcPr>
          <w:p w:rsidR="004A5DF2" w:rsidRPr="00921BEB"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921BEB">
              <w:t>2007</w:t>
            </w:r>
          </w:p>
        </w:tc>
        <w:tc>
          <w:tcPr>
            <w:tcW w:w="0" w:type="auto"/>
            <w:shd w:val="clear" w:color="auto" w:fill="B8CCE4" w:themeFill="accent1" w:themeFillTint="66"/>
          </w:tcPr>
          <w:p w:rsidR="004A5DF2" w:rsidRPr="00921BEB"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921BEB">
              <w:t>2009</w:t>
            </w:r>
          </w:p>
        </w:tc>
        <w:tc>
          <w:tcPr>
            <w:tcW w:w="0" w:type="auto"/>
            <w:shd w:val="clear" w:color="auto" w:fill="B8CCE4" w:themeFill="accent1" w:themeFillTint="66"/>
          </w:tcPr>
          <w:p w:rsidR="004A5DF2" w:rsidRPr="00921BEB"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921BEB">
              <w:t>2011</w:t>
            </w:r>
          </w:p>
        </w:tc>
        <w:tc>
          <w:tcPr>
            <w:tcW w:w="0" w:type="auto"/>
            <w:shd w:val="clear" w:color="auto" w:fill="B8CCE4" w:themeFill="accent1" w:themeFillTint="66"/>
          </w:tcPr>
          <w:p w:rsidR="004A5DF2" w:rsidRPr="00921BEB"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921BEB">
              <w:t>2013</w:t>
            </w:r>
          </w:p>
        </w:tc>
        <w:tc>
          <w:tcPr>
            <w:tcW w:w="0" w:type="auto"/>
            <w:shd w:val="clear" w:color="auto" w:fill="B8CCE4" w:themeFill="accent1" w:themeFillTint="66"/>
          </w:tcPr>
          <w:p w:rsidR="004A5DF2" w:rsidRPr="00921BEB"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921BEB">
              <w:t>2015</w:t>
            </w:r>
          </w:p>
        </w:tc>
      </w:tr>
      <w:tr w:rsidR="004A5DF2" w:rsidRPr="00A438BA" w:rsidTr="006625B8">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4A5DF2" w:rsidRPr="00A438BA" w:rsidRDefault="004A5DF2" w:rsidP="00D36746">
            <w:pPr>
              <w:pStyle w:val="HeaderRow"/>
            </w:pPr>
            <w:r w:rsidRPr="00A438BA">
              <w:t>Number of fatalities</w:t>
            </w:r>
          </w:p>
        </w:tc>
        <w:tc>
          <w:tcPr>
            <w:tcW w:w="0" w:type="auto"/>
            <w:shd w:val="clear" w:color="auto" w:fill="DBE5F1" w:themeFill="accent1" w:themeFillTint="33"/>
            <w:vAlign w:val="top"/>
          </w:tcPr>
          <w:p w:rsidR="004A5DF2" w:rsidRPr="00A438BA"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A438BA">
              <w:t xml:space="preserve"> </w:t>
            </w:r>
          </w:p>
        </w:tc>
        <w:tc>
          <w:tcPr>
            <w:tcW w:w="0" w:type="auto"/>
            <w:shd w:val="clear" w:color="auto" w:fill="DBE5F1" w:themeFill="accent1" w:themeFillTint="33"/>
            <w:vAlign w:val="top"/>
          </w:tcPr>
          <w:p w:rsidR="004A5DF2" w:rsidRPr="00A438BA"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A438BA">
              <w:t xml:space="preserve"> </w:t>
            </w:r>
          </w:p>
        </w:tc>
        <w:tc>
          <w:tcPr>
            <w:tcW w:w="0" w:type="auto"/>
            <w:shd w:val="clear" w:color="auto" w:fill="DBE5F1" w:themeFill="accent1" w:themeFillTint="33"/>
            <w:vAlign w:val="top"/>
          </w:tcPr>
          <w:p w:rsidR="004A5DF2" w:rsidRPr="00A438BA"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A438BA">
              <w:t xml:space="preserve"> </w:t>
            </w:r>
          </w:p>
        </w:tc>
        <w:tc>
          <w:tcPr>
            <w:tcW w:w="0" w:type="auto"/>
            <w:shd w:val="clear" w:color="auto" w:fill="DBE5F1" w:themeFill="accent1" w:themeFillTint="33"/>
            <w:vAlign w:val="top"/>
          </w:tcPr>
          <w:p w:rsidR="004A5DF2" w:rsidRPr="00A438BA"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A438BA">
              <w:t xml:space="preserve"> </w:t>
            </w:r>
          </w:p>
        </w:tc>
        <w:tc>
          <w:tcPr>
            <w:tcW w:w="0" w:type="auto"/>
            <w:shd w:val="clear" w:color="auto" w:fill="DBE5F1" w:themeFill="accent1" w:themeFillTint="33"/>
            <w:vAlign w:val="top"/>
          </w:tcPr>
          <w:p w:rsidR="004A5DF2" w:rsidRPr="00A438BA"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A438BA">
              <w:t xml:space="preserve"> </w:t>
            </w:r>
          </w:p>
        </w:tc>
        <w:tc>
          <w:tcPr>
            <w:tcW w:w="0" w:type="auto"/>
            <w:shd w:val="clear" w:color="auto" w:fill="DBE5F1" w:themeFill="accent1" w:themeFillTint="33"/>
            <w:vAlign w:val="top"/>
          </w:tcPr>
          <w:p w:rsidR="004A5DF2" w:rsidRPr="00A438BA"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A438BA">
              <w:t xml:space="preserve"> </w:t>
            </w:r>
          </w:p>
        </w:tc>
        <w:tc>
          <w:tcPr>
            <w:tcW w:w="0" w:type="auto"/>
            <w:shd w:val="clear" w:color="auto" w:fill="DBE5F1" w:themeFill="accent1" w:themeFillTint="33"/>
            <w:vAlign w:val="top"/>
          </w:tcPr>
          <w:p w:rsidR="004A5DF2" w:rsidRPr="00A438BA" w:rsidRDefault="004A5DF2" w:rsidP="00D36746">
            <w:pPr>
              <w:pStyle w:val="HeaderRow"/>
              <w:cnfStyle w:val="000000000000" w:firstRow="0" w:lastRow="0" w:firstColumn="0" w:lastColumn="0" w:oddVBand="0" w:evenVBand="0" w:oddHBand="0" w:evenHBand="0" w:firstRowFirstColumn="0" w:firstRowLastColumn="0" w:lastRowFirstColumn="0" w:lastRowLastColumn="0"/>
            </w:pPr>
            <w:r w:rsidRPr="00A438BA">
              <w:t xml:space="preserve"> </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HeaderRow"/>
            </w:pPr>
            <w:r w:rsidRPr="00312C4B">
              <w:t xml:space="preserve">Machinery operators </w:t>
            </w:r>
            <w:r w:rsidR="00247D72" w:rsidRPr="00312C4B">
              <w:t>and</w:t>
            </w:r>
            <w:r w:rsidRPr="00312C4B">
              <w:t xml:space="preserve"> drivers</w:t>
            </w:r>
          </w:p>
        </w:tc>
        <w:tc>
          <w:tcPr>
            <w:tcW w:w="0" w:type="auto"/>
            <w:vAlign w:val="bottom"/>
          </w:tcPr>
          <w:p w:rsidR="004A5DF2" w:rsidRPr="002A4B49"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2A4B49">
              <w:t>86</w:t>
            </w:r>
          </w:p>
        </w:tc>
        <w:tc>
          <w:tcPr>
            <w:tcW w:w="0" w:type="auto"/>
            <w:vAlign w:val="bottom"/>
          </w:tcPr>
          <w:p w:rsidR="004A5DF2" w:rsidRPr="002A4B49"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2A4B49">
              <w:t>76</w:t>
            </w:r>
          </w:p>
        </w:tc>
        <w:tc>
          <w:tcPr>
            <w:tcW w:w="0" w:type="auto"/>
            <w:vAlign w:val="bottom"/>
          </w:tcPr>
          <w:p w:rsidR="004A5DF2" w:rsidRPr="002A4B49"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2A4B49">
              <w:t>112</w:t>
            </w:r>
          </w:p>
        </w:tc>
        <w:tc>
          <w:tcPr>
            <w:tcW w:w="0" w:type="auto"/>
            <w:vAlign w:val="bottom"/>
          </w:tcPr>
          <w:p w:rsidR="004A5DF2" w:rsidRPr="002A4B49"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2A4B49">
              <w:t>95</w:t>
            </w:r>
          </w:p>
        </w:tc>
        <w:tc>
          <w:tcPr>
            <w:tcW w:w="0" w:type="auto"/>
            <w:vAlign w:val="bottom"/>
          </w:tcPr>
          <w:p w:rsidR="004A5DF2" w:rsidRPr="002A4B49"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2A4B49">
              <w:t>61</w:t>
            </w:r>
          </w:p>
        </w:tc>
        <w:tc>
          <w:tcPr>
            <w:tcW w:w="0" w:type="auto"/>
            <w:vAlign w:val="bottom"/>
          </w:tcPr>
          <w:p w:rsidR="004A5DF2" w:rsidRPr="002A4B49"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2A4B49">
              <w:t>63</w:t>
            </w:r>
          </w:p>
        </w:tc>
        <w:tc>
          <w:tcPr>
            <w:tcW w:w="0" w:type="auto"/>
            <w:vAlign w:val="bottom"/>
          </w:tcPr>
          <w:p w:rsidR="004A5DF2" w:rsidRPr="002A4B49"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2A4B49">
              <w:t>66</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Road and rail drivers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65</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55</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82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72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46</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49</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42</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Mobile plant operators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11</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8</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6</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16</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Machine and stationary plant operators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11</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9</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8</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8</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Labourers</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61</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42</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56</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40</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41</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41</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44</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Farm, forestry and garden workers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22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15</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16</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16</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11</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20</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Construction and mining labourers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24</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11</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8</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9</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 xml:space="preserve">Technicians </w:t>
            </w:r>
            <w:r w:rsidR="00247D72" w:rsidRPr="00ED4143">
              <w:t>and</w:t>
            </w:r>
            <w:r w:rsidRPr="00ED4143">
              <w:t xml:space="preserve"> trades workers</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31</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43</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55</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37</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43</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29</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28</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Construction trades workers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10</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6</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8</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10</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Automotive and engineering trades workers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10</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10</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11</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11</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7</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proofErr w:type="spellStart"/>
            <w:r w:rsidRPr="002A4B49">
              <w:t>Electrotechnology</w:t>
            </w:r>
            <w:proofErr w:type="spellEnd"/>
            <w:r w:rsidRPr="002A4B49">
              <w:t xml:space="preserve"> and telecommunications trades workers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9</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6</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14</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9</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7</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Managers</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40</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50</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38</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43</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40</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32</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32</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Farmers and farm managers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31</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35</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27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32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34</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27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23</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Professionals</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19</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24</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24</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20</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25</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12</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10</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Design, engineering, science and transport professionals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19</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12</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19</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9</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5</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 xml:space="preserve">Community </w:t>
            </w:r>
            <w:r w:rsidR="00247D72" w:rsidRPr="00ED4143">
              <w:t>and</w:t>
            </w:r>
            <w:r w:rsidRPr="00ED4143">
              <w:t xml:space="preserve"> personal service workers</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11</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12</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10</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14</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10</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14</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8</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Protective service workers</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7</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8</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5</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8</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3</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4</w:t>
            </w:r>
          </w:p>
        </w:tc>
        <w:tc>
          <w:tcPr>
            <w:tcW w:w="0" w:type="auto"/>
            <w:vAlign w:val="bottom"/>
          </w:tcPr>
          <w:p w:rsidR="004A5DF2" w:rsidRPr="002A4B49" w:rsidRDefault="004A5DF2" w:rsidP="00ED4143">
            <w:pPr>
              <w:pStyle w:val="Tablerowheading2"/>
              <w:cnfStyle w:val="000000000000" w:firstRow="0" w:lastRow="0" w:firstColumn="0" w:lastColumn="0" w:oddVBand="0" w:evenVBand="0" w:oddHBand="0" w:evenHBand="0" w:firstRowFirstColumn="0" w:firstRowLastColumn="0" w:lastRowFirstColumn="0" w:lastRowLastColumn="0"/>
            </w:pPr>
            <w:r w:rsidRPr="002A4B49">
              <w:t>..</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Sales workers</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7</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5</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10</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6</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2</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 xml:space="preserve">Clerical </w:t>
            </w:r>
            <w:r w:rsidR="00247D72" w:rsidRPr="00ED4143">
              <w:t>and</w:t>
            </w:r>
            <w:r w:rsidRPr="00ED4143">
              <w:t xml:space="preserve"> administrative workers</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4</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6</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5</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5</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3</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1</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2</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Unknown</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3</w:t>
            </w:r>
          </w:p>
        </w:tc>
        <w:tc>
          <w:tcPr>
            <w:tcW w:w="0" w:type="auto"/>
            <w:vAlign w:val="bottom"/>
          </w:tcPr>
          <w:p w:rsidR="004A5DF2" w:rsidRPr="00ED4143" w:rsidRDefault="004A5DF2" w:rsidP="00ED4143">
            <w:pPr>
              <w:pStyle w:val="HeaderRow"/>
              <w:cnfStyle w:val="000000000000" w:firstRow="0" w:lastRow="0" w:firstColumn="0" w:lastColumn="0" w:oddVBand="0" w:evenVBand="0" w:oddHBand="0" w:evenHBand="0" w:firstRowFirstColumn="0" w:firstRowLastColumn="0" w:lastRowFirstColumn="0" w:lastRowLastColumn="0"/>
            </w:pPr>
            <w:r w:rsidRPr="00ED4143">
              <w:t>3</w:t>
            </w:r>
          </w:p>
        </w:tc>
      </w:tr>
      <w:tr w:rsidR="004A5DF2" w:rsidRPr="00921BEB" w:rsidTr="006625B8">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4A5DF2" w:rsidRPr="00921BEB" w:rsidRDefault="004A5DF2" w:rsidP="006625B8">
            <w:pPr>
              <w:pStyle w:val="Tabletotal"/>
            </w:pPr>
            <w:r w:rsidRPr="00921BEB">
              <w:t>Total*</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259</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258</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310</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258</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224</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201</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195</w:t>
            </w:r>
          </w:p>
        </w:tc>
      </w:tr>
      <w:tr w:rsidR="004A5DF2" w:rsidTr="006625B8">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top"/>
          </w:tcPr>
          <w:p w:rsidR="004A5DF2" w:rsidRPr="002A4B49" w:rsidRDefault="004A5DF2" w:rsidP="00847E04">
            <w:pPr>
              <w:pStyle w:val="Tablerowheading"/>
            </w:pPr>
            <w:r w:rsidRPr="002A4B49">
              <w:t>Fatality rate (deaths per 100 000 workers)</w:t>
            </w:r>
          </w:p>
        </w:tc>
        <w:tc>
          <w:tcPr>
            <w:tcW w:w="0" w:type="auto"/>
            <w:shd w:val="clear" w:color="auto" w:fill="DBE5F1" w:themeFill="accent1" w:themeFillTint="33"/>
            <w:vAlign w:val="bottom"/>
          </w:tcPr>
          <w:p w:rsidR="004A5DF2" w:rsidRPr="002A4B49" w:rsidRDefault="004A5DF2" w:rsidP="00847E04">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bottom"/>
          </w:tcPr>
          <w:p w:rsidR="004A5DF2" w:rsidRPr="002A4B49" w:rsidRDefault="004A5DF2" w:rsidP="00847E04">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bottom"/>
          </w:tcPr>
          <w:p w:rsidR="004A5DF2" w:rsidRPr="002A4B49" w:rsidRDefault="004A5DF2" w:rsidP="00847E04">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bottom"/>
          </w:tcPr>
          <w:p w:rsidR="004A5DF2" w:rsidRPr="002A4B49" w:rsidRDefault="004A5DF2" w:rsidP="00847E04">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bottom"/>
          </w:tcPr>
          <w:p w:rsidR="004A5DF2" w:rsidRPr="002A4B49" w:rsidRDefault="004A5DF2" w:rsidP="00847E04">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bottom"/>
          </w:tcPr>
          <w:p w:rsidR="004A5DF2" w:rsidRPr="002A4B49" w:rsidRDefault="004A5DF2" w:rsidP="00847E04">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bottom"/>
          </w:tcPr>
          <w:p w:rsidR="004A5DF2" w:rsidRPr="002A4B49" w:rsidRDefault="004A5DF2" w:rsidP="00847E04">
            <w:pPr>
              <w:pStyle w:val="Tablerowheading"/>
              <w:cnfStyle w:val="000000000000" w:firstRow="0" w:lastRow="0" w:firstColumn="0" w:lastColumn="0" w:oddVBand="0" w:evenVBand="0" w:oddHBand="0" w:evenHBand="0" w:firstRowFirstColumn="0" w:firstRowLastColumn="0" w:lastRowFirstColumn="0" w:lastRowLastColumn="0"/>
            </w:pPr>
          </w:p>
        </w:tc>
      </w:tr>
      <w:tr w:rsidR="004A5DF2" w:rsidRPr="00921BEB" w:rsidTr="004D3B47">
        <w:trPr>
          <w:trHeight w:val="202"/>
        </w:trPr>
        <w:tc>
          <w:tcPr>
            <w:cnfStyle w:val="001000000000" w:firstRow="0" w:lastRow="0" w:firstColumn="1" w:lastColumn="0" w:oddVBand="0" w:evenVBand="0" w:oddHBand="0" w:evenHBand="0" w:firstRowFirstColumn="0" w:firstRowLastColumn="0" w:lastRowFirstColumn="0" w:lastRowLastColumn="0"/>
            <w:tcW w:w="0" w:type="auto"/>
            <w:vAlign w:val="top"/>
          </w:tcPr>
          <w:p w:rsidR="004A5DF2" w:rsidRPr="00ED4143" w:rsidRDefault="004A5DF2" w:rsidP="00ED4143">
            <w:pPr>
              <w:pStyle w:val="HeaderRow"/>
            </w:pPr>
            <w:r w:rsidRPr="00ED4143">
              <w:t xml:space="preserve">Machinery operators </w:t>
            </w:r>
            <w:r w:rsidR="00247D72" w:rsidRPr="00ED4143">
              <w:t>and</w:t>
            </w:r>
            <w:r w:rsidRPr="00ED4143">
              <w:t xml:space="preserve"> drivers</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13.7</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11.9</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15.7</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13.8</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8.2</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8.1</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8.9</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Road and rail drivers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24.9</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20.7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28.6</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25.0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14.8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15.2</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13.0</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Mobile plant operators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9.3</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6.5</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12.2</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9.1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5.0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4.4</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12.3</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Machine and stationary plant operators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4.0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6.9</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4.1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5.7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4.7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5.0</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921BEB" w:rsidRDefault="004A5DF2" w:rsidP="004D3B47">
            <w:pPr>
              <w:pStyle w:val="HeaderRow"/>
            </w:pPr>
            <w:r w:rsidRPr="00921BEB">
              <w:t>Labourers</w:t>
            </w:r>
          </w:p>
        </w:tc>
        <w:tc>
          <w:tcPr>
            <w:tcW w:w="0" w:type="auto"/>
            <w:vAlign w:val="bottom"/>
          </w:tcPr>
          <w:p w:rsidR="004A5DF2" w:rsidRPr="00921BEB"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921BEB">
              <w:t>5.6</w:t>
            </w:r>
          </w:p>
        </w:tc>
        <w:tc>
          <w:tcPr>
            <w:tcW w:w="0" w:type="auto"/>
            <w:vAlign w:val="bottom"/>
          </w:tcPr>
          <w:p w:rsidR="004A5DF2" w:rsidRPr="00921BEB"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921BEB">
              <w:t>3.8</w:t>
            </w:r>
          </w:p>
        </w:tc>
        <w:tc>
          <w:tcPr>
            <w:tcW w:w="0" w:type="auto"/>
            <w:vAlign w:val="bottom"/>
          </w:tcPr>
          <w:p w:rsidR="004A5DF2" w:rsidRPr="00921BEB"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921BEB">
              <w:t>4.9</w:t>
            </w:r>
          </w:p>
        </w:tc>
        <w:tc>
          <w:tcPr>
            <w:tcW w:w="0" w:type="auto"/>
            <w:vAlign w:val="bottom"/>
          </w:tcPr>
          <w:p w:rsidR="004A5DF2" w:rsidRPr="00921BEB"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921BEB">
              <w:t>3.5</w:t>
            </w:r>
          </w:p>
        </w:tc>
        <w:tc>
          <w:tcPr>
            <w:tcW w:w="0" w:type="auto"/>
            <w:vAlign w:val="bottom"/>
          </w:tcPr>
          <w:p w:rsidR="004A5DF2" w:rsidRPr="00921BEB"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921BEB">
              <w:t>3.6</w:t>
            </w:r>
          </w:p>
        </w:tc>
        <w:tc>
          <w:tcPr>
            <w:tcW w:w="0" w:type="auto"/>
            <w:vAlign w:val="bottom"/>
          </w:tcPr>
          <w:p w:rsidR="004A5DF2" w:rsidRPr="00921BEB"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921BEB">
              <w:t>3.6</w:t>
            </w:r>
          </w:p>
        </w:tc>
        <w:tc>
          <w:tcPr>
            <w:tcW w:w="0" w:type="auto"/>
            <w:vAlign w:val="bottom"/>
          </w:tcPr>
          <w:p w:rsidR="004A5DF2" w:rsidRPr="00921BEB"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921BEB">
              <w:t>3.9</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Farm, forestry and garden workers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15.8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13.2</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13.8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11.1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13.7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11.0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17.2</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Construction and mining labourers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17.8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8.4</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7.8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7.1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5.2</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5.7</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 xml:space="preserve">Technicians </w:t>
            </w:r>
            <w:r w:rsidR="00247D72" w:rsidRPr="00ED4143">
              <w:t>and</w:t>
            </w:r>
            <w:r w:rsidRPr="00ED4143">
              <w:t xml:space="preserve"> trades workers</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2.2</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2.9</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3.5</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2.3</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2.6</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1.7</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1.6</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Construction trades workers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3.3</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5.0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0.8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2.7</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Automotive and engineering trades workers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1.8</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proofErr w:type="spellStart"/>
            <w:r w:rsidRPr="002A4B49">
              <w:t>Electrotechnology</w:t>
            </w:r>
            <w:proofErr w:type="spellEnd"/>
            <w:r w:rsidRPr="002A4B49">
              <w:t xml:space="preserve"> and telecommunications trades workers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4.6</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7.0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6.4</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4.0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2.9</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Managers</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3.5</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4.0</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2.8</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3.1</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2.8</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2.2</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2.1</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F33BCB" w:rsidP="004D3B47">
            <w:pPr>
              <w:pStyle w:val="Tablerowheading2"/>
            </w:pPr>
            <w:r>
              <w:t>Farmers and f</w:t>
            </w:r>
            <w:r w:rsidR="00437498">
              <w:t>arm m</w:t>
            </w:r>
            <w:r w:rsidR="004A5DF2" w:rsidRPr="002A4B49">
              <w:t>anagers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15.7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17.7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13.7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15.9</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20.2</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17.2</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13.8</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Professionals</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1.0</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1.2</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1.1</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0.9</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1.0</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0.5</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0.4</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F33BCB" w:rsidP="004D3B47">
            <w:pPr>
              <w:pStyle w:val="Tablerowheading2"/>
            </w:pPr>
            <w:r>
              <w:t>Design, engineering, science and transport p</w:t>
            </w:r>
            <w:r w:rsidR="004A5DF2" w:rsidRPr="002A4B49">
              <w:t>rofessionals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6.9</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6.5</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3.9</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3.8</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5.0</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2.3</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1.3</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4A5DF2" w:rsidP="004D3B47">
            <w:pPr>
              <w:pStyle w:val="Tablerowheading2"/>
            </w:pPr>
            <w:r w:rsidRPr="002A4B49">
              <w:t xml:space="preserve">Community </w:t>
            </w:r>
            <w:r w:rsidR="00247D72">
              <w:t>and</w:t>
            </w:r>
            <w:r w:rsidRPr="002A4B49">
              <w:t xml:space="preserve"> personal service workers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1.4</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1.4</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1.4</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0.9</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1.2</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0.7</w:t>
            </w:r>
          </w:p>
        </w:tc>
      </w:tr>
      <w:tr w:rsidR="004A5DF2"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2A4B49" w:rsidRDefault="00F33BCB" w:rsidP="004D3B47">
            <w:pPr>
              <w:pStyle w:val="Tablerowheading2"/>
            </w:pPr>
            <w:r>
              <w:t>Protective service w</w:t>
            </w:r>
            <w:r w:rsidR="004A5DF2" w:rsidRPr="002A4B49">
              <w:t>orkers</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5.9</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6.5</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4.1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6.1</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2.2</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2.7</w:t>
            </w:r>
          </w:p>
        </w:tc>
        <w:tc>
          <w:tcPr>
            <w:tcW w:w="0" w:type="auto"/>
            <w:vAlign w:val="bottom"/>
          </w:tcPr>
          <w:p w:rsidR="004A5DF2" w:rsidRPr="002A4B49" w:rsidRDefault="004A5DF2" w:rsidP="004D3B47">
            <w:pPr>
              <w:pStyle w:val="Tablerowheading2"/>
              <w:cnfStyle w:val="000000000000" w:firstRow="0" w:lastRow="0" w:firstColumn="0" w:lastColumn="0" w:oddVBand="0" w:evenVBand="0" w:oddHBand="0" w:evenHBand="0" w:firstRowFirstColumn="0" w:firstRowLastColumn="0" w:lastRowFirstColumn="0" w:lastRowLastColumn="0"/>
            </w:pPr>
            <w:r w:rsidRPr="002A4B49">
              <w:t>..</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Sales workers</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0.7</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0.5</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1.0</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0.4</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0.1</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0.6</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0.2</w:t>
            </w:r>
          </w:p>
        </w:tc>
      </w:tr>
      <w:tr w:rsidR="004A5DF2" w:rsidRPr="00921BEB"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4A5DF2" w:rsidRPr="00ED4143" w:rsidRDefault="004A5DF2" w:rsidP="004D3B47">
            <w:pPr>
              <w:pStyle w:val="HeaderRow"/>
            </w:pPr>
            <w:r w:rsidRPr="00ED4143">
              <w:t xml:space="preserve">Clerical </w:t>
            </w:r>
            <w:r w:rsidR="00247D72" w:rsidRPr="00ED4143">
              <w:t>and</w:t>
            </w:r>
            <w:r w:rsidRPr="00ED4143">
              <w:t xml:space="preserve"> administrative workers</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0.3</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0.4</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0.3</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0.3</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0.2</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0.1</w:t>
            </w:r>
          </w:p>
        </w:tc>
        <w:tc>
          <w:tcPr>
            <w:tcW w:w="0" w:type="auto"/>
            <w:vAlign w:val="bottom"/>
          </w:tcPr>
          <w:p w:rsidR="004A5DF2" w:rsidRPr="00ED4143" w:rsidRDefault="004A5DF2" w:rsidP="004D3B47">
            <w:pPr>
              <w:pStyle w:val="HeaderRow"/>
              <w:cnfStyle w:val="000000000000" w:firstRow="0" w:lastRow="0" w:firstColumn="0" w:lastColumn="0" w:oddVBand="0" w:evenVBand="0" w:oddHBand="0" w:evenHBand="0" w:firstRowFirstColumn="0" w:firstRowLastColumn="0" w:lastRowFirstColumn="0" w:lastRowLastColumn="0"/>
            </w:pPr>
            <w:r w:rsidRPr="00ED4143">
              <w:t>0.1</w:t>
            </w:r>
          </w:p>
        </w:tc>
      </w:tr>
      <w:tr w:rsidR="004A5DF2" w:rsidRPr="00921BEB" w:rsidTr="006625B8">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4A5DF2" w:rsidRPr="00921BEB" w:rsidRDefault="004A5DF2" w:rsidP="006625B8">
            <w:pPr>
              <w:pStyle w:val="Tabletotal"/>
            </w:pPr>
            <w:r w:rsidRPr="00921BEB">
              <w:t>Total</w:t>
            </w:r>
            <w:r w:rsidR="006625B8">
              <w:t>*</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2.7</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2.6</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3.0</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2.4</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2.0</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1.7</w:t>
            </w:r>
          </w:p>
        </w:tc>
        <w:tc>
          <w:tcPr>
            <w:tcW w:w="0" w:type="auto"/>
            <w:shd w:val="clear" w:color="auto" w:fill="B8CCE4" w:themeFill="accent1" w:themeFillTint="66"/>
          </w:tcPr>
          <w:p w:rsidR="004A5DF2" w:rsidRPr="00921BEB" w:rsidRDefault="004A5DF2" w:rsidP="006625B8">
            <w:pPr>
              <w:pStyle w:val="Tabletotal"/>
              <w:cnfStyle w:val="000000000000" w:firstRow="0" w:lastRow="0" w:firstColumn="0" w:lastColumn="0" w:oddVBand="0" w:evenVBand="0" w:oddHBand="0" w:evenHBand="0" w:firstRowFirstColumn="0" w:firstRowLastColumn="0" w:lastRowFirstColumn="0" w:lastRowLastColumn="0"/>
            </w:pPr>
            <w:r w:rsidRPr="00921BEB">
              <w:t>1.6</w:t>
            </w:r>
          </w:p>
        </w:tc>
      </w:tr>
    </w:tbl>
    <w:p w:rsidR="00921BEB" w:rsidRPr="00921BEB" w:rsidRDefault="00921BEB" w:rsidP="00383468">
      <w:pPr>
        <w:pStyle w:val="Footnote"/>
      </w:pPr>
      <w:r w:rsidRPr="00921BEB">
        <w:t>Note: Only selected subcategories are included. Therefore the number of fatalities in the selected subcategories will not add to the category total.</w:t>
      </w:r>
    </w:p>
    <w:p w:rsidR="004A5DF2" w:rsidRPr="00921BEB" w:rsidRDefault="00921BEB" w:rsidP="00383468">
      <w:pPr>
        <w:pStyle w:val="Footnote"/>
      </w:pPr>
      <w:r w:rsidRPr="00921BEB">
        <w:t xml:space="preserve">*Total includes </w:t>
      </w:r>
      <w:proofErr w:type="gramStart"/>
      <w:r w:rsidRPr="00921BEB">
        <w:t>occupations which</w:t>
      </w:r>
      <w:proofErr w:type="gramEnd"/>
      <w:r w:rsidRPr="00921BEB">
        <w:t xml:space="preserve"> are unknown, therefore the sum of figures for each column may not equal the total</w:t>
      </w:r>
      <w:r w:rsidR="00113CA8">
        <w:t>.</w:t>
      </w:r>
    </w:p>
    <w:p w:rsidR="00921BEB" w:rsidRDefault="00921BEB">
      <w:pPr>
        <w:rPr>
          <w:sz w:val="28"/>
          <w:szCs w:val="28"/>
        </w:rPr>
      </w:pPr>
      <w:r>
        <w:rPr>
          <w:b/>
        </w:rPr>
        <w:br w:type="page"/>
      </w:r>
    </w:p>
    <w:p w:rsidR="00921BEB" w:rsidRPr="00350405" w:rsidRDefault="00921BEB" w:rsidP="00921BEB">
      <w:pPr>
        <w:pStyle w:val="Heading2"/>
        <w:rPr>
          <w:b w:val="0"/>
        </w:rPr>
      </w:pPr>
      <w:bookmarkStart w:id="46" w:name="_Toc460936395"/>
      <w:r w:rsidRPr="00921BEB">
        <w:rPr>
          <w:b w:val="0"/>
        </w:rPr>
        <w:lastRenderedPageBreak/>
        <w:t>State/territory of fatality</w:t>
      </w:r>
      <w:bookmarkEnd w:id="46"/>
    </w:p>
    <w:p w:rsidR="00921BEB" w:rsidRPr="00921BEB" w:rsidRDefault="00921BEB" w:rsidP="00F85C5D">
      <w:r w:rsidRPr="00921BEB">
        <w:t>The most populous states accounted for the majority of fatalities over the 13 years of the series. New South Wales accounted for 30 per cent of the worker fatalities followed by Queensland with 25 per cent</w:t>
      </w:r>
      <w:r w:rsidR="00544907">
        <w:t xml:space="preserve"> and Victoria with 20 per cent. </w:t>
      </w:r>
    </w:p>
    <w:p w:rsidR="00921BEB" w:rsidRDefault="00921BEB" w:rsidP="00F85C5D">
      <w:r w:rsidRPr="00921BEB">
        <w:t xml:space="preserve">Table 16 shows in 2015, 60 workers were killed in New South Wales, 49 in Queensland, 35 in Western Australia and 34 in Victoria. </w:t>
      </w:r>
    </w:p>
    <w:p w:rsidR="00921BEB" w:rsidRDefault="00921BEB" w:rsidP="00921BEB">
      <w:pPr>
        <w:pStyle w:val="Heading4"/>
      </w:pPr>
      <w:r>
        <w:t xml:space="preserve">Table 16: </w:t>
      </w:r>
      <w:r w:rsidRPr="00921BEB">
        <w:t xml:space="preserve">Worker fatalities: </w:t>
      </w:r>
      <w:r w:rsidR="005E0FC8">
        <w:t>number and fatality</w:t>
      </w:r>
      <w:r w:rsidRPr="00921BEB">
        <w:t xml:space="preserve"> rate by state/territory of incident, 2003 to 2015 (sorted by total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6: Worker fatalities: number and fatality rate by state/territory of incident, 2003 to 2015 (sorted by total fatalities)"/>
        <w:tblDescription w:val="Table 16: Worker fatalities: number and fatality rate by state/territory of incident, 2003 to 2015 (sorted by total fatalities)"/>
      </w:tblPr>
      <w:tblGrid>
        <w:gridCol w:w="1933"/>
        <w:gridCol w:w="572"/>
        <w:gridCol w:w="572"/>
        <w:gridCol w:w="572"/>
        <w:gridCol w:w="572"/>
        <w:gridCol w:w="572"/>
        <w:gridCol w:w="572"/>
        <w:gridCol w:w="572"/>
        <w:gridCol w:w="572"/>
        <w:gridCol w:w="572"/>
        <w:gridCol w:w="572"/>
        <w:gridCol w:w="572"/>
        <w:gridCol w:w="572"/>
        <w:gridCol w:w="572"/>
        <w:gridCol w:w="599"/>
      </w:tblGrid>
      <w:tr w:rsidR="005E0FC8" w:rsidRPr="005E0FC8"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5E0FC8" w:rsidRPr="005E0FC8" w:rsidRDefault="005E0FC8" w:rsidP="00D36746">
            <w:pPr>
              <w:pStyle w:val="HeaderRow"/>
            </w:pPr>
            <w:r w:rsidRPr="005E0FC8">
              <w:t>State</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2003</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2004</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2005</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2006</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2007</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2008</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2009</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2010</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2011</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2012</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2013</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2014</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2015</w:t>
            </w:r>
          </w:p>
        </w:tc>
        <w:tc>
          <w:tcPr>
            <w:tcW w:w="0" w:type="auto"/>
            <w:shd w:val="clear" w:color="auto" w:fill="B8CCE4" w:themeFill="accent1" w:themeFillTint="66"/>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Total</w:t>
            </w:r>
          </w:p>
        </w:tc>
      </w:tr>
      <w:tr w:rsidR="00F85C5D" w:rsidRPr="005E0FC8" w:rsidTr="00F85C5D">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top"/>
          </w:tcPr>
          <w:p w:rsidR="005E0FC8" w:rsidRPr="005E0FC8" w:rsidRDefault="005E0FC8" w:rsidP="00D36746">
            <w:pPr>
              <w:pStyle w:val="HeaderRow"/>
            </w:pPr>
            <w:r w:rsidRPr="005E0FC8">
              <w:t xml:space="preserve">Number of worker fatalities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r w:rsidRPr="005E0FC8">
              <w:t xml:space="preserve"> </w:t>
            </w: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5E0FC8" w:rsidRDefault="005E0FC8" w:rsidP="00D36746">
            <w:pPr>
              <w:pStyle w:val="HeaderRow"/>
              <w:cnfStyle w:val="000000000000" w:firstRow="0" w:lastRow="0" w:firstColumn="0" w:lastColumn="0" w:oddVBand="0" w:evenVBand="0" w:oddHBand="0" w:evenHBand="0" w:firstRowFirstColumn="0" w:firstRowLastColumn="0" w:lastRowFirstColumn="0" w:lastRowLastColumn="0"/>
            </w:pPr>
          </w:p>
        </w:tc>
      </w:tr>
      <w:tr w:rsidR="005E0FC8"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283649" w:rsidRDefault="005E0FC8" w:rsidP="00F85C5D">
            <w:pPr>
              <w:pStyle w:val="Tablerowheading2"/>
            </w:pPr>
            <w:r w:rsidRPr="00283649">
              <w:t>New South Wales</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85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75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91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95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86</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83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82</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958</w:t>
            </w:r>
          </w:p>
        </w:tc>
      </w:tr>
      <w:tr w:rsidR="005E0FC8"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283649" w:rsidRDefault="005E0FC8" w:rsidP="00F85C5D">
            <w:pPr>
              <w:pStyle w:val="Tablerowheading2"/>
            </w:pPr>
            <w:r w:rsidRPr="00283649">
              <w:t>Queensland</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70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78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77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789</w:t>
            </w:r>
          </w:p>
        </w:tc>
      </w:tr>
      <w:tr w:rsidR="005E0FC8"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283649" w:rsidRDefault="005E0FC8" w:rsidP="00F85C5D">
            <w:pPr>
              <w:pStyle w:val="Tablerowheading2"/>
            </w:pPr>
            <w:r w:rsidRPr="00283649">
              <w:t>Victoria</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54</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42</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46</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32</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42</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34</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633</w:t>
            </w:r>
          </w:p>
        </w:tc>
      </w:tr>
      <w:tr w:rsidR="005E0FC8"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283649" w:rsidRDefault="005E0FC8" w:rsidP="00F85C5D">
            <w:pPr>
              <w:pStyle w:val="Tablerowheading2"/>
            </w:pPr>
            <w:r w:rsidRPr="00283649">
              <w:t>Western Australia</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36</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24</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24</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22</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400</w:t>
            </w:r>
          </w:p>
        </w:tc>
      </w:tr>
      <w:tr w:rsidR="005E0FC8"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283649" w:rsidRDefault="005E0FC8" w:rsidP="00F85C5D">
            <w:pPr>
              <w:pStyle w:val="Tablerowheading2"/>
            </w:pPr>
            <w:r w:rsidRPr="00283649">
              <w:t>South Australia</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200</w:t>
            </w:r>
          </w:p>
        </w:tc>
      </w:tr>
      <w:tr w:rsidR="005E0FC8"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283649" w:rsidRDefault="005E0FC8" w:rsidP="00F85C5D">
            <w:pPr>
              <w:pStyle w:val="Tablerowheading2"/>
            </w:pPr>
            <w:r w:rsidRPr="00283649">
              <w:t>Tasmania</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8</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127</w:t>
            </w:r>
          </w:p>
        </w:tc>
      </w:tr>
      <w:tr w:rsidR="005E0FC8"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283649" w:rsidRDefault="005E0FC8" w:rsidP="00F85C5D">
            <w:pPr>
              <w:pStyle w:val="Tablerowheading2"/>
            </w:pPr>
            <w:r w:rsidRPr="00283649">
              <w:t>Northern Territory</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5</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10</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6</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7</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9</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4</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84</w:t>
            </w:r>
          </w:p>
        </w:tc>
      </w:tr>
      <w:tr w:rsidR="005E0FC8" w:rsidTr="00471807">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283649" w:rsidRDefault="005E0FC8" w:rsidP="00F85C5D">
            <w:pPr>
              <w:pStyle w:val="Tablerowheading2"/>
            </w:pPr>
            <w:r w:rsidRPr="00283649">
              <w:t>Australian Capital Territory</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 xml:space="preserve"> ..</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2</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3</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 xml:space="preserve"> ..</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 xml:space="preserve"> ..</w:t>
            </w:r>
          </w:p>
        </w:tc>
        <w:tc>
          <w:tcPr>
            <w:tcW w:w="0" w:type="auto"/>
            <w:vAlign w:val="top"/>
          </w:tcPr>
          <w:p w:rsidR="005E0FC8" w:rsidRPr="00283649" w:rsidRDefault="005E0FC8" w:rsidP="00F85C5D">
            <w:pPr>
              <w:pStyle w:val="Tablerowheading2"/>
              <w:cnfStyle w:val="000000000000" w:firstRow="0" w:lastRow="0" w:firstColumn="0" w:lastColumn="0" w:oddVBand="0" w:evenVBand="0" w:oddHBand="0" w:evenHBand="0" w:firstRowFirstColumn="0" w:firstRowLastColumn="0" w:lastRowFirstColumn="0" w:lastRowLastColumn="0"/>
            </w:pPr>
            <w:r w:rsidRPr="00283649">
              <w:t>16</w:t>
            </w:r>
          </w:p>
        </w:tc>
      </w:tr>
      <w:tr w:rsidR="005E0FC8" w:rsidRPr="005E0FC8" w:rsidTr="00F85C5D">
        <w:tc>
          <w:tcPr>
            <w:cnfStyle w:val="001000000000" w:firstRow="0" w:lastRow="0" w:firstColumn="1" w:lastColumn="0" w:oddVBand="0" w:evenVBand="0" w:oddHBand="0" w:evenHBand="0" w:firstRowFirstColumn="0" w:firstRowLastColumn="0" w:lastRowFirstColumn="0" w:lastRowLastColumn="0"/>
            <w:tcW w:w="0" w:type="auto"/>
            <w:vAlign w:val="top"/>
          </w:tcPr>
          <w:p w:rsidR="005E0FC8" w:rsidRPr="005E0FC8" w:rsidRDefault="005E0FC8" w:rsidP="00F85C5D">
            <w:pPr>
              <w:pStyle w:val="Tabletotal"/>
            </w:pPr>
            <w:r w:rsidRPr="005E0FC8">
              <w:t>Total</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259</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284</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258</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284</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310</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283</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258</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228</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224</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229</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201</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194</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195</w:t>
            </w:r>
          </w:p>
        </w:tc>
        <w:tc>
          <w:tcPr>
            <w:tcW w:w="0" w:type="auto"/>
            <w:vAlign w:val="top"/>
          </w:tcPr>
          <w:p w:rsidR="005E0FC8" w:rsidRPr="005E0FC8" w:rsidRDefault="005E0FC8" w:rsidP="00F85C5D">
            <w:pPr>
              <w:pStyle w:val="Tabletotal"/>
              <w:cnfStyle w:val="000000000000" w:firstRow="0" w:lastRow="0" w:firstColumn="0" w:lastColumn="0" w:oddVBand="0" w:evenVBand="0" w:oddHBand="0" w:evenHBand="0" w:firstRowFirstColumn="0" w:firstRowLastColumn="0" w:lastRowFirstColumn="0" w:lastRowLastColumn="0"/>
            </w:pPr>
            <w:r w:rsidRPr="005E0FC8">
              <w:t>3207</w:t>
            </w:r>
          </w:p>
        </w:tc>
      </w:tr>
      <w:tr w:rsidR="005E0FC8" w:rsidRPr="00312C4B" w:rsidTr="00F85C5D">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top"/>
          </w:tcPr>
          <w:p w:rsidR="005E0FC8" w:rsidRPr="00F85C5D" w:rsidRDefault="005E0FC8" w:rsidP="00F85C5D">
            <w:pPr>
              <w:pStyle w:val="Tablerowheading"/>
            </w:pPr>
            <w:r w:rsidRPr="00F85C5D">
              <w:t>Fatality rate (deaths per 100 000 workers)</w:t>
            </w: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r w:rsidRPr="00F85C5D">
              <w:t xml:space="preserve"> </w:t>
            </w: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r w:rsidRPr="00F85C5D">
              <w:t xml:space="preserve"> </w:t>
            </w: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r w:rsidRPr="00F85C5D">
              <w:t xml:space="preserve"> </w:t>
            </w: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r w:rsidRPr="00F85C5D">
              <w:t xml:space="preserve"> </w:t>
            </w: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r w:rsidRPr="00F85C5D">
              <w:t xml:space="preserve"> </w:t>
            </w: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r w:rsidRPr="00F85C5D">
              <w:t xml:space="preserve"> </w:t>
            </w: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0FC8" w:rsidRPr="00F85C5D" w:rsidRDefault="005E0FC8" w:rsidP="00F85C5D">
            <w:pPr>
              <w:pStyle w:val="Tablerowheading"/>
              <w:cnfStyle w:val="000000000000" w:firstRow="0" w:lastRow="0" w:firstColumn="0" w:lastColumn="0" w:oddVBand="0" w:evenVBand="0" w:oddHBand="0" w:evenHBand="0" w:firstRowFirstColumn="0" w:firstRowLastColumn="0" w:lastRowFirstColumn="0" w:lastRowLastColumn="0"/>
            </w:pPr>
          </w:p>
        </w:tc>
      </w:tr>
      <w:tr w:rsidR="00544907" w:rsidTr="00DA1B48">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44907" w:rsidRPr="00283649" w:rsidRDefault="00544907" w:rsidP="00F85C5D">
            <w:pPr>
              <w:pStyle w:val="Tablerowheading2"/>
            </w:pPr>
            <w:r w:rsidRPr="00283649">
              <w:t>New South Wales</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2.4</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2.3</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2.2</w:t>
            </w:r>
          </w:p>
        </w:tc>
      </w:tr>
      <w:tr w:rsidR="00544907" w:rsidTr="00DA1B48">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44907" w:rsidRPr="00283649" w:rsidRDefault="00544907" w:rsidP="00F85C5D">
            <w:pPr>
              <w:pStyle w:val="Tablerowheading2"/>
            </w:pPr>
            <w:r w:rsidRPr="00283649">
              <w:t>Queensland</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2.3</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2.8</w:t>
            </w:r>
          </w:p>
        </w:tc>
      </w:tr>
      <w:tr w:rsidR="00544907" w:rsidTr="00DA1B48">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44907" w:rsidRPr="00283649" w:rsidRDefault="00544907" w:rsidP="00F85C5D">
            <w:pPr>
              <w:pStyle w:val="Tablerowheading2"/>
            </w:pPr>
            <w:r w:rsidRPr="00283649">
              <w:t>Victoria</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2.3</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1.8</w:t>
            </w:r>
          </w:p>
        </w:tc>
      </w:tr>
      <w:tr w:rsidR="00544907" w:rsidTr="00DA1B48">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44907" w:rsidRPr="00283649" w:rsidRDefault="00544907" w:rsidP="00F85C5D">
            <w:pPr>
              <w:pStyle w:val="Tablerowheading2"/>
            </w:pPr>
            <w:r w:rsidRPr="00283649">
              <w:t>Western Australia</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4.0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2.6</w:t>
            </w:r>
          </w:p>
        </w:tc>
      </w:tr>
      <w:tr w:rsidR="00544907" w:rsidTr="00DA1B48">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44907" w:rsidRPr="00283649" w:rsidRDefault="00544907" w:rsidP="00F85C5D">
            <w:pPr>
              <w:pStyle w:val="Tablerowheading2"/>
            </w:pPr>
            <w:r w:rsidRPr="00283649">
              <w:t>South Australia</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2.4</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1.3</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2.4</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2.0</w:t>
            </w:r>
          </w:p>
        </w:tc>
      </w:tr>
      <w:tr w:rsidR="00544907" w:rsidTr="00DA1B48">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44907" w:rsidRPr="00283649" w:rsidRDefault="00544907" w:rsidP="00F85C5D">
            <w:pPr>
              <w:pStyle w:val="Tablerowheading2"/>
            </w:pPr>
            <w:r w:rsidRPr="00283649">
              <w:t>Tasmania</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8.2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6.1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4.5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4.8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6.4</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2.9</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3.4</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2.5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4.3</w:t>
            </w:r>
          </w:p>
        </w:tc>
      </w:tr>
      <w:tr w:rsidR="00544907" w:rsidTr="00DA1B48">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44907" w:rsidRPr="00283649" w:rsidRDefault="00544907" w:rsidP="00F85C5D">
            <w:pPr>
              <w:pStyle w:val="Tablerowheading2"/>
            </w:pPr>
            <w:r w:rsidRPr="00283649">
              <w:t>Northern Territory</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4.1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13.3</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5.2</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6.0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9.3</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8.1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5.0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5.0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5.8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7.1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3.1</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3.0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0.8</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5.6</w:t>
            </w:r>
          </w:p>
        </w:tc>
      </w:tr>
      <w:tr w:rsidR="00544907" w:rsidTr="00DA1B48">
        <w:trPr>
          <w:trHeight w:val="227"/>
        </w:trPr>
        <w:tc>
          <w:tcPr>
            <w:cnfStyle w:val="001000000000" w:firstRow="0" w:lastRow="0" w:firstColumn="1" w:lastColumn="0" w:oddVBand="0" w:evenVBand="0" w:oddHBand="0" w:evenHBand="0" w:firstRowFirstColumn="0" w:firstRowLastColumn="0" w:lastRowFirstColumn="0" w:lastRowLastColumn="0"/>
            <w:tcW w:w="0" w:type="auto"/>
            <w:vAlign w:val="top"/>
          </w:tcPr>
          <w:p w:rsidR="00544907" w:rsidRPr="00283649" w:rsidRDefault="00544907" w:rsidP="00F85C5D">
            <w:pPr>
              <w:pStyle w:val="Tablerowheading2"/>
            </w:pPr>
            <w:r w:rsidRPr="00283649">
              <w:t>Australian Capital Territory</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0.6</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1.7</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1.4</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0.5</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0.0</w:t>
            </w:r>
          </w:p>
        </w:tc>
        <w:tc>
          <w:tcPr>
            <w:tcW w:w="0" w:type="auto"/>
            <w:vAlign w:val="bottom"/>
          </w:tcPr>
          <w:p w:rsidR="00544907" w:rsidRDefault="0054490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0.6</w:t>
            </w:r>
          </w:p>
        </w:tc>
      </w:tr>
      <w:tr w:rsidR="005E0FC8" w:rsidRPr="005E0FC8" w:rsidTr="00F85C5D">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top"/>
          </w:tcPr>
          <w:p w:rsidR="005E0FC8" w:rsidRPr="005E0FC8" w:rsidRDefault="005E0FC8" w:rsidP="00F85C5D">
            <w:pPr>
              <w:pStyle w:val="Tabletotal"/>
            </w:pPr>
            <w:r w:rsidRPr="005E0FC8">
              <w:t>Total</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2.7</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3.0</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2.6</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2.8</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3.0</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2.6</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2.4</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2.1</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2.0</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2.0</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1.7</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1.7</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1.6</w:t>
            </w:r>
          </w:p>
        </w:tc>
        <w:tc>
          <w:tcPr>
            <w:tcW w:w="0" w:type="auto"/>
            <w:shd w:val="clear" w:color="auto" w:fill="B8CCE4" w:themeFill="accent1" w:themeFillTint="66"/>
            <w:vAlign w:val="top"/>
          </w:tcPr>
          <w:p w:rsidR="005E0FC8" w:rsidRPr="005E0FC8" w:rsidRDefault="005E0FC8" w:rsidP="00FB7F1B">
            <w:pPr>
              <w:pStyle w:val="Tabletotal"/>
              <w:jc w:val="right"/>
              <w:cnfStyle w:val="000000000000" w:firstRow="0" w:lastRow="0" w:firstColumn="0" w:lastColumn="0" w:oddVBand="0" w:evenVBand="0" w:oddHBand="0" w:evenHBand="0" w:firstRowFirstColumn="0" w:firstRowLastColumn="0" w:lastRowFirstColumn="0" w:lastRowLastColumn="0"/>
            </w:pPr>
            <w:r w:rsidRPr="005E0FC8">
              <w:t>2.6</w:t>
            </w:r>
          </w:p>
        </w:tc>
      </w:tr>
    </w:tbl>
    <w:p w:rsidR="005E0FC8" w:rsidRPr="005E0FC8" w:rsidRDefault="005E0FC8" w:rsidP="005E0FC8"/>
    <w:p w:rsidR="005E0FC8" w:rsidRPr="00350405" w:rsidRDefault="005E0FC8" w:rsidP="005E0FC8">
      <w:pPr>
        <w:pStyle w:val="Heading2"/>
        <w:rPr>
          <w:b w:val="0"/>
        </w:rPr>
      </w:pPr>
      <w:bookmarkStart w:id="47" w:name="_Toc460936396"/>
      <w:r w:rsidRPr="00921BEB">
        <w:rPr>
          <w:b w:val="0"/>
        </w:rPr>
        <w:t xml:space="preserve">State/territory </w:t>
      </w:r>
      <w:r>
        <w:rPr>
          <w:b w:val="0"/>
        </w:rPr>
        <w:t>by industry</w:t>
      </w:r>
      <w:bookmarkEnd w:id="47"/>
    </w:p>
    <w:p w:rsidR="005E0FC8" w:rsidRPr="005E0FC8" w:rsidRDefault="005E0FC8" w:rsidP="00F85C5D">
      <w:r w:rsidRPr="005E0FC8">
        <w:t>Table 17 shows the industries which had the highest numbers of fatalities in each state or territory ove</w:t>
      </w:r>
      <w:r w:rsidR="005E2F41">
        <w:t>r the 13 years from 2003 to 2015</w:t>
      </w:r>
      <w:r w:rsidRPr="005E0FC8">
        <w:t>. The analysis excludes the Australian Capital Territory due to the small numbers of fatalities involved.</w:t>
      </w:r>
    </w:p>
    <w:p w:rsidR="005E0FC8" w:rsidRDefault="005E0FC8" w:rsidP="00F85C5D">
      <w:r w:rsidRPr="005E0FC8">
        <w:t>Transport, postal and warehousing accounted for the largest number of fatalitie</w:t>
      </w:r>
      <w:r w:rsidR="00F33BCB">
        <w:t xml:space="preserve">s in New South Wales, Victoria </w:t>
      </w:r>
      <w:r w:rsidRPr="005E0FC8">
        <w:t xml:space="preserve">and Western Australia whereas Agriculture, forestry </w:t>
      </w:r>
      <w:r w:rsidR="00247D72">
        <w:t>and</w:t>
      </w:r>
      <w:r w:rsidRPr="005E0FC8">
        <w:t xml:space="preserve"> fishing accounted for the most fatalities in </w:t>
      </w:r>
      <w:r w:rsidR="00F33BCB">
        <w:t xml:space="preserve">Queensland, </w:t>
      </w:r>
      <w:r w:rsidRPr="005E0FC8">
        <w:t>South Australia, Tasmania and the Northern Territory.</w:t>
      </w:r>
    </w:p>
    <w:p w:rsidR="004D3B47" w:rsidRDefault="004D3B47">
      <w:pPr>
        <w:rPr>
          <w:b/>
        </w:rPr>
      </w:pPr>
      <w:r>
        <w:br w:type="page"/>
      </w:r>
    </w:p>
    <w:p w:rsidR="005E0FC8" w:rsidRDefault="005E0FC8" w:rsidP="005E0FC8">
      <w:pPr>
        <w:pStyle w:val="Heading4"/>
      </w:pPr>
      <w:r>
        <w:lastRenderedPageBreak/>
        <w:t xml:space="preserve">Table 17: </w:t>
      </w:r>
      <w:r w:rsidRPr="00921BEB">
        <w:t xml:space="preserve">Worker fatalities: </w:t>
      </w:r>
      <w:r w:rsidRPr="005E0FC8">
        <w:t>number and percentage by state/territory of incident and the industries with the highest number of fatalities, 2003 to 2015 combined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7: Worker fatalities: number and percentage by state/territory of incident and the industries with the highest number of fatalities, 2003 to 2015 combined"/>
        <w:tblDescription w:val="Table 17: Worker fatalities: number and percentage by state/territory of incident and the industries with the highest number of fatalities, 2003 to 2015 combined"/>
      </w:tblPr>
      <w:tblGrid>
        <w:gridCol w:w="1874"/>
        <w:gridCol w:w="1050"/>
        <w:gridCol w:w="803"/>
        <w:gridCol w:w="1132"/>
        <w:gridCol w:w="1189"/>
        <w:gridCol w:w="1113"/>
        <w:gridCol w:w="955"/>
        <w:gridCol w:w="1191"/>
        <w:gridCol w:w="661"/>
      </w:tblGrid>
      <w:tr w:rsidR="005E2F41" w:rsidRPr="005E2F41" w:rsidTr="005B1996">
        <w:trPr>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5E2F41" w:rsidRPr="005E2F41" w:rsidRDefault="005E2F41" w:rsidP="00D36746">
            <w:pPr>
              <w:pStyle w:val="HeaderRow"/>
            </w:pPr>
            <w:r w:rsidRPr="005E2F41">
              <w:t>Industry</w:t>
            </w:r>
          </w:p>
        </w:tc>
        <w:tc>
          <w:tcPr>
            <w:tcW w:w="0" w:type="auto"/>
            <w:shd w:val="clear" w:color="auto" w:fill="B8CCE4" w:themeFill="accent1" w:themeFillTint="66"/>
            <w:vAlign w:val="bottom"/>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r w:rsidRPr="005E2F41">
              <w:t>New South Wales</w:t>
            </w:r>
          </w:p>
        </w:tc>
        <w:tc>
          <w:tcPr>
            <w:tcW w:w="0" w:type="auto"/>
            <w:shd w:val="clear" w:color="auto" w:fill="B8CCE4" w:themeFill="accent1" w:themeFillTint="66"/>
            <w:vAlign w:val="bottom"/>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r w:rsidRPr="005E2F41">
              <w:t>Victoria</w:t>
            </w:r>
          </w:p>
        </w:tc>
        <w:tc>
          <w:tcPr>
            <w:tcW w:w="0" w:type="auto"/>
            <w:shd w:val="clear" w:color="auto" w:fill="B8CCE4" w:themeFill="accent1" w:themeFillTint="66"/>
            <w:vAlign w:val="bottom"/>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r w:rsidRPr="005E2F41">
              <w:t>Queensland</w:t>
            </w:r>
          </w:p>
        </w:tc>
        <w:tc>
          <w:tcPr>
            <w:tcW w:w="0" w:type="auto"/>
            <w:shd w:val="clear" w:color="auto" w:fill="B8CCE4" w:themeFill="accent1" w:themeFillTint="66"/>
            <w:vAlign w:val="bottom"/>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r w:rsidRPr="005E2F41">
              <w:t>Western Australia</w:t>
            </w:r>
          </w:p>
        </w:tc>
        <w:tc>
          <w:tcPr>
            <w:tcW w:w="0" w:type="auto"/>
            <w:shd w:val="clear" w:color="auto" w:fill="B8CCE4" w:themeFill="accent1" w:themeFillTint="66"/>
            <w:vAlign w:val="bottom"/>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r w:rsidRPr="005E2F41">
              <w:t>South Australia</w:t>
            </w:r>
          </w:p>
        </w:tc>
        <w:tc>
          <w:tcPr>
            <w:tcW w:w="0" w:type="auto"/>
            <w:shd w:val="clear" w:color="auto" w:fill="B8CCE4" w:themeFill="accent1" w:themeFillTint="66"/>
            <w:vAlign w:val="bottom"/>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r w:rsidRPr="005E2F41">
              <w:t>Tasmania</w:t>
            </w:r>
          </w:p>
        </w:tc>
        <w:tc>
          <w:tcPr>
            <w:tcW w:w="0" w:type="auto"/>
            <w:shd w:val="clear" w:color="auto" w:fill="B8CCE4" w:themeFill="accent1" w:themeFillTint="66"/>
            <w:vAlign w:val="bottom"/>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r w:rsidRPr="005E2F41">
              <w:t>Northern Territory</w:t>
            </w:r>
          </w:p>
        </w:tc>
        <w:tc>
          <w:tcPr>
            <w:tcW w:w="0" w:type="auto"/>
            <w:shd w:val="clear" w:color="auto" w:fill="B8CCE4" w:themeFill="accent1" w:themeFillTint="66"/>
            <w:vAlign w:val="bottom"/>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r w:rsidRPr="005E2F41">
              <w:t>Total*</w:t>
            </w:r>
          </w:p>
        </w:tc>
      </w:tr>
      <w:tr w:rsidR="005E2F41" w:rsidRPr="005E2F41" w:rsidTr="004D3B4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5E2F41" w:rsidRPr="005E2F41" w:rsidRDefault="005E2F41" w:rsidP="00D36746">
            <w:pPr>
              <w:pStyle w:val="HeaderRow"/>
            </w:pPr>
            <w:r w:rsidRPr="005E2F41">
              <w:t>Number of worker fatalities</w:t>
            </w:r>
          </w:p>
        </w:tc>
        <w:tc>
          <w:tcPr>
            <w:tcW w:w="0" w:type="auto"/>
            <w:shd w:val="clear" w:color="auto" w:fill="DBE5F1" w:themeFill="accent1" w:themeFillTint="33"/>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tcPr>
          <w:p w:rsidR="005E2F41" w:rsidRPr="005E2F41" w:rsidRDefault="005E2F41" w:rsidP="00D36746">
            <w:pPr>
              <w:pStyle w:val="HeaderRow"/>
              <w:cnfStyle w:val="000000000000" w:firstRow="0" w:lastRow="0" w:firstColumn="0" w:lastColumn="0" w:oddVBand="0" w:evenVBand="0" w:oddHBand="0" w:evenHBand="0" w:firstRowFirstColumn="0" w:firstRowLastColumn="0" w:lastRowFirstColumn="0" w:lastRowLastColumn="0"/>
            </w:pP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Transport, postal </w:t>
            </w:r>
            <w:r w:rsidR="00247D72">
              <w:t>and</w:t>
            </w:r>
            <w:r w:rsidRPr="006B7898">
              <w:t xml:space="preserve"> warehousing</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246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159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189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82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754</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Agriculture, forestry </w:t>
            </w:r>
            <w:r w:rsidR="00247D72">
              <w:t>and</w:t>
            </w:r>
            <w:r w:rsidRPr="006B7898">
              <w:t xml:space="preserve"> fishing</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194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146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193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81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50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50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28</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744</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Construction</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141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48</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469</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Manufacturing</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57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55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48</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275</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Public administration </w:t>
            </w:r>
            <w:r w:rsidR="00247D72">
              <w:t>and</w:t>
            </w:r>
            <w:r w:rsidRPr="006B7898">
              <w:t xml:space="preserve"> safety</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123</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Mining</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122</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Administrative </w:t>
            </w:r>
            <w:r w:rsidR="00247D72">
              <w:t>and</w:t>
            </w:r>
            <w:r w:rsidRPr="006B7898">
              <w:t xml:space="preserve"> support services</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109</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Wholesale trade</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98</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Retail trade</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18</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82</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Arts </w:t>
            </w:r>
            <w:r w:rsidR="00247D72">
              <w:t>and</w:t>
            </w:r>
            <w:r w:rsidRPr="006B7898">
              <w:t xml:space="preserve"> recreation services</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73</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Other industries</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103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358</w:t>
            </w:r>
          </w:p>
        </w:tc>
      </w:tr>
      <w:tr w:rsidR="005E2F41" w:rsidRPr="00E679C8" w:rsidTr="004D3B4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top"/>
          </w:tcPr>
          <w:p w:rsidR="005E2F41" w:rsidRPr="00E679C8" w:rsidRDefault="005E2F41" w:rsidP="00F85C5D">
            <w:pPr>
              <w:pStyle w:val="Tabletotal"/>
            </w:pPr>
            <w:r w:rsidRPr="00E679C8">
              <w:t>Total</w:t>
            </w:r>
          </w:p>
        </w:tc>
        <w:tc>
          <w:tcPr>
            <w:tcW w:w="0" w:type="auto"/>
            <w:shd w:val="clear" w:color="auto" w:fill="B8CCE4" w:themeFill="accent1" w:themeFillTint="66"/>
            <w:vAlign w:val="top"/>
          </w:tcPr>
          <w:p w:rsidR="005E2F41" w:rsidRPr="00E679C8"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679C8">
              <w:t>958</w:t>
            </w:r>
          </w:p>
        </w:tc>
        <w:tc>
          <w:tcPr>
            <w:tcW w:w="0" w:type="auto"/>
            <w:shd w:val="clear" w:color="auto" w:fill="B8CCE4" w:themeFill="accent1" w:themeFillTint="66"/>
            <w:vAlign w:val="top"/>
          </w:tcPr>
          <w:p w:rsidR="005E2F41" w:rsidRPr="00E679C8"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679C8">
              <w:t>633</w:t>
            </w:r>
          </w:p>
        </w:tc>
        <w:tc>
          <w:tcPr>
            <w:tcW w:w="0" w:type="auto"/>
            <w:shd w:val="clear" w:color="auto" w:fill="B8CCE4" w:themeFill="accent1" w:themeFillTint="66"/>
            <w:vAlign w:val="top"/>
          </w:tcPr>
          <w:p w:rsidR="005E2F41" w:rsidRPr="00E679C8"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679C8">
              <w:t>789</w:t>
            </w:r>
          </w:p>
        </w:tc>
        <w:tc>
          <w:tcPr>
            <w:tcW w:w="0" w:type="auto"/>
            <w:shd w:val="clear" w:color="auto" w:fill="B8CCE4" w:themeFill="accent1" w:themeFillTint="66"/>
            <w:vAlign w:val="top"/>
          </w:tcPr>
          <w:p w:rsidR="005E2F41" w:rsidRPr="00E679C8"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679C8">
              <w:t>400</w:t>
            </w:r>
          </w:p>
        </w:tc>
        <w:tc>
          <w:tcPr>
            <w:tcW w:w="0" w:type="auto"/>
            <w:shd w:val="clear" w:color="auto" w:fill="B8CCE4" w:themeFill="accent1" w:themeFillTint="66"/>
            <w:vAlign w:val="top"/>
          </w:tcPr>
          <w:p w:rsidR="005E2F41" w:rsidRPr="00E679C8"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679C8">
              <w:t>200</w:t>
            </w:r>
          </w:p>
        </w:tc>
        <w:tc>
          <w:tcPr>
            <w:tcW w:w="0" w:type="auto"/>
            <w:shd w:val="clear" w:color="auto" w:fill="B8CCE4" w:themeFill="accent1" w:themeFillTint="66"/>
            <w:vAlign w:val="top"/>
          </w:tcPr>
          <w:p w:rsidR="005E2F41" w:rsidRPr="00E679C8"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679C8">
              <w:t>127</w:t>
            </w:r>
          </w:p>
        </w:tc>
        <w:tc>
          <w:tcPr>
            <w:tcW w:w="0" w:type="auto"/>
            <w:shd w:val="clear" w:color="auto" w:fill="B8CCE4" w:themeFill="accent1" w:themeFillTint="66"/>
            <w:vAlign w:val="top"/>
          </w:tcPr>
          <w:p w:rsidR="005E2F41" w:rsidRPr="00E679C8"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679C8">
              <w:t>84</w:t>
            </w:r>
          </w:p>
        </w:tc>
        <w:tc>
          <w:tcPr>
            <w:tcW w:w="0" w:type="auto"/>
            <w:shd w:val="clear" w:color="auto" w:fill="B8CCE4" w:themeFill="accent1" w:themeFillTint="66"/>
            <w:vAlign w:val="top"/>
          </w:tcPr>
          <w:p w:rsidR="005E2F41" w:rsidRPr="00E679C8"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679C8">
              <w:t>3207</w:t>
            </w:r>
          </w:p>
        </w:tc>
      </w:tr>
      <w:tr w:rsidR="005E2F41" w:rsidRPr="00E679C8" w:rsidTr="004D3B4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top"/>
          </w:tcPr>
          <w:p w:rsidR="005E2F41" w:rsidRPr="00E679C8" w:rsidRDefault="005E2F41" w:rsidP="00F85C5D">
            <w:pPr>
              <w:pStyle w:val="Tablerowheading"/>
            </w:pPr>
            <w:r w:rsidRPr="00E679C8">
              <w:t>Percentage of worker fatalities</w:t>
            </w:r>
          </w:p>
        </w:tc>
        <w:tc>
          <w:tcPr>
            <w:tcW w:w="0" w:type="auto"/>
            <w:shd w:val="clear" w:color="auto" w:fill="DBE5F1" w:themeFill="accent1" w:themeFillTint="33"/>
            <w:vAlign w:val="top"/>
          </w:tcPr>
          <w:p w:rsidR="005E2F41" w:rsidRPr="00E679C8" w:rsidRDefault="005E2F41"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2F41" w:rsidRPr="00E679C8" w:rsidRDefault="005E2F41"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2F41" w:rsidRPr="00E679C8" w:rsidRDefault="005E2F41"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2F41" w:rsidRPr="00E679C8" w:rsidRDefault="005E2F41"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2F41" w:rsidRPr="00E679C8" w:rsidRDefault="005E2F41"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2F41" w:rsidRPr="00E679C8" w:rsidRDefault="005E2F41"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2F41" w:rsidRPr="00E679C8" w:rsidRDefault="005E2F41" w:rsidP="00F85C5D">
            <w:pPr>
              <w:pStyle w:val="Tablerowheading"/>
              <w:cnfStyle w:val="000000000000" w:firstRow="0" w:lastRow="0" w:firstColumn="0" w:lastColumn="0" w:oddVBand="0" w:evenVBand="0" w:oddHBand="0" w:evenHBand="0" w:firstRowFirstColumn="0" w:firstRowLastColumn="0" w:lastRowFirstColumn="0" w:lastRowLastColumn="0"/>
            </w:pPr>
          </w:p>
        </w:tc>
        <w:tc>
          <w:tcPr>
            <w:tcW w:w="0" w:type="auto"/>
            <w:shd w:val="clear" w:color="auto" w:fill="DBE5F1" w:themeFill="accent1" w:themeFillTint="33"/>
            <w:vAlign w:val="top"/>
          </w:tcPr>
          <w:p w:rsidR="005E2F41" w:rsidRPr="00E679C8" w:rsidRDefault="005E2F41" w:rsidP="00F85C5D">
            <w:pPr>
              <w:pStyle w:val="Tablerowheading"/>
              <w:cnfStyle w:val="000000000000" w:firstRow="0" w:lastRow="0" w:firstColumn="0" w:lastColumn="0" w:oddVBand="0" w:evenVBand="0" w:oddHBand="0" w:evenHBand="0" w:firstRowFirstColumn="0" w:firstRowLastColumn="0" w:lastRowFirstColumn="0" w:lastRowLastColumn="0"/>
            </w:pP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Transport, postal </w:t>
            </w:r>
            <w:r w:rsidR="00247D72">
              <w:t>and</w:t>
            </w:r>
            <w:r w:rsidRPr="006B7898">
              <w:t xml:space="preserve"> warehousing</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18%</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24%</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Agriculture, forestry </w:t>
            </w:r>
            <w:r w:rsidR="00247D72">
              <w:t>and</w:t>
            </w:r>
            <w:r w:rsidRPr="006B7898">
              <w:t xml:space="preserve"> fishing</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23%</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Construction</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16%</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15%</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Manufacturing</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Public administration </w:t>
            </w:r>
            <w:r w:rsidR="00247D72">
              <w:t>and</w:t>
            </w:r>
            <w:r w:rsidRPr="006B7898">
              <w:t xml:space="preserve"> safety</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Mining</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10%</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7%</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5%</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Administrative </w:t>
            </w:r>
            <w:r w:rsidR="00247D72">
              <w:t>and</w:t>
            </w:r>
            <w:r w:rsidRPr="006B7898">
              <w:t xml:space="preserve"> support services</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Wholesale trade</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Retail trade</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4%</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 xml:space="preserve">Arts </w:t>
            </w:r>
            <w:r w:rsidR="00247D72">
              <w:t>and</w:t>
            </w:r>
            <w:r w:rsidRPr="006B7898">
              <w:t xml:space="preserve"> recreation services</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3%</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2%</w:t>
            </w:r>
          </w:p>
        </w:tc>
      </w:tr>
      <w:tr w:rsidR="005E2F41" w:rsidTr="004D3B47">
        <w:tc>
          <w:tcPr>
            <w:cnfStyle w:val="001000000000" w:firstRow="0" w:lastRow="0" w:firstColumn="1" w:lastColumn="0" w:oddVBand="0" w:evenVBand="0" w:oddHBand="0" w:evenHBand="0" w:firstRowFirstColumn="0" w:firstRowLastColumn="0" w:lastRowFirstColumn="0" w:lastRowLastColumn="0"/>
            <w:tcW w:w="0" w:type="auto"/>
            <w:vAlign w:val="bottom"/>
          </w:tcPr>
          <w:p w:rsidR="005E2F41" w:rsidRPr="006B7898" w:rsidRDefault="005E2F41" w:rsidP="00F85C5D">
            <w:pPr>
              <w:pStyle w:val="Tablerowheading2"/>
            </w:pPr>
            <w:r w:rsidRPr="006B7898">
              <w:t>Other industries</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11%</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12%</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19%</w:t>
            </w:r>
          </w:p>
        </w:tc>
        <w:tc>
          <w:tcPr>
            <w:tcW w:w="0" w:type="auto"/>
            <w:vAlign w:val="bottom"/>
          </w:tcPr>
          <w:p w:rsidR="005E2F41" w:rsidRPr="006B7898" w:rsidRDefault="005E2F41" w:rsidP="00F85C5D">
            <w:pPr>
              <w:pStyle w:val="Tablerowheading2"/>
              <w:cnfStyle w:val="000000000000" w:firstRow="0" w:lastRow="0" w:firstColumn="0" w:lastColumn="0" w:oddVBand="0" w:evenVBand="0" w:oddHBand="0" w:evenHBand="0" w:firstRowFirstColumn="0" w:firstRowLastColumn="0" w:lastRowFirstColumn="0" w:lastRowLastColumn="0"/>
            </w:pPr>
            <w:r w:rsidRPr="006B7898">
              <w:t>11%</w:t>
            </w:r>
          </w:p>
        </w:tc>
      </w:tr>
      <w:tr w:rsidR="005E2F41" w:rsidRPr="00E42A22" w:rsidTr="004D3B4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top"/>
          </w:tcPr>
          <w:p w:rsidR="005E2F41" w:rsidRPr="00E42A22" w:rsidRDefault="005E2F41" w:rsidP="00F85C5D">
            <w:pPr>
              <w:pStyle w:val="Tabletotal"/>
            </w:pPr>
            <w:r w:rsidRPr="00E42A22">
              <w:t>Total**</w:t>
            </w:r>
          </w:p>
        </w:tc>
        <w:tc>
          <w:tcPr>
            <w:tcW w:w="0" w:type="auto"/>
            <w:shd w:val="clear" w:color="auto" w:fill="B8CCE4" w:themeFill="accent1" w:themeFillTint="66"/>
            <w:vAlign w:val="top"/>
          </w:tcPr>
          <w:p w:rsidR="005E2F41" w:rsidRPr="00E42A22"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42A22">
              <w:t>100%</w:t>
            </w:r>
          </w:p>
        </w:tc>
        <w:tc>
          <w:tcPr>
            <w:tcW w:w="0" w:type="auto"/>
            <w:shd w:val="clear" w:color="auto" w:fill="B8CCE4" w:themeFill="accent1" w:themeFillTint="66"/>
            <w:vAlign w:val="top"/>
          </w:tcPr>
          <w:p w:rsidR="005E2F41" w:rsidRPr="00E42A22"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42A22">
              <w:t>100%</w:t>
            </w:r>
          </w:p>
        </w:tc>
        <w:tc>
          <w:tcPr>
            <w:tcW w:w="0" w:type="auto"/>
            <w:shd w:val="clear" w:color="auto" w:fill="B8CCE4" w:themeFill="accent1" w:themeFillTint="66"/>
            <w:vAlign w:val="top"/>
          </w:tcPr>
          <w:p w:rsidR="005E2F41" w:rsidRPr="00E42A22"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42A22">
              <w:t>100%</w:t>
            </w:r>
          </w:p>
        </w:tc>
        <w:tc>
          <w:tcPr>
            <w:tcW w:w="0" w:type="auto"/>
            <w:shd w:val="clear" w:color="auto" w:fill="B8CCE4" w:themeFill="accent1" w:themeFillTint="66"/>
            <w:vAlign w:val="top"/>
          </w:tcPr>
          <w:p w:rsidR="005E2F41" w:rsidRPr="00E42A22"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42A22">
              <w:t>100%</w:t>
            </w:r>
          </w:p>
        </w:tc>
        <w:tc>
          <w:tcPr>
            <w:tcW w:w="0" w:type="auto"/>
            <w:shd w:val="clear" w:color="auto" w:fill="B8CCE4" w:themeFill="accent1" w:themeFillTint="66"/>
            <w:vAlign w:val="top"/>
          </w:tcPr>
          <w:p w:rsidR="005E2F41" w:rsidRPr="00E42A22"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42A22">
              <w:t>100%</w:t>
            </w:r>
          </w:p>
        </w:tc>
        <w:tc>
          <w:tcPr>
            <w:tcW w:w="0" w:type="auto"/>
            <w:shd w:val="clear" w:color="auto" w:fill="B8CCE4" w:themeFill="accent1" w:themeFillTint="66"/>
            <w:vAlign w:val="top"/>
          </w:tcPr>
          <w:p w:rsidR="005E2F41" w:rsidRPr="00E42A22"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42A22">
              <w:t>100%</w:t>
            </w:r>
          </w:p>
        </w:tc>
        <w:tc>
          <w:tcPr>
            <w:tcW w:w="0" w:type="auto"/>
            <w:shd w:val="clear" w:color="auto" w:fill="B8CCE4" w:themeFill="accent1" w:themeFillTint="66"/>
            <w:vAlign w:val="top"/>
          </w:tcPr>
          <w:p w:rsidR="005E2F41" w:rsidRPr="00E42A22"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42A22">
              <w:t>100%</w:t>
            </w:r>
          </w:p>
        </w:tc>
        <w:tc>
          <w:tcPr>
            <w:tcW w:w="0" w:type="auto"/>
            <w:shd w:val="clear" w:color="auto" w:fill="B8CCE4" w:themeFill="accent1" w:themeFillTint="66"/>
            <w:vAlign w:val="top"/>
          </w:tcPr>
          <w:p w:rsidR="005E2F41" w:rsidRPr="00E42A22" w:rsidRDefault="005E2F41" w:rsidP="00F85C5D">
            <w:pPr>
              <w:pStyle w:val="Tabletotal"/>
              <w:cnfStyle w:val="000000000000" w:firstRow="0" w:lastRow="0" w:firstColumn="0" w:lastColumn="0" w:oddVBand="0" w:evenVBand="0" w:oddHBand="0" w:evenHBand="0" w:firstRowFirstColumn="0" w:firstRowLastColumn="0" w:lastRowFirstColumn="0" w:lastRowLastColumn="0"/>
            </w:pPr>
            <w:r w:rsidRPr="00E42A22">
              <w:t>100%</w:t>
            </w:r>
          </w:p>
        </w:tc>
      </w:tr>
    </w:tbl>
    <w:p w:rsidR="00E679C8" w:rsidRPr="00E679C8" w:rsidRDefault="00E679C8" w:rsidP="00383468">
      <w:pPr>
        <w:pStyle w:val="Footnote"/>
      </w:pPr>
      <w:r w:rsidRPr="00E679C8">
        <w:t>* includes Australian Capital Territory.</w:t>
      </w:r>
    </w:p>
    <w:p w:rsidR="005E0FC8" w:rsidRPr="00E679C8" w:rsidRDefault="00E679C8" w:rsidP="00383468">
      <w:pPr>
        <w:pStyle w:val="Footnote"/>
      </w:pPr>
      <w:r w:rsidRPr="00E679C8">
        <w:t xml:space="preserve">** The percentages shown in this table have been rounded to the nearest whole </w:t>
      </w:r>
      <w:proofErr w:type="gramStart"/>
      <w:r w:rsidRPr="00E679C8">
        <w:t>number,</w:t>
      </w:r>
      <w:proofErr w:type="gramEnd"/>
      <w:r w:rsidRPr="00E679C8">
        <w:t xml:space="preserve"> therefore the sum of percentage figures for each column may not equal the total</w:t>
      </w:r>
    </w:p>
    <w:p w:rsidR="00E679C8" w:rsidRPr="00350405" w:rsidRDefault="0075723F" w:rsidP="00247D72">
      <w:pPr>
        <w:pStyle w:val="Heading1"/>
      </w:pPr>
      <w:r>
        <w:br w:type="page"/>
      </w:r>
      <w:bookmarkStart w:id="48" w:name="_Toc460936397"/>
      <w:r w:rsidR="00E679C8">
        <w:lastRenderedPageBreak/>
        <w:t>Bystander fatalities</w:t>
      </w:r>
      <w:bookmarkEnd w:id="48"/>
    </w:p>
    <w:p w:rsidR="00E679C8" w:rsidRPr="00E679C8" w:rsidRDefault="00E679C8" w:rsidP="00F85C5D">
      <w:r w:rsidRPr="00E679C8">
        <w:t xml:space="preserve">The actions of a worker or a fault in a workplace resulted in the deaths of 49 members of the public in 2015. This is the lowest number of members of the public killed over the 13 years of the series. </w:t>
      </w:r>
    </w:p>
    <w:p w:rsidR="00E679C8" w:rsidRDefault="00E679C8" w:rsidP="00F85C5D">
      <w:r w:rsidRPr="00E679C8">
        <w:t>Over the 13 years of the series, 59 per cent of the bystander fatalities were male and 64 per cent involved an incident on a public road</w:t>
      </w:r>
      <w:r>
        <w:t>.</w:t>
      </w:r>
    </w:p>
    <w:p w:rsidR="00E42A22" w:rsidRDefault="00E42A22" w:rsidP="00F85C5D">
      <w:pPr>
        <w:pStyle w:val="Heading2"/>
      </w:pPr>
      <w:bookmarkStart w:id="49" w:name="_Toc460936398"/>
      <w:r w:rsidRPr="00E42A22">
        <w:t>Age group</w:t>
      </w:r>
      <w:bookmarkEnd w:id="49"/>
    </w:p>
    <w:p w:rsidR="00E42A22" w:rsidRPr="005E0FC8" w:rsidRDefault="00E42A22" w:rsidP="00F85C5D">
      <w:r w:rsidRPr="00E42A22">
        <w:t>Table 18 shows over the 13 ye</w:t>
      </w:r>
      <w:r w:rsidR="00F33BCB">
        <w:t>ars of the series, the oldest (6</w:t>
      </w:r>
      <w:r w:rsidRPr="00E42A22">
        <w:t>5 years and over) and youngest (14 and under) age groups accounted for the highest proportion of bystander fatalities, 22 per cent and 18 per cent respectively</w:t>
      </w:r>
      <w:r w:rsidRPr="005E0FC8">
        <w:t>.</w:t>
      </w:r>
    </w:p>
    <w:p w:rsidR="00E679C8" w:rsidRDefault="00E42A22" w:rsidP="00E679C8">
      <w:pPr>
        <w:pStyle w:val="Heading4"/>
      </w:pPr>
      <w:r>
        <w:t xml:space="preserve">Table 18: </w:t>
      </w:r>
      <w:r w:rsidRPr="00E42A22">
        <w:t>Bystander fatalities: numbers and proportions by age group, 2003 to 2015 (selected years)</w:t>
      </w:r>
    </w:p>
    <w:tbl>
      <w:tblPr>
        <w:tblStyle w:val="TableGrid"/>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8: Bystander fatalities: numbers and proportions by age group, 2003 to 2015 (selected years)"/>
        <w:tblDescription w:val="Table 18: Bystander fatalities: numbers and proportions by age group, 2003 to 2015 (selected years)"/>
      </w:tblPr>
      <w:tblGrid>
        <w:gridCol w:w="1697"/>
        <w:gridCol w:w="837"/>
        <w:gridCol w:w="837"/>
        <w:gridCol w:w="837"/>
        <w:gridCol w:w="837"/>
        <w:gridCol w:w="837"/>
        <w:gridCol w:w="837"/>
        <w:gridCol w:w="837"/>
        <w:gridCol w:w="876"/>
        <w:gridCol w:w="1369"/>
      </w:tblGrid>
      <w:tr w:rsidR="00F85C5D" w:rsidRPr="00E42A22"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E42A22" w:rsidRPr="00E42A22" w:rsidRDefault="00E42A22" w:rsidP="00D36746">
            <w:pPr>
              <w:pStyle w:val="HeaderRow"/>
            </w:pPr>
            <w:r w:rsidRPr="00E42A22">
              <w:t>Age group</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2003</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2005</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2007</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2009</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2011</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2013</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2015</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Total</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 of total</w:t>
            </w:r>
          </w:p>
        </w:tc>
      </w:tr>
      <w:tr w:rsidR="00E42A22" w:rsidTr="00F85C5D">
        <w:trPr>
          <w:trHeigh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543D47" w:rsidRDefault="00E42A22" w:rsidP="004D3B47">
            <w:pPr>
              <w:pStyle w:val="Tablerowheading2"/>
            </w:pPr>
            <w:r w:rsidRPr="00543D47">
              <w:t>14 and under</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8</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10</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21</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13</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2</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10</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6</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147</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18%</w:t>
            </w:r>
          </w:p>
        </w:tc>
      </w:tr>
      <w:tr w:rsidR="00E42A22" w:rsidTr="00F85C5D">
        <w:trPr>
          <w:trHeigh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543D47" w:rsidRDefault="00E42A22" w:rsidP="004D3B47">
            <w:pPr>
              <w:pStyle w:val="Tablerowheading2"/>
            </w:pPr>
            <w:r w:rsidRPr="00543D47">
              <w:t>15-24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8</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15</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5</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7</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3</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12%</w:t>
            </w:r>
          </w:p>
        </w:tc>
      </w:tr>
      <w:tr w:rsidR="00E42A22" w:rsidTr="00F85C5D">
        <w:trPr>
          <w:trHeigh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543D47" w:rsidRDefault="00E42A22" w:rsidP="004D3B47">
            <w:pPr>
              <w:pStyle w:val="Tablerowheading2"/>
            </w:pPr>
            <w:r w:rsidRPr="00543D47">
              <w:t>25-34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10</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11</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6</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12</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7</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103</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13%</w:t>
            </w:r>
          </w:p>
        </w:tc>
      </w:tr>
      <w:tr w:rsidR="00E42A22" w:rsidTr="00F85C5D">
        <w:trPr>
          <w:trHeight w:val="265"/>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543D47" w:rsidRDefault="00E42A22" w:rsidP="004D3B47">
            <w:pPr>
              <w:pStyle w:val="Tablerowheading2"/>
            </w:pPr>
            <w:r w:rsidRPr="00543D47">
              <w:t>35-44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7</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6</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6</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6</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6</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90</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11%</w:t>
            </w:r>
          </w:p>
        </w:tc>
      </w:tr>
      <w:tr w:rsidR="00E42A22" w:rsidTr="00F85C5D">
        <w:trPr>
          <w:trHeigh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543D47" w:rsidRDefault="00E42A22" w:rsidP="004D3B47">
            <w:pPr>
              <w:pStyle w:val="Tablerowheading2"/>
            </w:pPr>
            <w:r w:rsidRPr="00543D47">
              <w:t>45-54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10</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5</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12</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8</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8</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97</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12%</w:t>
            </w:r>
          </w:p>
        </w:tc>
      </w:tr>
      <w:tr w:rsidR="00E42A22" w:rsidTr="00F85C5D">
        <w:trPr>
          <w:trHeigh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543D47" w:rsidRDefault="00E42A22" w:rsidP="004D3B47">
            <w:pPr>
              <w:pStyle w:val="Tablerowheading2"/>
            </w:pPr>
            <w:r w:rsidRPr="00543D47">
              <w:t>55-64</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10</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11</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3</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6</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8</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10</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10</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99</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12%</w:t>
            </w:r>
          </w:p>
        </w:tc>
      </w:tr>
      <w:tr w:rsidR="00E42A22" w:rsidTr="00F85C5D">
        <w:trPr>
          <w:trHeigh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543D47" w:rsidRDefault="00E42A22" w:rsidP="004D3B47">
            <w:pPr>
              <w:pStyle w:val="Tablerowheading2"/>
            </w:pPr>
            <w:r w:rsidRPr="00543D47">
              <w:t>65 and over</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8</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13</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13</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3</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27</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12</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9</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173</w:t>
            </w:r>
          </w:p>
        </w:tc>
        <w:tc>
          <w:tcPr>
            <w:tcW w:w="0" w:type="auto"/>
            <w:vAlign w:val="bottom"/>
          </w:tcPr>
          <w:p w:rsidR="00E42A22" w:rsidRPr="00543D47"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543D47">
              <w:t>22%</w:t>
            </w:r>
          </w:p>
        </w:tc>
      </w:tr>
      <w:tr w:rsidR="00F85C5D" w:rsidRPr="00E42A22" w:rsidTr="004D3B4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E42A22" w:rsidRPr="00E42A22" w:rsidRDefault="00E42A22" w:rsidP="004D3B47">
            <w:pPr>
              <w:pStyle w:val="Tabletotal"/>
            </w:pPr>
            <w:r w:rsidRPr="00E42A22">
              <w:t>Total*</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57</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65</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75</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53</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63</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66</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49</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803</w:t>
            </w:r>
          </w:p>
        </w:tc>
        <w:tc>
          <w:tcPr>
            <w:tcW w:w="0" w:type="auto"/>
            <w:shd w:val="clear" w:color="auto" w:fill="B8CCE4" w:themeFill="accent1" w:themeFillTint="66"/>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100%</w:t>
            </w:r>
          </w:p>
        </w:tc>
      </w:tr>
    </w:tbl>
    <w:p w:rsidR="00E42A22" w:rsidRPr="00E42A22" w:rsidRDefault="00E42A22" w:rsidP="00383468">
      <w:pPr>
        <w:pStyle w:val="Footnote"/>
      </w:pPr>
      <w:r w:rsidRPr="00E42A22">
        <w:t xml:space="preserve">* The percentages shown in this table have been rounded to the nearest whole </w:t>
      </w:r>
      <w:proofErr w:type="gramStart"/>
      <w:r w:rsidRPr="00E42A22">
        <w:t>number,</w:t>
      </w:r>
      <w:proofErr w:type="gramEnd"/>
      <w:r w:rsidRPr="00E42A22">
        <w:t xml:space="preserve"> therefore the sum of percentage figures for each column may not equal the total.</w:t>
      </w:r>
    </w:p>
    <w:p w:rsidR="00E42A22" w:rsidRDefault="00E42A22" w:rsidP="00F85C5D">
      <w:pPr>
        <w:pStyle w:val="Heading2"/>
      </w:pPr>
      <w:bookmarkStart w:id="50" w:name="_Toc460936399"/>
      <w:r w:rsidRPr="00E42A22">
        <w:t>Mechanism of fatality</w:t>
      </w:r>
      <w:bookmarkEnd w:id="50"/>
    </w:p>
    <w:p w:rsidR="00E42A22" w:rsidRPr="00E42A22" w:rsidRDefault="00E42A22" w:rsidP="00F85C5D">
      <w:r w:rsidRPr="00E42A22">
        <w:t xml:space="preserve">Table 19 shows over the 2003–15 period 60 per cent of the bystander fatalities were due to a vehicle collision, with being hit by moving objects accounting for a further 16 per cent. </w:t>
      </w:r>
    </w:p>
    <w:p w:rsidR="00E42A22" w:rsidRPr="005E0FC8" w:rsidRDefault="00E42A22" w:rsidP="00F85C5D">
      <w:r w:rsidRPr="00E42A22">
        <w:t>Falls from a height accounted for 7 per cent of bystander fatalities, and drowning 4 per cent (36 fatalities). The majority (58 per cent) of the deaths from drowning were of children aged 14 years and under</w:t>
      </w:r>
      <w:r w:rsidRPr="005E0FC8">
        <w:t>.</w:t>
      </w:r>
    </w:p>
    <w:p w:rsidR="00E42A22" w:rsidRDefault="00E42A22" w:rsidP="00E42A22">
      <w:pPr>
        <w:pStyle w:val="Heading4"/>
      </w:pPr>
      <w:r>
        <w:t xml:space="preserve">Table 19: </w:t>
      </w:r>
      <w:r w:rsidRPr="00E42A22">
        <w:t>Bystander fatalities: number by mechanism of incident and breakdown agency, 2003 to 2015 (selected years, sorted by 2015 fatalities)</w:t>
      </w:r>
    </w:p>
    <w:tbl>
      <w:tblPr>
        <w:tblStyle w:val="TableGrid"/>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9: Bystander fatalities: number by mechanism of incident and breakdown agency, 2003 to 2015 (selected years, sorted by 2015 fatalities)"/>
        <w:tblDescription w:val="Table 19: Bystander fatalities: number by mechanism of incident and breakdown agency, 2003 to 2015 (selected years, sorted by 2015 fatalities)"/>
      </w:tblPr>
      <w:tblGrid>
        <w:gridCol w:w="3467"/>
        <w:gridCol w:w="653"/>
        <w:gridCol w:w="653"/>
        <w:gridCol w:w="653"/>
        <w:gridCol w:w="653"/>
        <w:gridCol w:w="653"/>
        <w:gridCol w:w="653"/>
        <w:gridCol w:w="653"/>
        <w:gridCol w:w="684"/>
        <w:gridCol w:w="1069"/>
      </w:tblGrid>
      <w:tr w:rsidR="00E42A22" w:rsidRPr="00E42A22"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E42A22" w:rsidRPr="00E42A22" w:rsidRDefault="00E42A22" w:rsidP="00D36746">
            <w:pPr>
              <w:pStyle w:val="HeaderRow"/>
            </w:pPr>
            <w:r w:rsidRPr="00E42A22">
              <w:t>Mechanism of incident</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2003</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2005</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2007</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2009</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2011</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2013</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2015</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Total</w:t>
            </w:r>
          </w:p>
        </w:tc>
        <w:tc>
          <w:tcPr>
            <w:tcW w:w="0" w:type="auto"/>
            <w:shd w:val="clear" w:color="auto" w:fill="B8CCE4" w:themeFill="accent1" w:themeFillTint="66"/>
          </w:tcPr>
          <w:p w:rsidR="00E42A22" w:rsidRPr="00E42A22" w:rsidRDefault="00E42A22" w:rsidP="00D36746">
            <w:pPr>
              <w:pStyle w:val="HeaderRow"/>
              <w:cnfStyle w:val="000000000000" w:firstRow="0" w:lastRow="0" w:firstColumn="0" w:lastColumn="0" w:oddVBand="0" w:evenVBand="0" w:oddHBand="0" w:evenHBand="0" w:firstRowFirstColumn="0" w:firstRowLastColumn="0" w:lastRowFirstColumn="0" w:lastRowLastColumn="0"/>
            </w:pPr>
            <w:r w:rsidRPr="00E42A22">
              <w:t>% of total</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Vehicle collision</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38</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37</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50</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24</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42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30</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480</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60%</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Being hit by moving objects</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7</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9</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8</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8</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129</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16%</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 xml:space="preserve">Falls from a height  </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6</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4</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54</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7%</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Drowning</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36</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4%</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Being hit by falling objects</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6</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34</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4%</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Contact with hot objects</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13</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17</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Being assaulted by a person or persons</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9</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Falls on the same level</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7</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Being trapped by moving machinery</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7</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Rollover of non-road vehicle</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r>
      <w:tr w:rsidR="00E42A22" w:rsidTr="004D3B47">
        <w:trPr>
          <w:trHeight w:val="273"/>
        </w:trPr>
        <w:tc>
          <w:tcPr>
            <w:cnfStyle w:val="001000000000" w:firstRow="0" w:lastRow="0" w:firstColumn="1" w:lastColumn="0" w:oddVBand="0" w:evenVBand="0" w:oddHBand="0" w:evenHBand="0" w:firstRowFirstColumn="0" w:firstRowLastColumn="0" w:lastRowFirstColumn="0" w:lastRowLastColumn="0"/>
            <w:tcW w:w="0" w:type="auto"/>
            <w:vAlign w:val="bottom"/>
          </w:tcPr>
          <w:p w:rsidR="00E42A22" w:rsidRPr="002A7FC9" w:rsidRDefault="00E42A22" w:rsidP="004D3B47">
            <w:pPr>
              <w:pStyle w:val="Tablerowheading2"/>
            </w:pPr>
            <w:r w:rsidRPr="002A7FC9">
              <w:t>Other mechanisms</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1</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0</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25</w:t>
            </w:r>
          </w:p>
        </w:tc>
        <w:tc>
          <w:tcPr>
            <w:tcW w:w="0" w:type="auto"/>
            <w:vAlign w:val="bottom"/>
          </w:tcPr>
          <w:p w:rsidR="00E42A22" w:rsidRPr="002A7FC9" w:rsidRDefault="00E42A22" w:rsidP="00F46C0F">
            <w:pPr>
              <w:pStyle w:val="Tablerowheading2"/>
              <w:jc w:val="right"/>
              <w:cnfStyle w:val="000000000000" w:firstRow="0" w:lastRow="0" w:firstColumn="0" w:lastColumn="0" w:oddVBand="0" w:evenVBand="0" w:oddHBand="0" w:evenHBand="0" w:firstRowFirstColumn="0" w:firstRowLastColumn="0" w:lastRowFirstColumn="0" w:lastRowLastColumn="0"/>
            </w:pPr>
            <w:r w:rsidRPr="002A7FC9">
              <w:t>3%</w:t>
            </w:r>
          </w:p>
        </w:tc>
      </w:tr>
      <w:tr w:rsidR="00E42A22" w:rsidRPr="00E42A22" w:rsidTr="004D3B47">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top"/>
          </w:tcPr>
          <w:p w:rsidR="00E42A22" w:rsidRPr="00E42A22" w:rsidRDefault="00E42A22" w:rsidP="00F85C5D">
            <w:pPr>
              <w:pStyle w:val="Tabletotal"/>
            </w:pPr>
            <w:r w:rsidRPr="00E42A22">
              <w:t>Total*</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57</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65</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75</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53</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63</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66</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49</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803</w:t>
            </w:r>
          </w:p>
        </w:tc>
        <w:tc>
          <w:tcPr>
            <w:tcW w:w="0" w:type="auto"/>
            <w:shd w:val="clear" w:color="auto" w:fill="B8CCE4" w:themeFill="accent1" w:themeFillTint="66"/>
            <w:vAlign w:val="bottom"/>
          </w:tcPr>
          <w:p w:rsidR="00E42A22" w:rsidRPr="00E42A22" w:rsidRDefault="00E42A22" w:rsidP="00F46C0F">
            <w:pPr>
              <w:pStyle w:val="Tabletotal"/>
              <w:jc w:val="right"/>
              <w:cnfStyle w:val="000000000000" w:firstRow="0" w:lastRow="0" w:firstColumn="0" w:lastColumn="0" w:oddVBand="0" w:evenVBand="0" w:oddHBand="0" w:evenHBand="0" w:firstRowFirstColumn="0" w:firstRowLastColumn="0" w:lastRowFirstColumn="0" w:lastRowLastColumn="0"/>
            </w:pPr>
            <w:r w:rsidRPr="00E42A22">
              <w:t>100%</w:t>
            </w:r>
          </w:p>
        </w:tc>
      </w:tr>
    </w:tbl>
    <w:p w:rsidR="00E42A22" w:rsidRDefault="00E42A22" w:rsidP="00383468">
      <w:pPr>
        <w:pStyle w:val="Footnote"/>
      </w:pPr>
      <w:r w:rsidRPr="00E42A22">
        <w:t xml:space="preserve">* The percentages shown in this table have been rounded to the nearest whole </w:t>
      </w:r>
      <w:proofErr w:type="gramStart"/>
      <w:r w:rsidRPr="00E42A22">
        <w:t>number,</w:t>
      </w:r>
      <w:proofErr w:type="gramEnd"/>
      <w:r w:rsidRPr="00E42A22">
        <w:t xml:space="preserve"> therefore the sum of percentage figures for each column may not equal the total.</w:t>
      </w:r>
    </w:p>
    <w:p w:rsidR="00E42A22" w:rsidRDefault="00E42A22">
      <w:pPr>
        <w:rPr>
          <w:sz w:val="16"/>
          <w:szCs w:val="16"/>
        </w:rPr>
      </w:pPr>
      <w:r>
        <w:rPr>
          <w:sz w:val="16"/>
          <w:szCs w:val="16"/>
        </w:rPr>
        <w:br w:type="page"/>
      </w:r>
    </w:p>
    <w:p w:rsidR="00E42A22" w:rsidRDefault="00E42A22" w:rsidP="00247D72">
      <w:pPr>
        <w:pStyle w:val="Heading1"/>
      </w:pPr>
      <w:bookmarkStart w:id="51" w:name="_Toc460936400"/>
      <w:r>
        <w:lastRenderedPageBreak/>
        <w:t>Glossary</w:t>
      </w:r>
      <w:bookmarkEnd w:id="51"/>
    </w:p>
    <w:p w:rsidR="00E42A22" w:rsidRPr="00E42A22" w:rsidRDefault="00E42A22" w:rsidP="004D3B47">
      <w:r w:rsidRPr="00E42A22">
        <w:t>Being hit by moving objects - Part of the Mechanism classification used to describe the action of an object hitting a person. This includes pedestrians hit by vehicles as well as being hit by other moving equipment or objects.</w:t>
      </w:r>
    </w:p>
    <w:p w:rsidR="00E42A22" w:rsidRPr="00E42A22" w:rsidRDefault="00E42A22" w:rsidP="004D3B47">
      <w:r w:rsidRPr="00E42A22">
        <w:t xml:space="preserve">Breakdown agency - A part of the </w:t>
      </w:r>
      <w:proofErr w:type="spellStart"/>
      <w:r w:rsidRPr="00E42A22">
        <w:t>TOOCS</w:t>
      </w:r>
      <w:proofErr w:type="spellEnd"/>
      <w:r w:rsidRPr="00E42A22">
        <w:t xml:space="preserve"> classification which identified the object, substance or circumstance principally involved at the point at which things started to go wrong.</w:t>
      </w:r>
    </w:p>
    <w:p w:rsidR="00E42A22" w:rsidRPr="00E42A22" w:rsidRDefault="00E42A22" w:rsidP="004D3B47">
      <w:r w:rsidRPr="00E42A22">
        <w:t xml:space="preserve">Bystander fatality - The death of a person who dies from injuries sustained as a result of another person’s work activity and who was not engaged in a work activity of their own at the time of the injury. </w:t>
      </w:r>
    </w:p>
    <w:p w:rsidR="00E42A22" w:rsidRPr="00E42A22" w:rsidRDefault="00E42A22" w:rsidP="004D3B47">
      <w:r w:rsidRPr="00E42A22">
        <w:t>A traffic incident death is only classified as a bystander fatality when attributable to someone else’s work activity. Typically, this means the driver of a work vehicle is at fault. Cases where fault could not be determined with sufficient confidence are excluded.</w:t>
      </w:r>
    </w:p>
    <w:p w:rsidR="00E42A22" w:rsidRPr="00E42A22" w:rsidRDefault="00E42A22" w:rsidP="004D3B47">
      <w:proofErr w:type="gramStart"/>
      <w:r w:rsidRPr="00E42A22">
        <w:t>Contributing family workers - A person who works without pay in an economic enterprise operated by a relative.</w:t>
      </w:r>
      <w:proofErr w:type="gramEnd"/>
    </w:p>
    <w:p w:rsidR="00E42A22" w:rsidRPr="00E42A22" w:rsidRDefault="00E42A22" w:rsidP="004D3B47">
      <w:r w:rsidRPr="00E42A22">
        <w:t>Employed person - The denominators used in calculating fatality rates in this report are based on ABS estimates of Employed persons, as defined in Labour force, Australia (ABS cat no 6202.0). This population includes Employees (who work for an employer); self-employed persons (regardless of whether they employ others or not); and those who work without pay for a family business or farm.  It excludes persons whose only work is voluntary.</w:t>
      </w:r>
    </w:p>
    <w:p w:rsidR="00E42A22" w:rsidRPr="00E42A22" w:rsidRDefault="00E42A22" w:rsidP="004D3B47">
      <w:r w:rsidRPr="00E42A22">
        <w:t>Employee - A person who works for a public or private employer and receives remuneration in wages, salary, a retainer fee from their employer while working on a commission basis, tips, piece-rates, or payment in kind; or a person who operates his or her own incorporated enterprise with or without hiring employees.</w:t>
      </w:r>
    </w:p>
    <w:p w:rsidR="00E42A22" w:rsidRPr="00E42A22" w:rsidRDefault="00E42A22" w:rsidP="004D3B47">
      <w:r w:rsidRPr="00E42A22">
        <w:t>Fatality rate - The number killed as a result of work-related injury expressed as a per-capita rate against the population at risk of work-related injury. In this report the rate is expressed as the number of fatalities per 100 000 Employed persons: for brevity this is usually expressed as ‘fatalities per 100 000 workers’. See Paragraph 4 of the Explanatory notes for further details.</w:t>
      </w:r>
    </w:p>
    <w:p w:rsidR="00E42A22" w:rsidRPr="00E42A22" w:rsidRDefault="00E42A22" w:rsidP="004D3B47">
      <w:r w:rsidRPr="00E42A22">
        <w:t>Industry - A grouping of businesses that carry out similar economic activities. Fatalities data in this publication have been coded to the Australian and New Zealand Standard Industrial Classification (</w:t>
      </w:r>
      <w:proofErr w:type="spellStart"/>
      <w:r w:rsidRPr="00E42A22">
        <w:t>ANZSIC</w:t>
      </w:r>
      <w:proofErr w:type="spellEnd"/>
      <w:r w:rsidRPr="00E42A22">
        <w:t>) 2006 (ABS cat. no. 1292.0) and unless specified are shown at the industry division level.</w:t>
      </w:r>
    </w:p>
    <w:p w:rsidR="00E42A22" w:rsidRPr="00E42A22" w:rsidRDefault="00E42A22" w:rsidP="004D3B47">
      <w:r w:rsidRPr="00E42A22">
        <w:t xml:space="preserve">Injury - </w:t>
      </w:r>
      <w:r>
        <w:t>A condition coded to ‘External c</w:t>
      </w:r>
      <w:r w:rsidRPr="00E42A22">
        <w:t>auses of morbidity and mortality’ and ‘Injury, poisoning and certain other consequences of external causes’ in the International Statistical Classification of Diseases and Related Health Problems, Tenth Revision, Australian Modification (</w:t>
      </w:r>
      <w:proofErr w:type="spellStart"/>
      <w:r w:rsidRPr="00E42A22">
        <w:t>ICD</w:t>
      </w:r>
      <w:proofErr w:type="spellEnd"/>
      <w:r w:rsidRPr="00E42A22">
        <w:t>-10-AM).</w:t>
      </w:r>
    </w:p>
    <w:p w:rsidR="00E42A22" w:rsidRPr="00E42A22" w:rsidRDefault="00E42A22" w:rsidP="004D3B47">
      <w:r w:rsidRPr="00E42A22">
        <w:t>Job - A set of tasks designed to be performed by one person for an employer (including self-employment) in return for payment or profit.</w:t>
      </w:r>
    </w:p>
    <w:p w:rsidR="00E42A22" w:rsidRPr="00E42A22" w:rsidRDefault="00E42A22" w:rsidP="004D3B47">
      <w:proofErr w:type="gramStart"/>
      <w:r w:rsidRPr="00E42A22">
        <w:t>Mechanism of incident - The action, exposure or event that best describes the circumstances that resulted in the most serious injury.</w:t>
      </w:r>
      <w:proofErr w:type="gramEnd"/>
    </w:p>
    <w:p w:rsidR="00E42A22" w:rsidRPr="00E42A22" w:rsidRDefault="00E42A22" w:rsidP="004D3B47">
      <w:proofErr w:type="gramStart"/>
      <w:r w:rsidRPr="00E42A22">
        <w:t>Non-public road incident - An incident involving a vehicle that occurred at a worksite, on a private road or a public area that is not a public road.</w:t>
      </w:r>
      <w:proofErr w:type="gramEnd"/>
      <w:r w:rsidRPr="00E42A22">
        <w:t xml:space="preserve"> These incidents include plane crashes and incidents involving watercraft as well as vehicle crashes on farming properties.</w:t>
      </w:r>
    </w:p>
    <w:p w:rsidR="00E42A22" w:rsidRPr="00E42A22" w:rsidRDefault="00E42A22" w:rsidP="004D3B47">
      <w:r w:rsidRPr="00E42A22">
        <w:t>Occupation - A set of jobs with similar sets of tasks. Fatalities data in this publication have been coded to the Australian and New Zealand Standard Classification of Occupations (</w:t>
      </w:r>
      <w:proofErr w:type="spellStart"/>
      <w:r w:rsidRPr="00E42A22">
        <w:t>ANZSCO</w:t>
      </w:r>
      <w:proofErr w:type="spellEnd"/>
      <w:r w:rsidRPr="00E42A22">
        <w:t>) (ABS cat. no. 1220.0) First edition and unless specified are shown at the major group level.</w:t>
      </w:r>
    </w:p>
    <w:p w:rsidR="00E42A22" w:rsidRPr="00E42A22" w:rsidRDefault="00E42A22" w:rsidP="004D3B47">
      <w:proofErr w:type="gramStart"/>
      <w:r w:rsidRPr="00E42A22">
        <w:t>Public road incident</w:t>
      </w:r>
      <w:r>
        <w:t xml:space="preserve"> </w:t>
      </w:r>
      <w:r w:rsidRPr="00E42A22">
        <w:t>- A collision on a public road between any vehicle or self-propelled plant and anything else including a pedestrian.</w:t>
      </w:r>
      <w:proofErr w:type="gramEnd"/>
      <w:r w:rsidRPr="00E42A22">
        <w:t xml:space="preserve"> Incidents involving vehicles at worksites or on private roads are excluded. Public road incidents can be</w:t>
      </w:r>
      <w:r>
        <w:t xml:space="preserve"> due to a Vehicle collision or </w:t>
      </w:r>
      <w:proofErr w:type="gramStart"/>
      <w:r>
        <w:t>B</w:t>
      </w:r>
      <w:r w:rsidRPr="00E42A22">
        <w:t>eing</w:t>
      </w:r>
      <w:proofErr w:type="gramEnd"/>
      <w:r w:rsidRPr="00E42A22">
        <w:t xml:space="preserve"> hit by a vehicle (which is included in the Mechanism of Being hit by moving objects). Vehicles that are caught in bush fires or hit by falling trees while on public roads are not classed as public road incidents as they do not involve a collision.</w:t>
      </w:r>
    </w:p>
    <w:p w:rsidR="00E42A22" w:rsidRPr="00E42A22" w:rsidRDefault="00E42A22" w:rsidP="004D3B47">
      <w:r w:rsidRPr="00E42A22">
        <w:lastRenderedPageBreak/>
        <w:t>Rollover of non-road vehicle - Part of the Mechanism classification used to identify when a vehicle that is not normally a road vehicle overturns. This includes tractors and quad bikes being used on farm properties.</w:t>
      </w:r>
    </w:p>
    <w:p w:rsidR="00E42A22" w:rsidRPr="00E42A22" w:rsidRDefault="00E42A22" w:rsidP="004D3B47">
      <w:r w:rsidRPr="00E42A22">
        <w:t>Self-employed - Includes both owner managers and employers. An owner manager is a person who works in his/her own business, with or without employees, whether or not the business is of limited liability. An employer is a person who operates his/her own unincorporated economic enterprise or engages independently in a profession or trade, and hires one or more employees.</w:t>
      </w:r>
    </w:p>
    <w:p w:rsidR="00E42A22" w:rsidRPr="00E42A22" w:rsidRDefault="00E42A22" w:rsidP="004D3B47">
      <w:r w:rsidRPr="00E42A22">
        <w:t>Type of occurrence classification system (</w:t>
      </w:r>
      <w:proofErr w:type="spellStart"/>
      <w:r w:rsidRPr="00E42A22">
        <w:t>TOOCS</w:t>
      </w:r>
      <w:proofErr w:type="spellEnd"/>
      <w:r w:rsidRPr="00E42A22">
        <w:t>) - A suite of four classifications to code the way an injury occurred, comprising the Nature of injury/disease classification, the Bodily location of injury/disease classification, Mechanism of incident classification, and the Agency of injury/disease classification. Version 3.1 is used for coding the data presented in this report. Fatalities are only coded by Mechanism and Agency.</w:t>
      </w:r>
    </w:p>
    <w:p w:rsidR="00E42A22" w:rsidRPr="00E42A22" w:rsidRDefault="00E42A22" w:rsidP="004D3B47">
      <w:r w:rsidRPr="00E42A22">
        <w:t xml:space="preserve">Vehicle collision - Part of the Mechanism of incident classification that identifies fatalities that occurred due to a vehicle crash and where the occupant of the vehicle </w:t>
      </w:r>
      <w:proofErr w:type="gramStart"/>
      <w:r w:rsidRPr="00E42A22">
        <w:t>was killed</w:t>
      </w:r>
      <w:proofErr w:type="gramEnd"/>
      <w:r w:rsidRPr="00E42A22">
        <w:t>. In the classification, this category is called Vehicle Incident but has been renamed to assist with reader understanding. Vehicle collisions that occur on public roads are further classified as a public road incidents and do not include people hit by a vehicle, which are coded to Being hit by moving objects. Vehicles not only include cars and trucks but also include other motorised equipment such as aircraft, boats, loaders, tractors and quad bikes.</w:t>
      </w:r>
    </w:p>
    <w:p w:rsidR="00E42A22" w:rsidRPr="00E42A22" w:rsidRDefault="00E42A22" w:rsidP="004D3B47">
      <w:r w:rsidRPr="00E42A22">
        <w:t>Volunteer - Persons who undertake voluntary work through or for an organisation or group are included in the worker counts where that organisation or group is a business enterprise. It does not include sporting organisations or caring activities.</w:t>
      </w:r>
    </w:p>
    <w:p w:rsidR="00E42A22" w:rsidRDefault="00E42A22" w:rsidP="004D3B47">
      <w:r w:rsidRPr="00E42A22">
        <w:t>Worker fatality - The death of a person who dies from injuries sustained while at work, including those workers whose injury was caused by another’s work activity. Workers include employees, self-employed persons, volunteers and contributing family workers</w:t>
      </w:r>
      <w:r>
        <w:t>.</w:t>
      </w:r>
    </w:p>
    <w:p w:rsidR="00E42A22" w:rsidRPr="00E42A22" w:rsidRDefault="00E42A22" w:rsidP="00E42A22"/>
    <w:p w:rsidR="00E42A22" w:rsidRPr="00E42A22" w:rsidRDefault="00E42A22" w:rsidP="00E42A22"/>
    <w:p w:rsidR="00E679C8" w:rsidRDefault="00E679C8">
      <w:pPr>
        <w:rPr>
          <w:b/>
          <w:bCs/>
          <w:color w:val="4F81BD" w:themeColor="accent1"/>
          <w:sz w:val="18"/>
          <w:szCs w:val="18"/>
        </w:rPr>
      </w:pPr>
      <w:r>
        <w:br w:type="page"/>
      </w:r>
    </w:p>
    <w:p w:rsidR="00247D72" w:rsidRDefault="00247D72" w:rsidP="00794575">
      <w:pPr>
        <w:pStyle w:val="Caption"/>
        <w:rPr>
          <w:b w:val="0"/>
          <w:sz w:val="40"/>
          <w:szCs w:val="40"/>
        </w:rPr>
        <w:sectPr w:rsidR="00247D72" w:rsidSect="004A37FF">
          <w:footerReference w:type="default" r:id="rId21"/>
          <w:pgSz w:w="11906" w:h="16838"/>
          <w:pgMar w:top="907" w:right="1077" w:bottom="1134" w:left="1077" w:header="567" w:footer="567" w:gutter="0"/>
          <w:cols w:space="708"/>
          <w:titlePg/>
          <w:docGrid w:linePitch="360"/>
        </w:sectPr>
      </w:pPr>
    </w:p>
    <w:p w:rsidR="002720B8" w:rsidRDefault="002720B8" w:rsidP="002720B8">
      <w:pPr>
        <w:pStyle w:val="Heading1"/>
      </w:pPr>
      <w:bookmarkStart w:id="52" w:name="_Toc460936401"/>
      <w:r>
        <w:lastRenderedPageBreak/>
        <w:t>Appendices</w:t>
      </w:r>
      <w:bookmarkEnd w:id="52"/>
    </w:p>
    <w:p w:rsidR="0075723F" w:rsidRDefault="00247D72" w:rsidP="006625B8">
      <w:pPr>
        <w:pStyle w:val="Heading4"/>
      </w:pPr>
      <w:r>
        <w:t>Appendix A1</w:t>
      </w:r>
      <w:r w:rsidRPr="00247D72">
        <w:t>: Worker fatalities: number by mechanism of incident, 2003 to 2015 (sorted by total fatalities)</w:t>
      </w:r>
    </w:p>
    <w:tbl>
      <w:tblPr>
        <w:tblStyle w:val="TableGrid"/>
        <w:tblW w:w="14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1: Worker fatalities: number by mechanism of incident, 2003 to 2015 (sorted by total fatalities)"/>
        <w:tblDescription w:val="Appendix A1: Worker fatalities: number by mechanism of incident, 2003 to 2015 (sorted by total fatalities)"/>
      </w:tblPr>
      <w:tblGrid>
        <w:gridCol w:w="4419"/>
        <w:gridCol w:w="599"/>
        <w:gridCol w:w="599"/>
        <w:gridCol w:w="599"/>
        <w:gridCol w:w="599"/>
        <w:gridCol w:w="599"/>
        <w:gridCol w:w="599"/>
        <w:gridCol w:w="599"/>
        <w:gridCol w:w="599"/>
        <w:gridCol w:w="599"/>
        <w:gridCol w:w="599"/>
        <w:gridCol w:w="599"/>
        <w:gridCol w:w="599"/>
        <w:gridCol w:w="599"/>
        <w:gridCol w:w="627"/>
        <w:gridCol w:w="1065"/>
        <w:gridCol w:w="1046"/>
      </w:tblGrid>
      <w:tr w:rsidR="006625B8" w:rsidRPr="00247D72" w:rsidTr="005B1996">
        <w:trPr>
          <w:trHeight w:val="237"/>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247D72" w:rsidRPr="00247D72" w:rsidRDefault="00247D72" w:rsidP="00D36746">
            <w:pPr>
              <w:pStyle w:val="HeaderRow"/>
            </w:pPr>
            <w:r w:rsidRPr="00247D72">
              <w:t>Mechanism of incident</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2003</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2004</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2005</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2006</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2007</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2008</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2009</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2010</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2011</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2012</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2013</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2014</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2015</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Total</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 of 2015*</w:t>
            </w:r>
          </w:p>
        </w:tc>
        <w:tc>
          <w:tcPr>
            <w:tcW w:w="0" w:type="auto"/>
            <w:shd w:val="clear" w:color="auto" w:fill="B8CCE4" w:themeFill="accent1" w:themeFillTint="66"/>
            <w:vAlign w:val="bottom"/>
          </w:tcPr>
          <w:p w:rsidR="00247D72" w:rsidRPr="00247D72" w:rsidRDefault="00247D72" w:rsidP="00D36746">
            <w:pPr>
              <w:pStyle w:val="HeaderRow"/>
              <w:cnfStyle w:val="000000000000" w:firstRow="0" w:lastRow="0" w:firstColumn="0" w:lastColumn="0" w:oddVBand="0" w:evenVBand="0" w:oddHBand="0" w:evenHBand="0" w:firstRowFirstColumn="0" w:firstRowLastColumn="0" w:lastRowFirstColumn="0" w:lastRowLastColumn="0"/>
            </w:pPr>
            <w:r w:rsidRPr="00247D72">
              <w:t>% of total*</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 xml:space="preserve">Vehicle </w:t>
            </w:r>
            <w:r w:rsidR="00640BA0">
              <w:t>collision</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108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103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1258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39%</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Being hit by moving objects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387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r>
      <w:tr w:rsidR="00247D72" w:rsidTr="006B3EA5">
        <w:trPr>
          <w:trHeight w:val="255"/>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 xml:space="preserve">Falls from a height  </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359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Being hit by falling objects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294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Contact with electricity</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142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Rollover of non-road vehicle</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Being trapped by moving machinery</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Being trapped between stationary and moving objects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Being assaulted by a person or persons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Drowning</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9</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Explosion</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Being hit by an animal</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Falls on the same level</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Contact with hot objects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Slide or cave-in</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4</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5</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Exposure to environmental heat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18</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Single contact with chemical or substance</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17</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r>
      <w:tr w:rsidR="00247D72" w:rsidTr="006B3EA5">
        <w:trPr>
          <w:trHeight w:val="255"/>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Hitting stationary objects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Being bitten by an animal</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Hitting moving objects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Insect and spider bites and stings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Being hit by a person accidentally</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6</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Other and multiple mechanisms of injury</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Other variations in pressure</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2</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 xml:space="preserve">Exposure to other </w:t>
            </w:r>
            <w:r w:rsidR="00F33BCB">
              <w:t>and</w:t>
            </w:r>
            <w:r w:rsidRPr="002F3F31">
              <w:t xml:space="preserve"> unspecified environmental factors</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3</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Unspecified mechanisms of injury</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vAlign w:val="top"/>
          </w:tcPr>
          <w:p w:rsidR="00247D72" w:rsidRPr="002F3F31" w:rsidRDefault="00247D72" w:rsidP="006625B8">
            <w:pPr>
              <w:pStyle w:val="Tablerowheading2"/>
            </w:pPr>
            <w:r w:rsidRPr="002F3F31">
              <w:t>Contact with poisonous parts of plant or marine life</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1</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c>
          <w:tcPr>
            <w:tcW w:w="0" w:type="auto"/>
          </w:tcPr>
          <w:p w:rsidR="00247D72" w:rsidRPr="002F3F31" w:rsidRDefault="00247D72" w:rsidP="00F90453">
            <w:pPr>
              <w:pStyle w:val="Tablerowheading2"/>
              <w:cnfStyle w:val="000000000000" w:firstRow="0" w:lastRow="0" w:firstColumn="0" w:lastColumn="0" w:oddVBand="0" w:evenVBand="0" w:oddHBand="0" w:evenHBand="0" w:firstRowFirstColumn="0" w:firstRowLastColumn="0" w:lastRowFirstColumn="0" w:lastRowLastColumn="0"/>
            </w:pPr>
            <w:r w:rsidRPr="002F3F31">
              <w:t>0%*</w:t>
            </w:r>
          </w:p>
        </w:tc>
      </w:tr>
      <w:tr w:rsidR="006625B8" w:rsidRPr="00247D72" w:rsidTr="006B3EA5">
        <w:trPr>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top"/>
          </w:tcPr>
          <w:p w:rsidR="00247D72" w:rsidRPr="00247D72" w:rsidRDefault="00247D72" w:rsidP="006625B8">
            <w:pPr>
              <w:pStyle w:val="Tabletotal"/>
            </w:pPr>
            <w:r w:rsidRPr="00247D72">
              <w:t>Total*</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259</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284</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258</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284</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310</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283</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258</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228</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224</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229</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201</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194</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195</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3207</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100%</w:t>
            </w:r>
          </w:p>
        </w:tc>
        <w:tc>
          <w:tcPr>
            <w:tcW w:w="0" w:type="auto"/>
            <w:shd w:val="clear" w:color="auto" w:fill="B8CCE4" w:themeFill="accent1" w:themeFillTint="66"/>
          </w:tcPr>
          <w:p w:rsidR="00247D72" w:rsidRPr="00247D72" w:rsidRDefault="00247D72" w:rsidP="00F90453">
            <w:pPr>
              <w:pStyle w:val="Tabletotal"/>
              <w:cnfStyle w:val="000000000000" w:firstRow="0" w:lastRow="0" w:firstColumn="0" w:lastColumn="0" w:oddVBand="0" w:evenVBand="0" w:oddHBand="0" w:evenHBand="0" w:firstRowFirstColumn="0" w:firstRowLastColumn="0" w:lastRowFirstColumn="0" w:lastRowLastColumn="0"/>
            </w:pPr>
            <w:r w:rsidRPr="00247D72">
              <w:t>100%</w:t>
            </w:r>
          </w:p>
        </w:tc>
      </w:tr>
    </w:tbl>
    <w:p w:rsidR="00247D72" w:rsidRDefault="00247D72" w:rsidP="00383468">
      <w:pPr>
        <w:pStyle w:val="Footnote"/>
      </w:pPr>
      <w:r w:rsidRPr="00247D72">
        <w:t xml:space="preserve">* The percentages shown in this table have been rounded to the nearest whole </w:t>
      </w:r>
      <w:proofErr w:type="gramStart"/>
      <w:r w:rsidRPr="00247D72">
        <w:t>number,</w:t>
      </w:r>
      <w:proofErr w:type="gramEnd"/>
      <w:r w:rsidRPr="00247D72">
        <w:t xml:space="preserve"> therefore the sum of percentage figures for each column may not equal the total.</w:t>
      </w:r>
    </w:p>
    <w:bookmarkEnd w:id="27"/>
    <w:bookmarkEnd w:id="44"/>
    <w:p w:rsidR="006625B8" w:rsidRDefault="006625B8">
      <w:pPr>
        <w:rPr>
          <w:b/>
        </w:rPr>
      </w:pPr>
      <w:r>
        <w:rPr>
          <w:bCs/>
        </w:rPr>
        <w:br w:type="page"/>
      </w:r>
    </w:p>
    <w:p w:rsidR="000D7236" w:rsidRPr="000D7236" w:rsidRDefault="000D7236" w:rsidP="002720B8">
      <w:pPr>
        <w:pStyle w:val="Heading4"/>
        <w:spacing w:after="60" w:line="240" w:lineRule="auto"/>
      </w:pPr>
      <w:r w:rsidRPr="000D7236">
        <w:lastRenderedPageBreak/>
        <w:t xml:space="preserve">Appendix </w:t>
      </w:r>
      <w:proofErr w:type="spellStart"/>
      <w:r w:rsidRPr="000D7236">
        <w:t>A2</w:t>
      </w:r>
      <w:proofErr w:type="spellEnd"/>
      <w:r w:rsidRPr="000D7236">
        <w:t>: Worker fatalities: number and proportion by breakdown agency, 2003 to 2015 (sorted by total fatalities)</w:t>
      </w:r>
    </w:p>
    <w:tbl>
      <w:tblPr>
        <w:tblStyle w:val="TableGrid"/>
        <w:tblW w:w="15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2: Worker fatalities: number and proportion by breakdown agency, 2003 to 2015 (sorted by total fatalities)"/>
        <w:tblDescription w:val="Appendix A2: Worker fatalities: number and proportion by breakdown agency, 2003 to 2015 (sorted by total fatalities)"/>
      </w:tblPr>
      <w:tblGrid>
        <w:gridCol w:w="4455"/>
        <w:gridCol w:w="588"/>
        <w:gridCol w:w="588"/>
        <w:gridCol w:w="588"/>
        <w:gridCol w:w="588"/>
        <w:gridCol w:w="588"/>
        <w:gridCol w:w="588"/>
        <w:gridCol w:w="588"/>
        <w:gridCol w:w="588"/>
        <w:gridCol w:w="588"/>
        <w:gridCol w:w="588"/>
        <w:gridCol w:w="588"/>
        <w:gridCol w:w="588"/>
        <w:gridCol w:w="588"/>
        <w:gridCol w:w="614"/>
        <w:gridCol w:w="1450"/>
        <w:gridCol w:w="1393"/>
      </w:tblGrid>
      <w:tr w:rsidR="002720B8" w:rsidRPr="000D7236" w:rsidTr="005B1996">
        <w:trPr>
          <w:trHeight w:val="380"/>
          <w:tblHeader/>
        </w:trPr>
        <w:tc>
          <w:tcPr>
            <w:cnfStyle w:val="001000000000" w:firstRow="0" w:lastRow="0" w:firstColumn="1" w:lastColumn="0" w:oddVBand="0" w:evenVBand="0" w:oddHBand="0" w:evenHBand="0" w:firstRowFirstColumn="0" w:firstRowLastColumn="0" w:lastRowFirstColumn="0" w:lastRowLastColumn="0"/>
            <w:tcW w:w="4455" w:type="dxa"/>
            <w:shd w:val="clear" w:color="auto" w:fill="B8CCE4" w:themeFill="accent1" w:themeFillTint="66"/>
            <w:vAlign w:val="bottom"/>
          </w:tcPr>
          <w:p w:rsidR="000D7236" w:rsidRPr="000D7236" w:rsidRDefault="000D7236" w:rsidP="00D36746">
            <w:pPr>
              <w:pStyle w:val="HeaderRow"/>
            </w:pPr>
            <w:r w:rsidRPr="000D7236">
              <w:t>Breakdown agency</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2003</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2004</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2005</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2006</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2007</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2008</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2009</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2010</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2011</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2012</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2013</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2014</w:t>
            </w:r>
          </w:p>
        </w:tc>
        <w:tc>
          <w:tcPr>
            <w:tcW w:w="588"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2015</w:t>
            </w:r>
          </w:p>
        </w:tc>
        <w:tc>
          <w:tcPr>
            <w:tcW w:w="614"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Total</w:t>
            </w:r>
          </w:p>
        </w:tc>
        <w:tc>
          <w:tcPr>
            <w:tcW w:w="1450"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 of 2015</w:t>
            </w:r>
            <w:r w:rsidR="006625B8">
              <w:t xml:space="preserve"> fatalities</w:t>
            </w:r>
          </w:p>
        </w:tc>
        <w:tc>
          <w:tcPr>
            <w:tcW w:w="1393" w:type="dxa"/>
            <w:shd w:val="clear" w:color="auto" w:fill="B8CCE4" w:themeFill="accent1" w:themeFillTint="66"/>
            <w:vAlign w:val="bottom"/>
          </w:tcPr>
          <w:p w:rsidR="000D7236" w:rsidRPr="000D7236" w:rsidRDefault="000D7236" w:rsidP="00D36746">
            <w:pPr>
              <w:pStyle w:val="HeaderRow"/>
              <w:cnfStyle w:val="000000000000" w:firstRow="0" w:lastRow="0" w:firstColumn="0" w:lastColumn="0" w:oddVBand="0" w:evenVBand="0" w:oddHBand="0" w:evenHBand="0" w:firstRowFirstColumn="0" w:firstRowLastColumn="0" w:lastRowFirstColumn="0" w:lastRowLastColumn="0"/>
            </w:pPr>
            <w:r w:rsidRPr="000D7236">
              <w:t>% of total</w:t>
            </w:r>
            <w:r w:rsidR="006625B8">
              <w:t xml:space="preserve"> fatalities</w:t>
            </w:r>
          </w:p>
        </w:tc>
      </w:tr>
      <w:tr w:rsidR="002720B8" w:rsidRPr="000D7236" w:rsidTr="002720B8">
        <w:trPr>
          <w:trHeight w:val="218"/>
        </w:trPr>
        <w:tc>
          <w:tcPr>
            <w:cnfStyle w:val="001000000000" w:firstRow="0" w:lastRow="0" w:firstColumn="1" w:lastColumn="0" w:oddVBand="0" w:evenVBand="0" w:oddHBand="0" w:evenHBand="0" w:firstRowFirstColumn="0" w:firstRowLastColumn="0" w:lastRowFirstColumn="0" w:lastRowLastColumn="0"/>
            <w:tcW w:w="4455" w:type="dxa"/>
            <w:shd w:val="clear" w:color="auto" w:fill="auto"/>
            <w:vAlign w:val="top"/>
          </w:tcPr>
          <w:p w:rsidR="000D7236" w:rsidRPr="000D7236" w:rsidRDefault="000D7236" w:rsidP="006625B8">
            <w:pPr>
              <w:pStyle w:val="HeaderRow"/>
            </w:pPr>
            <w:r w:rsidRPr="000D7236">
              <w:t xml:space="preserve">Mobile plant </w:t>
            </w:r>
            <w:r w:rsidR="0086785E">
              <w:t>and</w:t>
            </w:r>
            <w:r w:rsidRPr="000D7236">
              <w:t xml:space="preserve"> transport</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161</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180</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151</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172</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192</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184</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167</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133</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132</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142</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123</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112</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103</w:t>
            </w:r>
          </w:p>
        </w:tc>
        <w:tc>
          <w:tcPr>
            <w:tcW w:w="614"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1952</w:t>
            </w:r>
          </w:p>
        </w:tc>
        <w:tc>
          <w:tcPr>
            <w:tcW w:w="1450"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53%</w:t>
            </w:r>
          </w:p>
        </w:tc>
        <w:tc>
          <w:tcPr>
            <w:tcW w:w="1393"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61%</w:t>
            </w:r>
          </w:p>
        </w:tc>
      </w:tr>
      <w:tr w:rsidR="002720B8" w:rsidRPr="00025A74"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025A74" w:rsidRDefault="000D7236" w:rsidP="006625B8">
            <w:pPr>
              <w:pStyle w:val="Tablerowheading2"/>
            </w:pPr>
            <w:r w:rsidRPr="00025A74">
              <w:t>Road transport</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99</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114</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100</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112</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139</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115</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110</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84</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72</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91</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73</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69</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54</w:t>
            </w:r>
          </w:p>
        </w:tc>
        <w:tc>
          <w:tcPr>
            <w:tcW w:w="614"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1232</w:t>
            </w:r>
          </w:p>
        </w:tc>
        <w:tc>
          <w:tcPr>
            <w:tcW w:w="1450"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28%</w:t>
            </w:r>
          </w:p>
        </w:tc>
        <w:tc>
          <w:tcPr>
            <w:tcW w:w="1393"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38%</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6625B8">
            <w:pPr>
              <w:pStyle w:val="Tablerowheading4"/>
            </w:pPr>
            <w:r w:rsidRPr="00983317">
              <w:t>Trucks, semi-trailers, lorries</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50</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36</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730</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18%</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23%</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6625B8">
            <w:pPr>
              <w:pStyle w:val="Tablerowheading4"/>
            </w:pPr>
            <w:r w:rsidRPr="00983317">
              <w:t>Cars, station wagons, vans, utilities</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18</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442</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9%</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14%</w:t>
            </w:r>
          </w:p>
        </w:tc>
      </w:tr>
      <w:tr w:rsidR="002720B8" w:rsidRPr="00025A74"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025A74" w:rsidRDefault="000D7236" w:rsidP="006625B8">
            <w:pPr>
              <w:pStyle w:val="Tablerowheading2"/>
            </w:pPr>
            <w:r w:rsidRPr="00025A74">
              <w:t>Air transport</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24</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12</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15</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21</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11</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19</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11</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14</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21</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13</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10</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9</w:t>
            </w:r>
          </w:p>
        </w:tc>
        <w:tc>
          <w:tcPr>
            <w:tcW w:w="588"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4</w:t>
            </w:r>
          </w:p>
        </w:tc>
        <w:tc>
          <w:tcPr>
            <w:tcW w:w="614"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184</w:t>
            </w:r>
          </w:p>
        </w:tc>
        <w:tc>
          <w:tcPr>
            <w:tcW w:w="1450"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2%</w:t>
            </w:r>
          </w:p>
        </w:tc>
        <w:tc>
          <w:tcPr>
            <w:tcW w:w="1393" w:type="dxa"/>
          </w:tcPr>
          <w:p w:rsidR="000D7236" w:rsidRPr="00025A74"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A74">
              <w:t>6%</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6625B8">
            <w:pPr>
              <w:pStyle w:val="Tablerowheading4"/>
            </w:pPr>
            <w:r w:rsidRPr="00983317">
              <w:t>Industrial aircraft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113</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6625B8">
            <w:pPr>
              <w:pStyle w:val="Tablerowheading4"/>
            </w:pPr>
            <w:r w:rsidRPr="00983317">
              <w:t>Passenger aircraft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69</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0%</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6625B8">
            <w:pPr>
              <w:pStyle w:val="Tablerowheading2"/>
            </w:pPr>
            <w:r w:rsidRPr="00983317">
              <w:t>Self-propelled plant</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12</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11</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14</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11</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9</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13</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14</w:t>
            </w:r>
          </w:p>
        </w:tc>
        <w:tc>
          <w:tcPr>
            <w:tcW w:w="614"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136</w:t>
            </w:r>
          </w:p>
        </w:tc>
        <w:tc>
          <w:tcPr>
            <w:tcW w:w="1450"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7%</w:t>
            </w:r>
          </w:p>
        </w:tc>
        <w:tc>
          <w:tcPr>
            <w:tcW w:w="1393"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4%</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6625B8">
            <w:pPr>
              <w:pStyle w:val="Tablerowheading4"/>
            </w:pPr>
            <w:r w:rsidRPr="00983317">
              <w:t>Front-end loaders, log handling plant, other loading plant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42</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6625B8">
            <w:pPr>
              <w:pStyle w:val="Tablerowheading4"/>
            </w:pPr>
            <w:r w:rsidRPr="00983317">
              <w:t>Excavators, backhoes, other digging plant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32</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6625B8">
            <w:pPr>
              <w:pStyle w:val="Tablerowheading4"/>
            </w:pPr>
            <w:r w:rsidRPr="00983317">
              <w:t>Graders, dozers, snowploughs, other scraping plant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24</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r>
      <w:tr w:rsidR="002720B8" w:rsidRPr="000D7236"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6625B8" w:rsidRDefault="000D7236" w:rsidP="006625B8">
            <w:pPr>
              <w:pStyle w:val="Tablerowheading2"/>
            </w:pPr>
            <w:r w:rsidRPr="00025A74">
              <w:t>Other mobile plant</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20</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23</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13</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12</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15</w:t>
            </w:r>
          </w:p>
        </w:tc>
        <w:tc>
          <w:tcPr>
            <w:tcW w:w="614"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204</w:t>
            </w:r>
          </w:p>
        </w:tc>
        <w:tc>
          <w:tcPr>
            <w:tcW w:w="1450"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8%</w:t>
            </w:r>
          </w:p>
        </w:tc>
        <w:tc>
          <w:tcPr>
            <w:tcW w:w="1393"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Tractors, agricultural or otherwise</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149</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r>
      <w:tr w:rsidR="002720B8" w:rsidRPr="000D7236"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6625B8" w:rsidRDefault="000D7236" w:rsidP="006625B8">
            <w:pPr>
              <w:pStyle w:val="Tablerowheading2"/>
            </w:pPr>
            <w:r w:rsidRPr="00025A74">
              <w:t>Water transport</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9</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11</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9</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5</w:t>
            </w:r>
          </w:p>
        </w:tc>
        <w:tc>
          <w:tcPr>
            <w:tcW w:w="614"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69</w:t>
            </w:r>
          </w:p>
        </w:tc>
        <w:tc>
          <w:tcPr>
            <w:tcW w:w="1450"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3%</w:t>
            </w:r>
          </w:p>
        </w:tc>
        <w:tc>
          <w:tcPr>
            <w:tcW w:w="1393"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w:t>
            </w:r>
          </w:p>
        </w:tc>
      </w:tr>
      <w:tr w:rsidR="002720B8" w:rsidRPr="000D7236"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6625B8" w:rsidRDefault="000D7236" w:rsidP="006625B8">
            <w:pPr>
              <w:pStyle w:val="Tablerowheading2"/>
            </w:pPr>
            <w:r w:rsidRPr="00025A74">
              <w:t>Other transport</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3</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3</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3</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8</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7</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10</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12</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7</w:t>
            </w:r>
          </w:p>
        </w:tc>
        <w:tc>
          <w:tcPr>
            <w:tcW w:w="614"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72</w:t>
            </w:r>
          </w:p>
        </w:tc>
        <w:tc>
          <w:tcPr>
            <w:tcW w:w="1450"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1393"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proofErr w:type="spellStart"/>
            <w:r w:rsidRPr="00983317">
              <w:t>All terrain</w:t>
            </w:r>
            <w:proofErr w:type="spellEnd"/>
            <w:r w:rsidRPr="00983317">
              <w:t xml:space="preserve"> vehicle (</w:t>
            </w:r>
            <w:proofErr w:type="spellStart"/>
            <w:r w:rsidRPr="00983317">
              <w:t>atv</w:t>
            </w:r>
            <w:proofErr w:type="spellEnd"/>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70</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r>
      <w:tr w:rsidR="002720B8" w:rsidRPr="000D7236"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shd w:val="clear" w:color="auto" w:fill="auto"/>
            <w:vAlign w:val="top"/>
          </w:tcPr>
          <w:p w:rsidR="000D7236" w:rsidRPr="000D7236" w:rsidRDefault="000D7236" w:rsidP="00B979F5">
            <w:pPr>
              <w:pStyle w:val="HeaderRow"/>
            </w:pPr>
            <w:r w:rsidRPr="000D7236">
              <w:t xml:space="preserve">Machinery </w:t>
            </w:r>
            <w:r w:rsidR="0086785E">
              <w:t>and</w:t>
            </w:r>
            <w:r w:rsidRPr="000D7236">
              <w:t xml:space="preserve"> (mainly) fixed plant</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23</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27</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32</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30</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29</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29</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31</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25</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32</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22</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24</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21</w:t>
            </w:r>
          </w:p>
        </w:tc>
        <w:tc>
          <w:tcPr>
            <w:tcW w:w="588"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17</w:t>
            </w:r>
          </w:p>
        </w:tc>
        <w:tc>
          <w:tcPr>
            <w:tcW w:w="614"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342</w:t>
            </w:r>
          </w:p>
        </w:tc>
        <w:tc>
          <w:tcPr>
            <w:tcW w:w="1450"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9%</w:t>
            </w:r>
          </w:p>
        </w:tc>
        <w:tc>
          <w:tcPr>
            <w:tcW w:w="1393" w:type="dxa"/>
            <w:shd w:val="clear" w:color="auto" w:fill="auto"/>
          </w:tcPr>
          <w:p w:rsidR="000D7236" w:rsidRPr="000D7236"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0D7236">
              <w:t>11%</w:t>
            </w:r>
          </w:p>
        </w:tc>
      </w:tr>
      <w:tr w:rsidR="002720B8" w:rsidRPr="000D7236"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B979F5" w:rsidRDefault="000D7236" w:rsidP="00B979F5">
            <w:pPr>
              <w:pStyle w:val="Tablerowheading2"/>
            </w:pPr>
            <w:r w:rsidRPr="00025A74">
              <w:t>Conveyors and lifting plant</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13</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10</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20</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18</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18</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17</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16</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14</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22</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12</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17</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12</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9</w:t>
            </w:r>
          </w:p>
        </w:tc>
        <w:tc>
          <w:tcPr>
            <w:tcW w:w="614"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198</w:t>
            </w:r>
          </w:p>
        </w:tc>
        <w:tc>
          <w:tcPr>
            <w:tcW w:w="1450"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5%</w:t>
            </w:r>
          </w:p>
        </w:tc>
        <w:tc>
          <w:tcPr>
            <w:tcW w:w="1393"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6%</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Forklift trucks</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68</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Power hoists</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54</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Cranes</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47</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r>
      <w:tr w:rsidR="002720B8" w:rsidRPr="000D7236"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B979F5" w:rsidRDefault="000D7236" w:rsidP="00B979F5">
            <w:pPr>
              <w:pStyle w:val="Tablerowheading2"/>
            </w:pPr>
            <w:r w:rsidRPr="000255E9">
              <w:t>Electrical installation</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11</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3</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614"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67</w:t>
            </w:r>
          </w:p>
        </w:tc>
        <w:tc>
          <w:tcPr>
            <w:tcW w:w="1450"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w:t>
            </w:r>
          </w:p>
        </w:tc>
        <w:tc>
          <w:tcPr>
            <w:tcW w:w="1393"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w:t>
            </w:r>
          </w:p>
        </w:tc>
      </w:tr>
      <w:tr w:rsidR="002720B8" w:rsidRPr="000D7236"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shd w:val="clear" w:color="auto" w:fill="auto"/>
            <w:vAlign w:val="top"/>
          </w:tcPr>
          <w:p w:rsidR="000D7236" w:rsidRPr="00B979F5" w:rsidRDefault="000D7236" w:rsidP="00B979F5">
            <w:pPr>
              <w:pStyle w:val="HeaderRow"/>
            </w:pPr>
            <w:r w:rsidRPr="00B979F5">
              <w:t>Environmental agencies</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29</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29</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20</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25</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20</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21</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33</w:t>
            </w:r>
          </w:p>
        </w:tc>
        <w:tc>
          <w:tcPr>
            <w:tcW w:w="614"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336</w:t>
            </w:r>
          </w:p>
        </w:tc>
        <w:tc>
          <w:tcPr>
            <w:tcW w:w="1450"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17%</w:t>
            </w:r>
          </w:p>
        </w:tc>
        <w:tc>
          <w:tcPr>
            <w:tcW w:w="1393"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10%</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Buildings and other structures</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7</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118</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r>
      <w:tr w:rsidR="002720B8" w:rsidRPr="00B979F5"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B979F5" w:rsidRDefault="000D7236" w:rsidP="00B979F5">
            <w:pPr>
              <w:pStyle w:val="Tablerowheading5"/>
            </w:pPr>
            <w:r w:rsidRPr="00B979F5">
              <w:t>Buildings under construction or demolition</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3</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5</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6</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2</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2</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614"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25</w:t>
            </w:r>
          </w:p>
        </w:tc>
        <w:tc>
          <w:tcPr>
            <w:tcW w:w="1450"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1393"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r>
      <w:tr w:rsidR="002720B8" w:rsidRPr="00B979F5"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B979F5" w:rsidRDefault="000D7236" w:rsidP="00B979F5">
            <w:pPr>
              <w:pStyle w:val="Tablerowheading5"/>
            </w:pPr>
            <w:r w:rsidRPr="00B979F5">
              <w:t>Roof</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9</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2</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6</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5</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5</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5</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3</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1</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3</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8</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3</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5</w:t>
            </w:r>
          </w:p>
        </w:tc>
        <w:tc>
          <w:tcPr>
            <w:tcW w:w="588"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6</w:t>
            </w:r>
          </w:p>
        </w:tc>
        <w:tc>
          <w:tcPr>
            <w:tcW w:w="614"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61</w:t>
            </w:r>
          </w:p>
        </w:tc>
        <w:tc>
          <w:tcPr>
            <w:tcW w:w="1450"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3%</w:t>
            </w:r>
          </w:p>
        </w:tc>
        <w:tc>
          <w:tcPr>
            <w:tcW w:w="1393" w:type="dxa"/>
          </w:tcPr>
          <w:p w:rsidR="000D7236" w:rsidRPr="00B979F5" w:rsidRDefault="000D7236" w:rsidP="00F90453">
            <w:pPr>
              <w:pStyle w:val="Tablerowheading5"/>
              <w:ind w:left="0"/>
              <w:cnfStyle w:val="000000000000" w:firstRow="0" w:lastRow="0" w:firstColumn="0" w:lastColumn="0" w:oddVBand="0" w:evenVBand="0" w:oddHBand="0" w:evenHBand="0" w:firstRowFirstColumn="0" w:firstRowLastColumn="0" w:lastRowFirstColumn="0" w:lastRowLastColumn="0"/>
            </w:pPr>
            <w:r w:rsidRPr="00B979F5">
              <w:t>2%</w:t>
            </w:r>
          </w:p>
        </w:tc>
      </w:tr>
      <w:tr w:rsidR="002720B8" w:rsidRPr="00B979F5"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B979F5" w:rsidRDefault="000D7236" w:rsidP="00B979F5">
            <w:pPr>
              <w:pStyle w:val="Tablerowheading4"/>
            </w:pPr>
            <w:r w:rsidRPr="00B979F5">
              <w:t>Vegetation</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3</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6</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11</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5</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6</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3</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3</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6</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6</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6</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7</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2</w:t>
            </w:r>
          </w:p>
        </w:tc>
        <w:tc>
          <w:tcPr>
            <w:tcW w:w="588"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5</w:t>
            </w:r>
          </w:p>
        </w:tc>
        <w:tc>
          <w:tcPr>
            <w:tcW w:w="614"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69</w:t>
            </w:r>
          </w:p>
        </w:tc>
        <w:tc>
          <w:tcPr>
            <w:tcW w:w="1450"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3%</w:t>
            </w:r>
          </w:p>
        </w:tc>
        <w:tc>
          <w:tcPr>
            <w:tcW w:w="1393" w:type="dxa"/>
          </w:tcPr>
          <w:p w:rsidR="000D7236" w:rsidRPr="00B979F5"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B979F5">
              <w:t>2%</w:t>
            </w:r>
          </w:p>
        </w:tc>
      </w:tr>
      <w:tr w:rsidR="002720B8" w:rsidRPr="0086785E"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shd w:val="clear" w:color="auto" w:fill="auto"/>
            <w:vAlign w:val="top"/>
          </w:tcPr>
          <w:p w:rsidR="000D7236" w:rsidRPr="00B979F5" w:rsidRDefault="000D7236" w:rsidP="00B979F5">
            <w:pPr>
              <w:pStyle w:val="HeaderRow"/>
            </w:pPr>
            <w:r w:rsidRPr="00B979F5">
              <w:t xml:space="preserve">Non-powered </w:t>
            </w:r>
            <w:proofErr w:type="spellStart"/>
            <w:r w:rsidRPr="00B979F5">
              <w:t>handtools</w:t>
            </w:r>
            <w:proofErr w:type="spellEnd"/>
            <w:r w:rsidRPr="00B979F5">
              <w:t xml:space="preserve">, appliances </w:t>
            </w:r>
            <w:r w:rsidR="00F33BCB">
              <w:t>and</w:t>
            </w:r>
            <w:r w:rsidRPr="00B979F5">
              <w:t xml:space="preserve"> equipment</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11</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20</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18</w:t>
            </w:r>
          </w:p>
        </w:tc>
        <w:tc>
          <w:tcPr>
            <w:tcW w:w="614"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204</w:t>
            </w:r>
          </w:p>
        </w:tc>
        <w:tc>
          <w:tcPr>
            <w:tcW w:w="1450"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9%</w:t>
            </w:r>
          </w:p>
        </w:tc>
        <w:tc>
          <w:tcPr>
            <w:tcW w:w="1393"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6%</w:t>
            </w:r>
          </w:p>
        </w:tc>
      </w:tr>
      <w:tr w:rsidR="002720B8" w:rsidRPr="0086785E"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025A74" w:rsidRDefault="000D7236" w:rsidP="00B979F5">
            <w:pPr>
              <w:pStyle w:val="Tablerowheading2"/>
            </w:pPr>
            <w:r w:rsidRPr="00025A74">
              <w:t>Ladders, mobile ramps and stairways, and scaffolding</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4</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3</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5</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7</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13</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9</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7</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11</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7</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2</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4</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4</w:t>
            </w:r>
          </w:p>
        </w:tc>
        <w:tc>
          <w:tcPr>
            <w:tcW w:w="588"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6</w:t>
            </w:r>
          </w:p>
        </w:tc>
        <w:tc>
          <w:tcPr>
            <w:tcW w:w="614"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82</w:t>
            </w:r>
          </w:p>
        </w:tc>
        <w:tc>
          <w:tcPr>
            <w:tcW w:w="1450"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3%</w:t>
            </w:r>
          </w:p>
        </w:tc>
        <w:tc>
          <w:tcPr>
            <w:tcW w:w="1393" w:type="dxa"/>
          </w:tcPr>
          <w:p w:rsidR="000D7236" w:rsidRPr="00B979F5"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B979F5">
              <w:t>3%</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Ladders</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9</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57</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Scaffolding</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21</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r>
      <w:tr w:rsidR="002720B8" w:rsidRPr="0086785E"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shd w:val="clear" w:color="auto" w:fill="auto"/>
            <w:vAlign w:val="top"/>
          </w:tcPr>
          <w:p w:rsidR="000D7236" w:rsidRPr="00B979F5" w:rsidRDefault="000D7236" w:rsidP="00B979F5">
            <w:pPr>
              <w:pStyle w:val="HeaderRow"/>
            </w:pPr>
            <w:r w:rsidRPr="00B979F5">
              <w:t xml:space="preserve">Animal, human </w:t>
            </w:r>
            <w:r w:rsidR="0086785E" w:rsidRPr="00B979F5">
              <w:t>and</w:t>
            </w:r>
            <w:r w:rsidRPr="00B979F5">
              <w:t xml:space="preserve"> biological agencies</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15</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15</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9</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11</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10</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11</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9</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11</w:t>
            </w:r>
          </w:p>
        </w:tc>
        <w:tc>
          <w:tcPr>
            <w:tcW w:w="614"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158</w:t>
            </w:r>
          </w:p>
        </w:tc>
        <w:tc>
          <w:tcPr>
            <w:tcW w:w="1450"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6%</w:t>
            </w:r>
          </w:p>
        </w:tc>
        <w:tc>
          <w:tcPr>
            <w:tcW w:w="1393"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5%</w:t>
            </w:r>
          </w:p>
        </w:tc>
      </w:tr>
      <w:tr w:rsidR="002720B8" w:rsidRPr="0086785E"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B979F5" w:rsidRDefault="000D7236" w:rsidP="00B979F5">
            <w:pPr>
              <w:pStyle w:val="Tablerowheading2"/>
            </w:pPr>
            <w:r w:rsidRPr="00025A74">
              <w:t>Live four-legged animals</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7</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7</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6</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5</w:t>
            </w:r>
          </w:p>
        </w:tc>
        <w:tc>
          <w:tcPr>
            <w:tcW w:w="588"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4</w:t>
            </w:r>
          </w:p>
        </w:tc>
        <w:tc>
          <w:tcPr>
            <w:tcW w:w="614"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71</w:t>
            </w:r>
          </w:p>
        </w:tc>
        <w:tc>
          <w:tcPr>
            <w:tcW w:w="1450"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w:t>
            </w:r>
          </w:p>
        </w:tc>
        <w:tc>
          <w:tcPr>
            <w:tcW w:w="1393" w:type="dxa"/>
          </w:tcPr>
          <w:p w:rsidR="000D7236" w:rsidRPr="000255E9"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0255E9">
              <w:t>2%</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Horses, donkeys, mules</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43</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Cows, steers, cattle, bulls, buffalo</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20</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1%</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2"/>
            </w:pPr>
            <w:r w:rsidRPr="00983317">
              <w:t>Human agencies</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10</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7</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7</w:t>
            </w:r>
          </w:p>
        </w:tc>
        <w:tc>
          <w:tcPr>
            <w:tcW w:w="614"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65</w:t>
            </w:r>
          </w:p>
        </w:tc>
        <w:tc>
          <w:tcPr>
            <w:tcW w:w="1450"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4%</w:t>
            </w:r>
          </w:p>
        </w:tc>
        <w:tc>
          <w:tcPr>
            <w:tcW w:w="1393" w:type="dxa"/>
          </w:tcPr>
          <w:p w:rsidR="000D7236" w:rsidRPr="00983317" w:rsidRDefault="000D7236" w:rsidP="00F90453">
            <w:pPr>
              <w:pStyle w:val="Tablerowheading2"/>
              <w:cnfStyle w:val="000000000000" w:firstRow="0" w:lastRow="0" w:firstColumn="0" w:lastColumn="0" w:oddVBand="0" w:evenVBand="0" w:oddHBand="0" w:evenHBand="0" w:firstRowFirstColumn="0" w:firstRowLastColumn="0" w:lastRowFirstColumn="0" w:lastRowLastColumn="0"/>
            </w:pPr>
            <w:r w:rsidRPr="00983317">
              <w:t>2%</w:t>
            </w:r>
          </w:p>
        </w:tc>
      </w:tr>
      <w:tr w:rsidR="002720B8"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vAlign w:val="top"/>
          </w:tcPr>
          <w:p w:rsidR="000D7236" w:rsidRPr="00983317" w:rsidRDefault="000D7236" w:rsidP="00B979F5">
            <w:pPr>
              <w:pStyle w:val="Tablerowheading4"/>
            </w:pPr>
            <w:r w:rsidRPr="00983317">
              <w:t>Other person</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8</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6</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4</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588"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3</w:t>
            </w:r>
          </w:p>
        </w:tc>
        <w:tc>
          <w:tcPr>
            <w:tcW w:w="614"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56</w:t>
            </w:r>
          </w:p>
        </w:tc>
        <w:tc>
          <w:tcPr>
            <w:tcW w:w="1450"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c>
          <w:tcPr>
            <w:tcW w:w="1393" w:type="dxa"/>
          </w:tcPr>
          <w:p w:rsidR="000D7236" w:rsidRPr="00983317" w:rsidRDefault="000D7236" w:rsidP="00F90453">
            <w:pPr>
              <w:pStyle w:val="Tablerowheading4"/>
              <w:ind w:left="0"/>
              <w:cnfStyle w:val="000000000000" w:firstRow="0" w:lastRow="0" w:firstColumn="0" w:lastColumn="0" w:oddVBand="0" w:evenVBand="0" w:oddHBand="0" w:evenHBand="0" w:firstRowFirstColumn="0" w:firstRowLastColumn="0" w:lastRowFirstColumn="0" w:lastRowLastColumn="0"/>
            </w:pPr>
            <w:r w:rsidRPr="00983317">
              <w:t>2%</w:t>
            </w:r>
          </w:p>
        </w:tc>
      </w:tr>
      <w:tr w:rsidR="002720B8" w:rsidRPr="0086785E"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shd w:val="clear" w:color="auto" w:fill="auto"/>
            <w:vAlign w:val="top"/>
          </w:tcPr>
          <w:p w:rsidR="000D7236" w:rsidRPr="00B979F5" w:rsidRDefault="000D7236" w:rsidP="00B979F5">
            <w:pPr>
              <w:pStyle w:val="HeaderRow"/>
            </w:pPr>
            <w:r w:rsidRPr="00B979F5">
              <w:t>Powered equipment, tools</w:t>
            </w:r>
            <w:r w:rsidR="0086785E" w:rsidRPr="00B979F5">
              <w:t xml:space="preserve"> and</w:t>
            </w:r>
            <w:r w:rsidRPr="00B979F5">
              <w:t xml:space="preserve"> appliances</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6</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10</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10</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6</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6</w:t>
            </w:r>
          </w:p>
        </w:tc>
        <w:tc>
          <w:tcPr>
            <w:tcW w:w="614"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94</w:t>
            </w:r>
          </w:p>
        </w:tc>
        <w:tc>
          <w:tcPr>
            <w:tcW w:w="1450"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w:t>
            </w:r>
          </w:p>
        </w:tc>
        <w:tc>
          <w:tcPr>
            <w:tcW w:w="1393"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w:t>
            </w:r>
          </w:p>
        </w:tc>
      </w:tr>
      <w:tr w:rsidR="002720B8" w:rsidRPr="0086785E"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shd w:val="clear" w:color="auto" w:fill="auto"/>
            <w:vAlign w:val="top"/>
          </w:tcPr>
          <w:p w:rsidR="000D7236" w:rsidRPr="00B979F5" w:rsidRDefault="000D7236" w:rsidP="00B979F5">
            <w:pPr>
              <w:pStyle w:val="HeaderRow"/>
            </w:pPr>
            <w:r w:rsidRPr="00B979F5">
              <w:t xml:space="preserve">Materials </w:t>
            </w:r>
            <w:r w:rsidR="0086785E" w:rsidRPr="00B979F5">
              <w:t>and</w:t>
            </w:r>
            <w:r w:rsidRPr="00B979F5">
              <w:t xml:space="preserve"> substances</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10</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6</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5</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8</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6</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7</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6</w:t>
            </w:r>
          </w:p>
        </w:tc>
        <w:tc>
          <w:tcPr>
            <w:tcW w:w="614"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89</w:t>
            </w:r>
          </w:p>
        </w:tc>
        <w:tc>
          <w:tcPr>
            <w:tcW w:w="1450"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w:t>
            </w:r>
          </w:p>
        </w:tc>
        <w:tc>
          <w:tcPr>
            <w:tcW w:w="1393"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w:t>
            </w:r>
          </w:p>
        </w:tc>
      </w:tr>
      <w:tr w:rsidR="002720B8" w:rsidRPr="0086785E" w:rsidTr="002720B8">
        <w:trPr>
          <w:trHeight w:val="198"/>
        </w:trPr>
        <w:tc>
          <w:tcPr>
            <w:cnfStyle w:val="001000000000" w:firstRow="0" w:lastRow="0" w:firstColumn="1" w:lastColumn="0" w:oddVBand="0" w:evenVBand="0" w:oddHBand="0" w:evenHBand="0" w:firstRowFirstColumn="0" w:firstRowLastColumn="0" w:lastRowFirstColumn="0" w:lastRowLastColumn="0"/>
            <w:tcW w:w="4455" w:type="dxa"/>
            <w:shd w:val="clear" w:color="auto" w:fill="auto"/>
            <w:vAlign w:val="top"/>
          </w:tcPr>
          <w:p w:rsidR="000D7236" w:rsidRPr="00B979F5" w:rsidRDefault="000D7236" w:rsidP="00B979F5">
            <w:pPr>
              <w:pStyle w:val="HeaderRow"/>
            </w:pPr>
            <w:r w:rsidRPr="00B979F5">
              <w:t xml:space="preserve">Chemicals </w:t>
            </w:r>
            <w:r w:rsidR="0086785E" w:rsidRPr="00B979F5">
              <w:t>and</w:t>
            </w:r>
            <w:r w:rsidRPr="00B979F5">
              <w:t xml:space="preserve"> chemical products</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4</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3</w:t>
            </w:r>
          </w:p>
        </w:tc>
        <w:tc>
          <w:tcPr>
            <w:tcW w:w="588"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w:t>
            </w:r>
          </w:p>
        </w:tc>
        <w:tc>
          <w:tcPr>
            <w:tcW w:w="614"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29</w:t>
            </w:r>
          </w:p>
        </w:tc>
        <w:tc>
          <w:tcPr>
            <w:tcW w:w="1450"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w:t>
            </w:r>
          </w:p>
        </w:tc>
        <w:tc>
          <w:tcPr>
            <w:tcW w:w="1393" w:type="dxa"/>
            <w:shd w:val="clear" w:color="auto" w:fill="auto"/>
          </w:tcPr>
          <w:p w:rsidR="000D7236" w:rsidRPr="00B979F5" w:rsidRDefault="000D7236" w:rsidP="00F90453">
            <w:pPr>
              <w:pStyle w:val="HeaderRow"/>
              <w:cnfStyle w:val="000000000000" w:firstRow="0" w:lastRow="0" w:firstColumn="0" w:lastColumn="0" w:oddVBand="0" w:evenVBand="0" w:oddHBand="0" w:evenHBand="0" w:firstRowFirstColumn="0" w:firstRowLastColumn="0" w:lastRowFirstColumn="0" w:lastRowLastColumn="0"/>
            </w:pPr>
            <w:r w:rsidRPr="00B979F5">
              <w:t>1%</w:t>
            </w:r>
          </w:p>
        </w:tc>
      </w:tr>
      <w:tr w:rsidR="002720B8" w:rsidRPr="0086785E" w:rsidTr="002720B8">
        <w:trPr>
          <w:trHeight w:val="230"/>
        </w:trPr>
        <w:tc>
          <w:tcPr>
            <w:cnfStyle w:val="001000000000" w:firstRow="0" w:lastRow="0" w:firstColumn="1" w:lastColumn="0" w:oddVBand="0" w:evenVBand="0" w:oddHBand="0" w:evenHBand="0" w:firstRowFirstColumn="0" w:firstRowLastColumn="0" w:lastRowFirstColumn="0" w:lastRowLastColumn="0"/>
            <w:tcW w:w="4455" w:type="dxa"/>
            <w:shd w:val="clear" w:color="auto" w:fill="B8CCE4" w:themeFill="accent1" w:themeFillTint="66"/>
            <w:vAlign w:val="top"/>
          </w:tcPr>
          <w:p w:rsidR="000D7236" w:rsidRPr="0086785E" w:rsidRDefault="000D7236" w:rsidP="00B979F5">
            <w:pPr>
              <w:pStyle w:val="Tabletotal"/>
            </w:pPr>
            <w:r w:rsidRPr="0086785E">
              <w:t>Total*</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259</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284</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258</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284</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310</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283</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258</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228</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224</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229</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201</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194</w:t>
            </w:r>
          </w:p>
        </w:tc>
        <w:tc>
          <w:tcPr>
            <w:tcW w:w="588"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195</w:t>
            </w:r>
          </w:p>
        </w:tc>
        <w:tc>
          <w:tcPr>
            <w:tcW w:w="614"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3207</w:t>
            </w:r>
          </w:p>
        </w:tc>
        <w:tc>
          <w:tcPr>
            <w:tcW w:w="1450"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100%</w:t>
            </w:r>
          </w:p>
        </w:tc>
        <w:tc>
          <w:tcPr>
            <w:tcW w:w="1393" w:type="dxa"/>
            <w:shd w:val="clear" w:color="auto" w:fill="B8CCE4" w:themeFill="accent1" w:themeFillTint="66"/>
          </w:tcPr>
          <w:p w:rsidR="000D7236" w:rsidRPr="0086785E" w:rsidRDefault="000D7236" w:rsidP="00F90453">
            <w:pPr>
              <w:pStyle w:val="Tabletotal"/>
              <w:cnfStyle w:val="000000000000" w:firstRow="0" w:lastRow="0" w:firstColumn="0" w:lastColumn="0" w:oddVBand="0" w:evenVBand="0" w:oddHBand="0" w:evenHBand="0" w:firstRowFirstColumn="0" w:firstRowLastColumn="0" w:lastRowFirstColumn="0" w:lastRowLastColumn="0"/>
            </w:pPr>
            <w:r w:rsidRPr="0086785E">
              <w:t>100%</w:t>
            </w:r>
          </w:p>
        </w:tc>
      </w:tr>
    </w:tbl>
    <w:p w:rsidR="0086785E" w:rsidRPr="0086785E" w:rsidRDefault="0086785E" w:rsidP="00383468">
      <w:pPr>
        <w:pStyle w:val="Footnote"/>
      </w:pPr>
      <w:r w:rsidRPr="0086785E">
        <w:t xml:space="preserve">Note: Only selected breakdown agency subgroups and classes are included. Therefore the number of fatalities in the selected subcategories will not add to the category total. </w:t>
      </w:r>
    </w:p>
    <w:p w:rsidR="000D7236" w:rsidRDefault="0086785E" w:rsidP="00383468">
      <w:pPr>
        <w:pStyle w:val="Footnote"/>
      </w:pPr>
      <w:r w:rsidRPr="0086785E">
        <w:t>* The total number of fatalities and percentage figures for each column shown in this table will not add to the total due to rounding and the inclusion of selected breakdown agency subgroups and classes within the major group headings.</w:t>
      </w:r>
    </w:p>
    <w:p w:rsidR="00F90453" w:rsidRDefault="00F90453">
      <w:pPr>
        <w:rPr>
          <w:b/>
        </w:rPr>
      </w:pPr>
      <w:r>
        <w:br w:type="page"/>
      </w:r>
    </w:p>
    <w:p w:rsidR="0086785E" w:rsidRPr="00471807" w:rsidRDefault="0086785E" w:rsidP="00471807">
      <w:pPr>
        <w:pStyle w:val="Heading4"/>
      </w:pPr>
      <w:r w:rsidRPr="00471807">
        <w:lastRenderedPageBreak/>
        <w:t xml:space="preserve">Appendix </w:t>
      </w:r>
      <w:proofErr w:type="spellStart"/>
      <w:r w:rsidRPr="00471807">
        <w:t>A3</w:t>
      </w:r>
      <w:proofErr w:type="spellEnd"/>
      <w:r w:rsidRPr="00471807">
        <w:t>: Worker fatalities: number by industry of employer, 2003 to 2015 (sorted by total fatalities)</w:t>
      </w:r>
    </w:p>
    <w:tbl>
      <w:tblPr>
        <w:tblStyle w:val="TableGrid"/>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3: Worker fatalities: number by industry of employer, 2003 to 2015 (sorted by total fatalities)"/>
        <w:tblDescription w:val="Appendix A3: Worker fatalities: number by industry of employer, 2003 to 2015 (sorted by total fatalities)"/>
      </w:tblPr>
      <w:tblGrid>
        <w:gridCol w:w="3776"/>
        <w:gridCol w:w="632"/>
        <w:gridCol w:w="632"/>
        <w:gridCol w:w="632"/>
        <w:gridCol w:w="632"/>
        <w:gridCol w:w="632"/>
        <w:gridCol w:w="632"/>
        <w:gridCol w:w="632"/>
        <w:gridCol w:w="632"/>
        <w:gridCol w:w="632"/>
        <w:gridCol w:w="632"/>
        <w:gridCol w:w="632"/>
        <w:gridCol w:w="632"/>
        <w:gridCol w:w="632"/>
        <w:gridCol w:w="662"/>
        <w:gridCol w:w="1124"/>
        <w:gridCol w:w="1104"/>
      </w:tblGrid>
      <w:tr w:rsidR="0086785E" w:rsidRPr="0086785E" w:rsidTr="005B1996">
        <w:trPr>
          <w:trHeight w:val="279"/>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86785E" w:rsidRPr="0086785E" w:rsidRDefault="0086785E" w:rsidP="00D36746">
            <w:pPr>
              <w:pStyle w:val="HeaderRow"/>
            </w:pPr>
            <w:r w:rsidRPr="0086785E">
              <w:t>Industry of employer</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2003</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2004</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2005</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2006</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2007</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2008</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2009</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2010</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2011</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2012</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2013</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2014</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2015</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Total</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 of 2015*</w:t>
            </w:r>
          </w:p>
        </w:tc>
        <w:tc>
          <w:tcPr>
            <w:tcW w:w="0" w:type="auto"/>
            <w:shd w:val="clear" w:color="auto" w:fill="B8CCE4" w:themeFill="accent1" w:themeFillTint="66"/>
          </w:tcPr>
          <w:p w:rsidR="0086785E" w:rsidRPr="0086785E" w:rsidRDefault="0086785E" w:rsidP="00D36746">
            <w:pPr>
              <w:pStyle w:val="HeaderRow"/>
              <w:cnfStyle w:val="000000000000" w:firstRow="0" w:lastRow="0" w:firstColumn="0" w:lastColumn="0" w:oddVBand="0" w:evenVBand="0" w:oddHBand="0" w:evenHBand="0" w:firstRowFirstColumn="0" w:firstRowLastColumn="0" w:lastRowFirstColumn="0" w:lastRowLastColumn="0"/>
            </w:pPr>
            <w:r w:rsidRPr="0086785E">
              <w:t>% of total*</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Transport, postal </w:t>
            </w:r>
            <w:r>
              <w:t>and</w:t>
            </w:r>
            <w:r w:rsidRPr="00CA5441">
              <w:t xml:space="preserve"> warehousing</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754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24%</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4"/>
            </w:pPr>
            <w:r w:rsidRPr="00CA5441">
              <w:t>Road Transport</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45</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50</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41</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52</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62</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52</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56</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32</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29</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52</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39</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39</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34</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583</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17%</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18%</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5"/>
            </w:pPr>
            <w:r w:rsidRPr="00CA5441">
              <w:t>Road freight transport</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40</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47</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37</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47</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58</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50</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51</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31</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25</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45</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34</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36</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34</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535</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17%</w:t>
            </w:r>
          </w:p>
        </w:tc>
        <w:tc>
          <w:tcPr>
            <w:tcW w:w="0" w:type="auto"/>
            <w:vAlign w:val="bottom"/>
          </w:tcPr>
          <w:p w:rsidR="0086785E" w:rsidRPr="00CA5441" w:rsidRDefault="0086785E" w:rsidP="00471807">
            <w:pPr>
              <w:pStyle w:val="Tablerowheading5"/>
              <w:ind w:left="0"/>
              <w:cnfStyle w:val="000000000000" w:firstRow="0" w:lastRow="0" w:firstColumn="0" w:lastColumn="0" w:oddVBand="0" w:evenVBand="0" w:oddHBand="0" w:evenHBand="0" w:firstRowFirstColumn="0" w:firstRowLastColumn="0" w:lastRowFirstColumn="0" w:lastRowLastColumn="0"/>
            </w:pPr>
            <w:r w:rsidRPr="00CA5441">
              <w:t>17%</w:t>
            </w:r>
          </w:p>
        </w:tc>
      </w:tr>
      <w:tr w:rsidR="0086785E" w:rsidRPr="00471807" w:rsidTr="005E5C82">
        <w:trPr>
          <w:trHeight w:val="279"/>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471807" w:rsidRDefault="0086785E" w:rsidP="00471807">
            <w:pPr>
              <w:pStyle w:val="Tablerowheading2"/>
            </w:pPr>
            <w:r w:rsidRPr="00471807">
              <w:t>Agriculture, forestry and fishing</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60</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77</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62</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46</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52</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69</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62</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55</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59</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53</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52</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45</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52</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744</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27%</w:t>
            </w:r>
          </w:p>
        </w:tc>
        <w:tc>
          <w:tcPr>
            <w:tcW w:w="0" w:type="auto"/>
            <w:vAlign w:val="bottom"/>
          </w:tcPr>
          <w:p w:rsidR="0086785E" w:rsidRPr="00471807"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471807">
              <w:t>23%</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4"/>
            </w:pPr>
            <w:r w:rsidRPr="00CA5441">
              <w:t>Agriculture</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46</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54</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44</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35</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40</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45</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45</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46</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45</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35</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40</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40</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40</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555</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21%</w:t>
            </w:r>
          </w:p>
        </w:tc>
        <w:tc>
          <w:tcPr>
            <w:tcW w:w="0" w:type="auto"/>
            <w:vAlign w:val="bottom"/>
          </w:tcPr>
          <w:p w:rsidR="0086785E" w:rsidRPr="00CA5441" w:rsidRDefault="0086785E" w:rsidP="00471807">
            <w:pPr>
              <w:pStyle w:val="Tablerowheading4"/>
              <w:ind w:left="0"/>
              <w:cnfStyle w:val="000000000000" w:firstRow="0" w:lastRow="0" w:firstColumn="0" w:lastColumn="0" w:oddVBand="0" w:evenVBand="0" w:oddHBand="0" w:evenHBand="0" w:firstRowFirstColumn="0" w:firstRowLastColumn="0" w:lastRowFirstColumn="0" w:lastRowLastColumn="0"/>
            </w:pPr>
            <w:r w:rsidRPr="00CA5441">
              <w:t>17%</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Construction</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469</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15%</w:t>
            </w:r>
          </w:p>
        </w:tc>
      </w:tr>
      <w:tr w:rsidR="0086785E" w:rsidTr="005E5C82">
        <w:trPr>
          <w:trHeight w:val="279"/>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Manufacturing</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29</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275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9%</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Public administration </w:t>
            </w:r>
            <w:r>
              <w:t>and</w:t>
            </w:r>
            <w:r w:rsidRPr="00CA5441">
              <w:t xml:space="preserve"> safety</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9</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123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proofErr w:type="spellStart"/>
            <w:r w:rsidRPr="00CA5441">
              <w:t>Mining</w:t>
            </w:r>
            <w:r w:rsidRPr="00B822AE">
              <w:rPr>
                <w:vertAlign w:val="superscript"/>
              </w:rPr>
              <w:t>a</w:t>
            </w:r>
            <w:proofErr w:type="spellEnd"/>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9</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122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Administrative </w:t>
            </w:r>
            <w:r>
              <w:t>and</w:t>
            </w:r>
            <w:r w:rsidRPr="00CA5441">
              <w:t xml:space="preserve"> support services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9</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109</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r>
      <w:tr w:rsidR="0086785E" w:rsidTr="005E5C82">
        <w:trPr>
          <w:trHeight w:val="279"/>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Wholesale trade</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9</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98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Retail trade</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Arts </w:t>
            </w:r>
            <w:r>
              <w:t>and</w:t>
            </w:r>
            <w:r w:rsidRPr="00CA5441">
              <w:t xml:space="preserve"> recreation services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Other services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r>
      <w:tr w:rsidR="0086785E" w:rsidTr="005E5C82">
        <w:trPr>
          <w:trHeight w:val="279"/>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Electricity, gas, water </w:t>
            </w:r>
            <w:r>
              <w:t>and</w:t>
            </w:r>
            <w:r w:rsidRPr="00CA5441">
              <w:t xml:space="preserve"> waste services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59</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Professional, scientific </w:t>
            </w:r>
            <w:r>
              <w:t>and</w:t>
            </w:r>
            <w:r w:rsidRPr="00CA5441">
              <w:t xml:space="preserve"> technical services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7</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Rental, hiring </w:t>
            </w:r>
            <w:r>
              <w:t>and</w:t>
            </w:r>
            <w:r w:rsidRPr="00CA5441">
              <w:t xml:space="preserve"> real estate services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Accommodation </w:t>
            </w:r>
            <w:r>
              <w:t>and</w:t>
            </w:r>
            <w:r w:rsidRPr="00CA5441">
              <w:t xml:space="preserve"> food services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r>
      <w:tr w:rsidR="0086785E" w:rsidTr="005E5C82">
        <w:trPr>
          <w:trHeight w:val="279"/>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Health care </w:t>
            </w:r>
            <w:r>
              <w:t>and</w:t>
            </w:r>
            <w:r w:rsidRPr="00CA5441">
              <w:t xml:space="preserve"> social assistance</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6</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Education </w:t>
            </w:r>
            <w:r>
              <w:t>and</w:t>
            </w:r>
            <w:r w:rsidRPr="00CA5441">
              <w:t xml:space="preserve"> training</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4</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r>
      <w:tr w:rsidR="0086785E" w:rsidTr="005E5C82">
        <w:trPr>
          <w:trHeight w:val="257"/>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Information media </w:t>
            </w:r>
            <w:r>
              <w:t>and</w:t>
            </w:r>
            <w:r w:rsidRPr="00CA5441">
              <w:t xml:space="preserve"> telecommunications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2</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15</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0%*</w:t>
            </w:r>
          </w:p>
        </w:tc>
      </w:tr>
      <w:tr w:rsidR="0086785E" w:rsidTr="005E5C82">
        <w:trPr>
          <w:trHeight w:val="279"/>
        </w:trPr>
        <w:tc>
          <w:tcPr>
            <w:cnfStyle w:val="001000000000" w:firstRow="0" w:lastRow="0" w:firstColumn="1" w:lastColumn="0" w:oddVBand="0" w:evenVBand="0" w:oddHBand="0" w:evenHBand="0" w:firstRowFirstColumn="0" w:firstRowLastColumn="0" w:lastRowFirstColumn="0" w:lastRowLastColumn="0"/>
            <w:tcW w:w="0" w:type="auto"/>
            <w:vAlign w:val="top"/>
          </w:tcPr>
          <w:p w:rsidR="0086785E" w:rsidRPr="00CA5441" w:rsidRDefault="0086785E" w:rsidP="00471807">
            <w:pPr>
              <w:pStyle w:val="Tablerowheading2"/>
            </w:pPr>
            <w:r w:rsidRPr="00CA5441">
              <w:t xml:space="preserve">Financial </w:t>
            </w:r>
            <w:r>
              <w:t>and</w:t>
            </w:r>
            <w:r w:rsidRPr="00CA5441">
              <w:t xml:space="preserve"> insurance services</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1</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3</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8</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0%*</w:t>
            </w:r>
          </w:p>
        </w:tc>
        <w:tc>
          <w:tcPr>
            <w:tcW w:w="0" w:type="auto"/>
            <w:vAlign w:val="bottom"/>
          </w:tcPr>
          <w:p w:rsidR="0086785E" w:rsidRPr="00CA5441" w:rsidRDefault="0086785E" w:rsidP="00471807">
            <w:pPr>
              <w:pStyle w:val="Tablerowheading2"/>
              <w:cnfStyle w:val="000000000000" w:firstRow="0" w:lastRow="0" w:firstColumn="0" w:lastColumn="0" w:oddVBand="0" w:evenVBand="0" w:oddHBand="0" w:evenHBand="0" w:firstRowFirstColumn="0" w:firstRowLastColumn="0" w:lastRowFirstColumn="0" w:lastRowLastColumn="0"/>
            </w:pPr>
            <w:r w:rsidRPr="00CA5441">
              <w:t>0%*</w:t>
            </w:r>
          </w:p>
        </w:tc>
      </w:tr>
      <w:tr w:rsidR="0086785E" w:rsidRPr="0086785E" w:rsidTr="005E5C82">
        <w:trPr>
          <w:trHeight w:val="429"/>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top"/>
          </w:tcPr>
          <w:p w:rsidR="0086785E" w:rsidRPr="0086785E" w:rsidRDefault="0086785E" w:rsidP="00471807">
            <w:pPr>
              <w:pStyle w:val="Tabletotal"/>
            </w:pPr>
            <w:r w:rsidRPr="0086785E">
              <w:t>Total*</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259</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284</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258</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284</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310</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283</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258</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228</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224</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229</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201</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194</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195</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3207</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100%</w:t>
            </w:r>
          </w:p>
        </w:tc>
        <w:tc>
          <w:tcPr>
            <w:tcW w:w="0" w:type="auto"/>
            <w:shd w:val="clear" w:color="auto" w:fill="B8CCE4" w:themeFill="accent1" w:themeFillTint="66"/>
            <w:vAlign w:val="bottom"/>
          </w:tcPr>
          <w:p w:rsidR="0086785E" w:rsidRPr="0086785E" w:rsidRDefault="0086785E" w:rsidP="00471807">
            <w:pPr>
              <w:pStyle w:val="Tabletotal"/>
              <w:cnfStyle w:val="000000000000" w:firstRow="0" w:lastRow="0" w:firstColumn="0" w:lastColumn="0" w:oddVBand="0" w:evenVBand="0" w:oddHBand="0" w:evenHBand="0" w:firstRowFirstColumn="0" w:firstRowLastColumn="0" w:lastRowFirstColumn="0" w:lastRowLastColumn="0"/>
            </w:pPr>
            <w:r w:rsidRPr="0086785E">
              <w:t>100%</w:t>
            </w:r>
          </w:p>
        </w:tc>
      </w:tr>
    </w:tbl>
    <w:p w:rsidR="00B822AE" w:rsidRPr="00B822AE" w:rsidRDefault="00B822AE" w:rsidP="00383468">
      <w:pPr>
        <w:pStyle w:val="Footnote"/>
      </w:pPr>
      <w:proofErr w:type="gramStart"/>
      <w:r w:rsidRPr="00B822AE">
        <w:t>a</w:t>
      </w:r>
      <w:proofErr w:type="gramEnd"/>
      <w:r w:rsidRPr="00B822AE">
        <w:t xml:space="preserve"> Mining fatalities include those that occur in coal and metal ore mining, oil and gas extraction, sand and gravel quarrying, exploration and support services.</w:t>
      </w:r>
    </w:p>
    <w:p w:rsidR="00B822AE" w:rsidRPr="00B822AE" w:rsidRDefault="00B822AE" w:rsidP="00383468">
      <w:pPr>
        <w:pStyle w:val="Footnote"/>
      </w:pPr>
      <w:r w:rsidRPr="00B822AE">
        <w:t xml:space="preserve">Note: Only selected industry subdivisions and groups are included. Therefore the number of fatalities in the selected subdivisions and groups will not add to the category total.  </w:t>
      </w:r>
    </w:p>
    <w:p w:rsidR="00B822AE" w:rsidRDefault="00B822AE" w:rsidP="00383468">
      <w:pPr>
        <w:pStyle w:val="Footnote"/>
      </w:pPr>
      <w:r w:rsidRPr="00B822AE">
        <w:t xml:space="preserve">* The total number of fatalities and percentage figures for </w:t>
      </w:r>
      <w:r w:rsidRPr="00383468">
        <w:t>each</w:t>
      </w:r>
      <w:r w:rsidRPr="00B822AE">
        <w:t xml:space="preserve"> column shown in this table will not equal the total due to rounding and the inclusion of selected subdivisions and groups within an industry division.</w:t>
      </w:r>
    </w:p>
    <w:p w:rsidR="00B822AE" w:rsidRDefault="00B822AE">
      <w:pPr>
        <w:rPr>
          <w:sz w:val="16"/>
          <w:szCs w:val="16"/>
        </w:rPr>
      </w:pPr>
      <w:r>
        <w:rPr>
          <w:sz w:val="16"/>
          <w:szCs w:val="16"/>
        </w:rPr>
        <w:br w:type="page"/>
      </w:r>
    </w:p>
    <w:p w:rsidR="00B822AE" w:rsidRPr="00B822AE" w:rsidRDefault="00B822AE" w:rsidP="00B822AE">
      <w:pPr>
        <w:rPr>
          <w:sz w:val="16"/>
          <w:szCs w:val="16"/>
        </w:rPr>
      </w:pPr>
    </w:p>
    <w:p w:rsidR="00B822AE" w:rsidRPr="00383468" w:rsidRDefault="00B822AE" w:rsidP="00383468">
      <w:pPr>
        <w:pStyle w:val="Heading4"/>
      </w:pPr>
      <w:r w:rsidRPr="00383468">
        <w:t xml:space="preserve">Appendix </w:t>
      </w:r>
      <w:proofErr w:type="spellStart"/>
      <w:r w:rsidRPr="00383468">
        <w:t>A4</w:t>
      </w:r>
      <w:proofErr w:type="spellEnd"/>
      <w:r w:rsidRPr="00383468">
        <w:t>: Worker fatalities: fatality rate (fatalities per 100 000 workers) by industry of employer, 2003 to 2015 (sorted by total fatality rates)</w:t>
      </w:r>
    </w:p>
    <w:tbl>
      <w:tblPr>
        <w:tblStyle w:val="TableGrid"/>
        <w:tblW w:w="14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4: Worker fatalities: fatality rate (fatalities per 100 000 workers) by industry of employer, 2003 to 2015 (sorted by total fatality rates)"/>
        <w:tblDescription w:val="Appendix A4: Worker fatalities: fatality rate (fatalities per 100 000 workers) by industry of employer, 2003 to 2015 (sorted by total fatality rates)"/>
      </w:tblPr>
      <w:tblGrid>
        <w:gridCol w:w="4379"/>
        <w:gridCol w:w="720"/>
        <w:gridCol w:w="720"/>
        <w:gridCol w:w="720"/>
        <w:gridCol w:w="720"/>
        <w:gridCol w:w="720"/>
        <w:gridCol w:w="720"/>
        <w:gridCol w:w="720"/>
        <w:gridCol w:w="720"/>
        <w:gridCol w:w="720"/>
        <w:gridCol w:w="720"/>
        <w:gridCol w:w="720"/>
        <w:gridCol w:w="720"/>
        <w:gridCol w:w="720"/>
        <w:gridCol w:w="754"/>
      </w:tblGrid>
      <w:tr w:rsidR="00B822AE" w:rsidRPr="00B822AE" w:rsidTr="005B1996">
        <w:trPr>
          <w:trHeight w:val="407"/>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tcPr>
          <w:p w:rsidR="00B822AE" w:rsidRPr="00B822AE" w:rsidRDefault="00B822AE" w:rsidP="00D36746">
            <w:pPr>
              <w:pStyle w:val="HeaderRow"/>
            </w:pPr>
            <w:r w:rsidRPr="00B822AE">
              <w:t>Industry of employer</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2003</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2004</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2005</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2006</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2007</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2008</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2009</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2010</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2011</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2012</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2013</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2014</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2015</w:t>
            </w:r>
          </w:p>
        </w:tc>
        <w:tc>
          <w:tcPr>
            <w:tcW w:w="0" w:type="auto"/>
            <w:shd w:val="clear" w:color="auto" w:fill="B8CCE4" w:themeFill="accent1" w:themeFillTint="66"/>
          </w:tcPr>
          <w:p w:rsidR="00B822AE" w:rsidRPr="00B822AE"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B822AE">
              <w:t>Total</w:t>
            </w:r>
          </w:p>
        </w:tc>
      </w:tr>
      <w:tr w:rsidR="00B822AE" w:rsidTr="005E5C82">
        <w:trPr>
          <w:trHeight w:val="281"/>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Agriculture, forestry and fishing</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21.6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13.4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20.0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18.7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13.9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17.0</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 xml:space="preserve">    Agriculture</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13.3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14.6</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Transport, postal and warehousing</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13.7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7.7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8.3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7.8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7.8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6.6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10.6</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 xml:space="preserve">    Road transport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22.4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26.4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22.1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13.3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19.5</w:t>
            </w:r>
          </w:p>
        </w:tc>
      </w:tr>
      <w:tr w:rsidR="00B822AE" w:rsidTr="005E5C82">
        <w:trPr>
          <w:trHeight w:val="281"/>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 xml:space="preserve">    Road freight transport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26.1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32.0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27.3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32.0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38.0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29.1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30.0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29.0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20.7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21.0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18.4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25.8</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proofErr w:type="spellStart"/>
            <w:r w:rsidRPr="0061688B">
              <w:t>Mining</w:t>
            </w:r>
            <w:r w:rsidRPr="00B822AE">
              <w:rPr>
                <w:vertAlign w:val="superscript"/>
              </w:rPr>
              <w:t>a</w:t>
            </w:r>
            <w:proofErr w:type="spellEnd"/>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7.6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5.1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7.3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6.1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4.4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5.3</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Construction</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5.8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4.4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4.8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4.8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4.1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4.0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3.8</w:t>
            </w:r>
          </w:p>
        </w:tc>
      </w:tr>
      <w:tr w:rsidR="00B822AE" w:rsidTr="005E5C82">
        <w:trPr>
          <w:trHeight w:val="281"/>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Electricity, gas, water and waste services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5.5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8.8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6.0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7.6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3.6</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Arts and recreation services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5.2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4.9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3.0</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Administrative and support services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Manufacturing</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2.2</w:t>
            </w:r>
          </w:p>
        </w:tc>
      </w:tr>
      <w:tr w:rsidR="00B822AE" w:rsidTr="005E5C82">
        <w:trPr>
          <w:trHeight w:val="281"/>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Wholesale trade</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Rental, hiring and real estate services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3.4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5.0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1.8</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Public administration and safety</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Other services*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2.5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w:t>
            </w:r>
          </w:p>
        </w:tc>
      </w:tr>
      <w:tr w:rsidR="00B822AE" w:rsidTr="005E5C82">
        <w:trPr>
          <w:trHeight w:val="281"/>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Retail trade*</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Information media and telecommunications*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Professional, scientific and technical services*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1.0</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Accommodation and food services*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0.6</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0.9</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0.4</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r>
      <w:tr w:rsidR="00B822AE" w:rsidTr="005E5C82">
        <w:trPr>
          <w:trHeight w:val="281"/>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Education and training*</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1.1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Health care and social assistance*</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0.5</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0.1</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r>
      <w:tr w:rsidR="00B822AE" w:rsidTr="005E5C82">
        <w:trPr>
          <w:trHeight w:val="259"/>
        </w:trPr>
        <w:tc>
          <w:tcPr>
            <w:cnfStyle w:val="001000000000" w:firstRow="0" w:lastRow="0" w:firstColumn="1" w:lastColumn="0" w:oddVBand="0" w:evenVBand="0" w:oddHBand="0" w:evenHBand="0" w:firstRowFirstColumn="0" w:firstRowLastColumn="0" w:lastRowFirstColumn="0" w:lastRowLastColumn="0"/>
            <w:tcW w:w="0" w:type="auto"/>
            <w:vAlign w:val="top"/>
          </w:tcPr>
          <w:p w:rsidR="00B822AE" w:rsidRPr="0061688B" w:rsidRDefault="00B822AE" w:rsidP="00383468">
            <w:pPr>
              <w:pStyle w:val="Tablerowheading2"/>
            </w:pPr>
            <w:r w:rsidRPr="0061688B">
              <w:t>Financial and insurance services*</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0.3</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0.7</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0.8</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w:t>
            </w:r>
          </w:p>
        </w:tc>
        <w:tc>
          <w:tcPr>
            <w:tcW w:w="0" w:type="auto"/>
            <w:vAlign w:val="bottom"/>
          </w:tcPr>
          <w:p w:rsidR="00B822AE" w:rsidRPr="0061688B" w:rsidRDefault="00B822AE" w:rsidP="00383468">
            <w:pPr>
              <w:pStyle w:val="Tablerowheading2"/>
              <w:cnfStyle w:val="000000000000" w:firstRow="0" w:lastRow="0" w:firstColumn="0" w:lastColumn="0" w:oddVBand="0" w:evenVBand="0" w:oddHBand="0" w:evenHBand="0" w:firstRowFirstColumn="0" w:firstRowLastColumn="0" w:lastRowFirstColumn="0" w:lastRowLastColumn="0"/>
            </w:pPr>
            <w:r w:rsidRPr="0061688B">
              <w:t>0.2</w:t>
            </w:r>
          </w:p>
        </w:tc>
      </w:tr>
      <w:tr w:rsidR="00B822AE" w:rsidRPr="00EF71B6" w:rsidTr="005E5C82">
        <w:trPr>
          <w:trHeight w:val="281"/>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rsidR="00B822AE" w:rsidRPr="00EF71B6" w:rsidRDefault="00B822AE" w:rsidP="00383468">
            <w:pPr>
              <w:pStyle w:val="Tablerowheading2"/>
              <w:rPr>
                <w:b/>
              </w:rPr>
            </w:pPr>
            <w:r w:rsidRPr="00EF71B6">
              <w:rPr>
                <w:b/>
              </w:rPr>
              <w:t>Total*</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2.7</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3.0</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2.6</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2.8</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3.0</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2.6</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2.4</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2.1</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2.0</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2.0</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1.7</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1.7</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1.6</w:t>
            </w:r>
          </w:p>
        </w:tc>
        <w:tc>
          <w:tcPr>
            <w:tcW w:w="0" w:type="auto"/>
            <w:shd w:val="clear" w:color="auto" w:fill="B8CCE4" w:themeFill="accent1" w:themeFillTint="66"/>
            <w:vAlign w:val="bottom"/>
          </w:tcPr>
          <w:p w:rsidR="00B822AE" w:rsidRPr="00EF71B6" w:rsidRDefault="00B822AE" w:rsidP="00383468">
            <w:pPr>
              <w:pStyle w:val="Tablerowheading2"/>
              <w:cnfStyle w:val="000000000000" w:firstRow="0" w:lastRow="0" w:firstColumn="0" w:lastColumn="0" w:oddVBand="0" w:evenVBand="0" w:oddHBand="0" w:evenHBand="0" w:firstRowFirstColumn="0" w:firstRowLastColumn="0" w:lastRowFirstColumn="0" w:lastRowLastColumn="0"/>
              <w:rPr>
                <w:b/>
              </w:rPr>
            </w:pPr>
            <w:r w:rsidRPr="00EF71B6">
              <w:rPr>
                <w:b/>
              </w:rPr>
              <w:t>2.3</w:t>
            </w:r>
          </w:p>
        </w:tc>
      </w:tr>
    </w:tbl>
    <w:p w:rsidR="00B822AE" w:rsidRPr="00B822AE" w:rsidRDefault="00B822AE" w:rsidP="00383468">
      <w:pPr>
        <w:pStyle w:val="Footnote"/>
      </w:pPr>
      <w:proofErr w:type="gramStart"/>
      <w:r w:rsidRPr="00B822AE">
        <w:t>a</w:t>
      </w:r>
      <w:proofErr w:type="gramEnd"/>
      <w:r w:rsidRPr="00B822AE">
        <w:t xml:space="preserve"> Mining fatalities include those that occur in coal and metal ore mining, oil and gas extraction, sand and gravel quarrying, exploration and support services.</w:t>
      </w:r>
    </w:p>
    <w:p w:rsidR="00B822AE" w:rsidRPr="00B822AE" w:rsidRDefault="00B822AE" w:rsidP="00383468">
      <w:pPr>
        <w:pStyle w:val="Footnote"/>
      </w:pPr>
      <w:r w:rsidRPr="00B822AE">
        <w:t>* Movements in fatality rates in industries with 5 or fewer fatalities each year should be viewed with caution.</w:t>
      </w:r>
    </w:p>
    <w:p w:rsidR="00B822AE" w:rsidRDefault="00B822AE">
      <w:pPr>
        <w:rPr>
          <w:sz w:val="16"/>
          <w:szCs w:val="16"/>
        </w:rPr>
      </w:pPr>
      <w:r>
        <w:rPr>
          <w:sz w:val="16"/>
          <w:szCs w:val="16"/>
        </w:rPr>
        <w:br w:type="page"/>
      </w:r>
    </w:p>
    <w:p w:rsidR="00B822AE" w:rsidRPr="00383468" w:rsidRDefault="00B822AE" w:rsidP="00383468">
      <w:pPr>
        <w:pStyle w:val="Heading4"/>
      </w:pPr>
      <w:r w:rsidRPr="00383468">
        <w:lastRenderedPageBreak/>
        <w:t xml:space="preserve">Appendix </w:t>
      </w:r>
      <w:proofErr w:type="spellStart"/>
      <w:r w:rsidRPr="00383468">
        <w:t>A5</w:t>
      </w:r>
      <w:proofErr w:type="spellEnd"/>
      <w:r w:rsidRPr="00383468">
        <w:t>: Worker fatalities: number by occupation, 2003 to 2015 (sorted by total fatalities)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5: Worker fatalities: number by occupation, 2003 to 2015 (sorted by total fatalities)"/>
        <w:tblDescription w:val="Appendix A5: Worker fatalities: number by occupation, 2003 to 2015 (sorted by total fatalities)"/>
      </w:tblPr>
      <w:tblGrid>
        <w:gridCol w:w="2098"/>
        <w:gridCol w:w="804"/>
        <w:gridCol w:w="803"/>
        <w:gridCol w:w="803"/>
        <w:gridCol w:w="803"/>
        <w:gridCol w:w="803"/>
        <w:gridCol w:w="803"/>
        <w:gridCol w:w="803"/>
        <w:gridCol w:w="803"/>
        <w:gridCol w:w="803"/>
        <w:gridCol w:w="803"/>
        <w:gridCol w:w="803"/>
        <w:gridCol w:w="803"/>
        <w:gridCol w:w="803"/>
        <w:gridCol w:w="815"/>
        <w:gridCol w:w="832"/>
        <w:gridCol w:w="828"/>
      </w:tblGrid>
      <w:tr w:rsidR="00B822AE" w:rsidRPr="00527966" w:rsidTr="005B1996">
        <w:trPr>
          <w:tblHeader/>
        </w:trPr>
        <w:tc>
          <w:tcPr>
            <w:cnfStyle w:val="001000000000" w:firstRow="0" w:lastRow="0" w:firstColumn="1" w:lastColumn="0" w:oddVBand="0" w:evenVBand="0" w:oddHBand="0" w:evenHBand="0" w:firstRowFirstColumn="0" w:firstRowLastColumn="0" w:lastRowFirstColumn="0" w:lastRowLastColumn="0"/>
            <w:tcW w:w="2098" w:type="dxa"/>
            <w:shd w:val="clear" w:color="auto" w:fill="B8CCE4" w:themeFill="accent1" w:themeFillTint="66"/>
            <w:vAlign w:val="bottom"/>
          </w:tcPr>
          <w:p w:rsidR="00B822AE" w:rsidRPr="00527966" w:rsidRDefault="00B822AE" w:rsidP="00D36746">
            <w:pPr>
              <w:pStyle w:val="HeaderRow"/>
            </w:pPr>
            <w:r w:rsidRPr="00527966">
              <w:t>Occupation</w:t>
            </w:r>
          </w:p>
        </w:tc>
        <w:tc>
          <w:tcPr>
            <w:tcW w:w="804"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2003</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2004</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2005</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2006</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2007</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2008</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2009</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2010</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2011</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2012</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2013</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2014</w:t>
            </w:r>
          </w:p>
        </w:tc>
        <w:tc>
          <w:tcPr>
            <w:tcW w:w="803"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2015</w:t>
            </w:r>
          </w:p>
        </w:tc>
        <w:tc>
          <w:tcPr>
            <w:tcW w:w="815"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Total</w:t>
            </w:r>
          </w:p>
        </w:tc>
        <w:tc>
          <w:tcPr>
            <w:tcW w:w="832"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 of 2015*</w:t>
            </w:r>
          </w:p>
        </w:tc>
        <w:tc>
          <w:tcPr>
            <w:tcW w:w="828" w:type="dxa"/>
            <w:shd w:val="clear" w:color="auto" w:fill="B8CCE4" w:themeFill="accent1" w:themeFillTint="66"/>
            <w:vAlign w:val="bottom"/>
          </w:tcPr>
          <w:p w:rsidR="00B822AE" w:rsidRPr="00527966" w:rsidRDefault="00B822AE" w:rsidP="00D36746">
            <w:pPr>
              <w:pStyle w:val="HeaderRow"/>
              <w:cnfStyle w:val="000000000000" w:firstRow="0" w:lastRow="0" w:firstColumn="0" w:lastColumn="0" w:oddVBand="0" w:evenVBand="0" w:oddHBand="0" w:evenHBand="0" w:firstRowFirstColumn="0" w:firstRowLastColumn="0" w:lastRowFirstColumn="0" w:lastRowLastColumn="0"/>
            </w:pPr>
            <w:r w:rsidRPr="00527966">
              <w:t>% of total*</w:t>
            </w:r>
          </w:p>
        </w:tc>
      </w:tr>
      <w:tr w:rsidR="00527966"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top"/>
          </w:tcPr>
          <w:p w:rsidR="00B822AE" w:rsidRPr="00527966" w:rsidRDefault="00B822AE" w:rsidP="00383468">
            <w:pPr>
              <w:pStyle w:val="HeaderRow"/>
            </w:pPr>
            <w:r w:rsidRPr="00527966">
              <w:t xml:space="preserve">Machinery operators </w:t>
            </w:r>
            <w:r w:rsidR="00527966">
              <w:t>and</w:t>
            </w:r>
            <w:r w:rsidRPr="00527966">
              <w:t xml:space="preserve"> drivers</w:t>
            </w:r>
          </w:p>
        </w:tc>
        <w:tc>
          <w:tcPr>
            <w:tcW w:w="804"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86</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91</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76</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89</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112</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94</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95</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64</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61</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78</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63</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66</w:t>
            </w:r>
          </w:p>
        </w:tc>
        <w:tc>
          <w:tcPr>
            <w:tcW w:w="803"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66</w:t>
            </w:r>
          </w:p>
        </w:tc>
        <w:tc>
          <w:tcPr>
            <w:tcW w:w="815"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1041</w:t>
            </w:r>
          </w:p>
        </w:tc>
        <w:tc>
          <w:tcPr>
            <w:tcW w:w="832"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34%</w:t>
            </w:r>
          </w:p>
        </w:tc>
        <w:tc>
          <w:tcPr>
            <w:tcW w:w="828" w:type="dxa"/>
            <w:shd w:val="clear" w:color="auto" w:fill="auto"/>
            <w:vAlign w:val="bottom"/>
          </w:tcPr>
          <w:p w:rsidR="00B822AE" w:rsidRPr="00527966"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527966">
              <w:t>32%</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bottom"/>
          </w:tcPr>
          <w:p w:rsidR="00B822AE" w:rsidRPr="00172BC6" w:rsidRDefault="00B822AE" w:rsidP="00383468">
            <w:pPr>
              <w:pStyle w:val="Tablerowheading4"/>
            </w:pPr>
            <w:r w:rsidRPr="00172BC6">
              <w:t>Road and rail drivers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55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42</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775</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22%</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24%</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Mobile plant operators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16</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126</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Machine and stationary plant operators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113</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r>
      <w:tr w:rsidR="00527966"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top"/>
          </w:tcPr>
          <w:p w:rsidR="00B822AE" w:rsidRPr="00383468" w:rsidRDefault="00B822AE" w:rsidP="00383468">
            <w:pPr>
              <w:pStyle w:val="HeaderRow"/>
            </w:pPr>
            <w:r w:rsidRPr="00383468">
              <w:t>Labourers</w:t>
            </w:r>
          </w:p>
        </w:tc>
        <w:tc>
          <w:tcPr>
            <w:tcW w:w="804"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61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60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56</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65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48</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44</w:t>
            </w:r>
          </w:p>
        </w:tc>
        <w:tc>
          <w:tcPr>
            <w:tcW w:w="815"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651</w:t>
            </w:r>
          </w:p>
        </w:tc>
        <w:tc>
          <w:tcPr>
            <w:tcW w:w="832"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23%</w:t>
            </w:r>
          </w:p>
        </w:tc>
        <w:tc>
          <w:tcPr>
            <w:tcW w:w="828"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20%</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Farm, forestry and garden workers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20</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245</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Construction and mining labourers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162</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5%</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5%</w:t>
            </w:r>
          </w:p>
        </w:tc>
      </w:tr>
      <w:tr w:rsidR="00527966"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top"/>
          </w:tcPr>
          <w:p w:rsidR="00B822AE" w:rsidRPr="00383468" w:rsidRDefault="00B822AE" w:rsidP="00383468">
            <w:pPr>
              <w:pStyle w:val="HeaderRow"/>
            </w:pPr>
            <w:r w:rsidRPr="00383468">
              <w:t>Professionals</w:t>
            </w:r>
          </w:p>
        </w:tc>
        <w:tc>
          <w:tcPr>
            <w:tcW w:w="804"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19</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10</w:t>
            </w:r>
          </w:p>
        </w:tc>
        <w:tc>
          <w:tcPr>
            <w:tcW w:w="815"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252</w:t>
            </w:r>
          </w:p>
        </w:tc>
        <w:tc>
          <w:tcPr>
            <w:tcW w:w="832"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w:t>
            </w:r>
          </w:p>
        </w:tc>
        <w:tc>
          <w:tcPr>
            <w:tcW w:w="828"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8%</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Design, engineering, science and transport professionals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5</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176</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5%</w:t>
            </w:r>
          </w:p>
        </w:tc>
      </w:tr>
      <w:tr w:rsidR="00527966"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top"/>
          </w:tcPr>
          <w:p w:rsidR="00B822AE" w:rsidRPr="00383468" w:rsidRDefault="00B822AE" w:rsidP="00383468">
            <w:pPr>
              <w:pStyle w:val="HeaderRow"/>
            </w:pPr>
            <w:r w:rsidRPr="00383468">
              <w:t>Managers</w:t>
            </w:r>
          </w:p>
        </w:tc>
        <w:tc>
          <w:tcPr>
            <w:tcW w:w="804"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48</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38</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43</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37</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19</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32</w:t>
            </w:r>
          </w:p>
        </w:tc>
        <w:tc>
          <w:tcPr>
            <w:tcW w:w="815"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489</w:t>
            </w:r>
          </w:p>
        </w:tc>
        <w:tc>
          <w:tcPr>
            <w:tcW w:w="832"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16%</w:t>
            </w:r>
          </w:p>
        </w:tc>
        <w:tc>
          <w:tcPr>
            <w:tcW w:w="828"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15%</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Farmers and farm managers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23</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363</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r>
      <w:tr w:rsidR="00527966"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top"/>
          </w:tcPr>
          <w:p w:rsidR="00B822AE" w:rsidRPr="00383468" w:rsidRDefault="00B822AE" w:rsidP="00383468">
            <w:pPr>
              <w:pStyle w:val="HeaderRow"/>
            </w:pPr>
            <w:r w:rsidRPr="00383468">
              <w:t xml:space="preserve">Technicians </w:t>
            </w:r>
            <w:r w:rsidR="00527966" w:rsidRPr="00383468">
              <w:t>and</w:t>
            </w:r>
            <w:r w:rsidRPr="00383468">
              <w:t xml:space="preserve"> trades workers</w:t>
            </w:r>
          </w:p>
        </w:tc>
        <w:tc>
          <w:tcPr>
            <w:tcW w:w="804"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49</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43</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53</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46</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37</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43</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27</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29</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28</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28</w:t>
            </w:r>
          </w:p>
        </w:tc>
        <w:tc>
          <w:tcPr>
            <w:tcW w:w="815"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509</w:t>
            </w:r>
          </w:p>
        </w:tc>
        <w:tc>
          <w:tcPr>
            <w:tcW w:w="832"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14%</w:t>
            </w:r>
          </w:p>
        </w:tc>
        <w:tc>
          <w:tcPr>
            <w:tcW w:w="828"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16%</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Construction trades workers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139</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5%</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Automotive and engineering trades workers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10</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139</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proofErr w:type="spellStart"/>
            <w:r w:rsidRPr="00172BC6">
              <w:t>Electrotechnology</w:t>
            </w:r>
            <w:proofErr w:type="spellEnd"/>
            <w:r w:rsidRPr="00172BC6">
              <w:t xml:space="preserve"> and telecommunications trades workers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11</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9</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123</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r>
      <w:tr w:rsidR="00527966"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top"/>
          </w:tcPr>
          <w:p w:rsidR="00B822AE" w:rsidRPr="00383468" w:rsidRDefault="00B822AE" w:rsidP="00383468">
            <w:pPr>
              <w:pStyle w:val="HeaderRow"/>
            </w:pPr>
            <w:r w:rsidRPr="00383468">
              <w:t xml:space="preserve">Community </w:t>
            </w:r>
            <w:r w:rsidR="00527966" w:rsidRPr="00383468">
              <w:t>and</w:t>
            </w:r>
            <w:r w:rsidRPr="00383468">
              <w:t xml:space="preserve"> personal service workers</w:t>
            </w:r>
          </w:p>
        </w:tc>
        <w:tc>
          <w:tcPr>
            <w:tcW w:w="804"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16</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8</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8</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9</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8</w:t>
            </w:r>
          </w:p>
        </w:tc>
        <w:tc>
          <w:tcPr>
            <w:tcW w:w="815"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145</w:t>
            </w:r>
          </w:p>
        </w:tc>
        <w:tc>
          <w:tcPr>
            <w:tcW w:w="832"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w:t>
            </w:r>
          </w:p>
        </w:tc>
        <w:tc>
          <w:tcPr>
            <w:tcW w:w="828"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w:t>
            </w:r>
          </w:p>
        </w:tc>
      </w:tr>
      <w:tr w:rsidR="00B822AE" w:rsidTr="00383468">
        <w:tc>
          <w:tcPr>
            <w:cnfStyle w:val="001000000000" w:firstRow="0" w:lastRow="0" w:firstColumn="1" w:lastColumn="0" w:oddVBand="0" w:evenVBand="0" w:oddHBand="0" w:evenHBand="0" w:firstRowFirstColumn="0" w:firstRowLastColumn="0" w:lastRowFirstColumn="0" w:lastRowLastColumn="0"/>
            <w:tcW w:w="2098" w:type="dxa"/>
            <w:vAlign w:val="top"/>
          </w:tcPr>
          <w:p w:rsidR="00B822AE" w:rsidRPr="00172BC6" w:rsidRDefault="00B822AE" w:rsidP="00383468">
            <w:pPr>
              <w:pStyle w:val="Tablerowheading4"/>
            </w:pPr>
            <w:r w:rsidRPr="00172BC6">
              <w:t>Protective service workers</w:t>
            </w:r>
          </w:p>
        </w:tc>
        <w:tc>
          <w:tcPr>
            <w:tcW w:w="804"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5</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8</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7</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4</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3</w:t>
            </w:r>
          </w:p>
        </w:tc>
        <w:tc>
          <w:tcPr>
            <w:tcW w:w="803"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w:t>
            </w:r>
          </w:p>
        </w:tc>
        <w:tc>
          <w:tcPr>
            <w:tcW w:w="815"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65</w:t>
            </w:r>
          </w:p>
        </w:tc>
        <w:tc>
          <w:tcPr>
            <w:tcW w:w="832"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0%*</w:t>
            </w:r>
          </w:p>
        </w:tc>
        <w:tc>
          <w:tcPr>
            <w:tcW w:w="828" w:type="dxa"/>
            <w:vAlign w:val="bottom"/>
          </w:tcPr>
          <w:p w:rsidR="00B822AE" w:rsidRPr="00172BC6" w:rsidRDefault="00B822AE" w:rsidP="00383468">
            <w:pPr>
              <w:pStyle w:val="Tablerowheading4"/>
              <w:ind w:left="0"/>
              <w:cnfStyle w:val="000000000000" w:firstRow="0" w:lastRow="0" w:firstColumn="0" w:lastColumn="0" w:oddVBand="0" w:evenVBand="0" w:oddHBand="0" w:evenHBand="0" w:firstRowFirstColumn="0" w:firstRowLastColumn="0" w:lastRowFirstColumn="0" w:lastRowLastColumn="0"/>
            </w:pPr>
            <w:r w:rsidRPr="00172BC6">
              <w:t>2%</w:t>
            </w:r>
          </w:p>
        </w:tc>
      </w:tr>
      <w:tr w:rsidR="00527966"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top"/>
          </w:tcPr>
          <w:p w:rsidR="00B822AE" w:rsidRPr="00383468" w:rsidRDefault="00B822AE" w:rsidP="00383468">
            <w:pPr>
              <w:pStyle w:val="HeaderRow"/>
            </w:pPr>
            <w:r w:rsidRPr="00383468">
              <w:t>Sales workers</w:t>
            </w:r>
          </w:p>
        </w:tc>
        <w:tc>
          <w:tcPr>
            <w:tcW w:w="804"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7</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7</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10</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7</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6</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w:t>
            </w:r>
          </w:p>
        </w:tc>
        <w:tc>
          <w:tcPr>
            <w:tcW w:w="815"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63</w:t>
            </w:r>
          </w:p>
        </w:tc>
        <w:tc>
          <w:tcPr>
            <w:tcW w:w="832"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w:t>
            </w:r>
          </w:p>
        </w:tc>
        <w:tc>
          <w:tcPr>
            <w:tcW w:w="828"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w:t>
            </w:r>
          </w:p>
        </w:tc>
      </w:tr>
      <w:tr w:rsidR="00527966"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top"/>
          </w:tcPr>
          <w:p w:rsidR="00B822AE" w:rsidRPr="00383468" w:rsidRDefault="00B822AE" w:rsidP="00383468">
            <w:pPr>
              <w:pStyle w:val="HeaderRow"/>
            </w:pPr>
            <w:r w:rsidRPr="00383468">
              <w:t xml:space="preserve">Clerical </w:t>
            </w:r>
            <w:r w:rsidR="00527966" w:rsidRPr="00383468">
              <w:t>and</w:t>
            </w:r>
            <w:r w:rsidRPr="00383468">
              <w:t xml:space="preserve"> administrative workers</w:t>
            </w:r>
          </w:p>
        </w:tc>
        <w:tc>
          <w:tcPr>
            <w:tcW w:w="804"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6</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8</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5</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3</w:t>
            </w:r>
          </w:p>
        </w:tc>
        <w:tc>
          <w:tcPr>
            <w:tcW w:w="803"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2</w:t>
            </w:r>
          </w:p>
        </w:tc>
        <w:tc>
          <w:tcPr>
            <w:tcW w:w="815"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47</w:t>
            </w:r>
          </w:p>
        </w:tc>
        <w:tc>
          <w:tcPr>
            <w:tcW w:w="832"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w:t>
            </w:r>
          </w:p>
        </w:tc>
        <w:tc>
          <w:tcPr>
            <w:tcW w:w="828" w:type="dxa"/>
            <w:shd w:val="clear" w:color="auto" w:fill="auto"/>
            <w:vAlign w:val="bottom"/>
          </w:tcPr>
          <w:p w:rsidR="00B822AE" w:rsidRPr="00383468" w:rsidRDefault="00B822AE" w:rsidP="00383468">
            <w:pPr>
              <w:pStyle w:val="HeaderRow"/>
              <w:cnfStyle w:val="000000000000" w:firstRow="0" w:lastRow="0" w:firstColumn="0" w:lastColumn="0" w:oddVBand="0" w:evenVBand="0" w:oddHBand="0" w:evenHBand="0" w:firstRowFirstColumn="0" w:firstRowLastColumn="0" w:lastRowFirstColumn="0" w:lastRowLastColumn="0"/>
            </w:pPr>
            <w:r w:rsidRPr="00383468">
              <w:t>1%</w:t>
            </w:r>
          </w:p>
        </w:tc>
      </w:tr>
      <w:tr w:rsidR="00B822AE" w:rsidRPr="00527966" w:rsidTr="00383468">
        <w:tc>
          <w:tcPr>
            <w:cnfStyle w:val="001000000000" w:firstRow="0" w:lastRow="0" w:firstColumn="1" w:lastColumn="0" w:oddVBand="0" w:evenVBand="0" w:oddHBand="0" w:evenHBand="0" w:firstRowFirstColumn="0" w:firstRowLastColumn="0" w:lastRowFirstColumn="0" w:lastRowLastColumn="0"/>
            <w:tcW w:w="2098" w:type="dxa"/>
            <w:shd w:val="clear" w:color="auto" w:fill="B8CCE4" w:themeFill="accent1" w:themeFillTint="66"/>
            <w:vAlign w:val="top"/>
          </w:tcPr>
          <w:p w:rsidR="00B822AE" w:rsidRPr="00527966" w:rsidRDefault="00B822AE" w:rsidP="00383468">
            <w:pPr>
              <w:pStyle w:val="Tabletotal"/>
            </w:pPr>
            <w:r w:rsidRPr="00527966">
              <w:t>Total*</w:t>
            </w:r>
          </w:p>
        </w:tc>
        <w:tc>
          <w:tcPr>
            <w:tcW w:w="804"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259</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284</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258</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284</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310</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283</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258</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228</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224</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229</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201</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194</w:t>
            </w:r>
          </w:p>
        </w:tc>
        <w:tc>
          <w:tcPr>
            <w:tcW w:w="803"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195</w:t>
            </w:r>
          </w:p>
        </w:tc>
        <w:tc>
          <w:tcPr>
            <w:tcW w:w="815"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3207</w:t>
            </w:r>
          </w:p>
        </w:tc>
        <w:tc>
          <w:tcPr>
            <w:tcW w:w="832"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100%</w:t>
            </w:r>
          </w:p>
        </w:tc>
        <w:tc>
          <w:tcPr>
            <w:tcW w:w="828" w:type="dxa"/>
            <w:shd w:val="clear" w:color="auto" w:fill="B8CCE4" w:themeFill="accent1" w:themeFillTint="66"/>
            <w:vAlign w:val="bottom"/>
          </w:tcPr>
          <w:p w:rsidR="00B822AE" w:rsidRPr="00527966" w:rsidRDefault="00B822AE" w:rsidP="00383468">
            <w:pPr>
              <w:pStyle w:val="Tabletotal"/>
              <w:cnfStyle w:val="000000000000" w:firstRow="0" w:lastRow="0" w:firstColumn="0" w:lastColumn="0" w:oddVBand="0" w:evenVBand="0" w:oddHBand="0" w:evenHBand="0" w:firstRowFirstColumn="0" w:firstRowLastColumn="0" w:lastRowFirstColumn="0" w:lastRowLastColumn="0"/>
            </w:pPr>
            <w:r w:rsidRPr="00527966">
              <w:t>100%</w:t>
            </w:r>
          </w:p>
        </w:tc>
      </w:tr>
    </w:tbl>
    <w:p w:rsidR="00527966" w:rsidRPr="00527966" w:rsidRDefault="00527966" w:rsidP="00383468">
      <w:pPr>
        <w:pStyle w:val="Footnote"/>
      </w:pPr>
      <w:r w:rsidRPr="00527966">
        <w:t xml:space="preserve">Note: Only selected occupation sub-major classifications are included. Therefore the number of fatalities in the selected sub-major classifications will not add to the category total.  </w:t>
      </w:r>
    </w:p>
    <w:p w:rsidR="00B822AE" w:rsidRPr="00527966" w:rsidRDefault="00527966" w:rsidP="00383468">
      <w:pPr>
        <w:pStyle w:val="Footnote"/>
      </w:pPr>
      <w:r w:rsidRPr="00527966">
        <w:t>*The total number of fatalities and percentage figures for each column shown in this table will not equal the total due to rounding and the inclusion of selected subdivisions and groups within an industry division.</w:t>
      </w:r>
    </w:p>
    <w:p w:rsidR="00527966" w:rsidRDefault="00527966">
      <w:pPr>
        <w:rPr>
          <w:sz w:val="16"/>
          <w:szCs w:val="16"/>
        </w:rPr>
      </w:pPr>
      <w:r>
        <w:rPr>
          <w:sz w:val="16"/>
          <w:szCs w:val="16"/>
        </w:rPr>
        <w:br w:type="page"/>
      </w:r>
    </w:p>
    <w:p w:rsidR="00527966" w:rsidRPr="00383468" w:rsidRDefault="00527966" w:rsidP="00383468">
      <w:pPr>
        <w:pStyle w:val="Heading4"/>
      </w:pPr>
      <w:r w:rsidRPr="00383468">
        <w:lastRenderedPageBreak/>
        <w:t xml:space="preserve">Appendix </w:t>
      </w:r>
      <w:proofErr w:type="spellStart"/>
      <w:r w:rsidRPr="00383468">
        <w:t>A6</w:t>
      </w:r>
      <w:proofErr w:type="spellEnd"/>
      <w:r w:rsidRPr="00383468">
        <w:t>: Worker fatalities: fatality rate by occupation, 2003 to 2015 (sorted by 2015 fatality 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6: Worker fatalities: fatality rate by occupation, 2003 to 2015 (sorted by 2015 fatality rates)"/>
        <w:tblDescription w:val="Appendix A6: Worker fatalities: fatality rate by occupation, 2003 to 2015 (sorted by 2015 fatality rates)"/>
      </w:tblPr>
      <w:tblGrid>
        <w:gridCol w:w="2098"/>
        <w:gridCol w:w="994"/>
        <w:gridCol w:w="993"/>
        <w:gridCol w:w="993"/>
        <w:gridCol w:w="993"/>
        <w:gridCol w:w="993"/>
        <w:gridCol w:w="993"/>
        <w:gridCol w:w="993"/>
        <w:gridCol w:w="993"/>
        <w:gridCol w:w="994"/>
        <w:gridCol w:w="994"/>
        <w:gridCol w:w="994"/>
        <w:gridCol w:w="994"/>
        <w:gridCol w:w="994"/>
      </w:tblGrid>
      <w:tr w:rsidR="00527966" w:rsidRPr="00527966" w:rsidTr="005B1996">
        <w:trPr>
          <w:trHeight w:val="283"/>
          <w:tblHeader/>
        </w:trPr>
        <w:tc>
          <w:tcPr>
            <w:cnfStyle w:val="001000000000" w:firstRow="0" w:lastRow="0" w:firstColumn="1" w:lastColumn="0" w:oddVBand="0" w:evenVBand="0" w:oddHBand="0" w:evenHBand="0" w:firstRowFirstColumn="0" w:firstRowLastColumn="0" w:lastRowFirstColumn="0" w:lastRowLastColumn="0"/>
            <w:tcW w:w="2098" w:type="dxa"/>
            <w:shd w:val="clear" w:color="auto" w:fill="B8CCE4" w:themeFill="accent1" w:themeFillTint="66"/>
            <w:vAlign w:val="bottom"/>
          </w:tcPr>
          <w:p w:rsidR="00527966" w:rsidRPr="00527966" w:rsidRDefault="00527966" w:rsidP="00D36746">
            <w:pPr>
              <w:pStyle w:val="HeaderRow"/>
            </w:pPr>
            <w:r w:rsidRPr="00527966">
              <w:t>Occupation</w:t>
            </w:r>
          </w:p>
        </w:tc>
        <w:tc>
          <w:tcPr>
            <w:tcW w:w="994"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2003</w:t>
            </w:r>
          </w:p>
        </w:tc>
        <w:tc>
          <w:tcPr>
            <w:tcW w:w="993"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2004</w:t>
            </w:r>
          </w:p>
        </w:tc>
        <w:tc>
          <w:tcPr>
            <w:tcW w:w="993"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2005</w:t>
            </w:r>
          </w:p>
        </w:tc>
        <w:tc>
          <w:tcPr>
            <w:tcW w:w="993"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2006</w:t>
            </w:r>
          </w:p>
        </w:tc>
        <w:tc>
          <w:tcPr>
            <w:tcW w:w="993"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2007</w:t>
            </w:r>
          </w:p>
        </w:tc>
        <w:tc>
          <w:tcPr>
            <w:tcW w:w="993"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2008</w:t>
            </w:r>
          </w:p>
        </w:tc>
        <w:tc>
          <w:tcPr>
            <w:tcW w:w="993"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2009</w:t>
            </w:r>
          </w:p>
        </w:tc>
        <w:tc>
          <w:tcPr>
            <w:tcW w:w="993"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2010</w:t>
            </w:r>
          </w:p>
        </w:tc>
        <w:tc>
          <w:tcPr>
            <w:tcW w:w="994"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2011</w:t>
            </w:r>
          </w:p>
        </w:tc>
        <w:tc>
          <w:tcPr>
            <w:tcW w:w="994"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2012</w:t>
            </w:r>
          </w:p>
        </w:tc>
        <w:tc>
          <w:tcPr>
            <w:tcW w:w="994"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2013</w:t>
            </w:r>
          </w:p>
        </w:tc>
        <w:tc>
          <w:tcPr>
            <w:tcW w:w="994"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2014</w:t>
            </w:r>
          </w:p>
        </w:tc>
        <w:tc>
          <w:tcPr>
            <w:tcW w:w="994" w:type="dxa"/>
            <w:shd w:val="clear" w:color="auto" w:fill="B8CCE4" w:themeFill="accent1" w:themeFillTint="66"/>
            <w:vAlign w:val="bottom"/>
          </w:tcPr>
          <w:p w:rsidR="00527966" w:rsidRPr="00527966" w:rsidRDefault="00527966" w:rsidP="00D36746">
            <w:pPr>
              <w:pStyle w:val="HeaderRow"/>
              <w:cnfStyle w:val="000000000000" w:firstRow="0" w:lastRow="0" w:firstColumn="0" w:lastColumn="0" w:oddVBand="0" w:evenVBand="0" w:oddHBand="0" w:evenHBand="0" w:firstRowFirstColumn="0" w:firstRowLastColumn="0" w:lastRowFirstColumn="0" w:lastRowLastColumn="0"/>
            </w:pPr>
            <w:r w:rsidRPr="00527966">
              <w:t>2015</w:t>
            </w:r>
          </w:p>
        </w:tc>
      </w:tr>
      <w:tr w:rsidR="00527966" w:rsidRP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527966" w:rsidRDefault="00F33BCB" w:rsidP="002720B8">
            <w:pPr>
              <w:pStyle w:val="HeaderRow"/>
            </w:pPr>
            <w:r>
              <w:t>Machinery operators and</w:t>
            </w:r>
            <w:r w:rsidR="00527966" w:rsidRPr="00527966">
              <w:t xml:space="preserve"> drivers</w:t>
            </w:r>
          </w:p>
        </w:tc>
        <w:tc>
          <w:tcPr>
            <w:tcW w:w="994"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13.7</w:t>
            </w:r>
          </w:p>
        </w:tc>
        <w:tc>
          <w:tcPr>
            <w:tcW w:w="993"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14.2</w:t>
            </w:r>
          </w:p>
        </w:tc>
        <w:tc>
          <w:tcPr>
            <w:tcW w:w="993"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11.9</w:t>
            </w:r>
          </w:p>
        </w:tc>
        <w:tc>
          <w:tcPr>
            <w:tcW w:w="993"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13.5</w:t>
            </w:r>
          </w:p>
        </w:tc>
        <w:tc>
          <w:tcPr>
            <w:tcW w:w="993"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15.7</w:t>
            </w:r>
          </w:p>
        </w:tc>
        <w:tc>
          <w:tcPr>
            <w:tcW w:w="993"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13.1</w:t>
            </w:r>
          </w:p>
        </w:tc>
        <w:tc>
          <w:tcPr>
            <w:tcW w:w="993"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13.8</w:t>
            </w:r>
          </w:p>
        </w:tc>
        <w:tc>
          <w:tcPr>
            <w:tcW w:w="993"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9.1</w:t>
            </w:r>
          </w:p>
        </w:tc>
        <w:tc>
          <w:tcPr>
            <w:tcW w:w="994"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8.2</w:t>
            </w:r>
          </w:p>
        </w:tc>
        <w:tc>
          <w:tcPr>
            <w:tcW w:w="994"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10.5</w:t>
            </w:r>
          </w:p>
        </w:tc>
        <w:tc>
          <w:tcPr>
            <w:tcW w:w="994"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8.1</w:t>
            </w:r>
          </w:p>
        </w:tc>
        <w:tc>
          <w:tcPr>
            <w:tcW w:w="994"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8.8</w:t>
            </w:r>
          </w:p>
        </w:tc>
        <w:tc>
          <w:tcPr>
            <w:tcW w:w="994" w:type="dxa"/>
            <w:vAlign w:val="bottom"/>
          </w:tcPr>
          <w:p w:rsidR="00527966" w:rsidRPr="00527966"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527966">
              <w:t>8.9</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Road and rail drivers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24.9</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26.2</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20.7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25.2</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28.6</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23.2</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25.0</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16.3</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14.8</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20.8</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15.2</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15.1</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13.0</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Mobile plant operators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9.3</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6.5</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6.5</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8.0</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12.2</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6.6</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9.1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5.6</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5.4</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4.4</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4.3</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12.3</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Machine and stationary plant operators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4.0</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6.9</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5.5</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8.5</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4.3</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4.7</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2.9</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3.8</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7.3</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5.0</w:t>
            </w:r>
          </w:p>
        </w:tc>
      </w:tr>
      <w:tr w:rsidR="00527966" w:rsidRP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2720B8" w:rsidRDefault="00527966" w:rsidP="002720B8">
            <w:pPr>
              <w:pStyle w:val="HeaderRow"/>
            </w:pPr>
            <w:r w:rsidRPr="002720B8">
              <w:t>Labourers</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5.6</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5.5</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3.8</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4.6</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4.9</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5.6</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3.5</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4.5</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3.6</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4.2</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3.6</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4.4</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3.9</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Farm, forestry and garden workers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15.8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20.6</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13.2</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10.8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13.8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31.4</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11.1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18.3</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13.7</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14.7</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11.0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20.0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17.2</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Construction and mining labourers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17.8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7.0</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8.4</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9.5</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7.8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9.0</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7.0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7.1</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8.8</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5.2</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5.7</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5.7</w:t>
            </w:r>
          </w:p>
        </w:tc>
      </w:tr>
      <w:tr w:rsidR="00527966" w:rsidRP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2720B8" w:rsidRDefault="00527966" w:rsidP="002720B8">
            <w:pPr>
              <w:pStyle w:val="HeaderRow"/>
            </w:pPr>
            <w:r w:rsidRPr="002720B8">
              <w:t>Professionals</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1.0</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0.8</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1.2</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1.2</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1.1</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0.9</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0.9</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1.0</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1.0</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0.9</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0.5</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0.4</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0.4</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Design, engineering, science and transport professionals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6.9</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4.6</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6.5</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5.6</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3.9</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3.6</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3.9</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2.3</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2.4</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1.3</w:t>
            </w:r>
          </w:p>
        </w:tc>
      </w:tr>
      <w:tr w:rsidR="00527966" w:rsidRP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2720B8" w:rsidRDefault="00527966" w:rsidP="002720B8">
            <w:pPr>
              <w:pStyle w:val="HeaderRow"/>
            </w:pPr>
            <w:r w:rsidRPr="002720B8">
              <w:t>Managers</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3.5</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4.1</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4.0</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3.3</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2.8</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2.5</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3.1</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2.3</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2.8</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2.6</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2.2</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1.3</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2.1</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Farmers and farm managers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15.7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18.1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17.7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14.1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13.7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12.3</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15.9</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13.6</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20.2</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14.8</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17.2</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9.1</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13.8</w:t>
            </w:r>
          </w:p>
        </w:tc>
      </w:tr>
      <w:tr w:rsidR="00527966" w:rsidRP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2720B8" w:rsidRDefault="00F33BCB" w:rsidP="002720B8">
            <w:pPr>
              <w:pStyle w:val="HeaderRow"/>
            </w:pPr>
            <w:r>
              <w:t>Technicians and</w:t>
            </w:r>
            <w:r w:rsidR="00527966" w:rsidRPr="002720B8">
              <w:t xml:space="preserve"> trades workers</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2.2</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3.4</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2.9</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3.5</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3.5</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2.8</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2.3</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2.5</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2.6</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1.6</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1.7</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1.7</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1.6</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Construction trades workers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3.3</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4.4</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5.0</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2.9</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3.3</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2.1</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3.2</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0.8</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2.8</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2.7</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Automotive and engineering trades workers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3.0</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4.4</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3.4</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4.4</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2.8</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3.1</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1.1</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1.9</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1.8</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proofErr w:type="spellStart"/>
            <w:r w:rsidRPr="0075304A">
              <w:t>Electrotechnology</w:t>
            </w:r>
            <w:proofErr w:type="spellEnd"/>
            <w:r w:rsidRPr="0075304A">
              <w:t xml:space="preserve"> and telecommunications trades workers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4.6</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6.2</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7.0</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5.6</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4.2</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2.8</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3.4</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6.4</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2.6</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2.9</w:t>
            </w:r>
          </w:p>
        </w:tc>
      </w:tr>
      <w:tr w:rsidR="00527966" w:rsidRP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2720B8" w:rsidRDefault="00F33BCB" w:rsidP="002720B8">
            <w:pPr>
              <w:pStyle w:val="HeaderRow"/>
            </w:pPr>
            <w:r>
              <w:t>Community and</w:t>
            </w:r>
            <w:r w:rsidR="00527966" w:rsidRPr="002720B8">
              <w:t xml:space="preserve"> personal service workers</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1.4</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2.0</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1.4</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1.6</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1.1</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0.9</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1.4</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0.8</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0.9</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0.8</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1.2</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1.0</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0.7</w:t>
            </w:r>
          </w:p>
        </w:tc>
      </w:tr>
      <w:tr w:rsid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75304A" w:rsidRDefault="00527966" w:rsidP="002720B8">
            <w:pPr>
              <w:pStyle w:val="Tablerowheading2"/>
            </w:pPr>
            <w:r w:rsidRPr="0075304A">
              <w:t>Protective service workers</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5.9</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5.2</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6.5</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5.7</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4.1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2.4</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6.1</w:t>
            </w:r>
          </w:p>
        </w:tc>
        <w:tc>
          <w:tcPr>
            <w:tcW w:w="993"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3.1</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2.2</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5.1</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2.7</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2.0</w:t>
            </w:r>
          </w:p>
        </w:tc>
        <w:tc>
          <w:tcPr>
            <w:tcW w:w="994" w:type="dxa"/>
            <w:vAlign w:val="bottom"/>
          </w:tcPr>
          <w:p w:rsidR="00527966" w:rsidRPr="0075304A" w:rsidRDefault="00527966" w:rsidP="00F90453">
            <w:pPr>
              <w:pStyle w:val="Tablerowheading2"/>
              <w:cnfStyle w:val="000000000000" w:firstRow="0" w:lastRow="0" w:firstColumn="0" w:lastColumn="0" w:oddVBand="0" w:evenVBand="0" w:oddHBand="0" w:evenHBand="0" w:firstRowFirstColumn="0" w:firstRowLastColumn="0" w:lastRowFirstColumn="0" w:lastRowLastColumn="0"/>
            </w:pPr>
            <w:r w:rsidRPr="0075304A">
              <w:t>..</w:t>
            </w:r>
          </w:p>
        </w:tc>
      </w:tr>
      <w:tr w:rsidR="00527966" w:rsidRP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2720B8" w:rsidRDefault="00527966" w:rsidP="002720B8">
            <w:pPr>
              <w:pStyle w:val="HeaderRow"/>
            </w:pPr>
            <w:r w:rsidRPr="002720B8">
              <w:t>Sales workers</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0.7</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0.4</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0.5</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0.7</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1.0</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0.7</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0.4</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0.5</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0.1</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0.3</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0.6</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0.2</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0.2</w:t>
            </w:r>
          </w:p>
        </w:tc>
      </w:tr>
      <w:tr w:rsidR="00527966" w:rsidRPr="00527966" w:rsidTr="00F90453">
        <w:tc>
          <w:tcPr>
            <w:cnfStyle w:val="001000000000" w:firstRow="0" w:lastRow="0" w:firstColumn="1" w:lastColumn="0" w:oddVBand="0" w:evenVBand="0" w:oddHBand="0" w:evenHBand="0" w:firstRowFirstColumn="0" w:firstRowLastColumn="0" w:lastRowFirstColumn="0" w:lastRowLastColumn="0"/>
            <w:tcW w:w="2098" w:type="dxa"/>
            <w:vAlign w:val="top"/>
          </w:tcPr>
          <w:p w:rsidR="00527966" w:rsidRPr="002720B8" w:rsidRDefault="00F33BCB" w:rsidP="002720B8">
            <w:pPr>
              <w:pStyle w:val="HeaderRow"/>
            </w:pPr>
            <w:r>
              <w:t>Clerical and</w:t>
            </w:r>
            <w:r w:rsidR="00527966" w:rsidRPr="002720B8">
              <w:t xml:space="preserve"> administrative workers</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0.3</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0.1</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0.4</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0.1</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0.3</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0.5</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0.3</w:t>
            </w:r>
          </w:p>
        </w:tc>
        <w:tc>
          <w:tcPr>
            <w:tcW w:w="993"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0.1</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0.2</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0.3</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0.1</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0.2</w:t>
            </w:r>
          </w:p>
        </w:tc>
        <w:tc>
          <w:tcPr>
            <w:tcW w:w="994" w:type="dxa"/>
            <w:vAlign w:val="bottom"/>
          </w:tcPr>
          <w:p w:rsidR="00527966" w:rsidRPr="002720B8" w:rsidRDefault="00527966" w:rsidP="00F90453">
            <w:pPr>
              <w:pStyle w:val="HeaderRow"/>
              <w:cnfStyle w:val="000000000000" w:firstRow="0" w:lastRow="0" w:firstColumn="0" w:lastColumn="0" w:oddVBand="0" w:evenVBand="0" w:oddHBand="0" w:evenHBand="0" w:firstRowFirstColumn="0" w:firstRowLastColumn="0" w:lastRowFirstColumn="0" w:lastRowLastColumn="0"/>
            </w:pPr>
            <w:r w:rsidRPr="002720B8">
              <w:t>0.1</w:t>
            </w:r>
          </w:p>
        </w:tc>
      </w:tr>
      <w:tr w:rsidR="00527966" w:rsidRPr="00527966" w:rsidTr="002720B8">
        <w:tc>
          <w:tcPr>
            <w:cnfStyle w:val="001000000000" w:firstRow="0" w:lastRow="0" w:firstColumn="1" w:lastColumn="0" w:oddVBand="0" w:evenVBand="0" w:oddHBand="0" w:evenHBand="0" w:firstRowFirstColumn="0" w:firstRowLastColumn="0" w:lastRowFirstColumn="0" w:lastRowLastColumn="0"/>
            <w:tcW w:w="2098" w:type="dxa"/>
            <w:shd w:val="clear" w:color="auto" w:fill="B8CCE4" w:themeFill="accent1" w:themeFillTint="66"/>
            <w:vAlign w:val="top"/>
          </w:tcPr>
          <w:p w:rsidR="00527966" w:rsidRPr="00527966" w:rsidRDefault="00527966" w:rsidP="002720B8">
            <w:pPr>
              <w:pStyle w:val="Tabletotal"/>
            </w:pPr>
            <w:r w:rsidRPr="00527966">
              <w:t>Total</w:t>
            </w:r>
          </w:p>
        </w:tc>
        <w:tc>
          <w:tcPr>
            <w:tcW w:w="994"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2.7</w:t>
            </w:r>
          </w:p>
        </w:tc>
        <w:tc>
          <w:tcPr>
            <w:tcW w:w="993"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3.0</w:t>
            </w:r>
          </w:p>
        </w:tc>
        <w:tc>
          <w:tcPr>
            <w:tcW w:w="993"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2.6</w:t>
            </w:r>
          </w:p>
        </w:tc>
        <w:tc>
          <w:tcPr>
            <w:tcW w:w="993"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2.8</w:t>
            </w:r>
          </w:p>
        </w:tc>
        <w:tc>
          <w:tcPr>
            <w:tcW w:w="993"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3.0</w:t>
            </w:r>
          </w:p>
        </w:tc>
        <w:tc>
          <w:tcPr>
            <w:tcW w:w="993"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2.6</w:t>
            </w:r>
          </w:p>
        </w:tc>
        <w:tc>
          <w:tcPr>
            <w:tcW w:w="993"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2.4</w:t>
            </w:r>
          </w:p>
        </w:tc>
        <w:tc>
          <w:tcPr>
            <w:tcW w:w="993"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2.1</w:t>
            </w:r>
          </w:p>
        </w:tc>
        <w:tc>
          <w:tcPr>
            <w:tcW w:w="994"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2.0</w:t>
            </w:r>
          </w:p>
        </w:tc>
        <w:tc>
          <w:tcPr>
            <w:tcW w:w="994"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2.0</w:t>
            </w:r>
          </w:p>
        </w:tc>
        <w:tc>
          <w:tcPr>
            <w:tcW w:w="994"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1.7</w:t>
            </w:r>
          </w:p>
        </w:tc>
        <w:tc>
          <w:tcPr>
            <w:tcW w:w="994"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1.7</w:t>
            </w:r>
          </w:p>
        </w:tc>
        <w:tc>
          <w:tcPr>
            <w:tcW w:w="994" w:type="dxa"/>
            <w:shd w:val="clear" w:color="auto" w:fill="B8CCE4" w:themeFill="accent1" w:themeFillTint="66"/>
            <w:vAlign w:val="top"/>
          </w:tcPr>
          <w:p w:rsidR="00527966" w:rsidRPr="00527966" w:rsidRDefault="00527966" w:rsidP="002720B8">
            <w:pPr>
              <w:pStyle w:val="Tabletotal"/>
              <w:cnfStyle w:val="000000000000" w:firstRow="0" w:lastRow="0" w:firstColumn="0" w:lastColumn="0" w:oddVBand="0" w:evenVBand="0" w:oddHBand="0" w:evenHBand="0" w:firstRowFirstColumn="0" w:firstRowLastColumn="0" w:lastRowFirstColumn="0" w:lastRowLastColumn="0"/>
            </w:pPr>
            <w:r w:rsidRPr="00527966">
              <w:t>1.6</w:t>
            </w:r>
          </w:p>
        </w:tc>
      </w:tr>
    </w:tbl>
    <w:p w:rsidR="00527966" w:rsidRPr="001B59F8" w:rsidRDefault="00527966" w:rsidP="002720B8">
      <w:pPr>
        <w:pStyle w:val="Footnote"/>
        <w:rPr>
          <w:b/>
        </w:rPr>
      </w:pPr>
      <w:r w:rsidRPr="00527966">
        <w:t>Note: Movements in fatality rates in occupations with 5 or fewer fatalities each year should be viewed with caution.</w:t>
      </w:r>
    </w:p>
    <w:p w:rsidR="00527966" w:rsidRPr="00527966" w:rsidRDefault="00527966" w:rsidP="00527966"/>
    <w:p w:rsidR="0086785E" w:rsidRPr="00247D72" w:rsidRDefault="0086785E" w:rsidP="0086785E">
      <w:pPr>
        <w:rPr>
          <w:sz w:val="16"/>
          <w:szCs w:val="16"/>
        </w:rPr>
      </w:pPr>
    </w:p>
    <w:sectPr w:rsidR="0086785E" w:rsidRPr="00247D72" w:rsidSect="00247D72">
      <w:pgSz w:w="16838" w:h="11906" w:orient="landscape"/>
      <w:pgMar w:top="1077" w:right="907" w:bottom="107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D2" w:rsidRDefault="00EC2FD2" w:rsidP="00BB4AFD">
      <w:pPr>
        <w:spacing w:after="0" w:line="240" w:lineRule="auto"/>
      </w:pPr>
      <w:r>
        <w:separator/>
      </w:r>
    </w:p>
  </w:endnote>
  <w:endnote w:type="continuationSeparator" w:id="0">
    <w:p w:rsidR="00EC2FD2" w:rsidRDefault="00EC2FD2" w:rsidP="00BB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617391"/>
      <w:docPartObj>
        <w:docPartGallery w:val="Page Numbers (Bottom of Page)"/>
        <w:docPartUnique/>
      </w:docPartObj>
    </w:sdtPr>
    <w:sdtEndPr>
      <w:rPr>
        <w:noProof/>
      </w:rPr>
    </w:sdtEndPr>
    <w:sdtContent>
      <w:p w:rsidR="00EC2FD2" w:rsidRDefault="00EC2FD2">
        <w:pPr>
          <w:pStyle w:val="Footer"/>
          <w:jc w:val="right"/>
        </w:pPr>
        <w:r>
          <w:fldChar w:fldCharType="begin"/>
        </w:r>
        <w:r>
          <w:instrText xml:space="preserve"> PAGE   \* MERGEFORMAT </w:instrText>
        </w:r>
        <w:r>
          <w:fldChar w:fldCharType="separate"/>
        </w:r>
        <w:r w:rsidR="00B53623">
          <w:rPr>
            <w:noProof/>
          </w:rPr>
          <w:t>29</w:t>
        </w:r>
        <w:r>
          <w:rPr>
            <w:noProof/>
          </w:rPr>
          <w:fldChar w:fldCharType="end"/>
        </w:r>
      </w:p>
    </w:sdtContent>
  </w:sdt>
  <w:p w:rsidR="00EC2FD2" w:rsidRDefault="00EC2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D2" w:rsidRDefault="00EC2FD2" w:rsidP="00BB4AFD">
      <w:pPr>
        <w:spacing w:after="0" w:line="240" w:lineRule="auto"/>
      </w:pPr>
      <w:r>
        <w:separator/>
      </w:r>
    </w:p>
  </w:footnote>
  <w:footnote w:type="continuationSeparator" w:id="0">
    <w:p w:rsidR="00EC2FD2" w:rsidRDefault="00EC2FD2" w:rsidP="00BB4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773"/>
    <w:multiLevelType w:val="hybridMultilevel"/>
    <w:tmpl w:val="9354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8A71F7"/>
    <w:multiLevelType w:val="hybridMultilevel"/>
    <w:tmpl w:val="179C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728D5"/>
    <w:multiLevelType w:val="hybridMultilevel"/>
    <w:tmpl w:val="24D2D5F2"/>
    <w:lvl w:ilvl="0" w:tplc="25FEFB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4047E9B"/>
    <w:multiLevelType w:val="hybridMultilevel"/>
    <w:tmpl w:val="94A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2821C5"/>
    <w:multiLevelType w:val="hybridMultilevel"/>
    <w:tmpl w:val="54384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3428AF"/>
    <w:multiLevelType w:val="hybridMultilevel"/>
    <w:tmpl w:val="016A7F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BA064E5"/>
    <w:multiLevelType w:val="hybridMultilevel"/>
    <w:tmpl w:val="06263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190A59"/>
    <w:multiLevelType w:val="hybridMultilevel"/>
    <w:tmpl w:val="4290E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294BB7"/>
    <w:multiLevelType w:val="hybridMultilevel"/>
    <w:tmpl w:val="F6000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B261A6"/>
    <w:multiLevelType w:val="hybridMultilevel"/>
    <w:tmpl w:val="E1BA3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34565F"/>
    <w:multiLevelType w:val="hybridMultilevel"/>
    <w:tmpl w:val="9710B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924FE1"/>
    <w:multiLevelType w:val="hybridMultilevel"/>
    <w:tmpl w:val="B538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2537A8"/>
    <w:multiLevelType w:val="hybridMultilevel"/>
    <w:tmpl w:val="E8A6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C97A79"/>
    <w:multiLevelType w:val="hybridMultilevel"/>
    <w:tmpl w:val="680C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C43C9C"/>
    <w:multiLevelType w:val="hybridMultilevel"/>
    <w:tmpl w:val="B7A6D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9877314"/>
    <w:multiLevelType w:val="hybridMultilevel"/>
    <w:tmpl w:val="A782B60A"/>
    <w:lvl w:ilvl="0" w:tplc="185005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C77F25"/>
    <w:multiLevelType w:val="hybridMultilevel"/>
    <w:tmpl w:val="45228754"/>
    <w:lvl w:ilvl="0" w:tplc="14B4C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EF4FA0"/>
    <w:multiLevelType w:val="hybridMultilevel"/>
    <w:tmpl w:val="CA6C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
  </w:num>
  <w:num w:numId="4">
    <w:abstractNumId w:val="15"/>
  </w:num>
  <w:num w:numId="5">
    <w:abstractNumId w:val="7"/>
  </w:num>
  <w:num w:numId="6">
    <w:abstractNumId w:val="11"/>
  </w:num>
  <w:num w:numId="7">
    <w:abstractNumId w:val="16"/>
  </w:num>
  <w:num w:numId="8">
    <w:abstractNumId w:val="0"/>
  </w:num>
  <w:num w:numId="9">
    <w:abstractNumId w:val="1"/>
  </w:num>
  <w:num w:numId="10">
    <w:abstractNumId w:val="3"/>
  </w:num>
  <w:num w:numId="11">
    <w:abstractNumId w:val="6"/>
  </w:num>
  <w:num w:numId="12">
    <w:abstractNumId w:val="5"/>
  </w:num>
  <w:num w:numId="13">
    <w:abstractNumId w:val="4"/>
  </w:num>
  <w:num w:numId="14">
    <w:abstractNumId w:val="17"/>
  </w:num>
  <w:num w:numId="15">
    <w:abstractNumId w:val="13"/>
  </w:num>
  <w:num w:numId="16">
    <w:abstractNumId w:val="14"/>
  </w:num>
  <w:num w:numId="17">
    <w:abstractNumId w:val="8"/>
  </w:num>
  <w:num w:numId="18">
    <w:abstractNumId w:val="1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b3e1667-b0af-4718-8838-a74243839366"/>
  </w:docVars>
  <w:rsids>
    <w:rsidRoot w:val="00FC6CF8"/>
    <w:rsid w:val="0000203D"/>
    <w:rsid w:val="0000257F"/>
    <w:rsid w:val="00002BC1"/>
    <w:rsid w:val="00003F78"/>
    <w:rsid w:val="00007847"/>
    <w:rsid w:val="0000797D"/>
    <w:rsid w:val="00014B05"/>
    <w:rsid w:val="000255E9"/>
    <w:rsid w:val="00025A74"/>
    <w:rsid w:val="0002669E"/>
    <w:rsid w:val="00032BA6"/>
    <w:rsid w:val="00034968"/>
    <w:rsid w:val="000368AC"/>
    <w:rsid w:val="00036A78"/>
    <w:rsid w:val="0003739C"/>
    <w:rsid w:val="00044643"/>
    <w:rsid w:val="00052DB7"/>
    <w:rsid w:val="000632AC"/>
    <w:rsid w:val="000636A1"/>
    <w:rsid w:val="00063FB1"/>
    <w:rsid w:val="00064CBF"/>
    <w:rsid w:val="00070B12"/>
    <w:rsid w:val="0007211F"/>
    <w:rsid w:val="00080ADD"/>
    <w:rsid w:val="00082463"/>
    <w:rsid w:val="000900B4"/>
    <w:rsid w:val="00090C72"/>
    <w:rsid w:val="00091C38"/>
    <w:rsid w:val="00092012"/>
    <w:rsid w:val="000939D5"/>
    <w:rsid w:val="00097F65"/>
    <w:rsid w:val="000A0556"/>
    <w:rsid w:val="000A1AB4"/>
    <w:rsid w:val="000A2D9A"/>
    <w:rsid w:val="000A2EC3"/>
    <w:rsid w:val="000A3EEA"/>
    <w:rsid w:val="000A5690"/>
    <w:rsid w:val="000A7E27"/>
    <w:rsid w:val="000B085D"/>
    <w:rsid w:val="000B10F7"/>
    <w:rsid w:val="000B56C8"/>
    <w:rsid w:val="000C4B0C"/>
    <w:rsid w:val="000C536E"/>
    <w:rsid w:val="000C6B84"/>
    <w:rsid w:val="000D7236"/>
    <w:rsid w:val="000D7311"/>
    <w:rsid w:val="000E4013"/>
    <w:rsid w:val="000E5520"/>
    <w:rsid w:val="000E668D"/>
    <w:rsid w:val="000F4048"/>
    <w:rsid w:val="000F617A"/>
    <w:rsid w:val="000F6A1E"/>
    <w:rsid w:val="000F7E93"/>
    <w:rsid w:val="00100DCE"/>
    <w:rsid w:val="00111E9B"/>
    <w:rsid w:val="00113CA8"/>
    <w:rsid w:val="001147C3"/>
    <w:rsid w:val="001158C7"/>
    <w:rsid w:val="0012030D"/>
    <w:rsid w:val="00125AD9"/>
    <w:rsid w:val="001274DD"/>
    <w:rsid w:val="0013315C"/>
    <w:rsid w:val="00136FD6"/>
    <w:rsid w:val="00137A28"/>
    <w:rsid w:val="00144851"/>
    <w:rsid w:val="00145506"/>
    <w:rsid w:val="00145F43"/>
    <w:rsid w:val="00146308"/>
    <w:rsid w:val="00150872"/>
    <w:rsid w:val="001524E5"/>
    <w:rsid w:val="00152690"/>
    <w:rsid w:val="00156608"/>
    <w:rsid w:val="0016077F"/>
    <w:rsid w:val="001621FC"/>
    <w:rsid w:val="00163883"/>
    <w:rsid w:val="00173A15"/>
    <w:rsid w:val="00176BAE"/>
    <w:rsid w:val="00177B77"/>
    <w:rsid w:val="00180E23"/>
    <w:rsid w:val="001902B4"/>
    <w:rsid w:val="0019309A"/>
    <w:rsid w:val="00196611"/>
    <w:rsid w:val="001A24FE"/>
    <w:rsid w:val="001A3F01"/>
    <w:rsid w:val="001A6811"/>
    <w:rsid w:val="001A7C10"/>
    <w:rsid w:val="001B697E"/>
    <w:rsid w:val="001B7E16"/>
    <w:rsid w:val="001C07D5"/>
    <w:rsid w:val="001C0B60"/>
    <w:rsid w:val="001C0EFB"/>
    <w:rsid w:val="001C17E7"/>
    <w:rsid w:val="001C331F"/>
    <w:rsid w:val="001C39D8"/>
    <w:rsid w:val="001C6BBB"/>
    <w:rsid w:val="001C7688"/>
    <w:rsid w:val="001D267A"/>
    <w:rsid w:val="001D6913"/>
    <w:rsid w:val="001E1113"/>
    <w:rsid w:val="001E6AE3"/>
    <w:rsid w:val="001F0544"/>
    <w:rsid w:val="001F0AF2"/>
    <w:rsid w:val="001F0E02"/>
    <w:rsid w:val="001F3643"/>
    <w:rsid w:val="001F75F8"/>
    <w:rsid w:val="001F7936"/>
    <w:rsid w:val="002034B8"/>
    <w:rsid w:val="00204381"/>
    <w:rsid w:val="00207853"/>
    <w:rsid w:val="002114B4"/>
    <w:rsid w:val="00211F73"/>
    <w:rsid w:val="00212383"/>
    <w:rsid w:val="00214154"/>
    <w:rsid w:val="00217402"/>
    <w:rsid w:val="002207FD"/>
    <w:rsid w:val="00221EC7"/>
    <w:rsid w:val="00225ECA"/>
    <w:rsid w:val="00225F22"/>
    <w:rsid w:val="00230CC4"/>
    <w:rsid w:val="0023409D"/>
    <w:rsid w:val="0023580F"/>
    <w:rsid w:val="00241278"/>
    <w:rsid w:val="002414FD"/>
    <w:rsid w:val="00241C3A"/>
    <w:rsid w:val="00242E5F"/>
    <w:rsid w:val="00243799"/>
    <w:rsid w:val="00247D72"/>
    <w:rsid w:val="002518CA"/>
    <w:rsid w:val="002541B6"/>
    <w:rsid w:val="002617E0"/>
    <w:rsid w:val="002618DE"/>
    <w:rsid w:val="00261B64"/>
    <w:rsid w:val="00267BE3"/>
    <w:rsid w:val="002700E8"/>
    <w:rsid w:val="002720B8"/>
    <w:rsid w:val="00272C0B"/>
    <w:rsid w:val="0027465F"/>
    <w:rsid w:val="002834CD"/>
    <w:rsid w:val="002845D9"/>
    <w:rsid w:val="002864B3"/>
    <w:rsid w:val="00296F2D"/>
    <w:rsid w:val="002A0357"/>
    <w:rsid w:val="002A4D5C"/>
    <w:rsid w:val="002A4E27"/>
    <w:rsid w:val="002A5A8F"/>
    <w:rsid w:val="002B0274"/>
    <w:rsid w:val="002C2E42"/>
    <w:rsid w:val="002D155D"/>
    <w:rsid w:val="002D1E03"/>
    <w:rsid w:val="002D3DCD"/>
    <w:rsid w:val="002D3E71"/>
    <w:rsid w:val="002D4D5C"/>
    <w:rsid w:val="002E1049"/>
    <w:rsid w:val="002E1162"/>
    <w:rsid w:val="002E33FF"/>
    <w:rsid w:val="002E3A46"/>
    <w:rsid w:val="002E75D0"/>
    <w:rsid w:val="002F2E1B"/>
    <w:rsid w:val="002F518E"/>
    <w:rsid w:val="00303FCE"/>
    <w:rsid w:val="003043C3"/>
    <w:rsid w:val="003044FE"/>
    <w:rsid w:val="003046CE"/>
    <w:rsid w:val="003059DC"/>
    <w:rsid w:val="00305CC7"/>
    <w:rsid w:val="00305DFD"/>
    <w:rsid w:val="00306AC5"/>
    <w:rsid w:val="00306E41"/>
    <w:rsid w:val="00312329"/>
    <w:rsid w:val="0031256C"/>
    <w:rsid w:val="00312C4B"/>
    <w:rsid w:val="00314707"/>
    <w:rsid w:val="0031632C"/>
    <w:rsid w:val="00317CCE"/>
    <w:rsid w:val="00320726"/>
    <w:rsid w:val="0033031B"/>
    <w:rsid w:val="003319CF"/>
    <w:rsid w:val="00331B64"/>
    <w:rsid w:val="00332A12"/>
    <w:rsid w:val="00333E1B"/>
    <w:rsid w:val="0033625E"/>
    <w:rsid w:val="00336437"/>
    <w:rsid w:val="003375FA"/>
    <w:rsid w:val="00337F12"/>
    <w:rsid w:val="003425F6"/>
    <w:rsid w:val="00342BCD"/>
    <w:rsid w:val="00344D7F"/>
    <w:rsid w:val="00347F71"/>
    <w:rsid w:val="00350405"/>
    <w:rsid w:val="00353593"/>
    <w:rsid w:val="00354906"/>
    <w:rsid w:val="00357A34"/>
    <w:rsid w:val="00361B95"/>
    <w:rsid w:val="0036363A"/>
    <w:rsid w:val="00372ED2"/>
    <w:rsid w:val="00374C6C"/>
    <w:rsid w:val="00382325"/>
    <w:rsid w:val="00383468"/>
    <w:rsid w:val="00385444"/>
    <w:rsid w:val="00390DB4"/>
    <w:rsid w:val="003966E3"/>
    <w:rsid w:val="003A5C20"/>
    <w:rsid w:val="003A7C31"/>
    <w:rsid w:val="003B0F6E"/>
    <w:rsid w:val="003B330F"/>
    <w:rsid w:val="003B46EB"/>
    <w:rsid w:val="003C6B93"/>
    <w:rsid w:val="003D0155"/>
    <w:rsid w:val="003D0A9B"/>
    <w:rsid w:val="003D6DBD"/>
    <w:rsid w:val="003E4871"/>
    <w:rsid w:val="003E6214"/>
    <w:rsid w:val="003F268F"/>
    <w:rsid w:val="003F313F"/>
    <w:rsid w:val="003F7E30"/>
    <w:rsid w:val="004018C2"/>
    <w:rsid w:val="00411B97"/>
    <w:rsid w:val="00411E98"/>
    <w:rsid w:val="00412BF7"/>
    <w:rsid w:val="004138C9"/>
    <w:rsid w:val="004166A0"/>
    <w:rsid w:val="00421087"/>
    <w:rsid w:val="004211FF"/>
    <w:rsid w:val="00421816"/>
    <w:rsid w:val="004235BC"/>
    <w:rsid w:val="00425381"/>
    <w:rsid w:val="00427356"/>
    <w:rsid w:val="0042771C"/>
    <w:rsid w:val="00437405"/>
    <w:rsid w:val="00437498"/>
    <w:rsid w:val="0044611E"/>
    <w:rsid w:val="0045147C"/>
    <w:rsid w:val="00453A89"/>
    <w:rsid w:val="00453EF7"/>
    <w:rsid w:val="004540DE"/>
    <w:rsid w:val="00455E54"/>
    <w:rsid w:val="004569A9"/>
    <w:rsid w:val="00457842"/>
    <w:rsid w:val="00461F30"/>
    <w:rsid w:val="00471807"/>
    <w:rsid w:val="00474191"/>
    <w:rsid w:val="004744A8"/>
    <w:rsid w:val="0048182C"/>
    <w:rsid w:val="004862D8"/>
    <w:rsid w:val="004870BC"/>
    <w:rsid w:val="00490616"/>
    <w:rsid w:val="00491AD0"/>
    <w:rsid w:val="00493829"/>
    <w:rsid w:val="00494200"/>
    <w:rsid w:val="00495B9D"/>
    <w:rsid w:val="00497A6F"/>
    <w:rsid w:val="00497DA8"/>
    <w:rsid w:val="004A193C"/>
    <w:rsid w:val="004A37FF"/>
    <w:rsid w:val="004A39AC"/>
    <w:rsid w:val="004A4F7F"/>
    <w:rsid w:val="004A5285"/>
    <w:rsid w:val="004A5DF2"/>
    <w:rsid w:val="004B277E"/>
    <w:rsid w:val="004B6802"/>
    <w:rsid w:val="004B6E1C"/>
    <w:rsid w:val="004B7F27"/>
    <w:rsid w:val="004C75D3"/>
    <w:rsid w:val="004D1306"/>
    <w:rsid w:val="004D1F9A"/>
    <w:rsid w:val="004D3B47"/>
    <w:rsid w:val="004D7768"/>
    <w:rsid w:val="004D7E42"/>
    <w:rsid w:val="004E0AA3"/>
    <w:rsid w:val="004E0E61"/>
    <w:rsid w:val="004E6345"/>
    <w:rsid w:val="004E6AD6"/>
    <w:rsid w:val="004E6B8C"/>
    <w:rsid w:val="004E763B"/>
    <w:rsid w:val="004F40D9"/>
    <w:rsid w:val="004F7496"/>
    <w:rsid w:val="00500A76"/>
    <w:rsid w:val="00501056"/>
    <w:rsid w:val="00502E08"/>
    <w:rsid w:val="0050313D"/>
    <w:rsid w:val="00505BB8"/>
    <w:rsid w:val="005119F9"/>
    <w:rsid w:val="00511C43"/>
    <w:rsid w:val="00512CF3"/>
    <w:rsid w:val="005138CF"/>
    <w:rsid w:val="00515A84"/>
    <w:rsid w:val="00516962"/>
    <w:rsid w:val="00523CD8"/>
    <w:rsid w:val="00527966"/>
    <w:rsid w:val="00531BE8"/>
    <w:rsid w:val="00531CEB"/>
    <w:rsid w:val="00532537"/>
    <w:rsid w:val="005357A9"/>
    <w:rsid w:val="00535C33"/>
    <w:rsid w:val="005373AE"/>
    <w:rsid w:val="00541142"/>
    <w:rsid w:val="005419FB"/>
    <w:rsid w:val="00542507"/>
    <w:rsid w:val="00544907"/>
    <w:rsid w:val="005463E7"/>
    <w:rsid w:val="00546B4F"/>
    <w:rsid w:val="005525D1"/>
    <w:rsid w:val="00555FEE"/>
    <w:rsid w:val="00556A4B"/>
    <w:rsid w:val="0056526D"/>
    <w:rsid w:val="00571218"/>
    <w:rsid w:val="00572792"/>
    <w:rsid w:val="00572EC9"/>
    <w:rsid w:val="005732DC"/>
    <w:rsid w:val="005755D3"/>
    <w:rsid w:val="00592AC9"/>
    <w:rsid w:val="00593BBA"/>
    <w:rsid w:val="0059615F"/>
    <w:rsid w:val="005971AC"/>
    <w:rsid w:val="00597C3B"/>
    <w:rsid w:val="005A0A68"/>
    <w:rsid w:val="005A1972"/>
    <w:rsid w:val="005A33A9"/>
    <w:rsid w:val="005A60DE"/>
    <w:rsid w:val="005A62AC"/>
    <w:rsid w:val="005A62E7"/>
    <w:rsid w:val="005A682F"/>
    <w:rsid w:val="005A7FC4"/>
    <w:rsid w:val="005B1049"/>
    <w:rsid w:val="005B1660"/>
    <w:rsid w:val="005B1996"/>
    <w:rsid w:val="005B4160"/>
    <w:rsid w:val="005B5DB0"/>
    <w:rsid w:val="005C4203"/>
    <w:rsid w:val="005C7657"/>
    <w:rsid w:val="005D0466"/>
    <w:rsid w:val="005D2469"/>
    <w:rsid w:val="005D4635"/>
    <w:rsid w:val="005D5FA3"/>
    <w:rsid w:val="005E0FC8"/>
    <w:rsid w:val="005E2F41"/>
    <w:rsid w:val="005E5C82"/>
    <w:rsid w:val="005E6422"/>
    <w:rsid w:val="005F38D5"/>
    <w:rsid w:val="005F7F1C"/>
    <w:rsid w:val="00602297"/>
    <w:rsid w:val="00602512"/>
    <w:rsid w:val="00604490"/>
    <w:rsid w:val="00604787"/>
    <w:rsid w:val="00612475"/>
    <w:rsid w:val="006160E5"/>
    <w:rsid w:val="00616982"/>
    <w:rsid w:val="00634382"/>
    <w:rsid w:val="0063569C"/>
    <w:rsid w:val="00640B2A"/>
    <w:rsid w:val="00640BA0"/>
    <w:rsid w:val="00641691"/>
    <w:rsid w:val="00645297"/>
    <w:rsid w:val="00647516"/>
    <w:rsid w:val="0064785F"/>
    <w:rsid w:val="0065443B"/>
    <w:rsid w:val="00661796"/>
    <w:rsid w:val="006625B8"/>
    <w:rsid w:val="0066277C"/>
    <w:rsid w:val="0066482F"/>
    <w:rsid w:val="00665193"/>
    <w:rsid w:val="0066603A"/>
    <w:rsid w:val="00676C51"/>
    <w:rsid w:val="00677DA8"/>
    <w:rsid w:val="00677FF4"/>
    <w:rsid w:val="0068391A"/>
    <w:rsid w:val="0068666E"/>
    <w:rsid w:val="00686C3F"/>
    <w:rsid w:val="006871C3"/>
    <w:rsid w:val="006879FC"/>
    <w:rsid w:val="006904EF"/>
    <w:rsid w:val="006914E4"/>
    <w:rsid w:val="00694911"/>
    <w:rsid w:val="00695879"/>
    <w:rsid w:val="006973EF"/>
    <w:rsid w:val="006A03C4"/>
    <w:rsid w:val="006A5FAA"/>
    <w:rsid w:val="006B0E8C"/>
    <w:rsid w:val="006B16E6"/>
    <w:rsid w:val="006B298D"/>
    <w:rsid w:val="006B2B5F"/>
    <w:rsid w:val="006B3EA5"/>
    <w:rsid w:val="006B6946"/>
    <w:rsid w:val="006C1F36"/>
    <w:rsid w:val="006D0B78"/>
    <w:rsid w:val="006D5215"/>
    <w:rsid w:val="006D6F33"/>
    <w:rsid w:val="006E4E64"/>
    <w:rsid w:val="006F07DE"/>
    <w:rsid w:val="006F2370"/>
    <w:rsid w:val="006F2463"/>
    <w:rsid w:val="006F341D"/>
    <w:rsid w:val="006F4018"/>
    <w:rsid w:val="006F68BC"/>
    <w:rsid w:val="006F6DBD"/>
    <w:rsid w:val="00701771"/>
    <w:rsid w:val="00703538"/>
    <w:rsid w:val="007049E9"/>
    <w:rsid w:val="00711D2C"/>
    <w:rsid w:val="00713A15"/>
    <w:rsid w:val="007141B7"/>
    <w:rsid w:val="0071446B"/>
    <w:rsid w:val="00722658"/>
    <w:rsid w:val="00725A80"/>
    <w:rsid w:val="00730EBE"/>
    <w:rsid w:val="00735181"/>
    <w:rsid w:val="00740E05"/>
    <w:rsid w:val="00741038"/>
    <w:rsid w:val="0074637F"/>
    <w:rsid w:val="007515D7"/>
    <w:rsid w:val="00751B0A"/>
    <w:rsid w:val="0075723F"/>
    <w:rsid w:val="00762097"/>
    <w:rsid w:val="00763239"/>
    <w:rsid w:val="007640D5"/>
    <w:rsid w:val="00766717"/>
    <w:rsid w:val="007667A7"/>
    <w:rsid w:val="007811F9"/>
    <w:rsid w:val="00785767"/>
    <w:rsid w:val="00790001"/>
    <w:rsid w:val="00790BB8"/>
    <w:rsid w:val="00794575"/>
    <w:rsid w:val="0079705F"/>
    <w:rsid w:val="007A03E6"/>
    <w:rsid w:val="007A0CCE"/>
    <w:rsid w:val="007A2F4F"/>
    <w:rsid w:val="007A3514"/>
    <w:rsid w:val="007A7F7B"/>
    <w:rsid w:val="007B09B7"/>
    <w:rsid w:val="007B193B"/>
    <w:rsid w:val="007C1397"/>
    <w:rsid w:val="007C2530"/>
    <w:rsid w:val="007C30EA"/>
    <w:rsid w:val="007C7629"/>
    <w:rsid w:val="007D52B9"/>
    <w:rsid w:val="007E0E08"/>
    <w:rsid w:val="007E19AF"/>
    <w:rsid w:val="007E20FB"/>
    <w:rsid w:val="007E4DE2"/>
    <w:rsid w:val="007F0935"/>
    <w:rsid w:val="007F1CE3"/>
    <w:rsid w:val="007F2E36"/>
    <w:rsid w:val="007F3E88"/>
    <w:rsid w:val="008002AA"/>
    <w:rsid w:val="008016F8"/>
    <w:rsid w:val="00802660"/>
    <w:rsid w:val="00802DE6"/>
    <w:rsid w:val="00805C23"/>
    <w:rsid w:val="008060D3"/>
    <w:rsid w:val="00806307"/>
    <w:rsid w:val="00807FB6"/>
    <w:rsid w:val="008100D2"/>
    <w:rsid w:val="00810396"/>
    <w:rsid w:val="00810397"/>
    <w:rsid w:val="00814A56"/>
    <w:rsid w:val="00815CAB"/>
    <w:rsid w:val="00816CC8"/>
    <w:rsid w:val="00817DF7"/>
    <w:rsid w:val="008274F0"/>
    <w:rsid w:val="0083123A"/>
    <w:rsid w:val="00835E68"/>
    <w:rsid w:val="00845B3A"/>
    <w:rsid w:val="00846606"/>
    <w:rsid w:val="0084714C"/>
    <w:rsid w:val="00847D33"/>
    <w:rsid w:val="00847E04"/>
    <w:rsid w:val="00850DA0"/>
    <w:rsid w:val="00852D70"/>
    <w:rsid w:val="008570FA"/>
    <w:rsid w:val="00857A9C"/>
    <w:rsid w:val="0086033C"/>
    <w:rsid w:val="00862A86"/>
    <w:rsid w:val="00864B78"/>
    <w:rsid w:val="00864BCB"/>
    <w:rsid w:val="00866DAB"/>
    <w:rsid w:val="0086785E"/>
    <w:rsid w:val="00870534"/>
    <w:rsid w:val="008729E0"/>
    <w:rsid w:val="00876656"/>
    <w:rsid w:val="00880DAE"/>
    <w:rsid w:val="0088372B"/>
    <w:rsid w:val="00886EEA"/>
    <w:rsid w:val="00890C13"/>
    <w:rsid w:val="00895685"/>
    <w:rsid w:val="00896F39"/>
    <w:rsid w:val="008A12AE"/>
    <w:rsid w:val="008A527C"/>
    <w:rsid w:val="008B5145"/>
    <w:rsid w:val="008B7526"/>
    <w:rsid w:val="008B7DC9"/>
    <w:rsid w:val="008C4A45"/>
    <w:rsid w:val="008C6A3F"/>
    <w:rsid w:val="008C7103"/>
    <w:rsid w:val="008C7949"/>
    <w:rsid w:val="008D03AF"/>
    <w:rsid w:val="008D18F3"/>
    <w:rsid w:val="008D1EEA"/>
    <w:rsid w:val="008D4160"/>
    <w:rsid w:val="008D7115"/>
    <w:rsid w:val="008E0826"/>
    <w:rsid w:val="008E17DB"/>
    <w:rsid w:val="008E53E5"/>
    <w:rsid w:val="008F0EC5"/>
    <w:rsid w:val="008F2905"/>
    <w:rsid w:val="008F2F39"/>
    <w:rsid w:val="009016DE"/>
    <w:rsid w:val="009054BA"/>
    <w:rsid w:val="009063A5"/>
    <w:rsid w:val="00914894"/>
    <w:rsid w:val="00916916"/>
    <w:rsid w:val="00921BEB"/>
    <w:rsid w:val="00923219"/>
    <w:rsid w:val="00923C96"/>
    <w:rsid w:val="00937555"/>
    <w:rsid w:val="0094112C"/>
    <w:rsid w:val="009423BF"/>
    <w:rsid w:val="00943370"/>
    <w:rsid w:val="00946C65"/>
    <w:rsid w:val="00952E66"/>
    <w:rsid w:val="00953440"/>
    <w:rsid w:val="00953E7A"/>
    <w:rsid w:val="00956E1A"/>
    <w:rsid w:val="00962FE4"/>
    <w:rsid w:val="00963E92"/>
    <w:rsid w:val="00966843"/>
    <w:rsid w:val="00967008"/>
    <w:rsid w:val="00970FB8"/>
    <w:rsid w:val="00973F61"/>
    <w:rsid w:val="00974972"/>
    <w:rsid w:val="00984880"/>
    <w:rsid w:val="00985407"/>
    <w:rsid w:val="00990994"/>
    <w:rsid w:val="00993A94"/>
    <w:rsid w:val="009A2724"/>
    <w:rsid w:val="009B5760"/>
    <w:rsid w:val="009B6951"/>
    <w:rsid w:val="009C02F5"/>
    <w:rsid w:val="009C1A0B"/>
    <w:rsid w:val="009D0573"/>
    <w:rsid w:val="009D62EC"/>
    <w:rsid w:val="009E3518"/>
    <w:rsid w:val="009E36F0"/>
    <w:rsid w:val="009E68F1"/>
    <w:rsid w:val="009F2F7A"/>
    <w:rsid w:val="009F3C38"/>
    <w:rsid w:val="009F6879"/>
    <w:rsid w:val="009F6AFC"/>
    <w:rsid w:val="00A01384"/>
    <w:rsid w:val="00A01F5E"/>
    <w:rsid w:val="00A05003"/>
    <w:rsid w:val="00A07E79"/>
    <w:rsid w:val="00A11453"/>
    <w:rsid w:val="00A12608"/>
    <w:rsid w:val="00A12EAF"/>
    <w:rsid w:val="00A1455A"/>
    <w:rsid w:val="00A17BAC"/>
    <w:rsid w:val="00A275C1"/>
    <w:rsid w:val="00A312C4"/>
    <w:rsid w:val="00A31C20"/>
    <w:rsid w:val="00A35CD1"/>
    <w:rsid w:val="00A438BA"/>
    <w:rsid w:val="00A45A9A"/>
    <w:rsid w:val="00A5602E"/>
    <w:rsid w:val="00A62F0C"/>
    <w:rsid w:val="00A638F6"/>
    <w:rsid w:val="00A65C4B"/>
    <w:rsid w:val="00A6693B"/>
    <w:rsid w:val="00A726A3"/>
    <w:rsid w:val="00A86180"/>
    <w:rsid w:val="00A929A7"/>
    <w:rsid w:val="00A92FA7"/>
    <w:rsid w:val="00A94139"/>
    <w:rsid w:val="00A946A8"/>
    <w:rsid w:val="00AA00FA"/>
    <w:rsid w:val="00AA238D"/>
    <w:rsid w:val="00AA2D30"/>
    <w:rsid w:val="00AA5BB3"/>
    <w:rsid w:val="00AA6393"/>
    <w:rsid w:val="00AB21FD"/>
    <w:rsid w:val="00AB2E11"/>
    <w:rsid w:val="00AB3DFE"/>
    <w:rsid w:val="00AB503C"/>
    <w:rsid w:val="00AB6AFB"/>
    <w:rsid w:val="00AC05C3"/>
    <w:rsid w:val="00AC10BD"/>
    <w:rsid w:val="00AC50CA"/>
    <w:rsid w:val="00AC7AAD"/>
    <w:rsid w:val="00AD0B3F"/>
    <w:rsid w:val="00AD1D9C"/>
    <w:rsid w:val="00AD5027"/>
    <w:rsid w:val="00AD5911"/>
    <w:rsid w:val="00AD7E42"/>
    <w:rsid w:val="00AE5EA1"/>
    <w:rsid w:val="00AE6963"/>
    <w:rsid w:val="00AE6B8B"/>
    <w:rsid w:val="00AF653B"/>
    <w:rsid w:val="00AF6CC4"/>
    <w:rsid w:val="00AF6EBC"/>
    <w:rsid w:val="00B010B5"/>
    <w:rsid w:val="00B023AF"/>
    <w:rsid w:val="00B031F9"/>
    <w:rsid w:val="00B1165B"/>
    <w:rsid w:val="00B129E0"/>
    <w:rsid w:val="00B15D04"/>
    <w:rsid w:val="00B16A2A"/>
    <w:rsid w:val="00B16E03"/>
    <w:rsid w:val="00B17E9C"/>
    <w:rsid w:val="00B23184"/>
    <w:rsid w:val="00B249DC"/>
    <w:rsid w:val="00B24FD5"/>
    <w:rsid w:val="00B26183"/>
    <w:rsid w:val="00B26B04"/>
    <w:rsid w:val="00B326DF"/>
    <w:rsid w:val="00B37CC8"/>
    <w:rsid w:val="00B407C0"/>
    <w:rsid w:val="00B40D42"/>
    <w:rsid w:val="00B41E38"/>
    <w:rsid w:val="00B42E72"/>
    <w:rsid w:val="00B4392C"/>
    <w:rsid w:val="00B43A8A"/>
    <w:rsid w:val="00B50F68"/>
    <w:rsid w:val="00B53623"/>
    <w:rsid w:val="00B53CB0"/>
    <w:rsid w:val="00B54DB9"/>
    <w:rsid w:val="00B57478"/>
    <w:rsid w:val="00B57B8F"/>
    <w:rsid w:val="00B63DB2"/>
    <w:rsid w:val="00B64171"/>
    <w:rsid w:val="00B64376"/>
    <w:rsid w:val="00B66A36"/>
    <w:rsid w:val="00B67CCA"/>
    <w:rsid w:val="00B70D48"/>
    <w:rsid w:val="00B7523B"/>
    <w:rsid w:val="00B761A0"/>
    <w:rsid w:val="00B77AEB"/>
    <w:rsid w:val="00B77E52"/>
    <w:rsid w:val="00B81F27"/>
    <w:rsid w:val="00B822AE"/>
    <w:rsid w:val="00B867D9"/>
    <w:rsid w:val="00B870AC"/>
    <w:rsid w:val="00B934BB"/>
    <w:rsid w:val="00B944FB"/>
    <w:rsid w:val="00B9617C"/>
    <w:rsid w:val="00B96CB0"/>
    <w:rsid w:val="00B979F5"/>
    <w:rsid w:val="00BA24C2"/>
    <w:rsid w:val="00BA70A8"/>
    <w:rsid w:val="00BB07D1"/>
    <w:rsid w:val="00BB109A"/>
    <w:rsid w:val="00BB1676"/>
    <w:rsid w:val="00BB19E6"/>
    <w:rsid w:val="00BB30F0"/>
    <w:rsid w:val="00BB40F3"/>
    <w:rsid w:val="00BB4AFD"/>
    <w:rsid w:val="00BB7B97"/>
    <w:rsid w:val="00BC16B2"/>
    <w:rsid w:val="00BC19E1"/>
    <w:rsid w:val="00BC3362"/>
    <w:rsid w:val="00BC6529"/>
    <w:rsid w:val="00BD448B"/>
    <w:rsid w:val="00BD4715"/>
    <w:rsid w:val="00BE12D0"/>
    <w:rsid w:val="00BE15D2"/>
    <w:rsid w:val="00BE6AD6"/>
    <w:rsid w:val="00BE7385"/>
    <w:rsid w:val="00BF00D9"/>
    <w:rsid w:val="00BF0364"/>
    <w:rsid w:val="00BF614F"/>
    <w:rsid w:val="00C00CE5"/>
    <w:rsid w:val="00C01A85"/>
    <w:rsid w:val="00C04CEC"/>
    <w:rsid w:val="00C0578E"/>
    <w:rsid w:val="00C11A12"/>
    <w:rsid w:val="00C204BD"/>
    <w:rsid w:val="00C21E05"/>
    <w:rsid w:val="00C23011"/>
    <w:rsid w:val="00C234F2"/>
    <w:rsid w:val="00C23886"/>
    <w:rsid w:val="00C23D2A"/>
    <w:rsid w:val="00C24389"/>
    <w:rsid w:val="00C24D19"/>
    <w:rsid w:val="00C26B2B"/>
    <w:rsid w:val="00C31326"/>
    <w:rsid w:val="00C3437F"/>
    <w:rsid w:val="00C3583F"/>
    <w:rsid w:val="00C35A75"/>
    <w:rsid w:val="00C369C2"/>
    <w:rsid w:val="00C36E52"/>
    <w:rsid w:val="00C4610A"/>
    <w:rsid w:val="00C46225"/>
    <w:rsid w:val="00C47B31"/>
    <w:rsid w:val="00C509B5"/>
    <w:rsid w:val="00C52748"/>
    <w:rsid w:val="00C628DB"/>
    <w:rsid w:val="00C62C58"/>
    <w:rsid w:val="00C63B2D"/>
    <w:rsid w:val="00C6428E"/>
    <w:rsid w:val="00C66810"/>
    <w:rsid w:val="00C759B8"/>
    <w:rsid w:val="00C75F4B"/>
    <w:rsid w:val="00C76822"/>
    <w:rsid w:val="00C84364"/>
    <w:rsid w:val="00C86E4E"/>
    <w:rsid w:val="00C90CBC"/>
    <w:rsid w:val="00C95E1D"/>
    <w:rsid w:val="00CA4C8B"/>
    <w:rsid w:val="00CA59F3"/>
    <w:rsid w:val="00CA6190"/>
    <w:rsid w:val="00CA6FC1"/>
    <w:rsid w:val="00CB08AE"/>
    <w:rsid w:val="00CB2832"/>
    <w:rsid w:val="00CB33C2"/>
    <w:rsid w:val="00CC3052"/>
    <w:rsid w:val="00CC3706"/>
    <w:rsid w:val="00CC3FDC"/>
    <w:rsid w:val="00CC6FA6"/>
    <w:rsid w:val="00CC7020"/>
    <w:rsid w:val="00CD5695"/>
    <w:rsid w:val="00CE598D"/>
    <w:rsid w:val="00CF0DC7"/>
    <w:rsid w:val="00CF49F6"/>
    <w:rsid w:val="00CF5B19"/>
    <w:rsid w:val="00D03B61"/>
    <w:rsid w:val="00D10766"/>
    <w:rsid w:val="00D11BB9"/>
    <w:rsid w:val="00D16B26"/>
    <w:rsid w:val="00D21843"/>
    <w:rsid w:val="00D252EE"/>
    <w:rsid w:val="00D2630A"/>
    <w:rsid w:val="00D27830"/>
    <w:rsid w:val="00D32E82"/>
    <w:rsid w:val="00D3418C"/>
    <w:rsid w:val="00D36746"/>
    <w:rsid w:val="00D427A2"/>
    <w:rsid w:val="00D44A11"/>
    <w:rsid w:val="00D44CFC"/>
    <w:rsid w:val="00D45D96"/>
    <w:rsid w:val="00D62CEB"/>
    <w:rsid w:val="00D636FB"/>
    <w:rsid w:val="00D65A11"/>
    <w:rsid w:val="00D674C3"/>
    <w:rsid w:val="00D67D30"/>
    <w:rsid w:val="00D74BB0"/>
    <w:rsid w:val="00D761F9"/>
    <w:rsid w:val="00D76DDF"/>
    <w:rsid w:val="00D77182"/>
    <w:rsid w:val="00D864EE"/>
    <w:rsid w:val="00D91167"/>
    <w:rsid w:val="00D92B4A"/>
    <w:rsid w:val="00D92D6C"/>
    <w:rsid w:val="00D93B5E"/>
    <w:rsid w:val="00D95A2B"/>
    <w:rsid w:val="00DA0E2F"/>
    <w:rsid w:val="00DA1B48"/>
    <w:rsid w:val="00DA2656"/>
    <w:rsid w:val="00DA4052"/>
    <w:rsid w:val="00DA4D7F"/>
    <w:rsid w:val="00DA5B95"/>
    <w:rsid w:val="00DA6319"/>
    <w:rsid w:val="00DA6331"/>
    <w:rsid w:val="00DB522D"/>
    <w:rsid w:val="00DB7BDD"/>
    <w:rsid w:val="00DC602F"/>
    <w:rsid w:val="00DC7D02"/>
    <w:rsid w:val="00DD1044"/>
    <w:rsid w:val="00DD1C0F"/>
    <w:rsid w:val="00DD1FE0"/>
    <w:rsid w:val="00DD3116"/>
    <w:rsid w:val="00DD4421"/>
    <w:rsid w:val="00DD5E22"/>
    <w:rsid w:val="00DD66B7"/>
    <w:rsid w:val="00DE2349"/>
    <w:rsid w:val="00DE25FC"/>
    <w:rsid w:val="00DE6197"/>
    <w:rsid w:val="00DF1E90"/>
    <w:rsid w:val="00DF1F3B"/>
    <w:rsid w:val="00DF24D2"/>
    <w:rsid w:val="00DF269A"/>
    <w:rsid w:val="00DF2C65"/>
    <w:rsid w:val="00DF3E61"/>
    <w:rsid w:val="00DF523D"/>
    <w:rsid w:val="00DF5C34"/>
    <w:rsid w:val="00DF6FE9"/>
    <w:rsid w:val="00DF731A"/>
    <w:rsid w:val="00E00277"/>
    <w:rsid w:val="00E0061F"/>
    <w:rsid w:val="00E00EE9"/>
    <w:rsid w:val="00E01C7E"/>
    <w:rsid w:val="00E055C3"/>
    <w:rsid w:val="00E10869"/>
    <w:rsid w:val="00E1683C"/>
    <w:rsid w:val="00E171F5"/>
    <w:rsid w:val="00E21220"/>
    <w:rsid w:val="00E22A1A"/>
    <w:rsid w:val="00E25378"/>
    <w:rsid w:val="00E34175"/>
    <w:rsid w:val="00E42A22"/>
    <w:rsid w:val="00E44844"/>
    <w:rsid w:val="00E508A8"/>
    <w:rsid w:val="00E5290F"/>
    <w:rsid w:val="00E532C3"/>
    <w:rsid w:val="00E534E4"/>
    <w:rsid w:val="00E56427"/>
    <w:rsid w:val="00E56C7C"/>
    <w:rsid w:val="00E63CA4"/>
    <w:rsid w:val="00E6608C"/>
    <w:rsid w:val="00E66B7D"/>
    <w:rsid w:val="00E679C8"/>
    <w:rsid w:val="00E7010F"/>
    <w:rsid w:val="00E74488"/>
    <w:rsid w:val="00E76FB2"/>
    <w:rsid w:val="00E858B0"/>
    <w:rsid w:val="00E91205"/>
    <w:rsid w:val="00E914AF"/>
    <w:rsid w:val="00E91F3D"/>
    <w:rsid w:val="00E9341D"/>
    <w:rsid w:val="00E94AE9"/>
    <w:rsid w:val="00E94FC0"/>
    <w:rsid w:val="00E95164"/>
    <w:rsid w:val="00E956D9"/>
    <w:rsid w:val="00E967F3"/>
    <w:rsid w:val="00E97273"/>
    <w:rsid w:val="00EA0614"/>
    <w:rsid w:val="00EA1A8A"/>
    <w:rsid w:val="00EA3519"/>
    <w:rsid w:val="00EB1142"/>
    <w:rsid w:val="00EB53CB"/>
    <w:rsid w:val="00EB6DDE"/>
    <w:rsid w:val="00EC2FD2"/>
    <w:rsid w:val="00EC4EAC"/>
    <w:rsid w:val="00EC6718"/>
    <w:rsid w:val="00ED0BB0"/>
    <w:rsid w:val="00ED2624"/>
    <w:rsid w:val="00ED3C5F"/>
    <w:rsid w:val="00ED4143"/>
    <w:rsid w:val="00ED4964"/>
    <w:rsid w:val="00EE1C53"/>
    <w:rsid w:val="00EE3F0F"/>
    <w:rsid w:val="00EE464F"/>
    <w:rsid w:val="00EE639C"/>
    <w:rsid w:val="00EE63F0"/>
    <w:rsid w:val="00EF0A74"/>
    <w:rsid w:val="00EF71B6"/>
    <w:rsid w:val="00EF72F0"/>
    <w:rsid w:val="00F01C85"/>
    <w:rsid w:val="00F1077C"/>
    <w:rsid w:val="00F11730"/>
    <w:rsid w:val="00F13545"/>
    <w:rsid w:val="00F22127"/>
    <w:rsid w:val="00F23BD3"/>
    <w:rsid w:val="00F26BD5"/>
    <w:rsid w:val="00F307A9"/>
    <w:rsid w:val="00F3098C"/>
    <w:rsid w:val="00F33BCB"/>
    <w:rsid w:val="00F46C0F"/>
    <w:rsid w:val="00F47616"/>
    <w:rsid w:val="00F53CF2"/>
    <w:rsid w:val="00F618B0"/>
    <w:rsid w:val="00F67C22"/>
    <w:rsid w:val="00F73494"/>
    <w:rsid w:val="00F73E33"/>
    <w:rsid w:val="00F85C5D"/>
    <w:rsid w:val="00F86906"/>
    <w:rsid w:val="00F90453"/>
    <w:rsid w:val="00F933DD"/>
    <w:rsid w:val="00F94244"/>
    <w:rsid w:val="00F94996"/>
    <w:rsid w:val="00FA1D73"/>
    <w:rsid w:val="00FA23B7"/>
    <w:rsid w:val="00FA3BC1"/>
    <w:rsid w:val="00FA543C"/>
    <w:rsid w:val="00FA672A"/>
    <w:rsid w:val="00FB1EE2"/>
    <w:rsid w:val="00FB204D"/>
    <w:rsid w:val="00FB3EE8"/>
    <w:rsid w:val="00FB488A"/>
    <w:rsid w:val="00FB48B1"/>
    <w:rsid w:val="00FB71D3"/>
    <w:rsid w:val="00FB7F1B"/>
    <w:rsid w:val="00FC0450"/>
    <w:rsid w:val="00FC33E3"/>
    <w:rsid w:val="00FC3D67"/>
    <w:rsid w:val="00FC5BFA"/>
    <w:rsid w:val="00FC6CF8"/>
    <w:rsid w:val="00FC6EA7"/>
    <w:rsid w:val="00FD0911"/>
    <w:rsid w:val="00FD4821"/>
    <w:rsid w:val="00FE4929"/>
    <w:rsid w:val="00FF0418"/>
    <w:rsid w:val="00FF3D53"/>
    <w:rsid w:val="00FF627D"/>
    <w:rsid w:val="00FF7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75723F"/>
    <w:rPr>
      <w:rFonts w:eastAsia="SimSun"/>
      <w:sz w:val="20"/>
      <w:lang w:eastAsia="en-AU"/>
    </w:rPr>
  </w:style>
  <w:style w:type="paragraph" w:styleId="Heading1">
    <w:name w:val="heading 1"/>
    <w:basedOn w:val="Normal"/>
    <w:next w:val="Normal"/>
    <w:link w:val="Heading1Char"/>
    <w:autoRedefine/>
    <w:uiPriority w:val="1"/>
    <w:unhideWhenUsed/>
    <w:qFormat/>
    <w:rsid w:val="004870BC"/>
    <w:pPr>
      <w:spacing w:before="120"/>
      <w:outlineLvl w:val="0"/>
    </w:pPr>
    <w:rPr>
      <w:b/>
      <w:color w:val="004874"/>
      <w:sz w:val="40"/>
      <w:szCs w:val="40"/>
    </w:rPr>
  </w:style>
  <w:style w:type="paragraph" w:styleId="Heading2">
    <w:name w:val="heading 2"/>
    <w:basedOn w:val="Normal"/>
    <w:next w:val="Normal"/>
    <w:link w:val="Heading2Char"/>
    <w:autoRedefine/>
    <w:uiPriority w:val="9"/>
    <w:unhideWhenUsed/>
    <w:qFormat/>
    <w:rsid w:val="004870BC"/>
    <w:pPr>
      <w:spacing w:before="60" w:after="60"/>
      <w:outlineLvl w:val="1"/>
    </w:pPr>
    <w:rPr>
      <w:b/>
      <w:color w:val="004874"/>
      <w:sz w:val="28"/>
      <w:szCs w:val="28"/>
    </w:rPr>
  </w:style>
  <w:style w:type="paragraph" w:styleId="Heading3">
    <w:name w:val="heading 3"/>
    <w:basedOn w:val="Normal"/>
    <w:next w:val="Normal"/>
    <w:link w:val="Heading3Char"/>
    <w:autoRedefine/>
    <w:uiPriority w:val="9"/>
    <w:unhideWhenUsed/>
    <w:qFormat/>
    <w:rsid w:val="00BB19E6"/>
    <w:pPr>
      <w:spacing w:before="120" w:after="40"/>
      <w:outlineLvl w:val="2"/>
    </w:pPr>
    <w:rPr>
      <w:b/>
      <w:sz w:val="24"/>
    </w:rPr>
  </w:style>
  <w:style w:type="paragraph" w:styleId="Heading4">
    <w:name w:val="heading 4"/>
    <w:aliases w:val="Tables and figures"/>
    <w:basedOn w:val="Normal"/>
    <w:next w:val="Normal"/>
    <w:link w:val="Heading4Char"/>
    <w:autoRedefine/>
    <w:uiPriority w:val="9"/>
    <w:unhideWhenUsed/>
    <w:qFormat/>
    <w:locked/>
    <w:rsid w:val="004870BC"/>
    <w:pPr>
      <w:outlineLvl w:val="3"/>
    </w:pPr>
    <w:rPr>
      <w:b/>
      <w:color w:val="0048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70BC"/>
    <w:rPr>
      <w:rFonts w:eastAsia="SimSun"/>
      <w:b/>
      <w:color w:val="004874"/>
      <w:sz w:val="40"/>
      <w:szCs w:val="40"/>
      <w:lang w:eastAsia="en-AU"/>
    </w:rPr>
  </w:style>
  <w:style w:type="character" w:customStyle="1" w:styleId="Heading2Char">
    <w:name w:val="Heading 2 Char"/>
    <w:basedOn w:val="DefaultParagraphFont"/>
    <w:link w:val="Heading2"/>
    <w:uiPriority w:val="9"/>
    <w:rsid w:val="004870BC"/>
    <w:rPr>
      <w:rFonts w:eastAsia="SimSun"/>
      <w:b/>
      <w:color w:val="004874"/>
      <w:sz w:val="28"/>
      <w:szCs w:val="28"/>
      <w:lang w:eastAsia="en-AU"/>
    </w:rPr>
  </w:style>
  <w:style w:type="character" w:customStyle="1" w:styleId="Heading3Char">
    <w:name w:val="Heading 3 Char"/>
    <w:basedOn w:val="DefaultParagraphFont"/>
    <w:link w:val="Heading3"/>
    <w:uiPriority w:val="9"/>
    <w:rsid w:val="00BB19E6"/>
    <w:rPr>
      <w:rFonts w:eastAsia="SimSun"/>
      <w:b/>
      <w:sz w:val="24"/>
      <w:lang w:eastAsia="en-AU"/>
    </w:rPr>
  </w:style>
  <w:style w:type="character" w:customStyle="1" w:styleId="Heading4Char">
    <w:name w:val="Heading 4 Char"/>
    <w:aliases w:val="Tables and figures Char"/>
    <w:basedOn w:val="DefaultParagraphFont"/>
    <w:link w:val="Heading4"/>
    <w:uiPriority w:val="9"/>
    <w:rsid w:val="004870BC"/>
    <w:rPr>
      <w:rFonts w:eastAsia="SimSun"/>
      <w:b/>
      <w:color w:val="004874"/>
      <w:sz w:val="20"/>
      <w:lang w:eastAsia="en-AU"/>
    </w:rPr>
  </w:style>
  <w:style w:type="paragraph" w:styleId="ListParagraph">
    <w:name w:val="List Paragraph"/>
    <w:basedOn w:val="Normal"/>
    <w:uiPriority w:val="34"/>
    <w:unhideWhenUsed/>
    <w:qFormat/>
    <w:locked/>
    <w:rsid w:val="008C7103"/>
    <w:pPr>
      <w:ind w:left="720"/>
      <w:contextualSpacing/>
    </w:pPr>
  </w:style>
  <w:style w:type="paragraph" w:styleId="BalloonText">
    <w:name w:val="Balloon Text"/>
    <w:basedOn w:val="Normal"/>
    <w:link w:val="BalloonTextChar"/>
    <w:uiPriority w:val="99"/>
    <w:semiHidden/>
    <w:unhideWhenUsed/>
    <w:locked/>
    <w:rsid w:val="00AC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CA"/>
    <w:rPr>
      <w:rFonts w:ascii="Tahoma" w:eastAsia="SimSun" w:hAnsi="Tahoma" w:cs="Tahoma"/>
      <w:sz w:val="16"/>
      <w:szCs w:val="16"/>
      <w:lang w:eastAsia="en-AU"/>
    </w:rPr>
  </w:style>
  <w:style w:type="character" w:styleId="Hyperlink">
    <w:name w:val="Hyperlink"/>
    <w:basedOn w:val="DefaultParagraphFont"/>
    <w:uiPriority w:val="99"/>
    <w:unhideWhenUsed/>
    <w:locked/>
    <w:rsid w:val="00DA4D7F"/>
    <w:rPr>
      <w:color w:val="0000FF" w:themeColor="hyperlink"/>
      <w:u w:val="single"/>
    </w:rPr>
  </w:style>
  <w:style w:type="character" w:styleId="FollowedHyperlink">
    <w:name w:val="FollowedHyperlink"/>
    <w:basedOn w:val="DefaultParagraphFont"/>
    <w:uiPriority w:val="99"/>
    <w:semiHidden/>
    <w:unhideWhenUsed/>
    <w:locked/>
    <w:rsid w:val="0056526D"/>
    <w:rPr>
      <w:color w:val="800080" w:themeColor="followedHyperlink"/>
      <w:u w:val="single"/>
    </w:rPr>
  </w:style>
  <w:style w:type="table" w:styleId="TableGrid">
    <w:name w:val="Table Grid"/>
    <w:basedOn w:val="TableNormal"/>
    <w:uiPriority w:val="59"/>
    <w:locked/>
    <w:rsid w:val="003043C3"/>
    <w:pPr>
      <w:spacing w:after="0" w:line="240" w:lineRule="auto"/>
      <w:jc w:val="center"/>
    </w:pPr>
    <w:rPr>
      <w:rFonts w:eastAsia="Times New Roman" w:cstheme="minorBidi"/>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left"/>
      </w:pPr>
    </w:tblStylePr>
  </w:style>
  <w:style w:type="character" w:customStyle="1" w:styleId="BoldBody">
    <w:name w:val="Bold (Body)"/>
    <w:uiPriority w:val="99"/>
    <w:rsid w:val="001C17E7"/>
    <w:rPr>
      <w:b/>
      <w:bCs/>
      <w:lang w:val="en-GB"/>
    </w:rPr>
  </w:style>
  <w:style w:type="paragraph" w:styleId="TOCHeading">
    <w:name w:val="TOC Heading"/>
    <w:basedOn w:val="Heading1"/>
    <w:next w:val="Normal"/>
    <w:uiPriority w:val="39"/>
    <w:unhideWhenUsed/>
    <w:qFormat/>
    <w:locked/>
    <w:rsid w:val="00984880"/>
    <w:pPr>
      <w:keepNext/>
      <w:keepLines/>
      <w:spacing w:before="480" w:after="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qFormat/>
    <w:locked/>
    <w:rsid w:val="00A12608"/>
    <w:pPr>
      <w:tabs>
        <w:tab w:val="right" w:leader="dot" w:pos="9742"/>
      </w:tabs>
      <w:spacing w:after="100"/>
    </w:pPr>
    <w:rPr>
      <w:noProof/>
    </w:rPr>
  </w:style>
  <w:style w:type="paragraph" w:styleId="TOC2">
    <w:name w:val="toc 2"/>
    <w:basedOn w:val="Normal"/>
    <w:next w:val="Normal"/>
    <w:autoRedefine/>
    <w:uiPriority w:val="39"/>
    <w:unhideWhenUsed/>
    <w:qFormat/>
    <w:locked/>
    <w:rsid w:val="00984880"/>
    <w:pPr>
      <w:spacing w:after="100"/>
      <w:ind w:left="200"/>
    </w:pPr>
  </w:style>
  <w:style w:type="paragraph" w:styleId="TOC3">
    <w:name w:val="toc 3"/>
    <w:basedOn w:val="Normal"/>
    <w:next w:val="Normal"/>
    <w:autoRedefine/>
    <w:uiPriority w:val="39"/>
    <w:unhideWhenUsed/>
    <w:locked/>
    <w:rsid w:val="00984880"/>
    <w:pPr>
      <w:spacing w:after="100"/>
      <w:ind w:left="400"/>
    </w:pPr>
  </w:style>
  <w:style w:type="paragraph" w:styleId="Caption">
    <w:name w:val="caption"/>
    <w:basedOn w:val="Normal"/>
    <w:next w:val="Normal"/>
    <w:uiPriority w:val="35"/>
    <w:unhideWhenUsed/>
    <w:qFormat/>
    <w:locked/>
    <w:rsid w:val="005E6422"/>
    <w:pPr>
      <w:spacing w:after="200" w:line="240" w:lineRule="auto"/>
    </w:pPr>
    <w:rPr>
      <w:b/>
      <w:bCs/>
      <w:color w:val="4F81BD" w:themeColor="accent1"/>
      <w:sz w:val="18"/>
      <w:szCs w:val="18"/>
    </w:rPr>
  </w:style>
  <w:style w:type="paragraph" w:customStyle="1" w:styleId="Footnote">
    <w:name w:val="Footnote"/>
    <w:basedOn w:val="Normal"/>
    <w:qFormat/>
    <w:rsid w:val="00383468"/>
    <w:pPr>
      <w:spacing w:before="40" w:after="0"/>
    </w:pPr>
    <w:rPr>
      <w:sz w:val="14"/>
      <w:szCs w:val="16"/>
    </w:rPr>
  </w:style>
  <w:style w:type="paragraph" w:styleId="Header">
    <w:name w:val="header"/>
    <w:basedOn w:val="Normal"/>
    <w:link w:val="HeaderChar"/>
    <w:uiPriority w:val="99"/>
    <w:unhideWhenUsed/>
    <w:locked/>
    <w:rsid w:val="00BB4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FD"/>
    <w:rPr>
      <w:rFonts w:eastAsia="SimSun"/>
      <w:sz w:val="20"/>
      <w:lang w:eastAsia="en-AU"/>
    </w:rPr>
  </w:style>
  <w:style w:type="paragraph" w:styleId="Footer">
    <w:name w:val="footer"/>
    <w:basedOn w:val="Normal"/>
    <w:link w:val="FooterChar"/>
    <w:uiPriority w:val="99"/>
    <w:unhideWhenUsed/>
    <w:locked/>
    <w:rsid w:val="00BB4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FD"/>
    <w:rPr>
      <w:rFonts w:eastAsia="SimSun"/>
      <w:sz w:val="20"/>
      <w:lang w:eastAsia="en-AU"/>
    </w:rPr>
  </w:style>
  <w:style w:type="character" w:styleId="CommentReference">
    <w:name w:val="annotation reference"/>
    <w:basedOn w:val="DefaultParagraphFont"/>
    <w:uiPriority w:val="99"/>
    <w:semiHidden/>
    <w:unhideWhenUsed/>
    <w:locked/>
    <w:rsid w:val="008A12AE"/>
    <w:rPr>
      <w:sz w:val="16"/>
      <w:szCs w:val="16"/>
    </w:rPr>
  </w:style>
  <w:style w:type="paragraph" w:styleId="CommentText">
    <w:name w:val="annotation text"/>
    <w:basedOn w:val="Normal"/>
    <w:link w:val="CommentTextChar"/>
    <w:uiPriority w:val="99"/>
    <w:semiHidden/>
    <w:unhideWhenUsed/>
    <w:locked/>
    <w:rsid w:val="008A12AE"/>
    <w:pPr>
      <w:spacing w:line="240" w:lineRule="auto"/>
    </w:pPr>
    <w:rPr>
      <w:szCs w:val="20"/>
    </w:rPr>
  </w:style>
  <w:style w:type="character" w:customStyle="1" w:styleId="CommentTextChar">
    <w:name w:val="Comment Text Char"/>
    <w:basedOn w:val="DefaultParagraphFont"/>
    <w:link w:val="CommentText"/>
    <w:uiPriority w:val="99"/>
    <w:semiHidden/>
    <w:rsid w:val="008A12AE"/>
    <w:rPr>
      <w:rFonts w:eastAsia="SimSun"/>
      <w:sz w:val="20"/>
      <w:szCs w:val="20"/>
      <w:lang w:eastAsia="en-AU"/>
    </w:rPr>
  </w:style>
  <w:style w:type="paragraph" w:styleId="CommentSubject">
    <w:name w:val="annotation subject"/>
    <w:basedOn w:val="CommentText"/>
    <w:next w:val="CommentText"/>
    <w:link w:val="CommentSubjectChar"/>
    <w:uiPriority w:val="99"/>
    <w:semiHidden/>
    <w:unhideWhenUsed/>
    <w:locked/>
    <w:rsid w:val="008A12AE"/>
    <w:rPr>
      <w:b/>
      <w:bCs/>
    </w:rPr>
  </w:style>
  <w:style w:type="character" w:customStyle="1" w:styleId="CommentSubjectChar">
    <w:name w:val="Comment Subject Char"/>
    <w:basedOn w:val="CommentTextChar"/>
    <w:link w:val="CommentSubject"/>
    <w:uiPriority w:val="99"/>
    <w:semiHidden/>
    <w:rsid w:val="008A12AE"/>
    <w:rPr>
      <w:rFonts w:eastAsia="SimSun"/>
      <w:b/>
      <w:bCs/>
      <w:sz w:val="20"/>
      <w:szCs w:val="20"/>
      <w:lang w:eastAsia="en-AU"/>
    </w:rPr>
  </w:style>
  <w:style w:type="paragraph" w:styleId="Revision">
    <w:name w:val="Revision"/>
    <w:hidden/>
    <w:uiPriority w:val="99"/>
    <w:semiHidden/>
    <w:rsid w:val="00686C3F"/>
    <w:pPr>
      <w:spacing w:after="0" w:line="240" w:lineRule="auto"/>
    </w:pPr>
    <w:rPr>
      <w:rFonts w:eastAsia="SimSun"/>
      <w:sz w:val="20"/>
      <w:lang w:eastAsia="en-AU"/>
    </w:rPr>
  </w:style>
  <w:style w:type="paragraph" w:customStyle="1" w:styleId="TextBody">
    <w:name w:val="Text (Body)"/>
    <w:basedOn w:val="Normal"/>
    <w:uiPriority w:val="99"/>
    <w:qFormat/>
    <w:rsid w:val="00703538"/>
    <w:pPr>
      <w:suppressAutoHyphens/>
      <w:autoSpaceDE w:val="0"/>
      <w:autoSpaceDN w:val="0"/>
      <w:adjustRightInd w:val="0"/>
      <w:spacing w:before="57" w:after="57" w:line="288" w:lineRule="auto"/>
    </w:pPr>
    <w:rPr>
      <w:rFonts w:eastAsiaTheme="minorHAnsi"/>
      <w:color w:val="000000"/>
      <w:kern w:val="0"/>
      <w:szCs w:val="20"/>
      <w:lang w:val="en-GB" w:eastAsia="en-US"/>
    </w:rPr>
  </w:style>
  <w:style w:type="paragraph" w:customStyle="1" w:styleId="Tabletag-fullwidthTableformating">
    <w:name w:val="Table tag - full width (Table formating)"/>
    <w:basedOn w:val="Normal"/>
    <w:uiPriority w:val="99"/>
    <w:qFormat/>
    <w:rsid w:val="00937555"/>
    <w:pPr>
      <w:suppressAutoHyphens/>
      <w:autoSpaceDE w:val="0"/>
      <w:autoSpaceDN w:val="0"/>
      <w:adjustRightInd w:val="0"/>
      <w:spacing w:after="170" w:line="288" w:lineRule="auto"/>
      <w:textAlignment w:val="center"/>
    </w:pPr>
    <w:rPr>
      <w:rFonts w:eastAsia="Times New Roman"/>
      <w:b/>
      <w:bCs/>
      <w:color w:val="000000"/>
      <w:kern w:val="0"/>
      <w:szCs w:val="20"/>
      <w:lang w:val="en-GB"/>
    </w:rPr>
  </w:style>
  <w:style w:type="character" w:customStyle="1" w:styleId="Classificationitalics">
    <w:name w:val="Classification italics"/>
    <w:uiPriority w:val="99"/>
    <w:rsid w:val="004A4F7F"/>
    <w:rPr>
      <w:rFonts w:ascii="Arial" w:hAnsi="Arial" w:cs="Arial"/>
      <w:i/>
      <w:iCs/>
      <w:color w:val="000000"/>
      <w:sz w:val="22"/>
      <w:szCs w:val="22"/>
    </w:rPr>
  </w:style>
  <w:style w:type="paragraph" w:customStyle="1" w:styleId="Figuretitlecolumnwidth">
    <w:name w:val="Figure title column width"/>
    <w:basedOn w:val="BodyText"/>
    <w:uiPriority w:val="99"/>
    <w:qFormat/>
    <w:rsid w:val="00794575"/>
    <w:pPr>
      <w:tabs>
        <w:tab w:val="left" w:pos="1984"/>
      </w:tabs>
      <w:suppressAutoHyphens/>
      <w:autoSpaceDE w:val="0"/>
      <w:autoSpaceDN w:val="0"/>
      <w:adjustRightInd w:val="0"/>
      <w:spacing w:before="57" w:after="57" w:line="240" w:lineRule="atLeast"/>
      <w:ind w:left="2835" w:hanging="850"/>
      <w:textAlignment w:val="center"/>
    </w:pPr>
    <w:rPr>
      <w:rFonts w:eastAsia="Times New Roman"/>
      <w:b/>
      <w:bCs/>
      <w:color w:val="CB0002"/>
      <w:kern w:val="0"/>
      <w:szCs w:val="20"/>
      <w:lang w:val="en-GB"/>
    </w:rPr>
  </w:style>
  <w:style w:type="paragraph" w:styleId="BodyText">
    <w:name w:val="Body Text"/>
    <w:basedOn w:val="Normal"/>
    <w:link w:val="BodyTextChar"/>
    <w:uiPriority w:val="99"/>
    <w:semiHidden/>
    <w:unhideWhenUsed/>
    <w:locked/>
    <w:rsid w:val="00794575"/>
  </w:style>
  <w:style w:type="character" w:customStyle="1" w:styleId="BodyTextChar">
    <w:name w:val="Body Text Char"/>
    <w:basedOn w:val="DefaultParagraphFont"/>
    <w:link w:val="BodyText"/>
    <w:uiPriority w:val="99"/>
    <w:semiHidden/>
    <w:rsid w:val="00794575"/>
    <w:rPr>
      <w:rFonts w:eastAsia="SimSun"/>
      <w:sz w:val="20"/>
      <w:lang w:eastAsia="en-AU"/>
    </w:rPr>
  </w:style>
  <w:style w:type="paragraph" w:customStyle="1" w:styleId="FigureTabletitlefullwidth">
    <w:name w:val="Figure/Table title full width"/>
    <w:basedOn w:val="Normal"/>
    <w:uiPriority w:val="99"/>
    <w:qFormat/>
    <w:rsid w:val="000D7236"/>
    <w:pPr>
      <w:keepNext/>
      <w:suppressAutoHyphens/>
      <w:autoSpaceDE w:val="0"/>
      <w:autoSpaceDN w:val="0"/>
      <w:adjustRightInd w:val="0"/>
      <w:spacing w:after="0" w:line="288" w:lineRule="auto"/>
      <w:ind w:left="850" w:hanging="850"/>
      <w:textAlignment w:val="center"/>
    </w:pPr>
    <w:rPr>
      <w:rFonts w:eastAsia="Times New Roman"/>
      <w:b/>
      <w:bCs/>
      <w:color w:val="CB0002"/>
      <w:kern w:val="0"/>
      <w:szCs w:val="20"/>
      <w:lang w:val="en-US"/>
    </w:rPr>
  </w:style>
  <w:style w:type="paragraph" w:customStyle="1" w:styleId="Tablefootnote-columnwidthTableformating">
    <w:name w:val="Table footnote - column width (Table formating)"/>
    <w:basedOn w:val="Normal"/>
    <w:uiPriority w:val="99"/>
    <w:qFormat/>
    <w:rsid w:val="00B822AE"/>
    <w:pPr>
      <w:suppressAutoHyphens/>
      <w:autoSpaceDE w:val="0"/>
      <w:autoSpaceDN w:val="0"/>
      <w:adjustRightInd w:val="0"/>
      <w:spacing w:after="170" w:line="180" w:lineRule="atLeast"/>
      <w:ind w:left="1134" w:hanging="113"/>
      <w:textAlignment w:val="center"/>
    </w:pPr>
    <w:rPr>
      <w:rFonts w:eastAsia="Times New Roman"/>
      <w:b/>
      <w:bCs/>
      <w:color w:val="000000"/>
      <w:kern w:val="0"/>
      <w:sz w:val="14"/>
      <w:szCs w:val="14"/>
      <w:lang w:val="en-US"/>
    </w:rPr>
  </w:style>
  <w:style w:type="paragraph" w:customStyle="1" w:styleId="Tablecolumnheading">
    <w:name w:val="Table column heading"/>
    <w:basedOn w:val="Normal"/>
    <w:qFormat/>
    <w:rsid w:val="00F46C0F"/>
    <w:pPr>
      <w:spacing w:after="0" w:line="240" w:lineRule="auto"/>
      <w:jc w:val="center"/>
    </w:pPr>
    <w:rPr>
      <w:rFonts w:cstheme="minorBidi"/>
      <w:b/>
      <w:kern w:val="0"/>
      <w:sz w:val="16"/>
    </w:rPr>
  </w:style>
  <w:style w:type="paragraph" w:customStyle="1" w:styleId="Tablerowheading">
    <w:name w:val="Table row heading"/>
    <w:basedOn w:val="Normal"/>
    <w:qFormat/>
    <w:rsid w:val="006B3EA5"/>
    <w:pPr>
      <w:spacing w:before="120" w:after="0" w:line="240" w:lineRule="auto"/>
    </w:pPr>
    <w:rPr>
      <w:rFonts w:cstheme="minorBidi"/>
      <w:b/>
      <w:kern w:val="0"/>
      <w:sz w:val="16"/>
    </w:rPr>
  </w:style>
  <w:style w:type="paragraph" w:customStyle="1" w:styleId="Tabletotal">
    <w:name w:val="Table total"/>
    <w:basedOn w:val="Tablerowheading"/>
    <w:qFormat/>
    <w:rsid w:val="00847E04"/>
    <w:rPr>
      <w:szCs w:val="18"/>
    </w:rPr>
  </w:style>
  <w:style w:type="paragraph" w:customStyle="1" w:styleId="Tabletext">
    <w:name w:val="Table text"/>
    <w:basedOn w:val="Tablerowheading"/>
    <w:qFormat/>
    <w:rsid w:val="00857A9C"/>
    <w:pPr>
      <w:spacing w:before="40" w:after="40"/>
    </w:pPr>
    <w:rPr>
      <w:rFonts w:cs="Arial"/>
      <w:b w:val="0"/>
      <w:szCs w:val="16"/>
    </w:rPr>
  </w:style>
  <w:style w:type="paragraph" w:customStyle="1" w:styleId="Tablerowheading2">
    <w:name w:val="Table row heading 2"/>
    <w:basedOn w:val="Normal"/>
    <w:qFormat/>
    <w:rsid w:val="004870BC"/>
    <w:pPr>
      <w:spacing w:after="0" w:line="240" w:lineRule="auto"/>
    </w:pPr>
    <w:rPr>
      <w:rFonts w:cstheme="minorBidi"/>
      <w:kern w:val="0"/>
      <w:sz w:val="16"/>
      <w:szCs w:val="18"/>
    </w:rPr>
  </w:style>
  <w:style w:type="paragraph" w:customStyle="1" w:styleId="Tablerowheading3">
    <w:name w:val="Table row heading 3"/>
    <w:basedOn w:val="Normal"/>
    <w:link w:val="Tablerowheading3Char"/>
    <w:rsid w:val="003043C3"/>
    <w:pPr>
      <w:spacing w:before="40" w:after="40" w:line="240" w:lineRule="auto"/>
    </w:pPr>
    <w:rPr>
      <w:rFonts w:cstheme="minorBidi"/>
      <w:kern w:val="0"/>
      <w:sz w:val="18"/>
    </w:rPr>
  </w:style>
  <w:style w:type="paragraph" w:customStyle="1" w:styleId="Tabletextbold">
    <w:name w:val="Table text bold"/>
    <w:basedOn w:val="Tabletext"/>
    <w:qFormat/>
    <w:rsid w:val="00612475"/>
    <w:pPr>
      <w:jc w:val="center"/>
    </w:pPr>
  </w:style>
  <w:style w:type="paragraph" w:customStyle="1" w:styleId="Tablerowheading4">
    <w:name w:val="Table row heading 4"/>
    <w:basedOn w:val="Tablerowheading3"/>
    <w:link w:val="Tablerowheading4Char"/>
    <w:qFormat/>
    <w:rsid w:val="006B3EA5"/>
    <w:pPr>
      <w:spacing w:before="0" w:after="0"/>
      <w:ind w:left="113"/>
    </w:pPr>
    <w:rPr>
      <w:sz w:val="16"/>
    </w:rPr>
  </w:style>
  <w:style w:type="paragraph" w:customStyle="1" w:styleId="HeaderRow">
    <w:name w:val="Header Row"/>
    <w:basedOn w:val="Tablerowheading2"/>
    <w:qFormat/>
    <w:rsid w:val="004870BC"/>
    <w:rPr>
      <w:b/>
    </w:rPr>
  </w:style>
  <w:style w:type="paragraph" w:customStyle="1" w:styleId="Tablerowheading5">
    <w:name w:val="Table row heading 5"/>
    <w:basedOn w:val="Tablerowheading4"/>
    <w:link w:val="Tablerowheading5Char"/>
    <w:qFormat/>
    <w:rsid w:val="00B979F5"/>
    <w:pPr>
      <w:ind w:left="227"/>
    </w:pPr>
    <w:rPr>
      <w:i/>
    </w:rPr>
  </w:style>
  <w:style w:type="character" w:customStyle="1" w:styleId="Tablerowheading3Char">
    <w:name w:val="Table row heading 3 Char"/>
    <w:basedOn w:val="DefaultParagraphFont"/>
    <w:link w:val="Tablerowheading3"/>
    <w:rsid w:val="00B979F5"/>
    <w:rPr>
      <w:rFonts w:eastAsia="SimSun" w:cstheme="minorBidi"/>
      <w:kern w:val="0"/>
      <w:sz w:val="18"/>
      <w:lang w:eastAsia="en-AU"/>
    </w:rPr>
  </w:style>
  <w:style w:type="character" w:customStyle="1" w:styleId="Tablerowheading4Char">
    <w:name w:val="Table row heading 4 Char"/>
    <w:basedOn w:val="Tablerowheading3Char"/>
    <w:link w:val="Tablerowheading4"/>
    <w:rsid w:val="006B3EA5"/>
    <w:rPr>
      <w:rFonts w:eastAsia="SimSun" w:cstheme="minorBidi"/>
      <w:kern w:val="0"/>
      <w:sz w:val="16"/>
      <w:lang w:eastAsia="en-AU"/>
    </w:rPr>
  </w:style>
  <w:style w:type="character" w:customStyle="1" w:styleId="Tablerowheading5Char">
    <w:name w:val="Table row heading 5 Char"/>
    <w:basedOn w:val="Tablerowheading4Char"/>
    <w:link w:val="Tablerowheading5"/>
    <w:rsid w:val="00B979F5"/>
    <w:rPr>
      <w:rFonts w:eastAsia="SimSun" w:cstheme="minorBidi"/>
      <w:i/>
      <w:kern w:val="0"/>
      <w:sz w:val="16"/>
      <w:lang w:eastAsia="en-AU"/>
    </w:rPr>
  </w:style>
  <w:style w:type="paragraph" w:customStyle="1" w:styleId="Title1">
    <w:name w:val="Title1"/>
    <w:basedOn w:val="Normal"/>
    <w:link w:val="Title1Char"/>
    <w:qFormat/>
    <w:rsid w:val="004870BC"/>
    <w:pPr>
      <w:spacing w:before="3600" w:after="7200"/>
      <w:jc w:val="center"/>
    </w:pPr>
    <w:rPr>
      <w:b/>
      <w:color w:val="004874"/>
      <w:sz w:val="40"/>
      <w:szCs w:val="40"/>
    </w:rPr>
  </w:style>
  <w:style w:type="character" w:customStyle="1" w:styleId="Title1Char">
    <w:name w:val="Title1 Char"/>
    <w:basedOn w:val="DefaultParagraphFont"/>
    <w:link w:val="Title1"/>
    <w:rsid w:val="004870BC"/>
    <w:rPr>
      <w:rFonts w:eastAsia="SimSun"/>
      <w:b/>
      <w:color w:val="004874"/>
      <w:sz w:val="40"/>
      <w:szCs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75723F"/>
    <w:rPr>
      <w:rFonts w:eastAsia="SimSun"/>
      <w:sz w:val="20"/>
      <w:lang w:eastAsia="en-AU"/>
    </w:rPr>
  </w:style>
  <w:style w:type="paragraph" w:styleId="Heading1">
    <w:name w:val="heading 1"/>
    <w:basedOn w:val="Normal"/>
    <w:next w:val="Normal"/>
    <w:link w:val="Heading1Char"/>
    <w:autoRedefine/>
    <w:uiPriority w:val="1"/>
    <w:unhideWhenUsed/>
    <w:qFormat/>
    <w:rsid w:val="004870BC"/>
    <w:pPr>
      <w:spacing w:before="120"/>
      <w:outlineLvl w:val="0"/>
    </w:pPr>
    <w:rPr>
      <w:b/>
      <w:color w:val="004874"/>
      <w:sz w:val="40"/>
      <w:szCs w:val="40"/>
    </w:rPr>
  </w:style>
  <w:style w:type="paragraph" w:styleId="Heading2">
    <w:name w:val="heading 2"/>
    <w:basedOn w:val="Normal"/>
    <w:next w:val="Normal"/>
    <w:link w:val="Heading2Char"/>
    <w:autoRedefine/>
    <w:uiPriority w:val="9"/>
    <w:unhideWhenUsed/>
    <w:qFormat/>
    <w:rsid w:val="004870BC"/>
    <w:pPr>
      <w:spacing w:before="60" w:after="60"/>
      <w:outlineLvl w:val="1"/>
    </w:pPr>
    <w:rPr>
      <w:b/>
      <w:color w:val="004874"/>
      <w:sz w:val="28"/>
      <w:szCs w:val="28"/>
    </w:rPr>
  </w:style>
  <w:style w:type="paragraph" w:styleId="Heading3">
    <w:name w:val="heading 3"/>
    <w:basedOn w:val="Normal"/>
    <w:next w:val="Normal"/>
    <w:link w:val="Heading3Char"/>
    <w:autoRedefine/>
    <w:uiPriority w:val="9"/>
    <w:unhideWhenUsed/>
    <w:qFormat/>
    <w:rsid w:val="00BB19E6"/>
    <w:pPr>
      <w:spacing w:before="120" w:after="40"/>
      <w:outlineLvl w:val="2"/>
    </w:pPr>
    <w:rPr>
      <w:b/>
      <w:sz w:val="24"/>
    </w:rPr>
  </w:style>
  <w:style w:type="paragraph" w:styleId="Heading4">
    <w:name w:val="heading 4"/>
    <w:aliases w:val="Tables and figures"/>
    <w:basedOn w:val="Normal"/>
    <w:next w:val="Normal"/>
    <w:link w:val="Heading4Char"/>
    <w:autoRedefine/>
    <w:uiPriority w:val="9"/>
    <w:unhideWhenUsed/>
    <w:qFormat/>
    <w:locked/>
    <w:rsid w:val="004870BC"/>
    <w:pPr>
      <w:outlineLvl w:val="3"/>
    </w:pPr>
    <w:rPr>
      <w:b/>
      <w:color w:val="0048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70BC"/>
    <w:rPr>
      <w:rFonts w:eastAsia="SimSun"/>
      <w:b/>
      <w:color w:val="004874"/>
      <w:sz w:val="40"/>
      <w:szCs w:val="40"/>
      <w:lang w:eastAsia="en-AU"/>
    </w:rPr>
  </w:style>
  <w:style w:type="character" w:customStyle="1" w:styleId="Heading2Char">
    <w:name w:val="Heading 2 Char"/>
    <w:basedOn w:val="DefaultParagraphFont"/>
    <w:link w:val="Heading2"/>
    <w:uiPriority w:val="9"/>
    <w:rsid w:val="004870BC"/>
    <w:rPr>
      <w:rFonts w:eastAsia="SimSun"/>
      <w:b/>
      <w:color w:val="004874"/>
      <w:sz w:val="28"/>
      <w:szCs w:val="28"/>
      <w:lang w:eastAsia="en-AU"/>
    </w:rPr>
  </w:style>
  <w:style w:type="character" w:customStyle="1" w:styleId="Heading3Char">
    <w:name w:val="Heading 3 Char"/>
    <w:basedOn w:val="DefaultParagraphFont"/>
    <w:link w:val="Heading3"/>
    <w:uiPriority w:val="9"/>
    <w:rsid w:val="00BB19E6"/>
    <w:rPr>
      <w:rFonts w:eastAsia="SimSun"/>
      <w:b/>
      <w:sz w:val="24"/>
      <w:lang w:eastAsia="en-AU"/>
    </w:rPr>
  </w:style>
  <w:style w:type="character" w:customStyle="1" w:styleId="Heading4Char">
    <w:name w:val="Heading 4 Char"/>
    <w:aliases w:val="Tables and figures Char"/>
    <w:basedOn w:val="DefaultParagraphFont"/>
    <w:link w:val="Heading4"/>
    <w:uiPriority w:val="9"/>
    <w:rsid w:val="004870BC"/>
    <w:rPr>
      <w:rFonts w:eastAsia="SimSun"/>
      <w:b/>
      <w:color w:val="004874"/>
      <w:sz w:val="20"/>
      <w:lang w:eastAsia="en-AU"/>
    </w:rPr>
  </w:style>
  <w:style w:type="paragraph" w:styleId="ListParagraph">
    <w:name w:val="List Paragraph"/>
    <w:basedOn w:val="Normal"/>
    <w:uiPriority w:val="34"/>
    <w:unhideWhenUsed/>
    <w:qFormat/>
    <w:locked/>
    <w:rsid w:val="008C7103"/>
    <w:pPr>
      <w:ind w:left="720"/>
      <w:contextualSpacing/>
    </w:pPr>
  </w:style>
  <w:style w:type="paragraph" w:styleId="BalloonText">
    <w:name w:val="Balloon Text"/>
    <w:basedOn w:val="Normal"/>
    <w:link w:val="BalloonTextChar"/>
    <w:uiPriority w:val="99"/>
    <w:semiHidden/>
    <w:unhideWhenUsed/>
    <w:locked/>
    <w:rsid w:val="00AC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CA"/>
    <w:rPr>
      <w:rFonts w:ascii="Tahoma" w:eastAsia="SimSun" w:hAnsi="Tahoma" w:cs="Tahoma"/>
      <w:sz w:val="16"/>
      <w:szCs w:val="16"/>
      <w:lang w:eastAsia="en-AU"/>
    </w:rPr>
  </w:style>
  <w:style w:type="character" w:styleId="Hyperlink">
    <w:name w:val="Hyperlink"/>
    <w:basedOn w:val="DefaultParagraphFont"/>
    <w:uiPriority w:val="99"/>
    <w:unhideWhenUsed/>
    <w:locked/>
    <w:rsid w:val="00DA4D7F"/>
    <w:rPr>
      <w:color w:val="0000FF" w:themeColor="hyperlink"/>
      <w:u w:val="single"/>
    </w:rPr>
  </w:style>
  <w:style w:type="character" w:styleId="FollowedHyperlink">
    <w:name w:val="FollowedHyperlink"/>
    <w:basedOn w:val="DefaultParagraphFont"/>
    <w:uiPriority w:val="99"/>
    <w:semiHidden/>
    <w:unhideWhenUsed/>
    <w:locked/>
    <w:rsid w:val="0056526D"/>
    <w:rPr>
      <w:color w:val="800080" w:themeColor="followedHyperlink"/>
      <w:u w:val="single"/>
    </w:rPr>
  </w:style>
  <w:style w:type="table" w:styleId="TableGrid">
    <w:name w:val="Table Grid"/>
    <w:basedOn w:val="TableNormal"/>
    <w:uiPriority w:val="59"/>
    <w:locked/>
    <w:rsid w:val="003043C3"/>
    <w:pPr>
      <w:spacing w:after="0" w:line="240" w:lineRule="auto"/>
      <w:jc w:val="center"/>
    </w:pPr>
    <w:rPr>
      <w:rFonts w:eastAsia="Times New Roman" w:cstheme="minorBidi"/>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left"/>
      </w:pPr>
    </w:tblStylePr>
  </w:style>
  <w:style w:type="character" w:customStyle="1" w:styleId="BoldBody">
    <w:name w:val="Bold (Body)"/>
    <w:uiPriority w:val="99"/>
    <w:rsid w:val="001C17E7"/>
    <w:rPr>
      <w:b/>
      <w:bCs/>
      <w:lang w:val="en-GB"/>
    </w:rPr>
  </w:style>
  <w:style w:type="paragraph" w:styleId="TOCHeading">
    <w:name w:val="TOC Heading"/>
    <w:basedOn w:val="Heading1"/>
    <w:next w:val="Normal"/>
    <w:uiPriority w:val="39"/>
    <w:unhideWhenUsed/>
    <w:qFormat/>
    <w:locked/>
    <w:rsid w:val="00984880"/>
    <w:pPr>
      <w:keepNext/>
      <w:keepLines/>
      <w:spacing w:before="480" w:after="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qFormat/>
    <w:locked/>
    <w:rsid w:val="00A12608"/>
    <w:pPr>
      <w:tabs>
        <w:tab w:val="right" w:leader="dot" w:pos="9742"/>
      </w:tabs>
      <w:spacing w:after="100"/>
    </w:pPr>
    <w:rPr>
      <w:noProof/>
    </w:rPr>
  </w:style>
  <w:style w:type="paragraph" w:styleId="TOC2">
    <w:name w:val="toc 2"/>
    <w:basedOn w:val="Normal"/>
    <w:next w:val="Normal"/>
    <w:autoRedefine/>
    <w:uiPriority w:val="39"/>
    <w:unhideWhenUsed/>
    <w:qFormat/>
    <w:locked/>
    <w:rsid w:val="00984880"/>
    <w:pPr>
      <w:spacing w:after="100"/>
      <w:ind w:left="200"/>
    </w:pPr>
  </w:style>
  <w:style w:type="paragraph" w:styleId="TOC3">
    <w:name w:val="toc 3"/>
    <w:basedOn w:val="Normal"/>
    <w:next w:val="Normal"/>
    <w:autoRedefine/>
    <w:uiPriority w:val="39"/>
    <w:unhideWhenUsed/>
    <w:locked/>
    <w:rsid w:val="00984880"/>
    <w:pPr>
      <w:spacing w:after="100"/>
      <w:ind w:left="400"/>
    </w:pPr>
  </w:style>
  <w:style w:type="paragraph" w:styleId="Caption">
    <w:name w:val="caption"/>
    <w:basedOn w:val="Normal"/>
    <w:next w:val="Normal"/>
    <w:uiPriority w:val="35"/>
    <w:unhideWhenUsed/>
    <w:qFormat/>
    <w:locked/>
    <w:rsid w:val="005E6422"/>
    <w:pPr>
      <w:spacing w:after="200" w:line="240" w:lineRule="auto"/>
    </w:pPr>
    <w:rPr>
      <w:b/>
      <w:bCs/>
      <w:color w:val="4F81BD" w:themeColor="accent1"/>
      <w:sz w:val="18"/>
      <w:szCs w:val="18"/>
    </w:rPr>
  </w:style>
  <w:style w:type="paragraph" w:customStyle="1" w:styleId="Footnote">
    <w:name w:val="Footnote"/>
    <w:basedOn w:val="Normal"/>
    <w:qFormat/>
    <w:rsid w:val="00383468"/>
    <w:pPr>
      <w:spacing w:before="40" w:after="0"/>
    </w:pPr>
    <w:rPr>
      <w:sz w:val="14"/>
      <w:szCs w:val="16"/>
    </w:rPr>
  </w:style>
  <w:style w:type="paragraph" w:styleId="Header">
    <w:name w:val="header"/>
    <w:basedOn w:val="Normal"/>
    <w:link w:val="HeaderChar"/>
    <w:uiPriority w:val="99"/>
    <w:unhideWhenUsed/>
    <w:locked/>
    <w:rsid w:val="00BB4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FD"/>
    <w:rPr>
      <w:rFonts w:eastAsia="SimSun"/>
      <w:sz w:val="20"/>
      <w:lang w:eastAsia="en-AU"/>
    </w:rPr>
  </w:style>
  <w:style w:type="paragraph" w:styleId="Footer">
    <w:name w:val="footer"/>
    <w:basedOn w:val="Normal"/>
    <w:link w:val="FooterChar"/>
    <w:uiPriority w:val="99"/>
    <w:unhideWhenUsed/>
    <w:locked/>
    <w:rsid w:val="00BB4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FD"/>
    <w:rPr>
      <w:rFonts w:eastAsia="SimSun"/>
      <w:sz w:val="20"/>
      <w:lang w:eastAsia="en-AU"/>
    </w:rPr>
  </w:style>
  <w:style w:type="character" w:styleId="CommentReference">
    <w:name w:val="annotation reference"/>
    <w:basedOn w:val="DefaultParagraphFont"/>
    <w:uiPriority w:val="99"/>
    <w:semiHidden/>
    <w:unhideWhenUsed/>
    <w:locked/>
    <w:rsid w:val="008A12AE"/>
    <w:rPr>
      <w:sz w:val="16"/>
      <w:szCs w:val="16"/>
    </w:rPr>
  </w:style>
  <w:style w:type="paragraph" w:styleId="CommentText">
    <w:name w:val="annotation text"/>
    <w:basedOn w:val="Normal"/>
    <w:link w:val="CommentTextChar"/>
    <w:uiPriority w:val="99"/>
    <w:semiHidden/>
    <w:unhideWhenUsed/>
    <w:locked/>
    <w:rsid w:val="008A12AE"/>
    <w:pPr>
      <w:spacing w:line="240" w:lineRule="auto"/>
    </w:pPr>
    <w:rPr>
      <w:szCs w:val="20"/>
    </w:rPr>
  </w:style>
  <w:style w:type="character" w:customStyle="1" w:styleId="CommentTextChar">
    <w:name w:val="Comment Text Char"/>
    <w:basedOn w:val="DefaultParagraphFont"/>
    <w:link w:val="CommentText"/>
    <w:uiPriority w:val="99"/>
    <w:semiHidden/>
    <w:rsid w:val="008A12AE"/>
    <w:rPr>
      <w:rFonts w:eastAsia="SimSun"/>
      <w:sz w:val="20"/>
      <w:szCs w:val="20"/>
      <w:lang w:eastAsia="en-AU"/>
    </w:rPr>
  </w:style>
  <w:style w:type="paragraph" w:styleId="CommentSubject">
    <w:name w:val="annotation subject"/>
    <w:basedOn w:val="CommentText"/>
    <w:next w:val="CommentText"/>
    <w:link w:val="CommentSubjectChar"/>
    <w:uiPriority w:val="99"/>
    <w:semiHidden/>
    <w:unhideWhenUsed/>
    <w:locked/>
    <w:rsid w:val="008A12AE"/>
    <w:rPr>
      <w:b/>
      <w:bCs/>
    </w:rPr>
  </w:style>
  <w:style w:type="character" w:customStyle="1" w:styleId="CommentSubjectChar">
    <w:name w:val="Comment Subject Char"/>
    <w:basedOn w:val="CommentTextChar"/>
    <w:link w:val="CommentSubject"/>
    <w:uiPriority w:val="99"/>
    <w:semiHidden/>
    <w:rsid w:val="008A12AE"/>
    <w:rPr>
      <w:rFonts w:eastAsia="SimSun"/>
      <w:b/>
      <w:bCs/>
      <w:sz w:val="20"/>
      <w:szCs w:val="20"/>
      <w:lang w:eastAsia="en-AU"/>
    </w:rPr>
  </w:style>
  <w:style w:type="paragraph" w:styleId="Revision">
    <w:name w:val="Revision"/>
    <w:hidden/>
    <w:uiPriority w:val="99"/>
    <w:semiHidden/>
    <w:rsid w:val="00686C3F"/>
    <w:pPr>
      <w:spacing w:after="0" w:line="240" w:lineRule="auto"/>
    </w:pPr>
    <w:rPr>
      <w:rFonts w:eastAsia="SimSun"/>
      <w:sz w:val="20"/>
      <w:lang w:eastAsia="en-AU"/>
    </w:rPr>
  </w:style>
  <w:style w:type="paragraph" w:customStyle="1" w:styleId="TextBody">
    <w:name w:val="Text (Body)"/>
    <w:basedOn w:val="Normal"/>
    <w:uiPriority w:val="99"/>
    <w:qFormat/>
    <w:rsid w:val="00703538"/>
    <w:pPr>
      <w:suppressAutoHyphens/>
      <w:autoSpaceDE w:val="0"/>
      <w:autoSpaceDN w:val="0"/>
      <w:adjustRightInd w:val="0"/>
      <w:spacing w:before="57" w:after="57" w:line="288" w:lineRule="auto"/>
    </w:pPr>
    <w:rPr>
      <w:rFonts w:eastAsiaTheme="minorHAnsi"/>
      <w:color w:val="000000"/>
      <w:kern w:val="0"/>
      <w:szCs w:val="20"/>
      <w:lang w:val="en-GB" w:eastAsia="en-US"/>
    </w:rPr>
  </w:style>
  <w:style w:type="paragraph" w:customStyle="1" w:styleId="Tabletag-fullwidthTableformating">
    <w:name w:val="Table tag - full width (Table formating)"/>
    <w:basedOn w:val="Normal"/>
    <w:uiPriority w:val="99"/>
    <w:qFormat/>
    <w:rsid w:val="00937555"/>
    <w:pPr>
      <w:suppressAutoHyphens/>
      <w:autoSpaceDE w:val="0"/>
      <w:autoSpaceDN w:val="0"/>
      <w:adjustRightInd w:val="0"/>
      <w:spacing w:after="170" w:line="288" w:lineRule="auto"/>
      <w:textAlignment w:val="center"/>
    </w:pPr>
    <w:rPr>
      <w:rFonts w:eastAsia="Times New Roman"/>
      <w:b/>
      <w:bCs/>
      <w:color w:val="000000"/>
      <w:kern w:val="0"/>
      <w:szCs w:val="20"/>
      <w:lang w:val="en-GB"/>
    </w:rPr>
  </w:style>
  <w:style w:type="character" w:customStyle="1" w:styleId="Classificationitalics">
    <w:name w:val="Classification italics"/>
    <w:uiPriority w:val="99"/>
    <w:rsid w:val="004A4F7F"/>
    <w:rPr>
      <w:rFonts w:ascii="Arial" w:hAnsi="Arial" w:cs="Arial"/>
      <w:i/>
      <w:iCs/>
      <w:color w:val="000000"/>
      <w:sz w:val="22"/>
      <w:szCs w:val="22"/>
    </w:rPr>
  </w:style>
  <w:style w:type="paragraph" w:customStyle="1" w:styleId="Figuretitlecolumnwidth">
    <w:name w:val="Figure title column width"/>
    <w:basedOn w:val="BodyText"/>
    <w:uiPriority w:val="99"/>
    <w:qFormat/>
    <w:rsid w:val="00794575"/>
    <w:pPr>
      <w:tabs>
        <w:tab w:val="left" w:pos="1984"/>
      </w:tabs>
      <w:suppressAutoHyphens/>
      <w:autoSpaceDE w:val="0"/>
      <w:autoSpaceDN w:val="0"/>
      <w:adjustRightInd w:val="0"/>
      <w:spacing w:before="57" w:after="57" w:line="240" w:lineRule="atLeast"/>
      <w:ind w:left="2835" w:hanging="850"/>
      <w:textAlignment w:val="center"/>
    </w:pPr>
    <w:rPr>
      <w:rFonts w:eastAsia="Times New Roman"/>
      <w:b/>
      <w:bCs/>
      <w:color w:val="CB0002"/>
      <w:kern w:val="0"/>
      <w:szCs w:val="20"/>
      <w:lang w:val="en-GB"/>
    </w:rPr>
  </w:style>
  <w:style w:type="paragraph" w:styleId="BodyText">
    <w:name w:val="Body Text"/>
    <w:basedOn w:val="Normal"/>
    <w:link w:val="BodyTextChar"/>
    <w:uiPriority w:val="99"/>
    <w:semiHidden/>
    <w:unhideWhenUsed/>
    <w:locked/>
    <w:rsid w:val="00794575"/>
  </w:style>
  <w:style w:type="character" w:customStyle="1" w:styleId="BodyTextChar">
    <w:name w:val="Body Text Char"/>
    <w:basedOn w:val="DefaultParagraphFont"/>
    <w:link w:val="BodyText"/>
    <w:uiPriority w:val="99"/>
    <w:semiHidden/>
    <w:rsid w:val="00794575"/>
    <w:rPr>
      <w:rFonts w:eastAsia="SimSun"/>
      <w:sz w:val="20"/>
      <w:lang w:eastAsia="en-AU"/>
    </w:rPr>
  </w:style>
  <w:style w:type="paragraph" w:customStyle="1" w:styleId="FigureTabletitlefullwidth">
    <w:name w:val="Figure/Table title full width"/>
    <w:basedOn w:val="Normal"/>
    <w:uiPriority w:val="99"/>
    <w:qFormat/>
    <w:rsid w:val="000D7236"/>
    <w:pPr>
      <w:keepNext/>
      <w:suppressAutoHyphens/>
      <w:autoSpaceDE w:val="0"/>
      <w:autoSpaceDN w:val="0"/>
      <w:adjustRightInd w:val="0"/>
      <w:spacing w:after="0" w:line="288" w:lineRule="auto"/>
      <w:ind w:left="850" w:hanging="850"/>
      <w:textAlignment w:val="center"/>
    </w:pPr>
    <w:rPr>
      <w:rFonts w:eastAsia="Times New Roman"/>
      <w:b/>
      <w:bCs/>
      <w:color w:val="CB0002"/>
      <w:kern w:val="0"/>
      <w:szCs w:val="20"/>
      <w:lang w:val="en-US"/>
    </w:rPr>
  </w:style>
  <w:style w:type="paragraph" w:customStyle="1" w:styleId="Tablefootnote-columnwidthTableformating">
    <w:name w:val="Table footnote - column width (Table formating)"/>
    <w:basedOn w:val="Normal"/>
    <w:uiPriority w:val="99"/>
    <w:qFormat/>
    <w:rsid w:val="00B822AE"/>
    <w:pPr>
      <w:suppressAutoHyphens/>
      <w:autoSpaceDE w:val="0"/>
      <w:autoSpaceDN w:val="0"/>
      <w:adjustRightInd w:val="0"/>
      <w:spacing w:after="170" w:line="180" w:lineRule="atLeast"/>
      <w:ind w:left="1134" w:hanging="113"/>
      <w:textAlignment w:val="center"/>
    </w:pPr>
    <w:rPr>
      <w:rFonts w:eastAsia="Times New Roman"/>
      <w:b/>
      <w:bCs/>
      <w:color w:val="000000"/>
      <w:kern w:val="0"/>
      <w:sz w:val="14"/>
      <w:szCs w:val="14"/>
      <w:lang w:val="en-US"/>
    </w:rPr>
  </w:style>
  <w:style w:type="paragraph" w:customStyle="1" w:styleId="Tablecolumnheading">
    <w:name w:val="Table column heading"/>
    <w:basedOn w:val="Normal"/>
    <w:qFormat/>
    <w:rsid w:val="00F46C0F"/>
    <w:pPr>
      <w:spacing w:after="0" w:line="240" w:lineRule="auto"/>
      <w:jc w:val="center"/>
    </w:pPr>
    <w:rPr>
      <w:rFonts w:cstheme="minorBidi"/>
      <w:b/>
      <w:kern w:val="0"/>
      <w:sz w:val="16"/>
    </w:rPr>
  </w:style>
  <w:style w:type="paragraph" w:customStyle="1" w:styleId="Tablerowheading">
    <w:name w:val="Table row heading"/>
    <w:basedOn w:val="Normal"/>
    <w:qFormat/>
    <w:rsid w:val="006B3EA5"/>
    <w:pPr>
      <w:spacing w:before="120" w:after="0" w:line="240" w:lineRule="auto"/>
    </w:pPr>
    <w:rPr>
      <w:rFonts w:cstheme="minorBidi"/>
      <w:b/>
      <w:kern w:val="0"/>
      <w:sz w:val="16"/>
    </w:rPr>
  </w:style>
  <w:style w:type="paragraph" w:customStyle="1" w:styleId="Tabletotal">
    <w:name w:val="Table total"/>
    <w:basedOn w:val="Tablerowheading"/>
    <w:qFormat/>
    <w:rsid w:val="00847E04"/>
    <w:rPr>
      <w:szCs w:val="18"/>
    </w:rPr>
  </w:style>
  <w:style w:type="paragraph" w:customStyle="1" w:styleId="Tabletext">
    <w:name w:val="Table text"/>
    <w:basedOn w:val="Tablerowheading"/>
    <w:qFormat/>
    <w:rsid w:val="00857A9C"/>
    <w:pPr>
      <w:spacing w:before="40" w:after="40"/>
    </w:pPr>
    <w:rPr>
      <w:rFonts w:cs="Arial"/>
      <w:b w:val="0"/>
      <w:szCs w:val="16"/>
    </w:rPr>
  </w:style>
  <w:style w:type="paragraph" w:customStyle="1" w:styleId="Tablerowheading2">
    <w:name w:val="Table row heading 2"/>
    <w:basedOn w:val="Normal"/>
    <w:qFormat/>
    <w:rsid w:val="004870BC"/>
    <w:pPr>
      <w:spacing w:after="0" w:line="240" w:lineRule="auto"/>
    </w:pPr>
    <w:rPr>
      <w:rFonts w:cstheme="minorBidi"/>
      <w:kern w:val="0"/>
      <w:sz w:val="16"/>
      <w:szCs w:val="18"/>
    </w:rPr>
  </w:style>
  <w:style w:type="paragraph" w:customStyle="1" w:styleId="Tablerowheading3">
    <w:name w:val="Table row heading 3"/>
    <w:basedOn w:val="Normal"/>
    <w:link w:val="Tablerowheading3Char"/>
    <w:rsid w:val="003043C3"/>
    <w:pPr>
      <w:spacing w:before="40" w:after="40" w:line="240" w:lineRule="auto"/>
    </w:pPr>
    <w:rPr>
      <w:rFonts w:cstheme="minorBidi"/>
      <w:kern w:val="0"/>
      <w:sz w:val="18"/>
    </w:rPr>
  </w:style>
  <w:style w:type="paragraph" w:customStyle="1" w:styleId="Tabletextbold">
    <w:name w:val="Table text bold"/>
    <w:basedOn w:val="Tabletext"/>
    <w:qFormat/>
    <w:rsid w:val="00612475"/>
    <w:pPr>
      <w:jc w:val="center"/>
    </w:pPr>
  </w:style>
  <w:style w:type="paragraph" w:customStyle="1" w:styleId="Tablerowheading4">
    <w:name w:val="Table row heading 4"/>
    <w:basedOn w:val="Tablerowheading3"/>
    <w:link w:val="Tablerowheading4Char"/>
    <w:qFormat/>
    <w:rsid w:val="006B3EA5"/>
    <w:pPr>
      <w:spacing w:before="0" w:after="0"/>
      <w:ind w:left="113"/>
    </w:pPr>
    <w:rPr>
      <w:sz w:val="16"/>
    </w:rPr>
  </w:style>
  <w:style w:type="paragraph" w:customStyle="1" w:styleId="HeaderRow">
    <w:name w:val="Header Row"/>
    <w:basedOn w:val="Tablerowheading2"/>
    <w:qFormat/>
    <w:rsid w:val="004870BC"/>
    <w:rPr>
      <w:b/>
    </w:rPr>
  </w:style>
  <w:style w:type="paragraph" w:customStyle="1" w:styleId="Tablerowheading5">
    <w:name w:val="Table row heading 5"/>
    <w:basedOn w:val="Tablerowheading4"/>
    <w:link w:val="Tablerowheading5Char"/>
    <w:qFormat/>
    <w:rsid w:val="00B979F5"/>
    <w:pPr>
      <w:ind w:left="227"/>
    </w:pPr>
    <w:rPr>
      <w:i/>
    </w:rPr>
  </w:style>
  <w:style w:type="character" w:customStyle="1" w:styleId="Tablerowheading3Char">
    <w:name w:val="Table row heading 3 Char"/>
    <w:basedOn w:val="DefaultParagraphFont"/>
    <w:link w:val="Tablerowheading3"/>
    <w:rsid w:val="00B979F5"/>
    <w:rPr>
      <w:rFonts w:eastAsia="SimSun" w:cstheme="minorBidi"/>
      <w:kern w:val="0"/>
      <w:sz w:val="18"/>
      <w:lang w:eastAsia="en-AU"/>
    </w:rPr>
  </w:style>
  <w:style w:type="character" w:customStyle="1" w:styleId="Tablerowheading4Char">
    <w:name w:val="Table row heading 4 Char"/>
    <w:basedOn w:val="Tablerowheading3Char"/>
    <w:link w:val="Tablerowheading4"/>
    <w:rsid w:val="006B3EA5"/>
    <w:rPr>
      <w:rFonts w:eastAsia="SimSun" w:cstheme="minorBidi"/>
      <w:kern w:val="0"/>
      <w:sz w:val="16"/>
      <w:lang w:eastAsia="en-AU"/>
    </w:rPr>
  </w:style>
  <w:style w:type="character" w:customStyle="1" w:styleId="Tablerowheading5Char">
    <w:name w:val="Table row heading 5 Char"/>
    <w:basedOn w:val="Tablerowheading4Char"/>
    <w:link w:val="Tablerowheading5"/>
    <w:rsid w:val="00B979F5"/>
    <w:rPr>
      <w:rFonts w:eastAsia="SimSun" w:cstheme="minorBidi"/>
      <w:i/>
      <w:kern w:val="0"/>
      <w:sz w:val="16"/>
      <w:lang w:eastAsia="en-AU"/>
    </w:rPr>
  </w:style>
  <w:style w:type="paragraph" w:customStyle="1" w:styleId="Title1">
    <w:name w:val="Title1"/>
    <w:basedOn w:val="Normal"/>
    <w:link w:val="Title1Char"/>
    <w:qFormat/>
    <w:rsid w:val="004870BC"/>
    <w:pPr>
      <w:spacing w:before="3600" w:after="7200"/>
      <w:jc w:val="center"/>
    </w:pPr>
    <w:rPr>
      <w:b/>
      <w:color w:val="004874"/>
      <w:sz w:val="40"/>
      <w:szCs w:val="40"/>
    </w:rPr>
  </w:style>
  <w:style w:type="character" w:customStyle="1" w:styleId="Title1Char">
    <w:name w:val="Title1 Char"/>
    <w:basedOn w:val="DefaultParagraphFont"/>
    <w:link w:val="Title1"/>
    <w:rsid w:val="004870BC"/>
    <w:rPr>
      <w:rFonts w:eastAsia="SimSun"/>
      <w:b/>
      <w:color w:val="004874"/>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859">
      <w:bodyDiv w:val="1"/>
      <w:marLeft w:val="0"/>
      <w:marRight w:val="0"/>
      <w:marTop w:val="0"/>
      <w:marBottom w:val="0"/>
      <w:divBdr>
        <w:top w:val="none" w:sz="0" w:space="0" w:color="auto"/>
        <w:left w:val="none" w:sz="0" w:space="0" w:color="auto"/>
        <w:bottom w:val="none" w:sz="0" w:space="0" w:color="auto"/>
        <w:right w:val="none" w:sz="0" w:space="0" w:color="auto"/>
      </w:divBdr>
    </w:div>
    <w:div w:id="23679270">
      <w:bodyDiv w:val="1"/>
      <w:marLeft w:val="0"/>
      <w:marRight w:val="0"/>
      <w:marTop w:val="0"/>
      <w:marBottom w:val="0"/>
      <w:divBdr>
        <w:top w:val="none" w:sz="0" w:space="0" w:color="auto"/>
        <w:left w:val="none" w:sz="0" w:space="0" w:color="auto"/>
        <w:bottom w:val="none" w:sz="0" w:space="0" w:color="auto"/>
        <w:right w:val="none" w:sz="0" w:space="0" w:color="auto"/>
      </w:divBdr>
    </w:div>
    <w:div w:id="28916532">
      <w:bodyDiv w:val="1"/>
      <w:marLeft w:val="0"/>
      <w:marRight w:val="0"/>
      <w:marTop w:val="0"/>
      <w:marBottom w:val="0"/>
      <w:divBdr>
        <w:top w:val="none" w:sz="0" w:space="0" w:color="auto"/>
        <w:left w:val="none" w:sz="0" w:space="0" w:color="auto"/>
        <w:bottom w:val="none" w:sz="0" w:space="0" w:color="auto"/>
        <w:right w:val="none" w:sz="0" w:space="0" w:color="auto"/>
      </w:divBdr>
    </w:div>
    <w:div w:id="104664149">
      <w:bodyDiv w:val="1"/>
      <w:marLeft w:val="0"/>
      <w:marRight w:val="0"/>
      <w:marTop w:val="0"/>
      <w:marBottom w:val="0"/>
      <w:divBdr>
        <w:top w:val="none" w:sz="0" w:space="0" w:color="auto"/>
        <w:left w:val="none" w:sz="0" w:space="0" w:color="auto"/>
        <w:bottom w:val="none" w:sz="0" w:space="0" w:color="auto"/>
        <w:right w:val="none" w:sz="0" w:space="0" w:color="auto"/>
      </w:divBdr>
    </w:div>
    <w:div w:id="127600848">
      <w:bodyDiv w:val="1"/>
      <w:marLeft w:val="0"/>
      <w:marRight w:val="0"/>
      <w:marTop w:val="0"/>
      <w:marBottom w:val="0"/>
      <w:divBdr>
        <w:top w:val="none" w:sz="0" w:space="0" w:color="auto"/>
        <w:left w:val="none" w:sz="0" w:space="0" w:color="auto"/>
        <w:bottom w:val="none" w:sz="0" w:space="0" w:color="auto"/>
        <w:right w:val="none" w:sz="0" w:space="0" w:color="auto"/>
      </w:divBdr>
    </w:div>
    <w:div w:id="138041966">
      <w:bodyDiv w:val="1"/>
      <w:marLeft w:val="0"/>
      <w:marRight w:val="0"/>
      <w:marTop w:val="0"/>
      <w:marBottom w:val="0"/>
      <w:divBdr>
        <w:top w:val="none" w:sz="0" w:space="0" w:color="auto"/>
        <w:left w:val="none" w:sz="0" w:space="0" w:color="auto"/>
        <w:bottom w:val="none" w:sz="0" w:space="0" w:color="auto"/>
        <w:right w:val="none" w:sz="0" w:space="0" w:color="auto"/>
      </w:divBdr>
    </w:div>
    <w:div w:id="231088077">
      <w:bodyDiv w:val="1"/>
      <w:marLeft w:val="0"/>
      <w:marRight w:val="0"/>
      <w:marTop w:val="0"/>
      <w:marBottom w:val="0"/>
      <w:divBdr>
        <w:top w:val="none" w:sz="0" w:space="0" w:color="auto"/>
        <w:left w:val="none" w:sz="0" w:space="0" w:color="auto"/>
        <w:bottom w:val="none" w:sz="0" w:space="0" w:color="auto"/>
        <w:right w:val="none" w:sz="0" w:space="0" w:color="auto"/>
      </w:divBdr>
    </w:div>
    <w:div w:id="253442414">
      <w:bodyDiv w:val="1"/>
      <w:marLeft w:val="0"/>
      <w:marRight w:val="0"/>
      <w:marTop w:val="0"/>
      <w:marBottom w:val="0"/>
      <w:divBdr>
        <w:top w:val="none" w:sz="0" w:space="0" w:color="auto"/>
        <w:left w:val="none" w:sz="0" w:space="0" w:color="auto"/>
        <w:bottom w:val="none" w:sz="0" w:space="0" w:color="auto"/>
        <w:right w:val="none" w:sz="0" w:space="0" w:color="auto"/>
      </w:divBdr>
    </w:div>
    <w:div w:id="338123667">
      <w:bodyDiv w:val="1"/>
      <w:marLeft w:val="0"/>
      <w:marRight w:val="0"/>
      <w:marTop w:val="0"/>
      <w:marBottom w:val="0"/>
      <w:divBdr>
        <w:top w:val="none" w:sz="0" w:space="0" w:color="auto"/>
        <w:left w:val="none" w:sz="0" w:space="0" w:color="auto"/>
        <w:bottom w:val="none" w:sz="0" w:space="0" w:color="auto"/>
        <w:right w:val="none" w:sz="0" w:space="0" w:color="auto"/>
      </w:divBdr>
    </w:div>
    <w:div w:id="347757569">
      <w:bodyDiv w:val="1"/>
      <w:marLeft w:val="0"/>
      <w:marRight w:val="0"/>
      <w:marTop w:val="0"/>
      <w:marBottom w:val="0"/>
      <w:divBdr>
        <w:top w:val="none" w:sz="0" w:space="0" w:color="auto"/>
        <w:left w:val="none" w:sz="0" w:space="0" w:color="auto"/>
        <w:bottom w:val="none" w:sz="0" w:space="0" w:color="auto"/>
        <w:right w:val="none" w:sz="0" w:space="0" w:color="auto"/>
      </w:divBdr>
    </w:div>
    <w:div w:id="350306951">
      <w:bodyDiv w:val="1"/>
      <w:marLeft w:val="0"/>
      <w:marRight w:val="0"/>
      <w:marTop w:val="0"/>
      <w:marBottom w:val="0"/>
      <w:divBdr>
        <w:top w:val="none" w:sz="0" w:space="0" w:color="auto"/>
        <w:left w:val="none" w:sz="0" w:space="0" w:color="auto"/>
        <w:bottom w:val="none" w:sz="0" w:space="0" w:color="auto"/>
        <w:right w:val="none" w:sz="0" w:space="0" w:color="auto"/>
      </w:divBdr>
    </w:div>
    <w:div w:id="398406538">
      <w:bodyDiv w:val="1"/>
      <w:marLeft w:val="0"/>
      <w:marRight w:val="0"/>
      <w:marTop w:val="0"/>
      <w:marBottom w:val="0"/>
      <w:divBdr>
        <w:top w:val="none" w:sz="0" w:space="0" w:color="auto"/>
        <w:left w:val="none" w:sz="0" w:space="0" w:color="auto"/>
        <w:bottom w:val="none" w:sz="0" w:space="0" w:color="auto"/>
        <w:right w:val="none" w:sz="0" w:space="0" w:color="auto"/>
      </w:divBdr>
    </w:div>
    <w:div w:id="404501121">
      <w:bodyDiv w:val="1"/>
      <w:marLeft w:val="0"/>
      <w:marRight w:val="0"/>
      <w:marTop w:val="0"/>
      <w:marBottom w:val="0"/>
      <w:divBdr>
        <w:top w:val="none" w:sz="0" w:space="0" w:color="auto"/>
        <w:left w:val="none" w:sz="0" w:space="0" w:color="auto"/>
        <w:bottom w:val="none" w:sz="0" w:space="0" w:color="auto"/>
        <w:right w:val="none" w:sz="0" w:space="0" w:color="auto"/>
      </w:divBdr>
    </w:div>
    <w:div w:id="405536943">
      <w:bodyDiv w:val="1"/>
      <w:marLeft w:val="0"/>
      <w:marRight w:val="0"/>
      <w:marTop w:val="0"/>
      <w:marBottom w:val="0"/>
      <w:divBdr>
        <w:top w:val="none" w:sz="0" w:space="0" w:color="auto"/>
        <w:left w:val="none" w:sz="0" w:space="0" w:color="auto"/>
        <w:bottom w:val="none" w:sz="0" w:space="0" w:color="auto"/>
        <w:right w:val="none" w:sz="0" w:space="0" w:color="auto"/>
      </w:divBdr>
    </w:div>
    <w:div w:id="439842552">
      <w:bodyDiv w:val="1"/>
      <w:marLeft w:val="0"/>
      <w:marRight w:val="0"/>
      <w:marTop w:val="0"/>
      <w:marBottom w:val="0"/>
      <w:divBdr>
        <w:top w:val="none" w:sz="0" w:space="0" w:color="auto"/>
        <w:left w:val="none" w:sz="0" w:space="0" w:color="auto"/>
        <w:bottom w:val="none" w:sz="0" w:space="0" w:color="auto"/>
        <w:right w:val="none" w:sz="0" w:space="0" w:color="auto"/>
      </w:divBdr>
    </w:div>
    <w:div w:id="466900725">
      <w:bodyDiv w:val="1"/>
      <w:marLeft w:val="0"/>
      <w:marRight w:val="0"/>
      <w:marTop w:val="0"/>
      <w:marBottom w:val="0"/>
      <w:divBdr>
        <w:top w:val="none" w:sz="0" w:space="0" w:color="auto"/>
        <w:left w:val="none" w:sz="0" w:space="0" w:color="auto"/>
        <w:bottom w:val="none" w:sz="0" w:space="0" w:color="auto"/>
        <w:right w:val="none" w:sz="0" w:space="0" w:color="auto"/>
      </w:divBdr>
    </w:div>
    <w:div w:id="522014455">
      <w:bodyDiv w:val="1"/>
      <w:marLeft w:val="0"/>
      <w:marRight w:val="0"/>
      <w:marTop w:val="0"/>
      <w:marBottom w:val="0"/>
      <w:divBdr>
        <w:top w:val="none" w:sz="0" w:space="0" w:color="auto"/>
        <w:left w:val="none" w:sz="0" w:space="0" w:color="auto"/>
        <w:bottom w:val="none" w:sz="0" w:space="0" w:color="auto"/>
        <w:right w:val="none" w:sz="0" w:space="0" w:color="auto"/>
      </w:divBdr>
    </w:div>
    <w:div w:id="602417687">
      <w:bodyDiv w:val="1"/>
      <w:marLeft w:val="0"/>
      <w:marRight w:val="0"/>
      <w:marTop w:val="0"/>
      <w:marBottom w:val="0"/>
      <w:divBdr>
        <w:top w:val="none" w:sz="0" w:space="0" w:color="auto"/>
        <w:left w:val="none" w:sz="0" w:space="0" w:color="auto"/>
        <w:bottom w:val="none" w:sz="0" w:space="0" w:color="auto"/>
        <w:right w:val="none" w:sz="0" w:space="0" w:color="auto"/>
      </w:divBdr>
    </w:div>
    <w:div w:id="641154096">
      <w:bodyDiv w:val="1"/>
      <w:marLeft w:val="0"/>
      <w:marRight w:val="0"/>
      <w:marTop w:val="0"/>
      <w:marBottom w:val="0"/>
      <w:divBdr>
        <w:top w:val="none" w:sz="0" w:space="0" w:color="auto"/>
        <w:left w:val="none" w:sz="0" w:space="0" w:color="auto"/>
        <w:bottom w:val="none" w:sz="0" w:space="0" w:color="auto"/>
        <w:right w:val="none" w:sz="0" w:space="0" w:color="auto"/>
      </w:divBdr>
    </w:div>
    <w:div w:id="697899661">
      <w:bodyDiv w:val="1"/>
      <w:marLeft w:val="0"/>
      <w:marRight w:val="0"/>
      <w:marTop w:val="0"/>
      <w:marBottom w:val="0"/>
      <w:divBdr>
        <w:top w:val="none" w:sz="0" w:space="0" w:color="auto"/>
        <w:left w:val="none" w:sz="0" w:space="0" w:color="auto"/>
        <w:bottom w:val="none" w:sz="0" w:space="0" w:color="auto"/>
        <w:right w:val="none" w:sz="0" w:space="0" w:color="auto"/>
      </w:divBdr>
    </w:div>
    <w:div w:id="711609771">
      <w:bodyDiv w:val="1"/>
      <w:marLeft w:val="0"/>
      <w:marRight w:val="0"/>
      <w:marTop w:val="0"/>
      <w:marBottom w:val="0"/>
      <w:divBdr>
        <w:top w:val="none" w:sz="0" w:space="0" w:color="auto"/>
        <w:left w:val="none" w:sz="0" w:space="0" w:color="auto"/>
        <w:bottom w:val="none" w:sz="0" w:space="0" w:color="auto"/>
        <w:right w:val="none" w:sz="0" w:space="0" w:color="auto"/>
      </w:divBdr>
    </w:div>
    <w:div w:id="711852209">
      <w:bodyDiv w:val="1"/>
      <w:marLeft w:val="0"/>
      <w:marRight w:val="0"/>
      <w:marTop w:val="0"/>
      <w:marBottom w:val="0"/>
      <w:divBdr>
        <w:top w:val="none" w:sz="0" w:space="0" w:color="auto"/>
        <w:left w:val="none" w:sz="0" w:space="0" w:color="auto"/>
        <w:bottom w:val="none" w:sz="0" w:space="0" w:color="auto"/>
        <w:right w:val="none" w:sz="0" w:space="0" w:color="auto"/>
      </w:divBdr>
    </w:div>
    <w:div w:id="714891986">
      <w:bodyDiv w:val="1"/>
      <w:marLeft w:val="0"/>
      <w:marRight w:val="0"/>
      <w:marTop w:val="0"/>
      <w:marBottom w:val="0"/>
      <w:divBdr>
        <w:top w:val="none" w:sz="0" w:space="0" w:color="auto"/>
        <w:left w:val="none" w:sz="0" w:space="0" w:color="auto"/>
        <w:bottom w:val="none" w:sz="0" w:space="0" w:color="auto"/>
        <w:right w:val="none" w:sz="0" w:space="0" w:color="auto"/>
      </w:divBdr>
    </w:div>
    <w:div w:id="741679957">
      <w:bodyDiv w:val="1"/>
      <w:marLeft w:val="0"/>
      <w:marRight w:val="0"/>
      <w:marTop w:val="0"/>
      <w:marBottom w:val="0"/>
      <w:divBdr>
        <w:top w:val="none" w:sz="0" w:space="0" w:color="auto"/>
        <w:left w:val="none" w:sz="0" w:space="0" w:color="auto"/>
        <w:bottom w:val="none" w:sz="0" w:space="0" w:color="auto"/>
        <w:right w:val="none" w:sz="0" w:space="0" w:color="auto"/>
      </w:divBdr>
    </w:div>
    <w:div w:id="798379813">
      <w:bodyDiv w:val="1"/>
      <w:marLeft w:val="0"/>
      <w:marRight w:val="0"/>
      <w:marTop w:val="0"/>
      <w:marBottom w:val="0"/>
      <w:divBdr>
        <w:top w:val="none" w:sz="0" w:space="0" w:color="auto"/>
        <w:left w:val="none" w:sz="0" w:space="0" w:color="auto"/>
        <w:bottom w:val="none" w:sz="0" w:space="0" w:color="auto"/>
        <w:right w:val="none" w:sz="0" w:space="0" w:color="auto"/>
      </w:divBdr>
    </w:div>
    <w:div w:id="822893964">
      <w:bodyDiv w:val="1"/>
      <w:marLeft w:val="0"/>
      <w:marRight w:val="0"/>
      <w:marTop w:val="0"/>
      <w:marBottom w:val="0"/>
      <w:divBdr>
        <w:top w:val="none" w:sz="0" w:space="0" w:color="auto"/>
        <w:left w:val="none" w:sz="0" w:space="0" w:color="auto"/>
        <w:bottom w:val="none" w:sz="0" w:space="0" w:color="auto"/>
        <w:right w:val="none" w:sz="0" w:space="0" w:color="auto"/>
      </w:divBdr>
    </w:div>
    <w:div w:id="839350765">
      <w:bodyDiv w:val="1"/>
      <w:marLeft w:val="0"/>
      <w:marRight w:val="0"/>
      <w:marTop w:val="0"/>
      <w:marBottom w:val="0"/>
      <w:divBdr>
        <w:top w:val="none" w:sz="0" w:space="0" w:color="auto"/>
        <w:left w:val="none" w:sz="0" w:space="0" w:color="auto"/>
        <w:bottom w:val="none" w:sz="0" w:space="0" w:color="auto"/>
        <w:right w:val="none" w:sz="0" w:space="0" w:color="auto"/>
      </w:divBdr>
    </w:div>
    <w:div w:id="897546405">
      <w:bodyDiv w:val="1"/>
      <w:marLeft w:val="0"/>
      <w:marRight w:val="0"/>
      <w:marTop w:val="0"/>
      <w:marBottom w:val="0"/>
      <w:divBdr>
        <w:top w:val="none" w:sz="0" w:space="0" w:color="auto"/>
        <w:left w:val="none" w:sz="0" w:space="0" w:color="auto"/>
        <w:bottom w:val="none" w:sz="0" w:space="0" w:color="auto"/>
        <w:right w:val="none" w:sz="0" w:space="0" w:color="auto"/>
      </w:divBdr>
    </w:div>
    <w:div w:id="950011770">
      <w:bodyDiv w:val="1"/>
      <w:marLeft w:val="0"/>
      <w:marRight w:val="0"/>
      <w:marTop w:val="0"/>
      <w:marBottom w:val="0"/>
      <w:divBdr>
        <w:top w:val="none" w:sz="0" w:space="0" w:color="auto"/>
        <w:left w:val="none" w:sz="0" w:space="0" w:color="auto"/>
        <w:bottom w:val="none" w:sz="0" w:space="0" w:color="auto"/>
        <w:right w:val="none" w:sz="0" w:space="0" w:color="auto"/>
      </w:divBdr>
    </w:div>
    <w:div w:id="957495770">
      <w:bodyDiv w:val="1"/>
      <w:marLeft w:val="0"/>
      <w:marRight w:val="0"/>
      <w:marTop w:val="0"/>
      <w:marBottom w:val="0"/>
      <w:divBdr>
        <w:top w:val="none" w:sz="0" w:space="0" w:color="auto"/>
        <w:left w:val="none" w:sz="0" w:space="0" w:color="auto"/>
        <w:bottom w:val="none" w:sz="0" w:space="0" w:color="auto"/>
        <w:right w:val="none" w:sz="0" w:space="0" w:color="auto"/>
      </w:divBdr>
    </w:div>
    <w:div w:id="971909765">
      <w:bodyDiv w:val="1"/>
      <w:marLeft w:val="0"/>
      <w:marRight w:val="0"/>
      <w:marTop w:val="0"/>
      <w:marBottom w:val="0"/>
      <w:divBdr>
        <w:top w:val="none" w:sz="0" w:space="0" w:color="auto"/>
        <w:left w:val="none" w:sz="0" w:space="0" w:color="auto"/>
        <w:bottom w:val="none" w:sz="0" w:space="0" w:color="auto"/>
        <w:right w:val="none" w:sz="0" w:space="0" w:color="auto"/>
      </w:divBdr>
    </w:div>
    <w:div w:id="1014838783">
      <w:bodyDiv w:val="1"/>
      <w:marLeft w:val="0"/>
      <w:marRight w:val="0"/>
      <w:marTop w:val="0"/>
      <w:marBottom w:val="0"/>
      <w:divBdr>
        <w:top w:val="none" w:sz="0" w:space="0" w:color="auto"/>
        <w:left w:val="none" w:sz="0" w:space="0" w:color="auto"/>
        <w:bottom w:val="none" w:sz="0" w:space="0" w:color="auto"/>
        <w:right w:val="none" w:sz="0" w:space="0" w:color="auto"/>
      </w:divBdr>
    </w:div>
    <w:div w:id="1071122971">
      <w:bodyDiv w:val="1"/>
      <w:marLeft w:val="0"/>
      <w:marRight w:val="0"/>
      <w:marTop w:val="0"/>
      <w:marBottom w:val="0"/>
      <w:divBdr>
        <w:top w:val="none" w:sz="0" w:space="0" w:color="auto"/>
        <w:left w:val="none" w:sz="0" w:space="0" w:color="auto"/>
        <w:bottom w:val="none" w:sz="0" w:space="0" w:color="auto"/>
        <w:right w:val="none" w:sz="0" w:space="0" w:color="auto"/>
      </w:divBdr>
    </w:div>
    <w:div w:id="1080641472">
      <w:bodyDiv w:val="1"/>
      <w:marLeft w:val="0"/>
      <w:marRight w:val="0"/>
      <w:marTop w:val="0"/>
      <w:marBottom w:val="0"/>
      <w:divBdr>
        <w:top w:val="none" w:sz="0" w:space="0" w:color="auto"/>
        <w:left w:val="none" w:sz="0" w:space="0" w:color="auto"/>
        <w:bottom w:val="none" w:sz="0" w:space="0" w:color="auto"/>
        <w:right w:val="none" w:sz="0" w:space="0" w:color="auto"/>
      </w:divBdr>
    </w:div>
    <w:div w:id="1107385231">
      <w:bodyDiv w:val="1"/>
      <w:marLeft w:val="0"/>
      <w:marRight w:val="0"/>
      <w:marTop w:val="0"/>
      <w:marBottom w:val="0"/>
      <w:divBdr>
        <w:top w:val="none" w:sz="0" w:space="0" w:color="auto"/>
        <w:left w:val="none" w:sz="0" w:space="0" w:color="auto"/>
        <w:bottom w:val="none" w:sz="0" w:space="0" w:color="auto"/>
        <w:right w:val="none" w:sz="0" w:space="0" w:color="auto"/>
      </w:divBdr>
    </w:div>
    <w:div w:id="1356006403">
      <w:bodyDiv w:val="1"/>
      <w:marLeft w:val="0"/>
      <w:marRight w:val="0"/>
      <w:marTop w:val="0"/>
      <w:marBottom w:val="0"/>
      <w:divBdr>
        <w:top w:val="none" w:sz="0" w:space="0" w:color="auto"/>
        <w:left w:val="none" w:sz="0" w:space="0" w:color="auto"/>
        <w:bottom w:val="none" w:sz="0" w:space="0" w:color="auto"/>
        <w:right w:val="none" w:sz="0" w:space="0" w:color="auto"/>
      </w:divBdr>
    </w:div>
    <w:div w:id="1377244566">
      <w:bodyDiv w:val="1"/>
      <w:marLeft w:val="0"/>
      <w:marRight w:val="0"/>
      <w:marTop w:val="0"/>
      <w:marBottom w:val="0"/>
      <w:divBdr>
        <w:top w:val="none" w:sz="0" w:space="0" w:color="auto"/>
        <w:left w:val="none" w:sz="0" w:space="0" w:color="auto"/>
        <w:bottom w:val="none" w:sz="0" w:space="0" w:color="auto"/>
        <w:right w:val="none" w:sz="0" w:space="0" w:color="auto"/>
      </w:divBdr>
    </w:div>
    <w:div w:id="1411149574">
      <w:bodyDiv w:val="1"/>
      <w:marLeft w:val="0"/>
      <w:marRight w:val="0"/>
      <w:marTop w:val="0"/>
      <w:marBottom w:val="0"/>
      <w:divBdr>
        <w:top w:val="none" w:sz="0" w:space="0" w:color="auto"/>
        <w:left w:val="none" w:sz="0" w:space="0" w:color="auto"/>
        <w:bottom w:val="none" w:sz="0" w:space="0" w:color="auto"/>
        <w:right w:val="none" w:sz="0" w:space="0" w:color="auto"/>
      </w:divBdr>
    </w:div>
    <w:div w:id="1461651175">
      <w:bodyDiv w:val="1"/>
      <w:marLeft w:val="0"/>
      <w:marRight w:val="0"/>
      <w:marTop w:val="0"/>
      <w:marBottom w:val="0"/>
      <w:divBdr>
        <w:top w:val="none" w:sz="0" w:space="0" w:color="auto"/>
        <w:left w:val="none" w:sz="0" w:space="0" w:color="auto"/>
        <w:bottom w:val="none" w:sz="0" w:space="0" w:color="auto"/>
        <w:right w:val="none" w:sz="0" w:space="0" w:color="auto"/>
      </w:divBdr>
    </w:div>
    <w:div w:id="1469085263">
      <w:bodyDiv w:val="1"/>
      <w:marLeft w:val="0"/>
      <w:marRight w:val="0"/>
      <w:marTop w:val="0"/>
      <w:marBottom w:val="0"/>
      <w:divBdr>
        <w:top w:val="none" w:sz="0" w:space="0" w:color="auto"/>
        <w:left w:val="none" w:sz="0" w:space="0" w:color="auto"/>
        <w:bottom w:val="none" w:sz="0" w:space="0" w:color="auto"/>
        <w:right w:val="none" w:sz="0" w:space="0" w:color="auto"/>
      </w:divBdr>
    </w:div>
    <w:div w:id="1527644453">
      <w:bodyDiv w:val="1"/>
      <w:marLeft w:val="0"/>
      <w:marRight w:val="0"/>
      <w:marTop w:val="0"/>
      <w:marBottom w:val="0"/>
      <w:divBdr>
        <w:top w:val="none" w:sz="0" w:space="0" w:color="auto"/>
        <w:left w:val="none" w:sz="0" w:space="0" w:color="auto"/>
        <w:bottom w:val="none" w:sz="0" w:space="0" w:color="auto"/>
        <w:right w:val="none" w:sz="0" w:space="0" w:color="auto"/>
      </w:divBdr>
    </w:div>
    <w:div w:id="1531919003">
      <w:bodyDiv w:val="1"/>
      <w:marLeft w:val="0"/>
      <w:marRight w:val="0"/>
      <w:marTop w:val="0"/>
      <w:marBottom w:val="0"/>
      <w:divBdr>
        <w:top w:val="none" w:sz="0" w:space="0" w:color="auto"/>
        <w:left w:val="none" w:sz="0" w:space="0" w:color="auto"/>
        <w:bottom w:val="none" w:sz="0" w:space="0" w:color="auto"/>
        <w:right w:val="none" w:sz="0" w:space="0" w:color="auto"/>
      </w:divBdr>
    </w:div>
    <w:div w:id="1559125373">
      <w:bodyDiv w:val="1"/>
      <w:marLeft w:val="0"/>
      <w:marRight w:val="0"/>
      <w:marTop w:val="0"/>
      <w:marBottom w:val="0"/>
      <w:divBdr>
        <w:top w:val="none" w:sz="0" w:space="0" w:color="auto"/>
        <w:left w:val="none" w:sz="0" w:space="0" w:color="auto"/>
        <w:bottom w:val="none" w:sz="0" w:space="0" w:color="auto"/>
        <w:right w:val="none" w:sz="0" w:space="0" w:color="auto"/>
      </w:divBdr>
    </w:div>
    <w:div w:id="1587301398">
      <w:bodyDiv w:val="1"/>
      <w:marLeft w:val="0"/>
      <w:marRight w:val="0"/>
      <w:marTop w:val="0"/>
      <w:marBottom w:val="0"/>
      <w:divBdr>
        <w:top w:val="none" w:sz="0" w:space="0" w:color="auto"/>
        <w:left w:val="none" w:sz="0" w:space="0" w:color="auto"/>
        <w:bottom w:val="none" w:sz="0" w:space="0" w:color="auto"/>
        <w:right w:val="none" w:sz="0" w:space="0" w:color="auto"/>
      </w:divBdr>
    </w:div>
    <w:div w:id="1667971499">
      <w:bodyDiv w:val="1"/>
      <w:marLeft w:val="0"/>
      <w:marRight w:val="0"/>
      <w:marTop w:val="0"/>
      <w:marBottom w:val="0"/>
      <w:divBdr>
        <w:top w:val="none" w:sz="0" w:space="0" w:color="auto"/>
        <w:left w:val="none" w:sz="0" w:space="0" w:color="auto"/>
        <w:bottom w:val="none" w:sz="0" w:space="0" w:color="auto"/>
        <w:right w:val="none" w:sz="0" w:space="0" w:color="auto"/>
      </w:divBdr>
    </w:div>
    <w:div w:id="1668628722">
      <w:bodyDiv w:val="1"/>
      <w:marLeft w:val="0"/>
      <w:marRight w:val="0"/>
      <w:marTop w:val="0"/>
      <w:marBottom w:val="0"/>
      <w:divBdr>
        <w:top w:val="none" w:sz="0" w:space="0" w:color="auto"/>
        <w:left w:val="none" w:sz="0" w:space="0" w:color="auto"/>
        <w:bottom w:val="none" w:sz="0" w:space="0" w:color="auto"/>
        <w:right w:val="none" w:sz="0" w:space="0" w:color="auto"/>
      </w:divBdr>
    </w:div>
    <w:div w:id="1676883865">
      <w:bodyDiv w:val="1"/>
      <w:marLeft w:val="0"/>
      <w:marRight w:val="0"/>
      <w:marTop w:val="0"/>
      <w:marBottom w:val="0"/>
      <w:divBdr>
        <w:top w:val="none" w:sz="0" w:space="0" w:color="auto"/>
        <w:left w:val="none" w:sz="0" w:space="0" w:color="auto"/>
        <w:bottom w:val="none" w:sz="0" w:space="0" w:color="auto"/>
        <w:right w:val="none" w:sz="0" w:space="0" w:color="auto"/>
      </w:divBdr>
    </w:div>
    <w:div w:id="1679576879">
      <w:bodyDiv w:val="1"/>
      <w:marLeft w:val="0"/>
      <w:marRight w:val="0"/>
      <w:marTop w:val="0"/>
      <w:marBottom w:val="0"/>
      <w:divBdr>
        <w:top w:val="none" w:sz="0" w:space="0" w:color="auto"/>
        <w:left w:val="none" w:sz="0" w:space="0" w:color="auto"/>
        <w:bottom w:val="none" w:sz="0" w:space="0" w:color="auto"/>
        <w:right w:val="none" w:sz="0" w:space="0" w:color="auto"/>
      </w:divBdr>
    </w:div>
    <w:div w:id="1690911935">
      <w:bodyDiv w:val="1"/>
      <w:marLeft w:val="0"/>
      <w:marRight w:val="0"/>
      <w:marTop w:val="0"/>
      <w:marBottom w:val="0"/>
      <w:divBdr>
        <w:top w:val="none" w:sz="0" w:space="0" w:color="auto"/>
        <w:left w:val="none" w:sz="0" w:space="0" w:color="auto"/>
        <w:bottom w:val="none" w:sz="0" w:space="0" w:color="auto"/>
        <w:right w:val="none" w:sz="0" w:space="0" w:color="auto"/>
      </w:divBdr>
    </w:div>
    <w:div w:id="1708987250">
      <w:bodyDiv w:val="1"/>
      <w:marLeft w:val="0"/>
      <w:marRight w:val="0"/>
      <w:marTop w:val="0"/>
      <w:marBottom w:val="0"/>
      <w:divBdr>
        <w:top w:val="none" w:sz="0" w:space="0" w:color="auto"/>
        <w:left w:val="none" w:sz="0" w:space="0" w:color="auto"/>
        <w:bottom w:val="none" w:sz="0" w:space="0" w:color="auto"/>
        <w:right w:val="none" w:sz="0" w:space="0" w:color="auto"/>
      </w:divBdr>
    </w:div>
    <w:div w:id="1716081254">
      <w:bodyDiv w:val="1"/>
      <w:marLeft w:val="0"/>
      <w:marRight w:val="0"/>
      <w:marTop w:val="0"/>
      <w:marBottom w:val="0"/>
      <w:divBdr>
        <w:top w:val="none" w:sz="0" w:space="0" w:color="auto"/>
        <w:left w:val="none" w:sz="0" w:space="0" w:color="auto"/>
        <w:bottom w:val="none" w:sz="0" w:space="0" w:color="auto"/>
        <w:right w:val="none" w:sz="0" w:space="0" w:color="auto"/>
      </w:divBdr>
    </w:div>
    <w:div w:id="1775595262">
      <w:bodyDiv w:val="1"/>
      <w:marLeft w:val="0"/>
      <w:marRight w:val="0"/>
      <w:marTop w:val="0"/>
      <w:marBottom w:val="0"/>
      <w:divBdr>
        <w:top w:val="none" w:sz="0" w:space="0" w:color="auto"/>
        <w:left w:val="none" w:sz="0" w:space="0" w:color="auto"/>
        <w:bottom w:val="none" w:sz="0" w:space="0" w:color="auto"/>
        <w:right w:val="none" w:sz="0" w:space="0" w:color="auto"/>
      </w:divBdr>
    </w:div>
    <w:div w:id="1796563017">
      <w:bodyDiv w:val="1"/>
      <w:marLeft w:val="0"/>
      <w:marRight w:val="0"/>
      <w:marTop w:val="0"/>
      <w:marBottom w:val="0"/>
      <w:divBdr>
        <w:top w:val="none" w:sz="0" w:space="0" w:color="auto"/>
        <w:left w:val="none" w:sz="0" w:space="0" w:color="auto"/>
        <w:bottom w:val="none" w:sz="0" w:space="0" w:color="auto"/>
        <w:right w:val="none" w:sz="0" w:space="0" w:color="auto"/>
      </w:divBdr>
    </w:div>
    <w:div w:id="1803420129">
      <w:bodyDiv w:val="1"/>
      <w:marLeft w:val="0"/>
      <w:marRight w:val="0"/>
      <w:marTop w:val="0"/>
      <w:marBottom w:val="0"/>
      <w:divBdr>
        <w:top w:val="none" w:sz="0" w:space="0" w:color="auto"/>
        <w:left w:val="none" w:sz="0" w:space="0" w:color="auto"/>
        <w:bottom w:val="none" w:sz="0" w:space="0" w:color="auto"/>
        <w:right w:val="none" w:sz="0" w:space="0" w:color="auto"/>
      </w:divBdr>
    </w:div>
    <w:div w:id="1853031856">
      <w:bodyDiv w:val="1"/>
      <w:marLeft w:val="0"/>
      <w:marRight w:val="0"/>
      <w:marTop w:val="0"/>
      <w:marBottom w:val="0"/>
      <w:divBdr>
        <w:top w:val="none" w:sz="0" w:space="0" w:color="auto"/>
        <w:left w:val="none" w:sz="0" w:space="0" w:color="auto"/>
        <w:bottom w:val="none" w:sz="0" w:space="0" w:color="auto"/>
        <w:right w:val="none" w:sz="0" w:space="0" w:color="auto"/>
      </w:divBdr>
    </w:div>
    <w:div w:id="1884440650">
      <w:bodyDiv w:val="1"/>
      <w:marLeft w:val="0"/>
      <w:marRight w:val="0"/>
      <w:marTop w:val="0"/>
      <w:marBottom w:val="0"/>
      <w:divBdr>
        <w:top w:val="none" w:sz="0" w:space="0" w:color="auto"/>
        <w:left w:val="none" w:sz="0" w:space="0" w:color="auto"/>
        <w:bottom w:val="none" w:sz="0" w:space="0" w:color="auto"/>
        <w:right w:val="none" w:sz="0" w:space="0" w:color="auto"/>
      </w:divBdr>
    </w:div>
    <w:div w:id="1949002003">
      <w:bodyDiv w:val="1"/>
      <w:marLeft w:val="0"/>
      <w:marRight w:val="0"/>
      <w:marTop w:val="0"/>
      <w:marBottom w:val="0"/>
      <w:divBdr>
        <w:top w:val="none" w:sz="0" w:space="0" w:color="auto"/>
        <w:left w:val="none" w:sz="0" w:space="0" w:color="auto"/>
        <w:bottom w:val="none" w:sz="0" w:space="0" w:color="auto"/>
        <w:right w:val="none" w:sz="0" w:space="0" w:color="auto"/>
      </w:divBdr>
    </w:div>
    <w:div w:id="2039156739">
      <w:bodyDiv w:val="1"/>
      <w:marLeft w:val="0"/>
      <w:marRight w:val="0"/>
      <w:marTop w:val="0"/>
      <w:marBottom w:val="0"/>
      <w:divBdr>
        <w:top w:val="none" w:sz="0" w:space="0" w:color="auto"/>
        <w:left w:val="none" w:sz="0" w:space="0" w:color="auto"/>
        <w:bottom w:val="none" w:sz="0" w:space="0" w:color="auto"/>
        <w:right w:val="none" w:sz="0" w:space="0" w:color="auto"/>
      </w:divBdr>
    </w:div>
    <w:div w:id="21018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pyrightrequests@swa.gov.au" TargetMode="External"/><Relationship Id="rId17" Type="http://schemas.openxmlformats.org/officeDocument/2006/relationships/hyperlink" Target="http://www.safeworkaustralia.gov.au/sites/swa/statistics/workers-compensation-data/pages/compendiumofworkerscompensationstatistic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safeworkaustralia.gov.au/sites/SWA/about/Publications/Documents/926/fatalities-in-construc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safeworkaustralia.gov.au/sites/SWA/about/Publications/Documents/759/Work-related-injuries-fatalities-farm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978-1-76028-838-9</PublicationIdentifier>
    <ParentFolderID xmlns="http://schemas.microsoft.com/sharepoint/v3/fields">979</ParentFolderID>
  </documentManagement>
</p:properties>
</file>

<file path=customXml/itemProps1.xml><?xml version="1.0" encoding="utf-8"?>
<ds:datastoreItem xmlns:ds="http://schemas.openxmlformats.org/officeDocument/2006/customXml" ds:itemID="{050A6602-3E74-4374-8196-E69CAA9F6C95}"/>
</file>

<file path=customXml/itemProps2.xml><?xml version="1.0" encoding="utf-8"?>
<ds:datastoreItem xmlns:ds="http://schemas.openxmlformats.org/officeDocument/2006/customXml" ds:itemID="{D60DC9C0-0702-49BA-9152-B97D7B1DD3BB}"/>
</file>

<file path=customXml/itemProps3.xml><?xml version="1.0" encoding="utf-8"?>
<ds:datastoreItem xmlns:ds="http://schemas.openxmlformats.org/officeDocument/2006/customXml" ds:itemID="{44EBFF4B-1094-47B3-88D7-F5EBAF3CC5C0}"/>
</file>

<file path=docProps/app.xml><?xml version="1.0" encoding="utf-8"?>
<Properties xmlns="http://schemas.openxmlformats.org/officeDocument/2006/extended-properties" xmlns:vt="http://schemas.openxmlformats.org/officeDocument/2006/docPropsVTypes">
  <Template>EE398859.dotm</Template>
  <TotalTime>1</TotalTime>
  <Pages>29</Pages>
  <Words>10091</Words>
  <Characters>57520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Work-related Traumatic Injury Fatalities Australia 2015</dc:title>
  <dc:creator/>
  <cp:keywords>fatlaities</cp:keywords>
  <cp:lastModifiedBy>Ingrid Kimber</cp:lastModifiedBy>
  <cp:revision>3</cp:revision>
  <cp:lastPrinted>2016-06-22T23:02:00Z</cp:lastPrinted>
  <dcterms:created xsi:type="dcterms:W3CDTF">2016-10-14T03:43:00Z</dcterms:created>
  <dcterms:modified xsi:type="dcterms:W3CDTF">2016-10-14T03:44:00Z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