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drawings/drawing2.xml" ContentType="application/vnd.openxmlformats-officedocument.drawingml.chartshapes+xml"/>
  <Override PartName="/word/drawings/drawing4.xml" ContentType="application/vnd.openxmlformats-officedocument.drawingml.chartshapes+xml"/>
  <Override PartName="/word/drawings/drawing1.xml" ContentType="application/vnd.openxmlformats-officedocument.drawingml.chartshapes+xml"/>
  <Override PartName="/word/drawings/drawing3.xml" ContentType="application/vnd.openxmlformats-officedocument.drawingml.chartshapes+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charts/chart5.xml" ContentType="application/vnd.openxmlformats-officedocument.drawingml.chart+xml"/>
  <Override PartName="/word/charts/chart4.xml" ContentType="application/vnd.openxmlformats-officedocument.drawingml.chart+xml"/>
  <Override PartName="/word/charts/chart3.xml" ContentType="application/vnd.openxmlformats-officedocument.drawingml.chart+xml"/>
  <Override PartName="/word/charts/chart2.xml" ContentType="application/vnd.openxmlformats-officedocument.drawingml.chart+xml"/>
  <Override PartName="/word/charts/chart1.xml" ContentType="application/vnd.openxmlformats-officedocument.drawingml.chart+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23F" w:rsidRPr="005E6422" w:rsidRDefault="0075723F" w:rsidP="0075723F">
      <w:pPr>
        <w:spacing w:before="3600" w:after="7200"/>
        <w:jc w:val="center"/>
        <w:rPr>
          <w:b/>
          <w:sz w:val="40"/>
          <w:szCs w:val="40"/>
        </w:rPr>
      </w:pPr>
      <w:bookmarkStart w:id="0" w:name="_GoBack"/>
      <w:bookmarkEnd w:id="0"/>
      <w:r>
        <w:rPr>
          <w:b/>
          <w:sz w:val="40"/>
          <w:szCs w:val="40"/>
        </w:rPr>
        <w:t>Work Health and Safety in the Agricultural</w:t>
      </w:r>
      <w:r w:rsidRPr="005E6422">
        <w:rPr>
          <w:b/>
          <w:sz w:val="40"/>
          <w:szCs w:val="40"/>
        </w:rPr>
        <w:t xml:space="preserve"> Industry</w:t>
      </w:r>
    </w:p>
    <w:p w:rsidR="0075723F" w:rsidRPr="005E6422" w:rsidRDefault="0075723F" w:rsidP="0075723F">
      <w:pPr>
        <w:spacing w:after="240"/>
        <w:jc w:val="center"/>
        <w:rPr>
          <w:b/>
          <w:sz w:val="28"/>
          <w:szCs w:val="28"/>
        </w:rPr>
      </w:pPr>
      <w:r w:rsidRPr="005E6422">
        <w:rPr>
          <w:b/>
          <w:sz w:val="28"/>
          <w:szCs w:val="28"/>
        </w:rPr>
        <w:t>2016</w:t>
      </w:r>
    </w:p>
    <w:p w:rsidR="0075723F" w:rsidRPr="005E6422" w:rsidRDefault="0075723F" w:rsidP="0075723F">
      <w:pPr>
        <w:jc w:val="center"/>
        <w:rPr>
          <w:b/>
          <w:sz w:val="40"/>
          <w:szCs w:val="40"/>
        </w:rPr>
      </w:pPr>
      <w:r w:rsidRPr="005E6422">
        <w:rPr>
          <w:noProof/>
        </w:rPr>
        <w:drawing>
          <wp:inline distT="0" distB="0" distL="0" distR="0" wp14:anchorId="49E13E4D" wp14:editId="611FEF5B">
            <wp:extent cx="2071999" cy="432000"/>
            <wp:effectExtent l="0" t="0" r="5080" b="6350"/>
            <wp:docPr id="26" name="Picture 26" descr="Safe Work Australia Logo" title="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pic:cNvPicPr>
                      <a:picLocks noChangeAspect="1" noChangeArrowheads="1"/>
                    </pic:cNvPicPr>
                  </pic:nvPicPr>
                  <pic:blipFill>
                    <a:blip r:embed="rId9" cstate="print"/>
                    <a:srcRect/>
                    <a:stretch>
                      <a:fillRect/>
                    </a:stretch>
                  </pic:blipFill>
                  <pic:spPr bwMode="auto">
                    <a:xfrm>
                      <a:off x="0" y="0"/>
                      <a:ext cx="2071999" cy="432000"/>
                    </a:xfrm>
                    <a:prstGeom prst="rect">
                      <a:avLst/>
                    </a:prstGeom>
                    <a:noFill/>
                    <a:ln w="9525">
                      <a:noFill/>
                      <a:miter lim="800000"/>
                      <a:headEnd/>
                      <a:tailEnd/>
                    </a:ln>
                  </pic:spPr>
                </pic:pic>
              </a:graphicData>
            </a:graphic>
          </wp:inline>
        </w:drawing>
      </w:r>
      <w:r w:rsidRPr="005E6422">
        <w:rPr>
          <w:b/>
          <w:sz w:val="40"/>
          <w:szCs w:val="40"/>
        </w:rPr>
        <w:br w:type="page"/>
      </w:r>
    </w:p>
    <w:p w:rsidR="0075723F" w:rsidRPr="005E6422" w:rsidRDefault="0075723F" w:rsidP="0075723F">
      <w:pPr>
        <w:rPr>
          <w:b/>
        </w:rPr>
      </w:pPr>
      <w:r w:rsidRPr="005E6422">
        <w:rPr>
          <w:b/>
        </w:rPr>
        <w:lastRenderedPageBreak/>
        <w:t>Creative Commons</w:t>
      </w:r>
    </w:p>
    <w:p w:rsidR="0075723F" w:rsidRPr="005E6422" w:rsidRDefault="0075723F" w:rsidP="0075723F">
      <w:pPr>
        <w:rPr>
          <w:b/>
        </w:rPr>
      </w:pPr>
      <w:r w:rsidRPr="005E6422">
        <w:rPr>
          <w:noProof/>
          <w:color w:val="000000" w:themeColor="text1"/>
          <w:sz w:val="19"/>
          <w:szCs w:val="19"/>
        </w:rPr>
        <w:drawing>
          <wp:inline distT="0" distB="0" distL="0" distR="0" wp14:anchorId="14F67BAC" wp14:editId="4EF322D1">
            <wp:extent cx="1524000" cy="530370"/>
            <wp:effectExtent l="0" t="0" r="0" b="0"/>
            <wp:docPr id="7" name="Picture 4"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title="Creative Commons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4000" cy="530225"/>
                    </a:xfrm>
                    <a:prstGeom prst="rect">
                      <a:avLst/>
                    </a:prstGeom>
                  </pic:spPr>
                </pic:pic>
              </a:graphicData>
            </a:graphic>
          </wp:inline>
        </w:drawing>
      </w:r>
    </w:p>
    <w:p w:rsidR="0075723F" w:rsidRPr="005E6422" w:rsidRDefault="00A12608" w:rsidP="0075723F">
      <w:pPr>
        <w:spacing w:after="0"/>
      </w:pPr>
      <w:r>
        <w:t xml:space="preserve">ISBN: </w:t>
      </w:r>
      <w:r w:rsidRPr="00A12608">
        <w:t>978-1-76028-837-2</w:t>
      </w:r>
      <w:r w:rsidR="0075723F" w:rsidRPr="005E6422">
        <w:t xml:space="preserve"> (pdf)</w:t>
      </w:r>
    </w:p>
    <w:p w:rsidR="0075723F" w:rsidRPr="005E6422" w:rsidRDefault="00A12608" w:rsidP="0075723F">
      <w:r>
        <w:t xml:space="preserve">ISBN: </w:t>
      </w:r>
      <w:r w:rsidRPr="00A12608">
        <w:t>978-1-76028-838-9</w:t>
      </w:r>
      <w:r w:rsidR="0075723F" w:rsidRPr="005E6422">
        <w:t xml:space="preserve"> (</w:t>
      </w:r>
      <w:proofErr w:type="spellStart"/>
      <w:r w:rsidR="0075723F" w:rsidRPr="005E6422">
        <w:t>docx</w:t>
      </w:r>
      <w:proofErr w:type="spellEnd"/>
      <w:r w:rsidR="0075723F" w:rsidRPr="005E6422">
        <w:t>)</w:t>
      </w:r>
    </w:p>
    <w:p w:rsidR="0075723F" w:rsidRPr="005E6422" w:rsidRDefault="0075723F" w:rsidP="0075723F">
      <w:r w:rsidRPr="005E6422">
        <w:t xml:space="preserve">With the exception of the Safe Work Australia logo, this report is licensed by Safe Work Australia under a Creative Commons 3.0 Australia Licence. To view a copy of this licence, visit </w:t>
      </w:r>
      <w:hyperlink r:id="rId11" w:history="1">
        <w:r w:rsidRPr="005E6422">
          <w:rPr>
            <w:rStyle w:val="Hyperlink"/>
          </w:rPr>
          <w:t>http://creativecommons.org/licenses/by/3.0/au/deed.en</w:t>
        </w:r>
      </w:hyperlink>
    </w:p>
    <w:p w:rsidR="0075723F" w:rsidRPr="005E6422" w:rsidRDefault="0075723F" w:rsidP="0075723F">
      <w:r w:rsidRPr="005E6422">
        <w:t>In essence, you are free to copy, communicate and adapt the work, as long as you attribute the work to Safe Work Australia and abid</w:t>
      </w:r>
      <w:r>
        <w:t>e by the other licensing terms.</w:t>
      </w:r>
    </w:p>
    <w:p w:rsidR="0075723F" w:rsidRPr="005E6422" w:rsidRDefault="0075723F" w:rsidP="0075723F">
      <w:r w:rsidRPr="005E6422">
        <w:t>Enquiries regarding the licence and any use of the report are welcome at:</w:t>
      </w:r>
    </w:p>
    <w:p w:rsidR="0075723F" w:rsidRPr="005E6422" w:rsidRDefault="0075723F" w:rsidP="0075723F">
      <w:pPr>
        <w:spacing w:after="0"/>
      </w:pPr>
      <w:r w:rsidRPr="005E6422">
        <w:t>Copyright Officer</w:t>
      </w:r>
    </w:p>
    <w:p w:rsidR="0075723F" w:rsidRPr="005E6422" w:rsidRDefault="0075723F" w:rsidP="0075723F">
      <w:pPr>
        <w:spacing w:after="0"/>
      </w:pPr>
      <w:r w:rsidRPr="005E6422">
        <w:t>Safe Work Australia</w:t>
      </w:r>
    </w:p>
    <w:p w:rsidR="0075723F" w:rsidRPr="005E6422" w:rsidRDefault="0075723F" w:rsidP="0075723F">
      <w:pPr>
        <w:spacing w:after="0"/>
      </w:pPr>
      <w:r w:rsidRPr="005E6422">
        <w:t>GPO Box 641 Canberra ACT 2601</w:t>
      </w:r>
    </w:p>
    <w:p w:rsidR="0075723F" w:rsidRPr="005E6422" w:rsidRDefault="0075723F" w:rsidP="0075723F">
      <w:pPr>
        <w:spacing w:after="0"/>
      </w:pPr>
      <w:r w:rsidRPr="005E6422">
        <w:t xml:space="preserve">Email: </w:t>
      </w:r>
      <w:hyperlink r:id="rId12" w:history="1">
        <w:r w:rsidRPr="005E6422">
          <w:rPr>
            <w:rStyle w:val="Hyperlink"/>
          </w:rPr>
          <w:t>copyrightrequests@swa.gov.au</w:t>
        </w:r>
      </w:hyperlink>
    </w:p>
    <w:p w:rsidR="0075723F" w:rsidRPr="005E6422" w:rsidRDefault="0075723F" w:rsidP="0075723F">
      <w:pPr>
        <w:rPr>
          <w:b/>
        </w:rPr>
      </w:pPr>
    </w:p>
    <w:p w:rsidR="0075723F" w:rsidRPr="005E6422" w:rsidRDefault="0075723F" w:rsidP="0075723F">
      <w:pPr>
        <w:rPr>
          <w:b/>
        </w:rPr>
      </w:pPr>
      <w:r w:rsidRPr="005E6422">
        <w:rPr>
          <w:b/>
        </w:rPr>
        <w:t>Disclaimer</w:t>
      </w:r>
    </w:p>
    <w:p w:rsidR="0075723F" w:rsidRPr="005E6422" w:rsidRDefault="0075723F" w:rsidP="0075723F">
      <w:r w:rsidRPr="005E6422">
        <w:t xml:space="preserve">The information provided in this document can only assist you in the most general way. This document does not replace any statutory requirements under any relevant </w:t>
      </w:r>
      <w:r>
        <w:t>jurisdictional</w:t>
      </w:r>
      <w:r w:rsidRPr="005E6422">
        <w:t xml:space="preserve"> legislation. Safe Work Australia accepts no liability arising from the use of or reliance on the material contained on this document, which is provided on the basis that Safe Work Australia is not thereby engaged in rendering professional advice. Before relying on the material, users should carefully make their own assessment as to its accuracy, currency, completeness and relevance for their purposes, and should obtain any appropriate professional advice relevant to their particular circumstances. </w:t>
      </w:r>
      <w:proofErr w:type="gramStart"/>
      <w:r w:rsidRPr="005E6422">
        <w:t>To</w:t>
      </w:r>
      <w:proofErr w:type="gramEnd"/>
      <w:r w:rsidRPr="005E6422">
        <w:t xml:space="preserve"> the extent that the material in this document includes views or recommendations of third parties, such views or recommendations do not necessarily reflect the views of Safe Work Australia nor do they indicate a commitment to a particular course of action.</w:t>
      </w:r>
    </w:p>
    <w:p w:rsidR="0075723F" w:rsidRDefault="0075723F" w:rsidP="0075723F">
      <w:pPr>
        <w:rPr>
          <w:b/>
          <w:sz w:val="40"/>
          <w:szCs w:val="40"/>
        </w:rPr>
      </w:pPr>
      <w:r>
        <w:br w:type="page"/>
      </w:r>
    </w:p>
    <w:bookmarkStart w:id="1" w:name="_Toc454373916" w:displacedByCustomXml="next"/>
    <w:bookmarkStart w:id="2" w:name="_Toc454199599" w:displacedByCustomXml="next"/>
    <w:bookmarkStart w:id="3" w:name="_Toc454268792" w:displacedByCustomXml="next"/>
    <w:bookmarkStart w:id="4" w:name="_Toc459720360" w:displacedByCustomXml="next"/>
    <w:bookmarkStart w:id="5" w:name="_Toc453938269" w:displacedByCustomXml="next"/>
    <w:bookmarkStart w:id="6" w:name="_Toc442340097" w:displacedByCustomXml="next"/>
    <w:bookmarkStart w:id="7" w:name="_Toc442351429" w:displacedByCustomXml="next"/>
    <w:bookmarkStart w:id="8" w:name="_Toc444680008" w:displacedByCustomXml="next"/>
    <w:bookmarkStart w:id="9" w:name="_Toc444869192" w:displacedByCustomXml="next"/>
    <w:bookmarkStart w:id="10" w:name="_Toc444869244" w:displacedByCustomXml="next"/>
    <w:bookmarkStart w:id="11" w:name="_Toc444869327" w:displacedByCustomXml="next"/>
    <w:bookmarkStart w:id="12" w:name="_Toc445362466" w:displacedByCustomXml="next"/>
    <w:bookmarkStart w:id="13" w:name="_Toc445363794" w:displacedByCustomXml="next"/>
    <w:sdt>
      <w:sdtPr>
        <w:rPr>
          <w:b w:val="0"/>
          <w:sz w:val="20"/>
          <w:szCs w:val="22"/>
        </w:rPr>
        <w:id w:val="691722323"/>
        <w:docPartObj>
          <w:docPartGallery w:val="Table of Contents"/>
          <w:docPartUnique/>
        </w:docPartObj>
      </w:sdtPr>
      <w:sdtEndPr>
        <w:rPr>
          <w:bCs/>
          <w:noProof/>
        </w:rPr>
      </w:sdtEndPr>
      <w:sdtContent>
        <w:p w:rsidR="0075723F" w:rsidRDefault="0075723F" w:rsidP="0075723F">
          <w:pPr>
            <w:pStyle w:val="Heading1"/>
          </w:pPr>
          <w:r>
            <w:t>Contents</w:t>
          </w:r>
          <w:bookmarkEnd w:id="4"/>
          <w:bookmarkEnd w:id="3"/>
          <w:bookmarkEnd w:id="2"/>
          <w:bookmarkEnd w:id="1"/>
        </w:p>
        <w:p w:rsidR="00A12608" w:rsidRPr="00A12608" w:rsidRDefault="0075723F" w:rsidP="00A12608">
          <w:pPr>
            <w:pStyle w:val="TOC1"/>
            <w:rPr>
              <w:rFonts w:asciiTheme="minorHAnsi" w:eastAsiaTheme="minorEastAsia" w:hAnsiTheme="minorHAnsi" w:cstheme="minorBidi"/>
              <w:kern w:val="0"/>
              <w:sz w:val="22"/>
            </w:rPr>
          </w:pPr>
          <w:r w:rsidRPr="00336437">
            <w:fldChar w:fldCharType="begin"/>
          </w:r>
          <w:r w:rsidRPr="00A12608">
            <w:instrText xml:space="preserve"> TOC \o "1-3" \h \z \u </w:instrText>
          </w:r>
          <w:r w:rsidRPr="00336437">
            <w:fldChar w:fldCharType="separate"/>
          </w:r>
          <w:hyperlink w:anchor="_Toc459720361" w:history="1">
            <w:r w:rsidR="00A12608" w:rsidRPr="00A12608">
              <w:rPr>
                <w:rStyle w:val="Hyperlink"/>
              </w:rPr>
              <w:t>Introduction</w:t>
            </w:r>
            <w:r w:rsidR="00A12608" w:rsidRPr="00A12608">
              <w:rPr>
                <w:webHidden/>
              </w:rPr>
              <w:tab/>
            </w:r>
            <w:r w:rsidR="00A12608" w:rsidRPr="00A12608">
              <w:rPr>
                <w:webHidden/>
              </w:rPr>
              <w:fldChar w:fldCharType="begin"/>
            </w:r>
            <w:r w:rsidR="00A12608" w:rsidRPr="00A12608">
              <w:rPr>
                <w:webHidden/>
              </w:rPr>
              <w:instrText xml:space="preserve"> PAGEREF _Toc459720361 \h </w:instrText>
            </w:r>
            <w:r w:rsidR="00A12608" w:rsidRPr="00A12608">
              <w:rPr>
                <w:webHidden/>
              </w:rPr>
            </w:r>
            <w:r w:rsidR="00A12608" w:rsidRPr="00A12608">
              <w:rPr>
                <w:webHidden/>
              </w:rPr>
              <w:fldChar w:fldCharType="separate"/>
            </w:r>
            <w:r w:rsidR="00D674C3">
              <w:rPr>
                <w:webHidden/>
              </w:rPr>
              <w:t>4</w:t>
            </w:r>
            <w:r w:rsidR="00A12608" w:rsidRPr="00A12608">
              <w:rPr>
                <w:webHidden/>
              </w:rPr>
              <w:fldChar w:fldCharType="end"/>
            </w:r>
          </w:hyperlink>
        </w:p>
        <w:p w:rsidR="00A12608" w:rsidRDefault="00FC6C95">
          <w:pPr>
            <w:pStyle w:val="TOC2"/>
            <w:tabs>
              <w:tab w:val="right" w:leader="dot" w:pos="9742"/>
            </w:tabs>
            <w:rPr>
              <w:rFonts w:asciiTheme="minorHAnsi" w:eastAsiaTheme="minorEastAsia" w:hAnsiTheme="minorHAnsi" w:cstheme="minorBidi"/>
              <w:noProof/>
              <w:kern w:val="0"/>
              <w:sz w:val="22"/>
            </w:rPr>
          </w:pPr>
          <w:hyperlink w:anchor="_Toc459720362" w:history="1">
            <w:r w:rsidR="00A12608" w:rsidRPr="00F1145F">
              <w:rPr>
                <w:rStyle w:val="Hyperlink"/>
                <w:noProof/>
              </w:rPr>
              <w:t>Scope of the agricultural industry</w:t>
            </w:r>
            <w:r w:rsidR="00A12608">
              <w:rPr>
                <w:noProof/>
                <w:webHidden/>
              </w:rPr>
              <w:tab/>
            </w:r>
            <w:r w:rsidR="00A12608">
              <w:rPr>
                <w:noProof/>
                <w:webHidden/>
              </w:rPr>
              <w:fldChar w:fldCharType="begin"/>
            </w:r>
            <w:r w:rsidR="00A12608">
              <w:rPr>
                <w:noProof/>
                <w:webHidden/>
              </w:rPr>
              <w:instrText xml:space="preserve"> PAGEREF _Toc459720362 \h </w:instrText>
            </w:r>
            <w:r w:rsidR="00A12608">
              <w:rPr>
                <w:noProof/>
                <w:webHidden/>
              </w:rPr>
            </w:r>
            <w:r w:rsidR="00A12608">
              <w:rPr>
                <w:noProof/>
                <w:webHidden/>
              </w:rPr>
              <w:fldChar w:fldCharType="separate"/>
            </w:r>
            <w:r w:rsidR="00D674C3">
              <w:rPr>
                <w:noProof/>
                <w:webHidden/>
              </w:rPr>
              <w:t>4</w:t>
            </w:r>
            <w:r w:rsidR="00A12608">
              <w:rPr>
                <w:noProof/>
                <w:webHidden/>
              </w:rPr>
              <w:fldChar w:fldCharType="end"/>
            </w:r>
          </w:hyperlink>
        </w:p>
        <w:p w:rsidR="00A12608" w:rsidRPr="00A12608" w:rsidRDefault="00FC6C95" w:rsidP="00A12608">
          <w:pPr>
            <w:pStyle w:val="TOC1"/>
            <w:rPr>
              <w:rFonts w:asciiTheme="minorHAnsi" w:eastAsiaTheme="minorEastAsia" w:hAnsiTheme="minorHAnsi" w:cstheme="minorBidi"/>
              <w:kern w:val="0"/>
              <w:sz w:val="22"/>
            </w:rPr>
          </w:pPr>
          <w:hyperlink w:anchor="_Toc459720363" w:history="1">
            <w:r w:rsidR="00A12608" w:rsidRPr="00A12608">
              <w:rPr>
                <w:rStyle w:val="Hyperlink"/>
              </w:rPr>
              <w:t>Worker fatalities</w:t>
            </w:r>
            <w:r w:rsidR="00A12608" w:rsidRPr="00A12608">
              <w:rPr>
                <w:webHidden/>
              </w:rPr>
              <w:tab/>
            </w:r>
            <w:r w:rsidR="00A12608" w:rsidRPr="00A12608">
              <w:rPr>
                <w:webHidden/>
              </w:rPr>
              <w:fldChar w:fldCharType="begin"/>
            </w:r>
            <w:r w:rsidR="00A12608" w:rsidRPr="00A12608">
              <w:rPr>
                <w:webHidden/>
              </w:rPr>
              <w:instrText xml:space="preserve"> PAGEREF _Toc459720363 \h </w:instrText>
            </w:r>
            <w:r w:rsidR="00A12608" w:rsidRPr="00A12608">
              <w:rPr>
                <w:webHidden/>
              </w:rPr>
            </w:r>
            <w:r w:rsidR="00A12608" w:rsidRPr="00A12608">
              <w:rPr>
                <w:webHidden/>
              </w:rPr>
              <w:fldChar w:fldCharType="separate"/>
            </w:r>
            <w:r w:rsidR="00D674C3">
              <w:rPr>
                <w:webHidden/>
              </w:rPr>
              <w:t>5</w:t>
            </w:r>
            <w:r w:rsidR="00A12608" w:rsidRPr="00A12608">
              <w:rPr>
                <w:webHidden/>
              </w:rPr>
              <w:fldChar w:fldCharType="end"/>
            </w:r>
          </w:hyperlink>
        </w:p>
        <w:p w:rsidR="00A12608" w:rsidRDefault="00FC6C95">
          <w:pPr>
            <w:pStyle w:val="TOC2"/>
            <w:tabs>
              <w:tab w:val="right" w:leader="dot" w:pos="9742"/>
            </w:tabs>
            <w:rPr>
              <w:rFonts w:asciiTheme="minorHAnsi" w:eastAsiaTheme="minorEastAsia" w:hAnsiTheme="minorHAnsi" w:cstheme="minorBidi"/>
              <w:noProof/>
              <w:kern w:val="0"/>
              <w:sz w:val="22"/>
            </w:rPr>
          </w:pPr>
          <w:hyperlink w:anchor="_Toc459720364" w:history="1">
            <w:r w:rsidR="00A12608" w:rsidRPr="00F1145F">
              <w:rPr>
                <w:rStyle w:val="Hyperlink"/>
                <w:noProof/>
              </w:rPr>
              <w:t>Comparison with other industries</w:t>
            </w:r>
            <w:r w:rsidR="00A12608">
              <w:rPr>
                <w:noProof/>
                <w:webHidden/>
              </w:rPr>
              <w:tab/>
            </w:r>
            <w:r w:rsidR="00A12608">
              <w:rPr>
                <w:noProof/>
                <w:webHidden/>
              </w:rPr>
              <w:fldChar w:fldCharType="begin"/>
            </w:r>
            <w:r w:rsidR="00A12608">
              <w:rPr>
                <w:noProof/>
                <w:webHidden/>
              </w:rPr>
              <w:instrText xml:space="preserve"> PAGEREF _Toc459720364 \h </w:instrText>
            </w:r>
            <w:r w:rsidR="00A12608">
              <w:rPr>
                <w:noProof/>
                <w:webHidden/>
              </w:rPr>
            </w:r>
            <w:r w:rsidR="00A12608">
              <w:rPr>
                <w:noProof/>
                <w:webHidden/>
              </w:rPr>
              <w:fldChar w:fldCharType="separate"/>
            </w:r>
            <w:r w:rsidR="00D674C3">
              <w:rPr>
                <w:noProof/>
                <w:webHidden/>
              </w:rPr>
              <w:t>5</w:t>
            </w:r>
            <w:r w:rsidR="00A12608">
              <w:rPr>
                <w:noProof/>
                <w:webHidden/>
              </w:rPr>
              <w:fldChar w:fldCharType="end"/>
            </w:r>
          </w:hyperlink>
        </w:p>
        <w:p w:rsidR="00A12608" w:rsidRDefault="00FC6C95">
          <w:pPr>
            <w:pStyle w:val="TOC2"/>
            <w:tabs>
              <w:tab w:val="right" w:leader="dot" w:pos="9742"/>
            </w:tabs>
            <w:rPr>
              <w:rFonts w:asciiTheme="minorHAnsi" w:eastAsiaTheme="minorEastAsia" w:hAnsiTheme="minorHAnsi" w:cstheme="minorBidi"/>
              <w:noProof/>
              <w:kern w:val="0"/>
              <w:sz w:val="22"/>
            </w:rPr>
          </w:pPr>
          <w:hyperlink w:anchor="_Toc459720365" w:history="1">
            <w:r w:rsidR="00A12608" w:rsidRPr="00F1145F">
              <w:rPr>
                <w:rStyle w:val="Hyperlink"/>
                <w:noProof/>
              </w:rPr>
              <w:t>Trends over time</w:t>
            </w:r>
            <w:r w:rsidR="00A12608">
              <w:rPr>
                <w:noProof/>
                <w:webHidden/>
              </w:rPr>
              <w:tab/>
            </w:r>
            <w:r w:rsidR="00A12608">
              <w:rPr>
                <w:noProof/>
                <w:webHidden/>
              </w:rPr>
              <w:fldChar w:fldCharType="begin"/>
            </w:r>
            <w:r w:rsidR="00A12608">
              <w:rPr>
                <w:noProof/>
                <w:webHidden/>
              </w:rPr>
              <w:instrText xml:space="preserve"> PAGEREF _Toc459720365 \h </w:instrText>
            </w:r>
            <w:r w:rsidR="00A12608">
              <w:rPr>
                <w:noProof/>
                <w:webHidden/>
              </w:rPr>
            </w:r>
            <w:r w:rsidR="00A12608">
              <w:rPr>
                <w:noProof/>
                <w:webHidden/>
              </w:rPr>
              <w:fldChar w:fldCharType="separate"/>
            </w:r>
            <w:r w:rsidR="00D674C3">
              <w:rPr>
                <w:noProof/>
                <w:webHidden/>
              </w:rPr>
              <w:t>5</w:t>
            </w:r>
            <w:r w:rsidR="00A12608">
              <w:rPr>
                <w:noProof/>
                <w:webHidden/>
              </w:rPr>
              <w:fldChar w:fldCharType="end"/>
            </w:r>
          </w:hyperlink>
        </w:p>
        <w:p w:rsidR="00A12608" w:rsidRDefault="00FC6C95">
          <w:pPr>
            <w:pStyle w:val="TOC2"/>
            <w:tabs>
              <w:tab w:val="right" w:leader="dot" w:pos="9742"/>
            </w:tabs>
            <w:rPr>
              <w:rFonts w:asciiTheme="minorHAnsi" w:eastAsiaTheme="minorEastAsia" w:hAnsiTheme="minorHAnsi" w:cstheme="minorBidi"/>
              <w:noProof/>
              <w:kern w:val="0"/>
              <w:sz w:val="22"/>
            </w:rPr>
          </w:pPr>
          <w:hyperlink w:anchor="_Toc459720366" w:history="1">
            <w:r w:rsidR="00A12608" w:rsidRPr="00F1145F">
              <w:rPr>
                <w:rStyle w:val="Hyperlink"/>
                <w:noProof/>
              </w:rPr>
              <w:t>Agricultural subdivisions</w:t>
            </w:r>
            <w:r w:rsidR="00A12608">
              <w:rPr>
                <w:noProof/>
                <w:webHidden/>
              </w:rPr>
              <w:tab/>
            </w:r>
            <w:r w:rsidR="00A12608">
              <w:rPr>
                <w:noProof/>
                <w:webHidden/>
              </w:rPr>
              <w:fldChar w:fldCharType="begin"/>
            </w:r>
            <w:r w:rsidR="00A12608">
              <w:rPr>
                <w:noProof/>
                <w:webHidden/>
              </w:rPr>
              <w:instrText xml:space="preserve"> PAGEREF _Toc459720366 \h </w:instrText>
            </w:r>
            <w:r w:rsidR="00A12608">
              <w:rPr>
                <w:noProof/>
                <w:webHidden/>
              </w:rPr>
            </w:r>
            <w:r w:rsidR="00A12608">
              <w:rPr>
                <w:noProof/>
                <w:webHidden/>
              </w:rPr>
              <w:fldChar w:fldCharType="separate"/>
            </w:r>
            <w:r w:rsidR="00D674C3">
              <w:rPr>
                <w:noProof/>
                <w:webHidden/>
              </w:rPr>
              <w:t>6</w:t>
            </w:r>
            <w:r w:rsidR="00A12608">
              <w:rPr>
                <w:noProof/>
                <w:webHidden/>
              </w:rPr>
              <w:fldChar w:fldCharType="end"/>
            </w:r>
          </w:hyperlink>
        </w:p>
        <w:p w:rsidR="00A12608" w:rsidRDefault="00FC6C95">
          <w:pPr>
            <w:pStyle w:val="TOC2"/>
            <w:tabs>
              <w:tab w:val="right" w:leader="dot" w:pos="9742"/>
            </w:tabs>
            <w:rPr>
              <w:rFonts w:asciiTheme="minorHAnsi" w:eastAsiaTheme="minorEastAsia" w:hAnsiTheme="minorHAnsi" w:cstheme="minorBidi"/>
              <w:noProof/>
              <w:kern w:val="0"/>
              <w:sz w:val="22"/>
            </w:rPr>
          </w:pPr>
          <w:hyperlink w:anchor="_Toc459720367" w:history="1">
            <w:r w:rsidR="00A12608" w:rsidRPr="00F1145F">
              <w:rPr>
                <w:rStyle w:val="Hyperlink"/>
                <w:noProof/>
              </w:rPr>
              <w:t>Jurisdiction</w:t>
            </w:r>
            <w:r w:rsidR="00A12608">
              <w:rPr>
                <w:noProof/>
                <w:webHidden/>
              </w:rPr>
              <w:tab/>
            </w:r>
            <w:r w:rsidR="00A12608">
              <w:rPr>
                <w:noProof/>
                <w:webHidden/>
              </w:rPr>
              <w:fldChar w:fldCharType="begin"/>
            </w:r>
            <w:r w:rsidR="00A12608">
              <w:rPr>
                <w:noProof/>
                <w:webHidden/>
              </w:rPr>
              <w:instrText xml:space="preserve"> PAGEREF _Toc459720367 \h </w:instrText>
            </w:r>
            <w:r w:rsidR="00A12608">
              <w:rPr>
                <w:noProof/>
                <w:webHidden/>
              </w:rPr>
            </w:r>
            <w:r w:rsidR="00A12608">
              <w:rPr>
                <w:noProof/>
                <w:webHidden/>
              </w:rPr>
              <w:fldChar w:fldCharType="separate"/>
            </w:r>
            <w:r w:rsidR="00D674C3">
              <w:rPr>
                <w:noProof/>
                <w:webHidden/>
              </w:rPr>
              <w:t>6</w:t>
            </w:r>
            <w:r w:rsidR="00A12608">
              <w:rPr>
                <w:noProof/>
                <w:webHidden/>
              </w:rPr>
              <w:fldChar w:fldCharType="end"/>
            </w:r>
          </w:hyperlink>
        </w:p>
        <w:p w:rsidR="00A12608" w:rsidRDefault="00FC6C95">
          <w:pPr>
            <w:pStyle w:val="TOC2"/>
            <w:tabs>
              <w:tab w:val="right" w:leader="dot" w:pos="9742"/>
            </w:tabs>
            <w:rPr>
              <w:rFonts w:asciiTheme="minorHAnsi" w:eastAsiaTheme="minorEastAsia" w:hAnsiTheme="minorHAnsi" w:cstheme="minorBidi"/>
              <w:noProof/>
              <w:kern w:val="0"/>
              <w:sz w:val="22"/>
            </w:rPr>
          </w:pPr>
          <w:hyperlink w:anchor="_Toc459720368" w:history="1">
            <w:r w:rsidR="00A12608" w:rsidRPr="00F1145F">
              <w:rPr>
                <w:rStyle w:val="Hyperlink"/>
                <w:noProof/>
              </w:rPr>
              <w:t>Age group</w:t>
            </w:r>
            <w:r w:rsidR="00A12608">
              <w:rPr>
                <w:noProof/>
                <w:webHidden/>
              </w:rPr>
              <w:tab/>
            </w:r>
            <w:r w:rsidR="00A12608">
              <w:rPr>
                <w:noProof/>
                <w:webHidden/>
              </w:rPr>
              <w:fldChar w:fldCharType="begin"/>
            </w:r>
            <w:r w:rsidR="00A12608">
              <w:rPr>
                <w:noProof/>
                <w:webHidden/>
              </w:rPr>
              <w:instrText xml:space="preserve"> PAGEREF _Toc459720368 \h </w:instrText>
            </w:r>
            <w:r w:rsidR="00A12608">
              <w:rPr>
                <w:noProof/>
                <w:webHidden/>
              </w:rPr>
            </w:r>
            <w:r w:rsidR="00A12608">
              <w:rPr>
                <w:noProof/>
                <w:webHidden/>
              </w:rPr>
              <w:fldChar w:fldCharType="separate"/>
            </w:r>
            <w:r w:rsidR="00D674C3">
              <w:rPr>
                <w:noProof/>
                <w:webHidden/>
              </w:rPr>
              <w:t>7</w:t>
            </w:r>
            <w:r w:rsidR="00A12608">
              <w:rPr>
                <w:noProof/>
                <w:webHidden/>
              </w:rPr>
              <w:fldChar w:fldCharType="end"/>
            </w:r>
          </w:hyperlink>
        </w:p>
        <w:p w:rsidR="00A12608" w:rsidRDefault="00FC6C95">
          <w:pPr>
            <w:pStyle w:val="TOC2"/>
            <w:tabs>
              <w:tab w:val="right" w:leader="dot" w:pos="9742"/>
            </w:tabs>
            <w:rPr>
              <w:rFonts w:asciiTheme="minorHAnsi" w:eastAsiaTheme="minorEastAsia" w:hAnsiTheme="minorHAnsi" w:cstheme="minorBidi"/>
              <w:noProof/>
              <w:kern w:val="0"/>
              <w:sz w:val="22"/>
            </w:rPr>
          </w:pPr>
          <w:hyperlink w:anchor="_Toc459720369" w:history="1">
            <w:r w:rsidR="00A12608" w:rsidRPr="00F1145F">
              <w:rPr>
                <w:rStyle w:val="Hyperlink"/>
                <w:noProof/>
              </w:rPr>
              <w:t>Fatalities involving vehicles</w:t>
            </w:r>
            <w:r w:rsidR="00A12608">
              <w:rPr>
                <w:noProof/>
                <w:webHidden/>
              </w:rPr>
              <w:tab/>
            </w:r>
            <w:r w:rsidR="00A12608">
              <w:rPr>
                <w:noProof/>
                <w:webHidden/>
              </w:rPr>
              <w:fldChar w:fldCharType="begin"/>
            </w:r>
            <w:r w:rsidR="00A12608">
              <w:rPr>
                <w:noProof/>
                <w:webHidden/>
              </w:rPr>
              <w:instrText xml:space="preserve"> PAGEREF _Toc459720369 \h </w:instrText>
            </w:r>
            <w:r w:rsidR="00A12608">
              <w:rPr>
                <w:noProof/>
                <w:webHidden/>
              </w:rPr>
            </w:r>
            <w:r w:rsidR="00A12608">
              <w:rPr>
                <w:noProof/>
                <w:webHidden/>
              </w:rPr>
              <w:fldChar w:fldCharType="separate"/>
            </w:r>
            <w:r w:rsidR="00D674C3">
              <w:rPr>
                <w:noProof/>
                <w:webHidden/>
              </w:rPr>
              <w:t>8</w:t>
            </w:r>
            <w:r w:rsidR="00A12608">
              <w:rPr>
                <w:noProof/>
                <w:webHidden/>
              </w:rPr>
              <w:fldChar w:fldCharType="end"/>
            </w:r>
          </w:hyperlink>
        </w:p>
        <w:p w:rsidR="00A12608" w:rsidRDefault="00FC6C95">
          <w:pPr>
            <w:pStyle w:val="TOC2"/>
            <w:tabs>
              <w:tab w:val="right" w:leader="dot" w:pos="9742"/>
            </w:tabs>
            <w:rPr>
              <w:rFonts w:asciiTheme="minorHAnsi" w:eastAsiaTheme="minorEastAsia" w:hAnsiTheme="minorHAnsi" w:cstheme="minorBidi"/>
              <w:noProof/>
              <w:kern w:val="0"/>
              <w:sz w:val="22"/>
            </w:rPr>
          </w:pPr>
          <w:hyperlink w:anchor="_Toc459720370" w:history="1">
            <w:r w:rsidR="00A12608" w:rsidRPr="00F1145F">
              <w:rPr>
                <w:rStyle w:val="Hyperlink"/>
                <w:noProof/>
              </w:rPr>
              <w:t>Fatalities involving vehicles by age group</w:t>
            </w:r>
            <w:r w:rsidR="00A12608">
              <w:rPr>
                <w:noProof/>
                <w:webHidden/>
              </w:rPr>
              <w:tab/>
            </w:r>
            <w:r w:rsidR="00A12608">
              <w:rPr>
                <w:noProof/>
                <w:webHidden/>
              </w:rPr>
              <w:fldChar w:fldCharType="begin"/>
            </w:r>
            <w:r w:rsidR="00A12608">
              <w:rPr>
                <w:noProof/>
                <w:webHidden/>
              </w:rPr>
              <w:instrText xml:space="preserve"> PAGEREF _Toc459720370 \h </w:instrText>
            </w:r>
            <w:r w:rsidR="00A12608">
              <w:rPr>
                <w:noProof/>
                <w:webHidden/>
              </w:rPr>
            </w:r>
            <w:r w:rsidR="00A12608">
              <w:rPr>
                <w:noProof/>
                <w:webHidden/>
              </w:rPr>
              <w:fldChar w:fldCharType="separate"/>
            </w:r>
            <w:r w:rsidR="00D674C3">
              <w:rPr>
                <w:noProof/>
                <w:webHidden/>
              </w:rPr>
              <w:t>9</w:t>
            </w:r>
            <w:r w:rsidR="00A12608">
              <w:rPr>
                <w:noProof/>
                <w:webHidden/>
              </w:rPr>
              <w:fldChar w:fldCharType="end"/>
            </w:r>
          </w:hyperlink>
        </w:p>
        <w:p w:rsidR="00A12608" w:rsidRDefault="00FC6C95">
          <w:pPr>
            <w:pStyle w:val="TOC2"/>
            <w:tabs>
              <w:tab w:val="right" w:leader="dot" w:pos="9742"/>
            </w:tabs>
            <w:rPr>
              <w:rFonts w:asciiTheme="minorHAnsi" w:eastAsiaTheme="minorEastAsia" w:hAnsiTheme="minorHAnsi" w:cstheme="minorBidi"/>
              <w:noProof/>
              <w:kern w:val="0"/>
              <w:sz w:val="22"/>
            </w:rPr>
          </w:pPr>
          <w:hyperlink w:anchor="_Toc459720371" w:history="1">
            <w:r w:rsidR="00A12608" w:rsidRPr="00F1145F">
              <w:rPr>
                <w:rStyle w:val="Hyperlink"/>
                <w:noProof/>
              </w:rPr>
              <w:t>Activities associated with vehicle fatalities</w:t>
            </w:r>
            <w:r w:rsidR="00A12608">
              <w:rPr>
                <w:noProof/>
                <w:webHidden/>
              </w:rPr>
              <w:tab/>
            </w:r>
            <w:r w:rsidR="00A12608">
              <w:rPr>
                <w:noProof/>
                <w:webHidden/>
              </w:rPr>
              <w:fldChar w:fldCharType="begin"/>
            </w:r>
            <w:r w:rsidR="00A12608">
              <w:rPr>
                <w:noProof/>
                <w:webHidden/>
              </w:rPr>
              <w:instrText xml:space="preserve"> PAGEREF _Toc459720371 \h </w:instrText>
            </w:r>
            <w:r w:rsidR="00A12608">
              <w:rPr>
                <w:noProof/>
                <w:webHidden/>
              </w:rPr>
            </w:r>
            <w:r w:rsidR="00A12608">
              <w:rPr>
                <w:noProof/>
                <w:webHidden/>
              </w:rPr>
              <w:fldChar w:fldCharType="separate"/>
            </w:r>
            <w:r w:rsidR="00D674C3">
              <w:rPr>
                <w:noProof/>
                <w:webHidden/>
              </w:rPr>
              <w:t>9</w:t>
            </w:r>
            <w:r w:rsidR="00A12608">
              <w:rPr>
                <w:noProof/>
                <w:webHidden/>
              </w:rPr>
              <w:fldChar w:fldCharType="end"/>
            </w:r>
          </w:hyperlink>
        </w:p>
        <w:p w:rsidR="00A12608" w:rsidRDefault="00FC6C95">
          <w:pPr>
            <w:pStyle w:val="TOC2"/>
            <w:tabs>
              <w:tab w:val="right" w:leader="dot" w:pos="9742"/>
            </w:tabs>
            <w:rPr>
              <w:rFonts w:asciiTheme="minorHAnsi" w:eastAsiaTheme="minorEastAsia" w:hAnsiTheme="minorHAnsi" w:cstheme="minorBidi"/>
              <w:noProof/>
              <w:kern w:val="0"/>
              <w:sz w:val="22"/>
            </w:rPr>
          </w:pPr>
          <w:hyperlink w:anchor="_Toc459720372" w:history="1">
            <w:r w:rsidR="00A12608" w:rsidRPr="00F1145F">
              <w:rPr>
                <w:rStyle w:val="Hyperlink"/>
                <w:noProof/>
              </w:rPr>
              <w:t>Fatalities not involving vehicles</w:t>
            </w:r>
            <w:r w:rsidR="00A12608">
              <w:rPr>
                <w:noProof/>
                <w:webHidden/>
              </w:rPr>
              <w:tab/>
            </w:r>
            <w:r w:rsidR="00A12608">
              <w:rPr>
                <w:noProof/>
                <w:webHidden/>
              </w:rPr>
              <w:fldChar w:fldCharType="begin"/>
            </w:r>
            <w:r w:rsidR="00A12608">
              <w:rPr>
                <w:noProof/>
                <w:webHidden/>
              </w:rPr>
              <w:instrText xml:space="preserve"> PAGEREF _Toc459720372 \h </w:instrText>
            </w:r>
            <w:r w:rsidR="00A12608">
              <w:rPr>
                <w:noProof/>
                <w:webHidden/>
              </w:rPr>
            </w:r>
            <w:r w:rsidR="00A12608">
              <w:rPr>
                <w:noProof/>
                <w:webHidden/>
              </w:rPr>
              <w:fldChar w:fldCharType="separate"/>
            </w:r>
            <w:r w:rsidR="00D674C3">
              <w:rPr>
                <w:noProof/>
                <w:webHidden/>
              </w:rPr>
              <w:t>10</w:t>
            </w:r>
            <w:r w:rsidR="00A12608">
              <w:rPr>
                <w:noProof/>
                <w:webHidden/>
              </w:rPr>
              <w:fldChar w:fldCharType="end"/>
            </w:r>
          </w:hyperlink>
        </w:p>
        <w:p w:rsidR="00A12608" w:rsidRDefault="00FC6C95" w:rsidP="00A12608">
          <w:pPr>
            <w:pStyle w:val="TOC1"/>
            <w:rPr>
              <w:rFonts w:asciiTheme="minorHAnsi" w:eastAsiaTheme="minorEastAsia" w:hAnsiTheme="minorHAnsi" w:cstheme="minorBidi"/>
              <w:b/>
              <w:kern w:val="0"/>
              <w:sz w:val="22"/>
            </w:rPr>
          </w:pPr>
          <w:hyperlink w:anchor="_Toc459720373" w:history="1">
            <w:r w:rsidR="00A12608" w:rsidRPr="00F1145F">
              <w:rPr>
                <w:rStyle w:val="Hyperlink"/>
              </w:rPr>
              <w:t>Workers’ compensation claims</w:t>
            </w:r>
            <w:r w:rsidR="00A12608">
              <w:rPr>
                <w:webHidden/>
              </w:rPr>
              <w:tab/>
            </w:r>
            <w:r w:rsidR="00A12608">
              <w:rPr>
                <w:webHidden/>
              </w:rPr>
              <w:fldChar w:fldCharType="begin"/>
            </w:r>
            <w:r w:rsidR="00A12608">
              <w:rPr>
                <w:webHidden/>
              </w:rPr>
              <w:instrText xml:space="preserve"> PAGEREF _Toc459720373 \h </w:instrText>
            </w:r>
            <w:r w:rsidR="00A12608">
              <w:rPr>
                <w:webHidden/>
              </w:rPr>
            </w:r>
            <w:r w:rsidR="00A12608">
              <w:rPr>
                <w:webHidden/>
              </w:rPr>
              <w:fldChar w:fldCharType="separate"/>
            </w:r>
            <w:r w:rsidR="00D674C3">
              <w:rPr>
                <w:webHidden/>
              </w:rPr>
              <w:t>11</w:t>
            </w:r>
            <w:r w:rsidR="00A12608">
              <w:rPr>
                <w:webHidden/>
              </w:rPr>
              <w:fldChar w:fldCharType="end"/>
            </w:r>
          </w:hyperlink>
        </w:p>
        <w:p w:rsidR="00A12608" w:rsidRDefault="00FC6C95">
          <w:pPr>
            <w:pStyle w:val="TOC2"/>
            <w:tabs>
              <w:tab w:val="right" w:leader="dot" w:pos="9742"/>
            </w:tabs>
            <w:rPr>
              <w:rFonts w:asciiTheme="minorHAnsi" w:eastAsiaTheme="minorEastAsia" w:hAnsiTheme="minorHAnsi" w:cstheme="minorBidi"/>
              <w:noProof/>
              <w:kern w:val="0"/>
              <w:sz w:val="22"/>
            </w:rPr>
          </w:pPr>
          <w:hyperlink w:anchor="_Toc459720374" w:history="1">
            <w:r w:rsidR="00A12608" w:rsidRPr="00F1145F">
              <w:rPr>
                <w:rStyle w:val="Hyperlink"/>
                <w:noProof/>
              </w:rPr>
              <w:t>Comparison with other industries</w:t>
            </w:r>
            <w:r w:rsidR="00A12608">
              <w:rPr>
                <w:noProof/>
                <w:webHidden/>
              </w:rPr>
              <w:tab/>
            </w:r>
            <w:r w:rsidR="00A12608">
              <w:rPr>
                <w:noProof/>
                <w:webHidden/>
              </w:rPr>
              <w:fldChar w:fldCharType="begin"/>
            </w:r>
            <w:r w:rsidR="00A12608">
              <w:rPr>
                <w:noProof/>
                <w:webHidden/>
              </w:rPr>
              <w:instrText xml:space="preserve"> PAGEREF _Toc459720374 \h </w:instrText>
            </w:r>
            <w:r w:rsidR="00A12608">
              <w:rPr>
                <w:noProof/>
                <w:webHidden/>
              </w:rPr>
            </w:r>
            <w:r w:rsidR="00A12608">
              <w:rPr>
                <w:noProof/>
                <w:webHidden/>
              </w:rPr>
              <w:fldChar w:fldCharType="separate"/>
            </w:r>
            <w:r w:rsidR="00D674C3">
              <w:rPr>
                <w:noProof/>
                <w:webHidden/>
              </w:rPr>
              <w:t>11</w:t>
            </w:r>
            <w:r w:rsidR="00A12608">
              <w:rPr>
                <w:noProof/>
                <w:webHidden/>
              </w:rPr>
              <w:fldChar w:fldCharType="end"/>
            </w:r>
          </w:hyperlink>
        </w:p>
        <w:p w:rsidR="00A12608" w:rsidRDefault="00FC6C95">
          <w:pPr>
            <w:pStyle w:val="TOC2"/>
            <w:tabs>
              <w:tab w:val="right" w:leader="dot" w:pos="9742"/>
            </w:tabs>
            <w:rPr>
              <w:rFonts w:asciiTheme="minorHAnsi" w:eastAsiaTheme="minorEastAsia" w:hAnsiTheme="minorHAnsi" w:cstheme="minorBidi"/>
              <w:noProof/>
              <w:kern w:val="0"/>
              <w:sz w:val="22"/>
            </w:rPr>
          </w:pPr>
          <w:hyperlink w:anchor="_Toc459720375" w:history="1">
            <w:r w:rsidR="00A12608" w:rsidRPr="00F1145F">
              <w:rPr>
                <w:rStyle w:val="Hyperlink"/>
                <w:noProof/>
              </w:rPr>
              <w:t>Trends over time</w:t>
            </w:r>
            <w:r w:rsidR="00A12608">
              <w:rPr>
                <w:noProof/>
                <w:webHidden/>
              </w:rPr>
              <w:tab/>
            </w:r>
            <w:r w:rsidR="00A12608">
              <w:rPr>
                <w:noProof/>
                <w:webHidden/>
              </w:rPr>
              <w:fldChar w:fldCharType="begin"/>
            </w:r>
            <w:r w:rsidR="00A12608">
              <w:rPr>
                <w:noProof/>
                <w:webHidden/>
              </w:rPr>
              <w:instrText xml:space="preserve"> PAGEREF _Toc459720375 \h </w:instrText>
            </w:r>
            <w:r w:rsidR="00A12608">
              <w:rPr>
                <w:noProof/>
                <w:webHidden/>
              </w:rPr>
            </w:r>
            <w:r w:rsidR="00A12608">
              <w:rPr>
                <w:noProof/>
                <w:webHidden/>
              </w:rPr>
              <w:fldChar w:fldCharType="separate"/>
            </w:r>
            <w:r w:rsidR="00D674C3">
              <w:rPr>
                <w:noProof/>
                <w:webHidden/>
              </w:rPr>
              <w:t>12</w:t>
            </w:r>
            <w:r w:rsidR="00A12608">
              <w:rPr>
                <w:noProof/>
                <w:webHidden/>
              </w:rPr>
              <w:fldChar w:fldCharType="end"/>
            </w:r>
          </w:hyperlink>
        </w:p>
        <w:p w:rsidR="00A12608" w:rsidRDefault="00FC6C95">
          <w:pPr>
            <w:pStyle w:val="TOC2"/>
            <w:tabs>
              <w:tab w:val="right" w:leader="dot" w:pos="9742"/>
            </w:tabs>
            <w:rPr>
              <w:rFonts w:asciiTheme="minorHAnsi" w:eastAsiaTheme="minorEastAsia" w:hAnsiTheme="minorHAnsi" w:cstheme="minorBidi"/>
              <w:noProof/>
              <w:kern w:val="0"/>
              <w:sz w:val="22"/>
            </w:rPr>
          </w:pPr>
          <w:hyperlink w:anchor="_Toc459720376" w:history="1">
            <w:r w:rsidR="00A12608" w:rsidRPr="00F1145F">
              <w:rPr>
                <w:rStyle w:val="Hyperlink"/>
                <w:noProof/>
              </w:rPr>
              <w:t>Agricultural subdivisions</w:t>
            </w:r>
            <w:r w:rsidR="00A12608">
              <w:rPr>
                <w:noProof/>
                <w:webHidden/>
              </w:rPr>
              <w:tab/>
            </w:r>
            <w:r w:rsidR="00A12608">
              <w:rPr>
                <w:noProof/>
                <w:webHidden/>
              </w:rPr>
              <w:fldChar w:fldCharType="begin"/>
            </w:r>
            <w:r w:rsidR="00A12608">
              <w:rPr>
                <w:noProof/>
                <w:webHidden/>
              </w:rPr>
              <w:instrText xml:space="preserve"> PAGEREF _Toc459720376 \h </w:instrText>
            </w:r>
            <w:r w:rsidR="00A12608">
              <w:rPr>
                <w:noProof/>
                <w:webHidden/>
              </w:rPr>
            </w:r>
            <w:r w:rsidR="00A12608">
              <w:rPr>
                <w:noProof/>
                <w:webHidden/>
              </w:rPr>
              <w:fldChar w:fldCharType="separate"/>
            </w:r>
            <w:r w:rsidR="00D674C3">
              <w:rPr>
                <w:noProof/>
                <w:webHidden/>
              </w:rPr>
              <w:t>12</w:t>
            </w:r>
            <w:r w:rsidR="00A12608">
              <w:rPr>
                <w:noProof/>
                <w:webHidden/>
              </w:rPr>
              <w:fldChar w:fldCharType="end"/>
            </w:r>
          </w:hyperlink>
        </w:p>
        <w:p w:rsidR="00A12608" w:rsidRDefault="00FC6C95">
          <w:pPr>
            <w:pStyle w:val="TOC2"/>
            <w:tabs>
              <w:tab w:val="right" w:leader="dot" w:pos="9742"/>
            </w:tabs>
            <w:rPr>
              <w:rFonts w:asciiTheme="minorHAnsi" w:eastAsiaTheme="minorEastAsia" w:hAnsiTheme="minorHAnsi" w:cstheme="minorBidi"/>
              <w:noProof/>
              <w:kern w:val="0"/>
              <w:sz w:val="22"/>
            </w:rPr>
          </w:pPr>
          <w:hyperlink w:anchor="_Toc459720377" w:history="1">
            <w:r w:rsidR="00A12608" w:rsidRPr="00F1145F">
              <w:rPr>
                <w:rStyle w:val="Hyperlink"/>
                <w:noProof/>
              </w:rPr>
              <w:t>Jurisdiction</w:t>
            </w:r>
            <w:r w:rsidR="00A12608">
              <w:rPr>
                <w:noProof/>
                <w:webHidden/>
              </w:rPr>
              <w:tab/>
            </w:r>
            <w:r w:rsidR="00A12608">
              <w:rPr>
                <w:noProof/>
                <w:webHidden/>
              </w:rPr>
              <w:fldChar w:fldCharType="begin"/>
            </w:r>
            <w:r w:rsidR="00A12608">
              <w:rPr>
                <w:noProof/>
                <w:webHidden/>
              </w:rPr>
              <w:instrText xml:space="preserve"> PAGEREF _Toc459720377 \h </w:instrText>
            </w:r>
            <w:r w:rsidR="00A12608">
              <w:rPr>
                <w:noProof/>
                <w:webHidden/>
              </w:rPr>
            </w:r>
            <w:r w:rsidR="00A12608">
              <w:rPr>
                <w:noProof/>
                <w:webHidden/>
              </w:rPr>
              <w:fldChar w:fldCharType="separate"/>
            </w:r>
            <w:r w:rsidR="00D674C3">
              <w:rPr>
                <w:noProof/>
                <w:webHidden/>
              </w:rPr>
              <w:t>13</w:t>
            </w:r>
            <w:r w:rsidR="00A12608">
              <w:rPr>
                <w:noProof/>
                <w:webHidden/>
              </w:rPr>
              <w:fldChar w:fldCharType="end"/>
            </w:r>
          </w:hyperlink>
        </w:p>
        <w:p w:rsidR="00A12608" w:rsidRDefault="00FC6C95">
          <w:pPr>
            <w:pStyle w:val="TOC2"/>
            <w:tabs>
              <w:tab w:val="right" w:leader="dot" w:pos="9742"/>
            </w:tabs>
            <w:rPr>
              <w:rFonts w:asciiTheme="minorHAnsi" w:eastAsiaTheme="minorEastAsia" w:hAnsiTheme="minorHAnsi" w:cstheme="minorBidi"/>
              <w:noProof/>
              <w:kern w:val="0"/>
              <w:sz w:val="22"/>
            </w:rPr>
          </w:pPr>
          <w:hyperlink w:anchor="_Toc459720378" w:history="1">
            <w:r w:rsidR="00A12608" w:rsidRPr="00F1145F">
              <w:rPr>
                <w:rStyle w:val="Hyperlink"/>
                <w:noProof/>
              </w:rPr>
              <w:t>Breakdown agency of injury or disease</w:t>
            </w:r>
            <w:r w:rsidR="00A12608">
              <w:rPr>
                <w:noProof/>
                <w:webHidden/>
              </w:rPr>
              <w:tab/>
            </w:r>
            <w:r w:rsidR="00A12608">
              <w:rPr>
                <w:noProof/>
                <w:webHidden/>
              </w:rPr>
              <w:fldChar w:fldCharType="begin"/>
            </w:r>
            <w:r w:rsidR="00A12608">
              <w:rPr>
                <w:noProof/>
                <w:webHidden/>
              </w:rPr>
              <w:instrText xml:space="preserve"> PAGEREF _Toc459720378 \h </w:instrText>
            </w:r>
            <w:r w:rsidR="00A12608">
              <w:rPr>
                <w:noProof/>
                <w:webHidden/>
              </w:rPr>
            </w:r>
            <w:r w:rsidR="00A12608">
              <w:rPr>
                <w:noProof/>
                <w:webHidden/>
              </w:rPr>
              <w:fldChar w:fldCharType="separate"/>
            </w:r>
            <w:r w:rsidR="00D674C3">
              <w:rPr>
                <w:noProof/>
                <w:webHidden/>
              </w:rPr>
              <w:t>13</w:t>
            </w:r>
            <w:r w:rsidR="00A12608">
              <w:rPr>
                <w:noProof/>
                <w:webHidden/>
              </w:rPr>
              <w:fldChar w:fldCharType="end"/>
            </w:r>
          </w:hyperlink>
        </w:p>
        <w:p w:rsidR="00A12608" w:rsidRDefault="00FC6C95">
          <w:pPr>
            <w:pStyle w:val="TOC2"/>
            <w:tabs>
              <w:tab w:val="right" w:leader="dot" w:pos="9742"/>
            </w:tabs>
            <w:rPr>
              <w:rFonts w:asciiTheme="minorHAnsi" w:eastAsiaTheme="minorEastAsia" w:hAnsiTheme="minorHAnsi" w:cstheme="minorBidi"/>
              <w:noProof/>
              <w:kern w:val="0"/>
              <w:sz w:val="22"/>
            </w:rPr>
          </w:pPr>
          <w:hyperlink w:anchor="_Toc459720379" w:history="1">
            <w:r w:rsidR="00A12608" w:rsidRPr="00F1145F">
              <w:rPr>
                <w:rStyle w:val="Hyperlink"/>
                <w:noProof/>
              </w:rPr>
              <w:t>Mechanism of injury or disease</w:t>
            </w:r>
            <w:r w:rsidR="00A12608">
              <w:rPr>
                <w:noProof/>
                <w:webHidden/>
              </w:rPr>
              <w:tab/>
            </w:r>
            <w:r w:rsidR="00A12608">
              <w:rPr>
                <w:noProof/>
                <w:webHidden/>
              </w:rPr>
              <w:fldChar w:fldCharType="begin"/>
            </w:r>
            <w:r w:rsidR="00A12608">
              <w:rPr>
                <w:noProof/>
                <w:webHidden/>
              </w:rPr>
              <w:instrText xml:space="preserve"> PAGEREF _Toc459720379 \h </w:instrText>
            </w:r>
            <w:r w:rsidR="00A12608">
              <w:rPr>
                <w:noProof/>
                <w:webHidden/>
              </w:rPr>
            </w:r>
            <w:r w:rsidR="00A12608">
              <w:rPr>
                <w:noProof/>
                <w:webHidden/>
              </w:rPr>
              <w:fldChar w:fldCharType="separate"/>
            </w:r>
            <w:r w:rsidR="00D674C3">
              <w:rPr>
                <w:noProof/>
                <w:webHidden/>
              </w:rPr>
              <w:t>14</w:t>
            </w:r>
            <w:r w:rsidR="00A12608">
              <w:rPr>
                <w:noProof/>
                <w:webHidden/>
              </w:rPr>
              <w:fldChar w:fldCharType="end"/>
            </w:r>
          </w:hyperlink>
        </w:p>
        <w:p w:rsidR="00A12608" w:rsidRDefault="00FC6C95">
          <w:pPr>
            <w:pStyle w:val="TOC2"/>
            <w:tabs>
              <w:tab w:val="right" w:leader="dot" w:pos="9742"/>
            </w:tabs>
            <w:rPr>
              <w:rFonts w:asciiTheme="minorHAnsi" w:eastAsiaTheme="minorEastAsia" w:hAnsiTheme="minorHAnsi" w:cstheme="minorBidi"/>
              <w:noProof/>
              <w:kern w:val="0"/>
              <w:sz w:val="22"/>
            </w:rPr>
          </w:pPr>
          <w:hyperlink w:anchor="_Toc459720380" w:history="1">
            <w:r w:rsidR="00A12608" w:rsidRPr="00F1145F">
              <w:rPr>
                <w:rStyle w:val="Hyperlink"/>
                <w:noProof/>
              </w:rPr>
              <w:t>Nature of injury or disease</w:t>
            </w:r>
            <w:r w:rsidR="00A12608">
              <w:rPr>
                <w:noProof/>
                <w:webHidden/>
              </w:rPr>
              <w:tab/>
            </w:r>
            <w:r w:rsidR="00A12608">
              <w:rPr>
                <w:noProof/>
                <w:webHidden/>
              </w:rPr>
              <w:fldChar w:fldCharType="begin"/>
            </w:r>
            <w:r w:rsidR="00A12608">
              <w:rPr>
                <w:noProof/>
                <w:webHidden/>
              </w:rPr>
              <w:instrText xml:space="preserve"> PAGEREF _Toc459720380 \h </w:instrText>
            </w:r>
            <w:r w:rsidR="00A12608">
              <w:rPr>
                <w:noProof/>
                <w:webHidden/>
              </w:rPr>
            </w:r>
            <w:r w:rsidR="00A12608">
              <w:rPr>
                <w:noProof/>
                <w:webHidden/>
              </w:rPr>
              <w:fldChar w:fldCharType="separate"/>
            </w:r>
            <w:r w:rsidR="00D674C3">
              <w:rPr>
                <w:noProof/>
                <w:webHidden/>
              </w:rPr>
              <w:t>15</w:t>
            </w:r>
            <w:r w:rsidR="00A12608">
              <w:rPr>
                <w:noProof/>
                <w:webHidden/>
              </w:rPr>
              <w:fldChar w:fldCharType="end"/>
            </w:r>
          </w:hyperlink>
        </w:p>
        <w:p w:rsidR="00A12608" w:rsidRDefault="00FC6C95">
          <w:pPr>
            <w:pStyle w:val="TOC2"/>
            <w:tabs>
              <w:tab w:val="right" w:leader="dot" w:pos="9742"/>
            </w:tabs>
            <w:rPr>
              <w:rFonts w:asciiTheme="minorHAnsi" w:eastAsiaTheme="minorEastAsia" w:hAnsiTheme="minorHAnsi" w:cstheme="minorBidi"/>
              <w:noProof/>
              <w:kern w:val="0"/>
              <w:sz w:val="22"/>
            </w:rPr>
          </w:pPr>
          <w:hyperlink w:anchor="_Toc459720381" w:history="1">
            <w:r w:rsidR="00A12608" w:rsidRPr="00F1145F">
              <w:rPr>
                <w:rStyle w:val="Hyperlink"/>
                <w:noProof/>
              </w:rPr>
              <w:t>Bodily location of injury or disease</w:t>
            </w:r>
            <w:r w:rsidR="00A12608">
              <w:rPr>
                <w:noProof/>
                <w:webHidden/>
              </w:rPr>
              <w:tab/>
            </w:r>
            <w:r w:rsidR="00A12608">
              <w:rPr>
                <w:noProof/>
                <w:webHidden/>
              </w:rPr>
              <w:fldChar w:fldCharType="begin"/>
            </w:r>
            <w:r w:rsidR="00A12608">
              <w:rPr>
                <w:noProof/>
                <w:webHidden/>
              </w:rPr>
              <w:instrText xml:space="preserve"> PAGEREF _Toc459720381 \h </w:instrText>
            </w:r>
            <w:r w:rsidR="00A12608">
              <w:rPr>
                <w:noProof/>
                <w:webHidden/>
              </w:rPr>
            </w:r>
            <w:r w:rsidR="00A12608">
              <w:rPr>
                <w:noProof/>
                <w:webHidden/>
              </w:rPr>
              <w:fldChar w:fldCharType="separate"/>
            </w:r>
            <w:r w:rsidR="00D674C3">
              <w:rPr>
                <w:noProof/>
                <w:webHidden/>
              </w:rPr>
              <w:t>15</w:t>
            </w:r>
            <w:r w:rsidR="00A12608">
              <w:rPr>
                <w:noProof/>
                <w:webHidden/>
              </w:rPr>
              <w:fldChar w:fldCharType="end"/>
            </w:r>
          </w:hyperlink>
        </w:p>
        <w:p w:rsidR="00A12608" w:rsidRDefault="00FC6C95" w:rsidP="00A12608">
          <w:pPr>
            <w:pStyle w:val="TOC1"/>
            <w:rPr>
              <w:rFonts w:asciiTheme="minorHAnsi" w:eastAsiaTheme="minorEastAsia" w:hAnsiTheme="minorHAnsi" w:cstheme="minorBidi"/>
              <w:b/>
              <w:kern w:val="0"/>
              <w:sz w:val="22"/>
            </w:rPr>
          </w:pPr>
          <w:hyperlink w:anchor="_Toc459720382" w:history="1">
            <w:r w:rsidR="00A12608" w:rsidRPr="00F1145F">
              <w:rPr>
                <w:rStyle w:val="Hyperlink"/>
              </w:rPr>
              <w:t>Further information</w:t>
            </w:r>
            <w:r w:rsidR="00A12608">
              <w:rPr>
                <w:webHidden/>
              </w:rPr>
              <w:tab/>
            </w:r>
            <w:r w:rsidR="00A12608">
              <w:rPr>
                <w:webHidden/>
              </w:rPr>
              <w:fldChar w:fldCharType="begin"/>
            </w:r>
            <w:r w:rsidR="00A12608">
              <w:rPr>
                <w:webHidden/>
              </w:rPr>
              <w:instrText xml:space="preserve"> PAGEREF _Toc459720382 \h </w:instrText>
            </w:r>
            <w:r w:rsidR="00A12608">
              <w:rPr>
                <w:webHidden/>
              </w:rPr>
            </w:r>
            <w:r w:rsidR="00A12608">
              <w:rPr>
                <w:webHidden/>
              </w:rPr>
              <w:fldChar w:fldCharType="separate"/>
            </w:r>
            <w:r w:rsidR="00D674C3">
              <w:rPr>
                <w:webHidden/>
              </w:rPr>
              <w:t>17</w:t>
            </w:r>
            <w:r w:rsidR="00A12608">
              <w:rPr>
                <w:webHidden/>
              </w:rPr>
              <w:fldChar w:fldCharType="end"/>
            </w:r>
          </w:hyperlink>
        </w:p>
        <w:p w:rsidR="00A12608" w:rsidRDefault="00FC6C95">
          <w:pPr>
            <w:pStyle w:val="TOC2"/>
            <w:tabs>
              <w:tab w:val="right" w:leader="dot" w:pos="9742"/>
            </w:tabs>
            <w:rPr>
              <w:rFonts w:asciiTheme="minorHAnsi" w:eastAsiaTheme="minorEastAsia" w:hAnsiTheme="minorHAnsi" w:cstheme="minorBidi"/>
              <w:noProof/>
              <w:kern w:val="0"/>
              <w:sz w:val="22"/>
            </w:rPr>
          </w:pPr>
          <w:hyperlink w:anchor="_Toc459720383" w:history="1">
            <w:r w:rsidR="00A12608" w:rsidRPr="00F1145F">
              <w:rPr>
                <w:rStyle w:val="Hyperlink"/>
                <w:noProof/>
              </w:rPr>
              <w:t>Explanatory notes</w:t>
            </w:r>
            <w:r w:rsidR="00A12608">
              <w:rPr>
                <w:noProof/>
                <w:webHidden/>
              </w:rPr>
              <w:tab/>
            </w:r>
            <w:r w:rsidR="00A12608">
              <w:rPr>
                <w:noProof/>
                <w:webHidden/>
              </w:rPr>
              <w:fldChar w:fldCharType="begin"/>
            </w:r>
            <w:r w:rsidR="00A12608">
              <w:rPr>
                <w:noProof/>
                <w:webHidden/>
              </w:rPr>
              <w:instrText xml:space="preserve"> PAGEREF _Toc459720383 \h </w:instrText>
            </w:r>
            <w:r w:rsidR="00A12608">
              <w:rPr>
                <w:noProof/>
                <w:webHidden/>
              </w:rPr>
            </w:r>
            <w:r w:rsidR="00A12608">
              <w:rPr>
                <w:noProof/>
                <w:webHidden/>
              </w:rPr>
              <w:fldChar w:fldCharType="separate"/>
            </w:r>
            <w:r w:rsidR="00D674C3">
              <w:rPr>
                <w:noProof/>
                <w:webHidden/>
              </w:rPr>
              <w:t>17</w:t>
            </w:r>
            <w:r w:rsidR="00A12608">
              <w:rPr>
                <w:noProof/>
                <w:webHidden/>
              </w:rPr>
              <w:fldChar w:fldCharType="end"/>
            </w:r>
          </w:hyperlink>
        </w:p>
        <w:p w:rsidR="00A12608" w:rsidRDefault="00FC6C95">
          <w:pPr>
            <w:pStyle w:val="TOC2"/>
            <w:tabs>
              <w:tab w:val="right" w:leader="dot" w:pos="9742"/>
            </w:tabs>
            <w:rPr>
              <w:rFonts w:asciiTheme="minorHAnsi" w:eastAsiaTheme="minorEastAsia" w:hAnsiTheme="minorHAnsi" w:cstheme="minorBidi"/>
              <w:noProof/>
              <w:kern w:val="0"/>
              <w:sz w:val="22"/>
            </w:rPr>
          </w:pPr>
          <w:hyperlink w:anchor="_Toc459720384" w:history="1">
            <w:r w:rsidR="00A12608" w:rsidRPr="00F1145F">
              <w:rPr>
                <w:rStyle w:val="Hyperlink"/>
                <w:noProof/>
              </w:rPr>
              <w:t>References</w:t>
            </w:r>
            <w:r w:rsidR="00A12608">
              <w:rPr>
                <w:noProof/>
                <w:webHidden/>
              </w:rPr>
              <w:tab/>
            </w:r>
            <w:r w:rsidR="00A12608">
              <w:rPr>
                <w:noProof/>
                <w:webHidden/>
              </w:rPr>
              <w:fldChar w:fldCharType="begin"/>
            </w:r>
            <w:r w:rsidR="00A12608">
              <w:rPr>
                <w:noProof/>
                <w:webHidden/>
              </w:rPr>
              <w:instrText xml:space="preserve"> PAGEREF _Toc459720384 \h </w:instrText>
            </w:r>
            <w:r w:rsidR="00A12608">
              <w:rPr>
                <w:noProof/>
                <w:webHidden/>
              </w:rPr>
            </w:r>
            <w:r w:rsidR="00A12608">
              <w:rPr>
                <w:noProof/>
                <w:webHidden/>
              </w:rPr>
              <w:fldChar w:fldCharType="separate"/>
            </w:r>
            <w:r w:rsidR="00D674C3">
              <w:rPr>
                <w:noProof/>
                <w:webHidden/>
              </w:rPr>
              <w:t>17</w:t>
            </w:r>
            <w:r w:rsidR="00A12608">
              <w:rPr>
                <w:noProof/>
                <w:webHidden/>
              </w:rPr>
              <w:fldChar w:fldCharType="end"/>
            </w:r>
          </w:hyperlink>
        </w:p>
        <w:p w:rsidR="0075723F" w:rsidRDefault="0075723F" w:rsidP="0075723F">
          <w:r w:rsidRPr="00336437">
            <w:rPr>
              <w:bCs/>
              <w:noProof/>
            </w:rPr>
            <w:fldChar w:fldCharType="end"/>
          </w:r>
        </w:p>
      </w:sdtContent>
    </w:sdt>
    <w:p w:rsidR="0075723F" w:rsidRDefault="0075723F" w:rsidP="0075723F">
      <w:pPr>
        <w:rPr>
          <w:b/>
          <w:sz w:val="40"/>
          <w:szCs w:val="40"/>
        </w:rPr>
      </w:pPr>
      <w:r>
        <w:br w:type="page"/>
      </w:r>
    </w:p>
    <w:p w:rsidR="0075723F" w:rsidRPr="00BB19E6" w:rsidRDefault="0075723F" w:rsidP="0075723F">
      <w:pPr>
        <w:pStyle w:val="Heading1"/>
      </w:pPr>
      <w:bookmarkStart w:id="14" w:name="_Toc459720361"/>
      <w:r>
        <w:lastRenderedPageBreak/>
        <w:t>Introduction</w:t>
      </w:r>
      <w:bookmarkEnd w:id="14"/>
      <w:bookmarkEnd w:id="5"/>
    </w:p>
    <w:p w:rsidR="0075723F" w:rsidRDefault="0075723F" w:rsidP="0075723F">
      <w:r w:rsidRPr="005E6422">
        <w:t xml:space="preserve">The </w:t>
      </w:r>
      <w:r>
        <w:t>agricultural</w:t>
      </w:r>
      <w:r w:rsidRPr="005E6422">
        <w:t xml:space="preserve"> industry was identified as a priority industry in the Australian Work Health and Safety Strategy 2012–2022 (the Australian Strategy), which was developed through consultation with governments, industry, unions and the public. Priority industries were based on rates of injur</w:t>
      </w:r>
      <w:r>
        <w:t>ies, diseases or fatalities, or</w:t>
      </w:r>
      <w:r w:rsidRPr="005E6422">
        <w:t xml:space="preserve"> the nature of hazards found in </w:t>
      </w:r>
      <w:r>
        <w:t>the industries</w:t>
      </w:r>
      <w:r w:rsidRPr="005E6422">
        <w:t>. The aim of the Australian Strategy is to focus attention on priority industries so that causes of workplace injuries, diseases and fatalities can be identified and minimised through appropriate prevention strategies.</w:t>
      </w:r>
      <w:r>
        <w:t xml:space="preserve"> </w:t>
      </w:r>
      <w:r w:rsidRPr="005E6422">
        <w:t xml:space="preserve">This </w:t>
      </w:r>
      <w:r>
        <w:t>statistical report</w:t>
      </w:r>
      <w:r w:rsidRPr="005E6422">
        <w:t xml:space="preserve"> supports the objectives of the Australian Strategy by identifying the main risks faced by workers in the </w:t>
      </w:r>
      <w:r>
        <w:t>agricultural</w:t>
      </w:r>
      <w:r w:rsidRPr="005E6422">
        <w:t xml:space="preserve"> industry and highlighting areas within the industry that merit the greatest attention.</w:t>
      </w:r>
    </w:p>
    <w:p w:rsidR="0075723F" w:rsidRDefault="0075723F" w:rsidP="0075723F">
      <w:pPr>
        <w:pStyle w:val="Heading2"/>
      </w:pPr>
      <w:bookmarkStart w:id="15" w:name="_Toc453937800"/>
      <w:bookmarkStart w:id="16" w:name="_Toc453938270"/>
      <w:bookmarkStart w:id="17" w:name="_Toc453938657"/>
      <w:bookmarkStart w:id="18" w:name="_Toc459720362"/>
      <w:bookmarkEnd w:id="13"/>
      <w:bookmarkEnd w:id="12"/>
      <w:bookmarkEnd w:id="11"/>
      <w:bookmarkEnd w:id="10"/>
      <w:bookmarkEnd w:id="9"/>
      <w:bookmarkEnd w:id="8"/>
      <w:bookmarkEnd w:id="7"/>
      <w:bookmarkEnd w:id="6"/>
      <w:r>
        <w:t>Scope of the agricultural industry</w:t>
      </w:r>
      <w:bookmarkEnd w:id="15"/>
      <w:bookmarkEnd w:id="16"/>
      <w:bookmarkEnd w:id="17"/>
      <w:bookmarkEnd w:id="18"/>
    </w:p>
    <w:p w:rsidR="0075723F" w:rsidRDefault="0075723F" w:rsidP="0075723F">
      <w:r w:rsidRPr="005E6422">
        <w:t xml:space="preserve">The </w:t>
      </w:r>
      <w:r>
        <w:t>agricultural</w:t>
      </w:r>
      <w:r w:rsidRPr="005E6422">
        <w:t xml:space="preserve"> industry is comprised of businesses that are engaged in “the growing and cultivation of horticultural and other crops (excluding forestry), and the controlled breeding, raising or farming of animals (excluding aquaculture)” (ABS 2006).</w:t>
      </w:r>
    </w:p>
    <w:p w:rsidR="0075723F" w:rsidRDefault="0075723F" w:rsidP="0075723F">
      <w:r>
        <w:t xml:space="preserve">The industry statistics collected by the Australian Bureau of Statistics (ABS) and Safe Work Australia are coded using the 2006 </w:t>
      </w:r>
      <w:r w:rsidRPr="00421991">
        <w:t>Australian and New Zealand Standard Industrial Classification</w:t>
      </w:r>
      <w:r>
        <w:t xml:space="preserve"> (ANZSIC). The classification system includes multiple agricultural subdivisions within the high-level group of “agriculture, forestry and fishing”. For this report, the agricultural subdivisions outlined in table 1 were combined to form the agricultural industry. T</w:t>
      </w:r>
      <w:r w:rsidRPr="005E6422">
        <w:t xml:space="preserve">he agriculture and fishing support services </w:t>
      </w:r>
      <w:r>
        <w:t>subdivision</w:t>
      </w:r>
      <w:r w:rsidRPr="005E6422">
        <w:t xml:space="preserve"> </w:t>
      </w:r>
      <w:r>
        <w:t xml:space="preserve">was included </w:t>
      </w:r>
      <w:r w:rsidRPr="005E6422">
        <w:t xml:space="preserve">because </w:t>
      </w:r>
      <w:r>
        <w:t xml:space="preserve">most of </w:t>
      </w:r>
      <w:r w:rsidRPr="005E6422">
        <w:t xml:space="preserve">the activities in the </w:t>
      </w:r>
      <w:r>
        <w:t>subdivision</w:t>
      </w:r>
      <w:r w:rsidRPr="005E6422">
        <w:t xml:space="preserve"> are related to </w:t>
      </w:r>
      <w:r>
        <w:t>the agricultural industry</w:t>
      </w:r>
      <w:r w:rsidRPr="005E6422">
        <w:t xml:space="preserve">. It is not possible to exclude fishing support services from the </w:t>
      </w:r>
      <w:r>
        <w:t>subdivision</w:t>
      </w:r>
      <w:r w:rsidRPr="005E6422">
        <w:t>.</w:t>
      </w:r>
    </w:p>
    <w:p w:rsidR="0075723F" w:rsidRDefault="0075723F" w:rsidP="0075723F">
      <w:pPr>
        <w:pStyle w:val="Heading4"/>
      </w:pPr>
      <w:r>
        <w:t xml:space="preserve">Table </w:t>
      </w:r>
      <w:fldSimple w:instr=" SEQ Table \* ARABIC ">
        <w:r w:rsidR="001A7C10">
          <w:rPr>
            <w:noProof/>
          </w:rPr>
          <w:t>1</w:t>
        </w:r>
      </w:fldSimple>
      <w:r>
        <w:t>: ANZSIC subdivisions that were combined to form the agricultural industry</w:t>
      </w:r>
    </w:p>
    <w:tbl>
      <w:tblPr>
        <w:tblStyle w:val="TableGrid"/>
        <w:tblW w:w="8296" w:type="dxa"/>
        <w:tblInd w:w="108" w:type="dxa"/>
        <w:tblLook w:val="04A0" w:firstRow="1" w:lastRow="0" w:firstColumn="1" w:lastColumn="0" w:noHBand="0" w:noVBand="1"/>
        <w:tblCaption w:val="Table 1"/>
      </w:tblPr>
      <w:tblGrid>
        <w:gridCol w:w="4148"/>
        <w:gridCol w:w="4148"/>
      </w:tblGrid>
      <w:tr w:rsidR="0075723F" w:rsidRPr="006D0B78" w:rsidTr="00D03B61">
        <w:trPr>
          <w:trHeight w:val="255"/>
          <w:tblHeader/>
        </w:trPr>
        <w:tc>
          <w:tcPr>
            <w:cnfStyle w:val="001000000000" w:firstRow="0" w:lastRow="0" w:firstColumn="1" w:lastColumn="0" w:oddVBand="0" w:evenVBand="0" w:oddHBand="0" w:evenHBand="0" w:firstRowFirstColumn="0" w:firstRowLastColumn="0" w:lastRowFirstColumn="0" w:lastRowLastColumn="0"/>
            <w:tcW w:w="4148" w:type="dxa"/>
            <w:noWrap/>
          </w:tcPr>
          <w:p w:rsidR="0075723F" w:rsidRPr="006D0B78" w:rsidRDefault="0075723F" w:rsidP="00D03B61">
            <w:pPr>
              <w:rPr>
                <w:rFonts w:eastAsia="Times New Roman"/>
                <w:b/>
                <w:color w:val="000000"/>
                <w:szCs w:val="20"/>
              </w:rPr>
            </w:pPr>
            <w:r w:rsidRPr="006D0B78">
              <w:rPr>
                <w:rFonts w:eastAsia="Times New Roman"/>
                <w:b/>
                <w:color w:val="000000"/>
                <w:szCs w:val="20"/>
              </w:rPr>
              <w:t>ANZSIC subdivision</w:t>
            </w:r>
          </w:p>
        </w:tc>
        <w:tc>
          <w:tcPr>
            <w:tcW w:w="4148" w:type="dxa"/>
          </w:tcPr>
          <w:p w:rsidR="0075723F" w:rsidRPr="006D0B78" w:rsidRDefault="0075723F" w:rsidP="00D03B61">
            <w:pPr>
              <w:cnfStyle w:val="000000000000" w:firstRow="0" w:lastRow="0" w:firstColumn="0" w:lastColumn="0" w:oddVBand="0" w:evenVBand="0" w:oddHBand="0" w:evenHBand="0" w:firstRowFirstColumn="0" w:firstRowLastColumn="0" w:lastRowFirstColumn="0" w:lastRowLastColumn="0"/>
              <w:rPr>
                <w:rFonts w:eastAsia="Times New Roman"/>
                <w:b/>
                <w:color w:val="000000"/>
                <w:szCs w:val="20"/>
              </w:rPr>
            </w:pPr>
            <w:r w:rsidRPr="006D0B78">
              <w:rPr>
                <w:rFonts w:eastAsia="Times New Roman"/>
                <w:b/>
                <w:color w:val="000000"/>
                <w:szCs w:val="20"/>
              </w:rPr>
              <w:t>ANZSIC code</w:t>
            </w:r>
          </w:p>
        </w:tc>
      </w:tr>
      <w:tr w:rsidR="0075723F" w:rsidRPr="006D0B78" w:rsidTr="00D03B61">
        <w:trPr>
          <w:trHeight w:val="255"/>
        </w:trPr>
        <w:tc>
          <w:tcPr>
            <w:cnfStyle w:val="001000000000" w:firstRow="0" w:lastRow="0" w:firstColumn="1" w:lastColumn="0" w:oddVBand="0" w:evenVBand="0" w:oddHBand="0" w:evenHBand="0" w:firstRowFirstColumn="0" w:firstRowLastColumn="0" w:lastRowFirstColumn="0" w:lastRowLastColumn="0"/>
            <w:tcW w:w="4148" w:type="dxa"/>
            <w:noWrap/>
            <w:vAlign w:val="bottom"/>
            <w:hideMark/>
          </w:tcPr>
          <w:p w:rsidR="0075723F" w:rsidRDefault="0075723F" w:rsidP="00D03B61">
            <w:pPr>
              <w:rPr>
                <w:rFonts w:cs="Arial"/>
                <w:color w:val="000000"/>
                <w:szCs w:val="20"/>
              </w:rPr>
            </w:pPr>
            <w:r>
              <w:rPr>
                <w:rFonts w:cs="Arial"/>
                <w:color w:val="000000"/>
                <w:szCs w:val="20"/>
              </w:rPr>
              <w:t>Agriculture and fishing support services</w:t>
            </w:r>
          </w:p>
        </w:tc>
        <w:tc>
          <w:tcPr>
            <w:tcW w:w="4148" w:type="dxa"/>
            <w:vAlign w:val="bottom"/>
          </w:tcPr>
          <w:p w:rsidR="0075723F" w:rsidRDefault="0075723F" w:rsidP="00D03B61">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052</w:t>
            </w:r>
          </w:p>
        </w:tc>
      </w:tr>
      <w:tr w:rsidR="0075723F" w:rsidRPr="006D0B78" w:rsidTr="00D03B61">
        <w:trPr>
          <w:trHeight w:val="255"/>
        </w:trPr>
        <w:tc>
          <w:tcPr>
            <w:cnfStyle w:val="001000000000" w:firstRow="0" w:lastRow="0" w:firstColumn="1" w:lastColumn="0" w:oddVBand="0" w:evenVBand="0" w:oddHBand="0" w:evenHBand="0" w:firstRowFirstColumn="0" w:firstRowLastColumn="0" w:lastRowFirstColumn="0" w:lastRowLastColumn="0"/>
            <w:tcW w:w="4148" w:type="dxa"/>
            <w:noWrap/>
            <w:vAlign w:val="bottom"/>
            <w:hideMark/>
          </w:tcPr>
          <w:p w:rsidR="0075723F" w:rsidRDefault="0075723F" w:rsidP="00D03B61">
            <w:pPr>
              <w:rPr>
                <w:rFonts w:cs="Arial"/>
                <w:color w:val="000000"/>
                <w:szCs w:val="20"/>
              </w:rPr>
            </w:pPr>
            <w:r>
              <w:rPr>
                <w:rFonts w:cs="Arial"/>
                <w:color w:val="000000"/>
                <w:szCs w:val="20"/>
              </w:rPr>
              <w:t>Dairy cattle farming</w:t>
            </w:r>
          </w:p>
        </w:tc>
        <w:tc>
          <w:tcPr>
            <w:tcW w:w="4148" w:type="dxa"/>
            <w:vAlign w:val="bottom"/>
          </w:tcPr>
          <w:p w:rsidR="0075723F" w:rsidRDefault="0075723F" w:rsidP="00D03B61">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016</w:t>
            </w:r>
          </w:p>
        </w:tc>
      </w:tr>
      <w:tr w:rsidR="0075723F" w:rsidRPr="006D0B78" w:rsidTr="00D03B61">
        <w:trPr>
          <w:trHeight w:val="255"/>
        </w:trPr>
        <w:tc>
          <w:tcPr>
            <w:cnfStyle w:val="001000000000" w:firstRow="0" w:lastRow="0" w:firstColumn="1" w:lastColumn="0" w:oddVBand="0" w:evenVBand="0" w:oddHBand="0" w:evenHBand="0" w:firstRowFirstColumn="0" w:firstRowLastColumn="0" w:lastRowFirstColumn="0" w:lastRowLastColumn="0"/>
            <w:tcW w:w="4148" w:type="dxa"/>
            <w:noWrap/>
            <w:vAlign w:val="bottom"/>
            <w:hideMark/>
          </w:tcPr>
          <w:p w:rsidR="0075723F" w:rsidRDefault="0075723F" w:rsidP="00D03B61">
            <w:pPr>
              <w:rPr>
                <w:rFonts w:cs="Arial"/>
                <w:color w:val="000000"/>
                <w:szCs w:val="20"/>
              </w:rPr>
            </w:pPr>
            <w:r>
              <w:rPr>
                <w:rFonts w:cs="Arial"/>
                <w:color w:val="000000"/>
                <w:szCs w:val="20"/>
              </w:rPr>
              <w:t>Deer farming</w:t>
            </w:r>
          </w:p>
        </w:tc>
        <w:tc>
          <w:tcPr>
            <w:tcW w:w="4148" w:type="dxa"/>
            <w:vAlign w:val="bottom"/>
          </w:tcPr>
          <w:p w:rsidR="0075723F" w:rsidRDefault="0075723F" w:rsidP="00D03B61">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018</w:t>
            </w:r>
          </w:p>
        </w:tc>
      </w:tr>
      <w:tr w:rsidR="0075723F" w:rsidRPr="006D0B78" w:rsidTr="00D03B61">
        <w:trPr>
          <w:trHeight w:val="255"/>
        </w:trPr>
        <w:tc>
          <w:tcPr>
            <w:cnfStyle w:val="001000000000" w:firstRow="0" w:lastRow="0" w:firstColumn="1" w:lastColumn="0" w:oddVBand="0" w:evenVBand="0" w:oddHBand="0" w:evenHBand="0" w:firstRowFirstColumn="0" w:firstRowLastColumn="0" w:lastRowFirstColumn="0" w:lastRowLastColumn="0"/>
            <w:tcW w:w="4148" w:type="dxa"/>
            <w:noWrap/>
            <w:vAlign w:val="bottom"/>
            <w:hideMark/>
          </w:tcPr>
          <w:p w:rsidR="0075723F" w:rsidRDefault="0075723F" w:rsidP="00D03B61">
            <w:pPr>
              <w:rPr>
                <w:rFonts w:cs="Arial"/>
                <w:color w:val="000000"/>
                <w:szCs w:val="20"/>
              </w:rPr>
            </w:pPr>
            <w:r>
              <w:rPr>
                <w:rFonts w:cs="Arial"/>
                <w:color w:val="000000"/>
                <w:szCs w:val="20"/>
              </w:rPr>
              <w:t>Fruit and tree nut growing</w:t>
            </w:r>
          </w:p>
        </w:tc>
        <w:tc>
          <w:tcPr>
            <w:tcW w:w="4148" w:type="dxa"/>
            <w:vAlign w:val="bottom"/>
          </w:tcPr>
          <w:p w:rsidR="0075723F" w:rsidRDefault="0075723F" w:rsidP="00D03B61">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013</w:t>
            </w:r>
          </w:p>
        </w:tc>
      </w:tr>
      <w:tr w:rsidR="0075723F" w:rsidRPr="006D0B78" w:rsidTr="00D03B61">
        <w:trPr>
          <w:trHeight w:val="255"/>
        </w:trPr>
        <w:tc>
          <w:tcPr>
            <w:cnfStyle w:val="001000000000" w:firstRow="0" w:lastRow="0" w:firstColumn="1" w:lastColumn="0" w:oddVBand="0" w:evenVBand="0" w:oddHBand="0" w:evenHBand="0" w:firstRowFirstColumn="0" w:firstRowLastColumn="0" w:lastRowFirstColumn="0" w:lastRowLastColumn="0"/>
            <w:tcW w:w="4148" w:type="dxa"/>
            <w:noWrap/>
            <w:vAlign w:val="bottom"/>
            <w:hideMark/>
          </w:tcPr>
          <w:p w:rsidR="0075723F" w:rsidRDefault="0075723F" w:rsidP="00D03B61">
            <w:pPr>
              <w:rPr>
                <w:rFonts w:cs="Arial"/>
                <w:color w:val="000000"/>
                <w:szCs w:val="20"/>
              </w:rPr>
            </w:pPr>
            <w:r>
              <w:rPr>
                <w:rFonts w:cs="Arial"/>
                <w:color w:val="000000"/>
                <w:szCs w:val="20"/>
              </w:rPr>
              <w:t>Mushroom and vegetable growing</w:t>
            </w:r>
          </w:p>
        </w:tc>
        <w:tc>
          <w:tcPr>
            <w:tcW w:w="4148" w:type="dxa"/>
            <w:vAlign w:val="bottom"/>
          </w:tcPr>
          <w:p w:rsidR="0075723F" w:rsidRDefault="0075723F" w:rsidP="00D03B61">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012</w:t>
            </w:r>
          </w:p>
        </w:tc>
      </w:tr>
      <w:tr w:rsidR="0075723F" w:rsidRPr="006D0B78" w:rsidTr="00D03B61">
        <w:trPr>
          <w:trHeight w:val="255"/>
        </w:trPr>
        <w:tc>
          <w:tcPr>
            <w:cnfStyle w:val="001000000000" w:firstRow="0" w:lastRow="0" w:firstColumn="1" w:lastColumn="0" w:oddVBand="0" w:evenVBand="0" w:oddHBand="0" w:evenHBand="0" w:firstRowFirstColumn="0" w:firstRowLastColumn="0" w:lastRowFirstColumn="0" w:lastRowLastColumn="0"/>
            <w:tcW w:w="4148" w:type="dxa"/>
            <w:noWrap/>
            <w:vAlign w:val="bottom"/>
            <w:hideMark/>
          </w:tcPr>
          <w:p w:rsidR="0075723F" w:rsidRDefault="0075723F" w:rsidP="00D03B61">
            <w:pPr>
              <w:rPr>
                <w:rFonts w:cs="Arial"/>
                <w:color w:val="000000"/>
                <w:szCs w:val="20"/>
              </w:rPr>
            </w:pPr>
            <w:r>
              <w:rPr>
                <w:rFonts w:cs="Arial"/>
                <w:color w:val="000000"/>
                <w:szCs w:val="20"/>
              </w:rPr>
              <w:t>Nursery and floriculture production</w:t>
            </w:r>
          </w:p>
        </w:tc>
        <w:tc>
          <w:tcPr>
            <w:tcW w:w="4148" w:type="dxa"/>
            <w:vAlign w:val="bottom"/>
          </w:tcPr>
          <w:p w:rsidR="0075723F" w:rsidRDefault="0075723F" w:rsidP="00D03B61">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011</w:t>
            </w:r>
          </w:p>
        </w:tc>
      </w:tr>
      <w:tr w:rsidR="0075723F" w:rsidRPr="006D0B78" w:rsidTr="00D03B61">
        <w:trPr>
          <w:trHeight w:val="255"/>
        </w:trPr>
        <w:tc>
          <w:tcPr>
            <w:cnfStyle w:val="001000000000" w:firstRow="0" w:lastRow="0" w:firstColumn="1" w:lastColumn="0" w:oddVBand="0" w:evenVBand="0" w:oddHBand="0" w:evenHBand="0" w:firstRowFirstColumn="0" w:firstRowLastColumn="0" w:lastRowFirstColumn="0" w:lastRowLastColumn="0"/>
            <w:tcW w:w="4148" w:type="dxa"/>
            <w:noWrap/>
            <w:vAlign w:val="bottom"/>
            <w:hideMark/>
          </w:tcPr>
          <w:p w:rsidR="0075723F" w:rsidRDefault="0075723F" w:rsidP="00D03B61">
            <w:pPr>
              <w:rPr>
                <w:rFonts w:cs="Arial"/>
                <w:color w:val="000000"/>
                <w:szCs w:val="20"/>
              </w:rPr>
            </w:pPr>
            <w:r>
              <w:rPr>
                <w:rFonts w:cs="Arial"/>
                <w:color w:val="000000"/>
                <w:szCs w:val="20"/>
              </w:rPr>
              <w:t>Other crop growing</w:t>
            </w:r>
          </w:p>
        </w:tc>
        <w:tc>
          <w:tcPr>
            <w:tcW w:w="4148" w:type="dxa"/>
            <w:vAlign w:val="bottom"/>
          </w:tcPr>
          <w:p w:rsidR="0075723F" w:rsidRDefault="0075723F" w:rsidP="00D03B61">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015</w:t>
            </w:r>
          </w:p>
        </w:tc>
      </w:tr>
      <w:tr w:rsidR="0075723F" w:rsidRPr="006D0B78" w:rsidTr="00D03B61">
        <w:trPr>
          <w:trHeight w:val="255"/>
        </w:trPr>
        <w:tc>
          <w:tcPr>
            <w:cnfStyle w:val="001000000000" w:firstRow="0" w:lastRow="0" w:firstColumn="1" w:lastColumn="0" w:oddVBand="0" w:evenVBand="0" w:oddHBand="0" w:evenHBand="0" w:firstRowFirstColumn="0" w:firstRowLastColumn="0" w:lastRowFirstColumn="0" w:lastRowLastColumn="0"/>
            <w:tcW w:w="4148" w:type="dxa"/>
            <w:noWrap/>
            <w:vAlign w:val="bottom"/>
            <w:hideMark/>
          </w:tcPr>
          <w:p w:rsidR="0075723F" w:rsidRDefault="0075723F" w:rsidP="00D03B61">
            <w:pPr>
              <w:rPr>
                <w:rFonts w:cs="Arial"/>
                <w:color w:val="000000"/>
                <w:szCs w:val="20"/>
              </w:rPr>
            </w:pPr>
            <w:r>
              <w:rPr>
                <w:rFonts w:cs="Arial"/>
                <w:color w:val="000000"/>
                <w:szCs w:val="20"/>
              </w:rPr>
              <w:t>Other livestock farming</w:t>
            </w:r>
          </w:p>
        </w:tc>
        <w:tc>
          <w:tcPr>
            <w:tcW w:w="4148" w:type="dxa"/>
            <w:vAlign w:val="bottom"/>
          </w:tcPr>
          <w:p w:rsidR="0075723F" w:rsidRDefault="0075723F" w:rsidP="00D03B61">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019</w:t>
            </w:r>
          </w:p>
        </w:tc>
      </w:tr>
      <w:tr w:rsidR="0075723F" w:rsidRPr="006D0B78" w:rsidTr="00D03B61">
        <w:trPr>
          <w:trHeight w:val="255"/>
        </w:trPr>
        <w:tc>
          <w:tcPr>
            <w:cnfStyle w:val="001000000000" w:firstRow="0" w:lastRow="0" w:firstColumn="1" w:lastColumn="0" w:oddVBand="0" w:evenVBand="0" w:oddHBand="0" w:evenHBand="0" w:firstRowFirstColumn="0" w:firstRowLastColumn="0" w:lastRowFirstColumn="0" w:lastRowLastColumn="0"/>
            <w:tcW w:w="4148" w:type="dxa"/>
            <w:noWrap/>
            <w:vAlign w:val="bottom"/>
            <w:hideMark/>
          </w:tcPr>
          <w:p w:rsidR="0075723F" w:rsidRDefault="0075723F" w:rsidP="00D03B61">
            <w:pPr>
              <w:rPr>
                <w:rFonts w:cs="Arial"/>
                <w:color w:val="000000"/>
                <w:szCs w:val="20"/>
              </w:rPr>
            </w:pPr>
            <w:r>
              <w:rPr>
                <w:rFonts w:cs="Arial"/>
                <w:color w:val="000000"/>
                <w:szCs w:val="20"/>
              </w:rPr>
              <w:t>Poultry farming</w:t>
            </w:r>
          </w:p>
        </w:tc>
        <w:tc>
          <w:tcPr>
            <w:tcW w:w="4148" w:type="dxa"/>
            <w:vAlign w:val="bottom"/>
          </w:tcPr>
          <w:p w:rsidR="0075723F" w:rsidRDefault="0075723F" w:rsidP="00D03B61">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017</w:t>
            </w:r>
          </w:p>
        </w:tc>
      </w:tr>
      <w:tr w:rsidR="0075723F" w:rsidRPr="006D0B78" w:rsidTr="00D03B61">
        <w:trPr>
          <w:trHeight w:val="255"/>
        </w:trPr>
        <w:tc>
          <w:tcPr>
            <w:cnfStyle w:val="001000000000" w:firstRow="0" w:lastRow="0" w:firstColumn="1" w:lastColumn="0" w:oddVBand="0" w:evenVBand="0" w:oddHBand="0" w:evenHBand="0" w:firstRowFirstColumn="0" w:firstRowLastColumn="0" w:lastRowFirstColumn="0" w:lastRowLastColumn="0"/>
            <w:tcW w:w="4148" w:type="dxa"/>
            <w:noWrap/>
            <w:vAlign w:val="bottom"/>
            <w:hideMark/>
          </w:tcPr>
          <w:p w:rsidR="0075723F" w:rsidRDefault="0075723F" w:rsidP="00D03B61">
            <w:pPr>
              <w:rPr>
                <w:rFonts w:cs="Arial"/>
                <w:color w:val="000000"/>
                <w:szCs w:val="20"/>
              </w:rPr>
            </w:pPr>
            <w:r>
              <w:rPr>
                <w:rFonts w:cs="Arial"/>
                <w:color w:val="000000"/>
                <w:szCs w:val="20"/>
              </w:rPr>
              <w:t>Sheep, beef cattle and grain farming</w:t>
            </w:r>
          </w:p>
        </w:tc>
        <w:tc>
          <w:tcPr>
            <w:tcW w:w="4148" w:type="dxa"/>
            <w:vAlign w:val="bottom"/>
          </w:tcPr>
          <w:p w:rsidR="0075723F" w:rsidRDefault="0075723F" w:rsidP="00D03B61">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014</w:t>
            </w:r>
          </w:p>
        </w:tc>
      </w:tr>
    </w:tbl>
    <w:p w:rsidR="0075723F" w:rsidRDefault="0075723F" w:rsidP="0075723F">
      <w:pPr>
        <w:pStyle w:val="Footnote"/>
      </w:pPr>
      <w:r>
        <w:t>Source: ABS 2006.</w:t>
      </w:r>
    </w:p>
    <w:p w:rsidR="0075723F" w:rsidRDefault="0075723F" w:rsidP="0075723F">
      <w:pPr>
        <w:pStyle w:val="Footnote"/>
        <w:rPr>
          <w:b/>
          <w:sz w:val="24"/>
        </w:rPr>
      </w:pPr>
      <w:r>
        <w:br w:type="page"/>
      </w:r>
    </w:p>
    <w:p w:rsidR="0075723F" w:rsidRDefault="0075723F" w:rsidP="0075723F">
      <w:pPr>
        <w:pStyle w:val="Heading1"/>
      </w:pPr>
      <w:bookmarkStart w:id="19" w:name="_Toc453938271"/>
      <w:bookmarkStart w:id="20" w:name="_Toc459720363"/>
      <w:r>
        <w:lastRenderedPageBreak/>
        <w:t>Worker fatalities</w:t>
      </w:r>
      <w:bookmarkEnd w:id="19"/>
      <w:bookmarkEnd w:id="20"/>
    </w:p>
    <w:p w:rsidR="0075723F" w:rsidRDefault="0075723F" w:rsidP="0075723F">
      <w:r w:rsidRPr="00D96574">
        <w:t xml:space="preserve">The fatality statistics in this </w:t>
      </w:r>
      <w:r>
        <w:t>chapter</w:t>
      </w:r>
      <w:r w:rsidRPr="00D96574">
        <w:t xml:space="preserve"> come from Safe Work Australia’s Traumatic Injury Fatalities database (TIF). The work-related fatalities in the TIF are identified using workers’ compensation data, fatality notifications from jurisdictions, the National Coronial Information System and the media. TIF data excludes fatalities that are attributed to work-related diseases.</w:t>
      </w:r>
    </w:p>
    <w:p w:rsidR="0075723F" w:rsidRDefault="0075723F" w:rsidP="0075723F">
      <w:pPr>
        <w:pStyle w:val="Heading2"/>
      </w:pPr>
      <w:bookmarkStart w:id="21" w:name="_Toc453938272"/>
      <w:bookmarkStart w:id="22" w:name="_Toc459720364"/>
      <w:r>
        <w:t>Comparison with other industries</w:t>
      </w:r>
      <w:bookmarkEnd w:id="21"/>
      <w:bookmarkEnd w:id="22"/>
    </w:p>
    <w:p w:rsidR="0075723F" w:rsidRPr="005E6422" w:rsidRDefault="0075723F" w:rsidP="0075723F">
      <w:r>
        <w:t>Despite constituting only 2.6</w:t>
      </w:r>
      <w:r w:rsidRPr="005E6422">
        <w:t xml:space="preserve"> per cent of the Australian</w:t>
      </w:r>
      <w:r>
        <w:t xml:space="preserve"> workforce between 2010</w:t>
      </w:r>
      <w:r w:rsidRPr="005E6422">
        <w:t xml:space="preserve"> and 2014, the </w:t>
      </w:r>
      <w:r>
        <w:t>agricultural industry accounted for 21</w:t>
      </w:r>
      <w:r w:rsidRPr="005E6422">
        <w:t xml:space="preserve"> per cent (</w:t>
      </w:r>
      <w:r>
        <w:t>221</w:t>
      </w:r>
      <w:r w:rsidRPr="005E6422">
        <w:t>) o</w:t>
      </w:r>
      <w:r>
        <w:t>f worker fatalities. Over the five</w:t>
      </w:r>
      <w:r w:rsidRPr="005E6422">
        <w:t xml:space="preserve">-year period, the fatality rate for </w:t>
      </w:r>
      <w:r>
        <w:t>agricultural workers was 14.8</w:t>
      </w:r>
      <w:r w:rsidRPr="005E6422">
        <w:t xml:space="preserve"> fatalities per 100 000 workers</w:t>
      </w:r>
      <w:r>
        <w:t>, which i</w:t>
      </w:r>
      <w:r w:rsidRPr="005E6422">
        <w:t xml:space="preserve">s </w:t>
      </w:r>
      <w:r>
        <w:t>almost eight</w:t>
      </w:r>
      <w:r w:rsidRPr="005E6422">
        <w:t xml:space="preserve"> times higher than the rate for all industries (</w:t>
      </w:r>
      <w:r>
        <w:t>1.9</w:t>
      </w:r>
      <w:r w:rsidRPr="005E6422">
        <w:t xml:space="preserve">) and </w:t>
      </w:r>
      <w:r>
        <w:t>substantially</w:t>
      </w:r>
      <w:r w:rsidRPr="005E6422">
        <w:t xml:space="preserve"> higher than </w:t>
      </w:r>
      <w:r>
        <w:t>every</w:t>
      </w:r>
      <w:r w:rsidRPr="005E6422">
        <w:t xml:space="preserve"> other industry. Figure 1 shows fatality rates </w:t>
      </w:r>
      <w:r>
        <w:t>by industry</w:t>
      </w:r>
      <w:r w:rsidRPr="005E6422">
        <w:t xml:space="preserve"> for the period </w:t>
      </w:r>
      <w:r>
        <w:t>between 2010</w:t>
      </w:r>
      <w:r w:rsidRPr="005E6422">
        <w:t xml:space="preserve"> and 2014.</w:t>
      </w:r>
    </w:p>
    <w:p w:rsidR="0075723F" w:rsidRPr="005E6422" w:rsidRDefault="0075723F" w:rsidP="0075723F">
      <w:pPr>
        <w:pStyle w:val="Heading4"/>
      </w:pPr>
      <w:r w:rsidRPr="005E6422">
        <w:t xml:space="preserve">Figure </w:t>
      </w:r>
      <w:fldSimple w:instr=" SEQ Figure \* ARABIC ">
        <w:r w:rsidR="001A7C10">
          <w:rPr>
            <w:noProof/>
          </w:rPr>
          <w:t>1</w:t>
        </w:r>
      </w:fldSimple>
      <w:r w:rsidRPr="005E6422">
        <w:t xml:space="preserve">: </w:t>
      </w:r>
      <w:r>
        <w:t>Fatality rates by industry, 2010</w:t>
      </w:r>
      <w:r w:rsidRPr="005E6422">
        <w:t xml:space="preserve"> to 2014</w:t>
      </w:r>
      <w:r>
        <w:t xml:space="preserve"> combined</w:t>
      </w:r>
    </w:p>
    <w:p w:rsidR="0075723F" w:rsidRPr="005E6422" w:rsidRDefault="006879FC" w:rsidP="0075723F">
      <w:r>
        <w:rPr>
          <w:noProof/>
        </w:rPr>
        <w:drawing>
          <wp:inline distT="0" distB="0" distL="0" distR="0" wp14:anchorId="0A7053A2" wp14:editId="02C0124F">
            <wp:extent cx="5400000" cy="3600000"/>
            <wp:effectExtent l="0" t="0" r="10795" b="19685"/>
            <wp:docPr id="2" name="Chart 2" descr="The fatality rate for agricultural workers was 14.8 fatalities per 100 000 workers, which is almost eight times higher than the rate for all industries (1.9) and substantially higher than every other industry.&#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5723F" w:rsidRPr="005E6422" w:rsidRDefault="0075723F" w:rsidP="0075723F">
      <w:pPr>
        <w:pStyle w:val="Footnote"/>
      </w:pPr>
      <w:r w:rsidRPr="005E6422">
        <w:t>Source: Traumatic Injury Fatalities database.</w:t>
      </w:r>
    </w:p>
    <w:p w:rsidR="0075723F" w:rsidRDefault="0075723F" w:rsidP="0075723F">
      <w:pPr>
        <w:pStyle w:val="Heading2"/>
      </w:pPr>
      <w:bookmarkStart w:id="23" w:name="_Toc453938273"/>
      <w:bookmarkStart w:id="24" w:name="_Toc459720365"/>
      <w:r>
        <w:t>Trends over time</w:t>
      </w:r>
      <w:bookmarkEnd w:id="23"/>
      <w:bookmarkEnd w:id="24"/>
    </w:p>
    <w:p w:rsidR="0075723F" w:rsidRPr="005E6422" w:rsidRDefault="0075723F" w:rsidP="0075723F">
      <w:r>
        <w:t xml:space="preserve">The fatality rate for agricultural workers is falling slower than the national rate. </w:t>
      </w:r>
      <w:r w:rsidRPr="005E6422">
        <w:t xml:space="preserve">Between 2003 and 2014, the fatality rate for </w:t>
      </w:r>
      <w:r>
        <w:t>agricultural worker</w:t>
      </w:r>
      <w:r w:rsidRPr="005E6422">
        <w:t>s fell by 24 per cent</w:t>
      </w:r>
      <w:r>
        <w:t xml:space="preserve"> (from 16.6</w:t>
      </w:r>
      <w:r w:rsidRPr="005E6422">
        <w:t xml:space="preserve"> to </w:t>
      </w:r>
      <w:r>
        <w:t>12.6</w:t>
      </w:r>
      <w:r w:rsidRPr="005E6422">
        <w:t xml:space="preserve"> fatalities per 100 000 workers), while the fatality rate for all industries fell by 41 per cent</w:t>
      </w:r>
      <w:r>
        <w:t xml:space="preserve"> (from 2.7 to 1.6</w:t>
      </w:r>
      <w:r w:rsidRPr="005E6422">
        <w:t>).</w:t>
      </w:r>
    </w:p>
    <w:p w:rsidR="0075723F" w:rsidRDefault="0075723F" w:rsidP="0075723F">
      <w:pPr>
        <w:rPr>
          <w:b/>
        </w:rPr>
      </w:pPr>
      <w:r>
        <w:br w:type="page"/>
      </w:r>
    </w:p>
    <w:p w:rsidR="0075723F" w:rsidRPr="005E6422" w:rsidRDefault="0075723F" w:rsidP="0075723F">
      <w:pPr>
        <w:pStyle w:val="Heading4"/>
      </w:pPr>
      <w:r>
        <w:lastRenderedPageBreak/>
        <w:t xml:space="preserve">Figure </w:t>
      </w:r>
      <w:fldSimple w:instr=" SEQ Figure \* ARABIC ">
        <w:r w:rsidR="001A7C10">
          <w:rPr>
            <w:noProof/>
          </w:rPr>
          <w:t>2</w:t>
        </w:r>
      </w:fldSimple>
      <w:r>
        <w:t xml:space="preserve">: </w:t>
      </w:r>
      <w:r w:rsidRPr="005E6422">
        <w:t xml:space="preserve">Fatality rates for the </w:t>
      </w:r>
      <w:r>
        <w:t>agricultural</w:t>
      </w:r>
      <w:r w:rsidRPr="005E6422">
        <w:t xml:space="preserve"> industry and all industries, 2003 to 2014</w:t>
      </w:r>
    </w:p>
    <w:p w:rsidR="0075723F" w:rsidRPr="005E6422" w:rsidRDefault="00E914AF" w:rsidP="0075723F">
      <w:r>
        <w:rPr>
          <w:noProof/>
        </w:rPr>
        <w:drawing>
          <wp:inline distT="0" distB="0" distL="0" distR="0" wp14:anchorId="3C9C2722" wp14:editId="145AA1EC">
            <wp:extent cx="5400000" cy="3240000"/>
            <wp:effectExtent l="0" t="0" r="10795" b="17780"/>
            <wp:docPr id="1" name="Chart 1" descr="Between 2003 and 2014, the fatality rate for agricultural workers fell by 24 per cent (from 16.6 to 12.6 fatalities per 100 000 workers), while the fatality rate for all industries fell by 41 per cent (from 2.7 to 1.6).&#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5723F" w:rsidRPr="005E6422" w:rsidRDefault="0075723F" w:rsidP="0075723F">
      <w:pPr>
        <w:pStyle w:val="Footnote"/>
      </w:pPr>
      <w:r w:rsidRPr="005E6422">
        <w:t>Source: Traumatic Injury Fatalities database.</w:t>
      </w:r>
    </w:p>
    <w:p w:rsidR="0075723F" w:rsidRDefault="0075723F" w:rsidP="0075723F">
      <w:pPr>
        <w:pStyle w:val="Heading2"/>
      </w:pPr>
      <w:bookmarkStart w:id="25" w:name="_Toc453938274"/>
      <w:bookmarkStart w:id="26" w:name="_Toc459720366"/>
      <w:r>
        <w:t>Agricultural subdivisions</w:t>
      </w:r>
      <w:bookmarkEnd w:id="25"/>
      <w:bookmarkEnd w:id="26"/>
    </w:p>
    <w:p w:rsidR="0075723F" w:rsidRDefault="0075723F" w:rsidP="0075723F">
      <w:r w:rsidRPr="005E6422">
        <w:t xml:space="preserve">Within the </w:t>
      </w:r>
      <w:r>
        <w:t>agricultural</w:t>
      </w:r>
      <w:r w:rsidRPr="005E6422">
        <w:t xml:space="preserve"> industry, fatality rates vary considerably by industry </w:t>
      </w:r>
      <w:r>
        <w:t>subdivision</w:t>
      </w:r>
      <w:r w:rsidRPr="005E6422">
        <w:t xml:space="preserve">. </w:t>
      </w:r>
      <w:r>
        <w:t>The s</w:t>
      </w:r>
      <w:r w:rsidRPr="00814A56">
        <w:t>heep, beef cattle and grain farming</w:t>
      </w:r>
      <w:r>
        <w:t xml:space="preserve"> subdivisio</w:t>
      </w:r>
      <w:r w:rsidR="001A7C10">
        <w:t>n,</w:t>
      </w:r>
      <w:r w:rsidR="00E6608C">
        <w:t xml:space="preserve"> which employs almost half (48</w:t>
      </w:r>
      <w:r>
        <w:t xml:space="preserve"> per cent) of agricultural workers, had the second-highest fatality rate (19.9 fatalities per 100 000 workers) and the highest number of fatalities (144) between 2010 and 2014. In contrast, no fatalities were recorded in the poultry farming subdivision, which employs the lowest percentage (3 per cent) of agricultural workers in Australia.</w:t>
      </w:r>
    </w:p>
    <w:p w:rsidR="0075723F" w:rsidRPr="005E6422" w:rsidRDefault="0075723F" w:rsidP="0075723F">
      <w:pPr>
        <w:pStyle w:val="Heading4"/>
      </w:pPr>
      <w:r>
        <w:t xml:space="preserve">Table </w:t>
      </w:r>
      <w:fldSimple w:instr=" SEQ Table \* ARABIC ">
        <w:r w:rsidR="001A7C10">
          <w:rPr>
            <w:noProof/>
          </w:rPr>
          <w:t>2</w:t>
        </w:r>
      </w:fldSimple>
      <w:r>
        <w:t xml:space="preserve">: </w:t>
      </w:r>
      <w:r w:rsidRPr="005E6422">
        <w:t xml:space="preserve">Fatality </w:t>
      </w:r>
      <w:r>
        <w:t xml:space="preserve">and workforce statistics </w:t>
      </w:r>
      <w:r w:rsidRPr="005E6422">
        <w:t xml:space="preserve">by </w:t>
      </w:r>
      <w:r>
        <w:t>agricultural</w:t>
      </w:r>
      <w:r w:rsidRPr="005E6422">
        <w:t xml:space="preserve"> </w:t>
      </w:r>
      <w:r>
        <w:t>subdivision, 2010</w:t>
      </w:r>
      <w:r w:rsidRPr="005E6422">
        <w:t xml:space="preserve"> to 2014</w:t>
      </w:r>
      <w:r>
        <w:t xml:space="preserve"> combined</w:t>
      </w:r>
    </w:p>
    <w:tbl>
      <w:tblPr>
        <w:tblStyle w:val="TableGrid"/>
        <w:tblW w:w="9747" w:type="dxa"/>
        <w:tblInd w:w="108" w:type="dxa"/>
        <w:tblLook w:val="04A0" w:firstRow="1" w:lastRow="0" w:firstColumn="1" w:lastColumn="0" w:noHBand="0" w:noVBand="1"/>
        <w:tblCaption w:val="Table 2"/>
      </w:tblPr>
      <w:tblGrid>
        <w:gridCol w:w="3399"/>
        <w:gridCol w:w="1587"/>
        <w:gridCol w:w="1587"/>
        <w:gridCol w:w="1507"/>
        <w:gridCol w:w="1667"/>
      </w:tblGrid>
      <w:tr w:rsidR="0075723F" w:rsidRPr="00695879" w:rsidTr="003A5C20">
        <w:trPr>
          <w:trHeight w:val="255"/>
          <w:tblHeader/>
        </w:trPr>
        <w:tc>
          <w:tcPr>
            <w:cnfStyle w:val="001000000000" w:firstRow="0" w:lastRow="0" w:firstColumn="1" w:lastColumn="0" w:oddVBand="0" w:evenVBand="0" w:oddHBand="0" w:evenHBand="0" w:firstRowFirstColumn="0" w:firstRowLastColumn="0" w:lastRowFirstColumn="0" w:lastRowLastColumn="0"/>
            <w:tcW w:w="3399" w:type="dxa"/>
            <w:noWrap/>
            <w:hideMark/>
          </w:tcPr>
          <w:p w:rsidR="0075723F" w:rsidRPr="00695879" w:rsidRDefault="0075723F" w:rsidP="003A5C20">
            <w:pPr>
              <w:rPr>
                <w:rFonts w:eastAsia="Times New Roman"/>
                <w:b/>
                <w:color w:val="000000"/>
                <w:szCs w:val="20"/>
              </w:rPr>
            </w:pPr>
            <w:r w:rsidRPr="00695879">
              <w:rPr>
                <w:rFonts w:eastAsia="Times New Roman"/>
                <w:b/>
                <w:color w:val="000000"/>
                <w:szCs w:val="20"/>
              </w:rPr>
              <w:t>Agricultural subdivision</w:t>
            </w:r>
          </w:p>
        </w:tc>
        <w:tc>
          <w:tcPr>
            <w:tcW w:w="1587" w:type="dxa"/>
            <w:noWrap/>
            <w:hideMark/>
          </w:tcPr>
          <w:p w:rsidR="0075723F" w:rsidRPr="00695879" w:rsidRDefault="0075723F" w:rsidP="003A5C20">
            <w:pPr>
              <w:cnfStyle w:val="000000000000" w:firstRow="0" w:lastRow="0" w:firstColumn="0" w:lastColumn="0" w:oddVBand="0" w:evenVBand="0" w:oddHBand="0" w:evenHBand="0" w:firstRowFirstColumn="0" w:firstRowLastColumn="0" w:lastRowFirstColumn="0" w:lastRowLastColumn="0"/>
              <w:rPr>
                <w:rFonts w:eastAsia="Times New Roman"/>
                <w:b/>
                <w:color w:val="000000"/>
                <w:szCs w:val="20"/>
              </w:rPr>
            </w:pPr>
            <w:r w:rsidRPr="00695879">
              <w:rPr>
                <w:rFonts w:eastAsia="Times New Roman"/>
                <w:b/>
                <w:color w:val="000000"/>
                <w:szCs w:val="20"/>
              </w:rPr>
              <w:t>Fa</w:t>
            </w:r>
            <w:r w:rsidR="00E914AF">
              <w:rPr>
                <w:rFonts w:eastAsia="Times New Roman"/>
                <w:b/>
                <w:color w:val="000000"/>
                <w:szCs w:val="20"/>
              </w:rPr>
              <w:t>tality rate (fatalities per 100 </w:t>
            </w:r>
            <w:r w:rsidRPr="00695879">
              <w:rPr>
                <w:rFonts w:eastAsia="Times New Roman"/>
                <w:b/>
                <w:color w:val="000000"/>
                <w:szCs w:val="20"/>
              </w:rPr>
              <w:t>000 workers)</w:t>
            </w:r>
          </w:p>
        </w:tc>
        <w:tc>
          <w:tcPr>
            <w:tcW w:w="1587" w:type="dxa"/>
            <w:noWrap/>
            <w:hideMark/>
          </w:tcPr>
          <w:p w:rsidR="0075723F" w:rsidRPr="00695879" w:rsidRDefault="0075723F" w:rsidP="003A5C20">
            <w:pPr>
              <w:cnfStyle w:val="000000000000" w:firstRow="0" w:lastRow="0" w:firstColumn="0" w:lastColumn="0" w:oddVBand="0" w:evenVBand="0" w:oddHBand="0" w:evenHBand="0" w:firstRowFirstColumn="0" w:firstRowLastColumn="0" w:lastRowFirstColumn="0" w:lastRowLastColumn="0"/>
              <w:rPr>
                <w:rFonts w:eastAsia="Times New Roman"/>
                <w:b/>
                <w:color w:val="000000"/>
                <w:szCs w:val="20"/>
              </w:rPr>
            </w:pPr>
            <w:r w:rsidRPr="00695879">
              <w:rPr>
                <w:rFonts w:eastAsia="Times New Roman"/>
                <w:b/>
                <w:color w:val="000000"/>
                <w:szCs w:val="20"/>
              </w:rPr>
              <w:t>Number of fatalities</w:t>
            </w:r>
          </w:p>
        </w:tc>
        <w:tc>
          <w:tcPr>
            <w:tcW w:w="1507" w:type="dxa"/>
          </w:tcPr>
          <w:p w:rsidR="0075723F" w:rsidRPr="00695879" w:rsidRDefault="0075723F" w:rsidP="003A5C20">
            <w:pPr>
              <w:cnfStyle w:val="000000000000" w:firstRow="0" w:lastRow="0" w:firstColumn="0" w:lastColumn="0" w:oddVBand="0" w:evenVBand="0" w:oddHBand="0" w:evenHBand="0" w:firstRowFirstColumn="0" w:firstRowLastColumn="0" w:lastRowFirstColumn="0" w:lastRowLastColumn="0"/>
              <w:rPr>
                <w:rFonts w:cs="Arial"/>
                <w:b/>
                <w:color w:val="000000"/>
                <w:szCs w:val="20"/>
              </w:rPr>
            </w:pPr>
            <w:r w:rsidRPr="00695879">
              <w:rPr>
                <w:rFonts w:cs="Arial"/>
                <w:b/>
                <w:color w:val="000000"/>
                <w:szCs w:val="20"/>
              </w:rPr>
              <w:t>Percentage of agricultural fatalities</w:t>
            </w:r>
          </w:p>
        </w:tc>
        <w:tc>
          <w:tcPr>
            <w:tcW w:w="1667" w:type="dxa"/>
          </w:tcPr>
          <w:p w:rsidR="0075723F" w:rsidRPr="00695879" w:rsidRDefault="0075723F" w:rsidP="003A5C20">
            <w:pPr>
              <w:cnfStyle w:val="000000000000" w:firstRow="0" w:lastRow="0" w:firstColumn="0" w:lastColumn="0" w:oddVBand="0" w:evenVBand="0" w:oddHBand="0" w:evenHBand="0" w:firstRowFirstColumn="0" w:firstRowLastColumn="0" w:lastRowFirstColumn="0" w:lastRowLastColumn="0"/>
              <w:rPr>
                <w:rFonts w:cs="Arial"/>
                <w:b/>
                <w:color w:val="000000"/>
                <w:szCs w:val="20"/>
              </w:rPr>
            </w:pPr>
            <w:r w:rsidRPr="00695879">
              <w:rPr>
                <w:rFonts w:cs="Arial"/>
                <w:b/>
                <w:color w:val="000000"/>
                <w:szCs w:val="20"/>
              </w:rPr>
              <w:t>Percentage of agricultural workforce</w:t>
            </w:r>
          </w:p>
        </w:tc>
      </w:tr>
      <w:tr w:rsidR="003A5C20" w:rsidRPr="00CC3706" w:rsidTr="003A5C20">
        <w:trPr>
          <w:trHeight w:val="255"/>
        </w:trPr>
        <w:tc>
          <w:tcPr>
            <w:cnfStyle w:val="001000000000" w:firstRow="0" w:lastRow="0" w:firstColumn="1" w:lastColumn="0" w:oddVBand="0" w:evenVBand="0" w:oddHBand="0" w:evenHBand="0" w:firstRowFirstColumn="0" w:firstRowLastColumn="0" w:lastRowFirstColumn="0" w:lastRowLastColumn="0"/>
            <w:tcW w:w="3399" w:type="dxa"/>
            <w:noWrap/>
            <w:hideMark/>
          </w:tcPr>
          <w:p w:rsidR="003A5C20" w:rsidRDefault="003A5C20" w:rsidP="003A5C20">
            <w:pPr>
              <w:rPr>
                <w:rFonts w:cs="Arial"/>
                <w:color w:val="000000"/>
                <w:szCs w:val="20"/>
              </w:rPr>
            </w:pPr>
            <w:r>
              <w:rPr>
                <w:rFonts w:cs="Arial"/>
                <w:color w:val="000000"/>
                <w:szCs w:val="20"/>
              </w:rPr>
              <w:t>Agriculture and fishing support services</w:t>
            </w:r>
          </w:p>
        </w:tc>
        <w:tc>
          <w:tcPr>
            <w:tcW w:w="1587"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20.8</w:t>
            </w:r>
          </w:p>
        </w:tc>
        <w:tc>
          <w:tcPr>
            <w:tcW w:w="1587"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20</w:t>
            </w:r>
          </w:p>
        </w:tc>
        <w:tc>
          <w:tcPr>
            <w:tcW w:w="1507" w:type="dxa"/>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9.0%</w:t>
            </w:r>
          </w:p>
        </w:tc>
        <w:tc>
          <w:tcPr>
            <w:tcW w:w="1667" w:type="dxa"/>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7.6%</w:t>
            </w:r>
          </w:p>
        </w:tc>
      </w:tr>
      <w:tr w:rsidR="003A5C20" w:rsidRPr="00CC3706" w:rsidTr="003A5C20">
        <w:trPr>
          <w:trHeight w:val="255"/>
        </w:trPr>
        <w:tc>
          <w:tcPr>
            <w:cnfStyle w:val="001000000000" w:firstRow="0" w:lastRow="0" w:firstColumn="1" w:lastColumn="0" w:oddVBand="0" w:evenVBand="0" w:oddHBand="0" w:evenHBand="0" w:firstRowFirstColumn="0" w:firstRowLastColumn="0" w:lastRowFirstColumn="0" w:lastRowLastColumn="0"/>
            <w:tcW w:w="3399" w:type="dxa"/>
            <w:noWrap/>
            <w:hideMark/>
          </w:tcPr>
          <w:p w:rsidR="003A5C20" w:rsidRDefault="003A5C20" w:rsidP="003A5C20">
            <w:pPr>
              <w:rPr>
                <w:rFonts w:cs="Arial"/>
                <w:color w:val="000000"/>
                <w:szCs w:val="20"/>
              </w:rPr>
            </w:pPr>
            <w:r>
              <w:rPr>
                <w:rFonts w:cs="Arial"/>
                <w:color w:val="000000"/>
                <w:szCs w:val="20"/>
              </w:rPr>
              <w:t>Sheep, beef cattle and grain farming</w:t>
            </w:r>
          </w:p>
        </w:tc>
        <w:tc>
          <w:tcPr>
            <w:tcW w:w="1587"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19.9</w:t>
            </w:r>
          </w:p>
        </w:tc>
        <w:tc>
          <w:tcPr>
            <w:tcW w:w="1587"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144</w:t>
            </w:r>
          </w:p>
        </w:tc>
        <w:tc>
          <w:tcPr>
            <w:tcW w:w="1507" w:type="dxa"/>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65.2%</w:t>
            </w:r>
          </w:p>
        </w:tc>
        <w:tc>
          <w:tcPr>
            <w:tcW w:w="1667" w:type="dxa"/>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47.9%</w:t>
            </w:r>
          </w:p>
        </w:tc>
      </w:tr>
      <w:tr w:rsidR="003A5C20" w:rsidRPr="00CC3706" w:rsidTr="003A5C20">
        <w:trPr>
          <w:trHeight w:val="255"/>
        </w:trPr>
        <w:tc>
          <w:tcPr>
            <w:cnfStyle w:val="001000000000" w:firstRow="0" w:lastRow="0" w:firstColumn="1" w:lastColumn="0" w:oddVBand="0" w:evenVBand="0" w:oddHBand="0" w:evenHBand="0" w:firstRowFirstColumn="0" w:firstRowLastColumn="0" w:lastRowFirstColumn="0" w:lastRowLastColumn="0"/>
            <w:tcW w:w="3399" w:type="dxa"/>
            <w:noWrap/>
            <w:hideMark/>
          </w:tcPr>
          <w:p w:rsidR="003A5C20" w:rsidRDefault="003A5C20" w:rsidP="003A5C20">
            <w:pPr>
              <w:rPr>
                <w:rFonts w:cs="Arial"/>
                <w:color w:val="000000"/>
                <w:szCs w:val="20"/>
              </w:rPr>
            </w:pPr>
            <w:r>
              <w:rPr>
                <w:rFonts w:cs="Arial"/>
                <w:color w:val="000000"/>
                <w:szCs w:val="20"/>
              </w:rPr>
              <w:t>Other livestock farming</w:t>
            </w:r>
          </w:p>
        </w:tc>
        <w:tc>
          <w:tcPr>
            <w:tcW w:w="1587"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18.8</w:t>
            </w:r>
          </w:p>
        </w:tc>
        <w:tc>
          <w:tcPr>
            <w:tcW w:w="1587"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13</w:t>
            </w:r>
          </w:p>
        </w:tc>
        <w:tc>
          <w:tcPr>
            <w:tcW w:w="1507" w:type="dxa"/>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5.9%</w:t>
            </w:r>
          </w:p>
        </w:tc>
        <w:tc>
          <w:tcPr>
            <w:tcW w:w="1667" w:type="dxa"/>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4.6%</w:t>
            </w:r>
          </w:p>
        </w:tc>
      </w:tr>
      <w:tr w:rsidR="003A5C20" w:rsidRPr="00CC3706" w:rsidTr="003A5C20">
        <w:trPr>
          <w:trHeight w:val="255"/>
        </w:trPr>
        <w:tc>
          <w:tcPr>
            <w:cnfStyle w:val="001000000000" w:firstRow="0" w:lastRow="0" w:firstColumn="1" w:lastColumn="0" w:oddVBand="0" w:evenVBand="0" w:oddHBand="0" w:evenHBand="0" w:firstRowFirstColumn="0" w:firstRowLastColumn="0" w:lastRowFirstColumn="0" w:lastRowLastColumn="0"/>
            <w:tcW w:w="3399" w:type="dxa"/>
            <w:noWrap/>
            <w:hideMark/>
          </w:tcPr>
          <w:p w:rsidR="003A5C20" w:rsidRDefault="003A5C20" w:rsidP="003A5C20">
            <w:pPr>
              <w:rPr>
                <w:rFonts w:cs="Arial"/>
                <w:color w:val="000000"/>
                <w:szCs w:val="20"/>
              </w:rPr>
            </w:pPr>
            <w:r>
              <w:rPr>
                <w:rFonts w:cs="Arial"/>
                <w:color w:val="000000"/>
                <w:szCs w:val="20"/>
              </w:rPr>
              <w:t>Other crop growing</w:t>
            </w:r>
          </w:p>
        </w:tc>
        <w:tc>
          <w:tcPr>
            <w:tcW w:w="1587"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17.6</w:t>
            </w:r>
          </w:p>
        </w:tc>
        <w:tc>
          <w:tcPr>
            <w:tcW w:w="1587"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10</w:t>
            </w:r>
          </w:p>
        </w:tc>
        <w:tc>
          <w:tcPr>
            <w:tcW w:w="1507" w:type="dxa"/>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4.5%</w:t>
            </w:r>
          </w:p>
        </w:tc>
        <w:tc>
          <w:tcPr>
            <w:tcW w:w="1667" w:type="dxa"/>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3.8%</w:t>
            </w:r>
          </w:p>
        </w:tc>
      </w:tr>
      <w:tr w:rsidR="003A5C20" w:rsidRPr="00CC3706" w:rsidTr="003A5C20">
        <w:trPr>
          <w:trHeight w:val="255"/>
        </w:trPr>
        <w:tc>
          <w:tcPr>
            <w:cnfStyle w:val="001000000000" w:firstRow="0" w:lastRow="0" w:firstColumn="1" w:lastColumn="0" w:oddVBand="0" w:evenVBand="0" w:oddHBand="0" w:evenHBand="0" w:firstRowFirstColumn="0" w:firstRowLastColumn="0" w:lastRowFirstColumn="0" w:lastRowLastColumn="0"/>
            <w:tcW w:w="3399" w:type="dxa"/>
            <w:noWrap/>
            <w:hideMark/>
          </w:tcPr>
          <w:p w:rsidR="003A5C20" w:rsidRDefault="003A5C20" w:rsidP="003A5C20">
            <w:pPr>
              <w:rPr>
                <w:rFonts w:cs="Arial"/>
                <w:color w:val="000000"/>
                <w:szCs w:val="20"/>
              </w:rPr>
            </w:pPr>
            <w:r>
              <w:rPr>
                <w:rFonts w:cs="Arial"/>
                <w:color w:val="000000"/>
                <w:szCs w:val="20"/>
              </w:rPr>
              <w:t>Mushroom and vegetable growing</w:t>
            </w:r>
          </w:p>
        </w:tc>
        <w:tc>
          <w:tcPr>
            <w:tcW w:w="1587"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9.4</w:t>
            </w:r>
          </w:p>
        </w:tc>
        <w:tc>
          <w:tcPr>
            <w:tcW w:w="1587"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10</w:t>
            </w:r>
          </w:p>
        </w:tc>
        <w:tc>
          <w:tcPr>
            <w:tcW w:w="1507" w:type="dxa"/>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4.5%</w:t>
            </w:r>
          </w:p>
        </w:tc>
        <w:tc>
          <w:tcPr>
            <w:tcW w:w="1667" w:type="dxa"/>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7.0%</w:t>
            </w:r>
          </w:p>
        </w:tc>
      </w:tr>
      <w:tr w:rsidR="003A5C20" w:rsidRPr="00CC3706" w:rsidTr="003A5C20">
        <w:trPr>
          <w:trHeight w:val="255"/>
        </w:trPr>
        <w:tc>
          <w:tcPr>
            <w:cnfStyle w:val="001000000000" w:firstRow="0" w:lastRow="0" w:firstColumn="1" w:lastColumn="0" w:oddVBand="0" w:evenVBand="0" w:oddHBand="0" w:evenHBand="0" w:firstRowFirstColumn="0" w:firstRowLastColumn="0" w:lastRowFirstColumn="0" w:lastRowLastColumn="0"/>
            <w:tcW w:w="3399" w:type="dxa"/>
            <w:noWrap/>
            <w:hideMark/>
          </w:tcPr>
          <w:p w:rsidR="003A5C20" w:rsidRDefault="003A5C20" w:rsidP="003A5C20">
            <w:pPr>
              <w:rPr>
                <w:rFonts w:cs="Arial"/>
                <w:color w:val="000000"/>
                <w:szCs w:val="20"/>
              </w:rPr>
            </w:pPr>
            <w:r>
              <w:rPr>
                <w:rFonts w:cs="Arial"/>
                <w:color w:val="000000"/>
                <w:szCs w:val="20"/>
              </w:rPr>
              <w:t>Dairy cattle farming</w:t>
            </w:r>
          </w:p>
        </w:tc>
        <w:tc>
          <w:tcPr>
            <w:tcW w:w="1587"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6.9</w:t>
            </w:r>
          </w:p>
        </w:tc>
        <w:tc>
          <w:tcPr>
            <w:tcW w:w="1587"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10</w:t>
            </w:r>
          </w:p>
        </w:tc>
        <w:tc>
          <w:tcPr>
            <w:tcW w:w="1507" w:type="dxa"/>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4.5%</w:t>
            </w:r>
          </w:p>
        </w:tc>
        <w:tc>
          <w:tcPr>
            <w:tcW w:w="1667" w:type="dxa"/>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9.6%</w:t>
            </w:r>
          </w:p>
        </w:tc>
      </w:tr>
      <w:tr w:rsidR="003A5C20" w:rsidRPr="00CC3706" w:rsidTr="003A5C20">
        <w:trPr>
          <w:trHeight w:val="255"/>
        </w:trPr>
        <w:tc>
          <w:tcPr>
            <w:cnfStyle w:val="001000000000" w:firstRow="0" w:lastRow="0" w:firstColumn="1" w:lastColumn="0" w:oddVBand="0" w:evenVBand="0" w:oddHBand="0" w:evenHBand="0" w:firstRowFirstColumn="0" w:firstRowLastColumn="0" w:lastRowFirstColumn="0" w:lastRowLastColumn="0"/>
            <w:tcW w:w="3399" w:type="dxa"/>
            <w:noWrap/>
            <w:hideMark/>
          </w:tcPr>
          <w:p w:rsidR="003A5C20" w:rsidRDefault="003A5C20" w:rsidP="003A5C20">
            <w:pPr>
              <w:rPr>
                <w:rFonts w:cs="Arial"/>
                <w:color w:val="000000"/>
                <w:szCs w:val="20"/>
              </w:rPr>
            </w:pPr>
            <w:r>
              <w:rPr>
                <w:rFonts w:cs="Arial"/>
                <w:color w:val="000000"/>
                <w:szCs w:val="20"/>
              </w:rPr>
              <w:t>Fruit and tree nut growing</w:t>
            </w:r>
          </w:p>
        </w:tc>
        <w:tc>
          <w:tcPr>
            <w:tcW w:w="1587"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6.2</w:t>
            </w:r>
          </w:p>
        </w:tc>
        <w:tc>
          <w:tcPr>
            <w:tcW w:w="1587"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11</w:t>
            </w:r>
          </w:p>
        </w:tc>
        <w:tc>
          <w:tcPr>
            <w:tcW w:w="1507" w:type="dxa"/>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5.0%</w:t>
            </w:r>
          </w:p>
        </w:tc>
        <w:tc>
          <w:tcPr>
            <w:tcW w:w="1667" w:type="dxa"/>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11.7%</w:t>
            </w:r>
          </w:p>
        </w:tc>
      </w:tr>
      <w:tr w:rsidR="003A5C20" w:rsidRPr="00CC3706" w:rsidTr="003A5C20">
        <w:trPr>
          <w:trHeight w:val="255"/>
        </w:trPr>
        <w:tc>
          <w:tcPr>
            <w:cnfStyle w:val="001000000000" w:firstRow="0" w:lastRow="0" w:firstColumn="1" w:lastColumn="0" w:oddVBand="0" w:evenVBand="0" w:oddHBand="0" w:evenHBand="0" w:firstRowFirstColumn="0" w:firstRowLastColumn="0" w:lastRowFirstColumn="0" w:lastRowLastColumn="0"/>
            <w:tcW w:w="3399" w:type="dxa"/>
            <w:noWrap/>
            <w:hideMark/>
          </w:tcPr>
          <w:p w:rsidR="003A5C20" w:rsidRDefault="003A5C20" w:rsidP="003A5C20">
            <w:pPr>
              <w:rPr>
                <w:rFonts w:cs="Arial"/>
                <w:color w:val="000000"/>
                <w:szCs w:val="20"/>
              </w:rPr>
            </w:pPr>
            <w:r>
              <w:rPr>
                <w:rFonts w:cs="Arial"/>
                <w:color w:val="000000"/>
                <w:szCs w:val="20"/>
              </w:rPr>
              <w:t>Nursery and floriculture production</w:t>
            </w:r>
          </w:p>
        </w:tc>
        <w:tc>
          <w:tcPr>
            <w:tcW w:w="1587"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4.2</w:t>
            </w:r>
          </w:p>
        </w:tc>
        <w:tc>
          <w:tcPr>
            <w:tcW w:w="1587"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3</w:t>
            </w:r>
          </w:p>
        </w:tc>
        <w:tc>
          <w:tcPr>
            <w:tcW w:w="1507" w:type="dxa"/>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1.4%</w:t>
            </w:r>
          </w:p>
        </w:tc>
        <w:tc>
          <w:tcPr>
            <w:tcW w:w="1667" w:type="dxa"/>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4.7%</w:t>
            </w:r>
          </w:p>
        </w:tc>
      </w:tr>
      <w:tr w:rsidR="003A5C20" w:rsidRPr="00CC3706" w:rsidTr="003A5C20">
        <w:trPr>
          <w:trHeight w:val="255"/>
        </w:trPr>
        <w:tc>
          <w:tcPr>
            <w:cnfStyle w:val="001000000000" w:firstRow="0" w:lastRow="0" w:firstColumn="1" w:lastColumn="0" w:oddVBand="0" w:evenVBand="0" w:oddHBand="0" w:evenHBand="0" w:firstRowFirstColumn="0" w:firstRowLastColumn="0" w:lastRowFirstColumn="0" w:lastRowLastColumn="0"/>
            <w:tcW w:w="3399" w:type="dxa"/>
            <w:noWrap/>
            <w:hideMark/>
          </w:tcPr>
          <w:p w:rsidR="003A5C20" w:rsidRDefault="003A5C20" w:rsidP="003A5C20">
            <w:pPr>
              <w:rPr>
                <w:rFonts w:cs="Arial"/>
                <w:color w:val="000000"/>
                <w:szCs w:val="20"/>
              </w:rPr>
            </w:pPr>
            <w:r>
              <w:rPr>
                <w:rFonts w:cs="Arial"/>
                <w:color w:val="000000"/>
                <w:szCs w:val="20"/>
              </w:rPr>
              <w:t>Poultry farming</w:t>
            </w:r>
          </w:p>
        </w:tc>
        <w:tc>
          <w:tcPr>
            <w:tcW w:w="1587"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0.0</w:t>
            </w:r>
          </w:p>
        </w:tc>
        <w:tc>
          <w:tcPr>
            <w:tcW w:w="1587"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0</w:t>
            </w:r>
          </w:p>
        </w:tc>
        <w:tc>
          <w:tcPr>
            <w:tcW w:w="1507" w:type="dxa"/>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0.0%</w:t>
            </w:r>
          </w:p>
        </w:tc>
        <w:tc>
          <w:tcPr>
            <w:tcW w:w="1667" w:type="dxa"/>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3.1%</w:t>
            </w:r>
          </w:p>
        </w:tc>
      </w:tr>
      <w:tr w:rsidR="003A5C20" w:rsidRPr="003A5C20" w:rsidTr="003A5C20">
        <w:trPr>
          <w:trHeight w:val="255"/>
        </w:trPr>
        <w:tc>
          <w:tcPr>
            <w:cnfStyle w:val="001000000000" w:firstRow="0" w:lastRow="0" w:firstColumn="1" w:lastColumn="0" w:oddVBand="0" w:evenVBand="0" w:oddHBand="0" w:evenHBand="0" w:firstRowFirstColumn="0" w:firstRowLastColumn="0" w:lastRowFirstColumn="0" w:lastRowLastColumn="0"/>
            <w:tcW w:w="3399" w:type="dxa"/>
            <w:noWrap/>
            <w:hideMark/>
          </w:tcPr>
          <w:p w:rsidR="003A5C20" w:rsidRPr="003A5C20" w:rsidRDefault="003A5C20" w:rsidP="003A5C20">
            <w:pPr>
              <w:rPr>
                <w:rFonts w:cs="Arial"/>
                <w:b/>
                <w:color w:val="000000"/>
                <w:szCs w:val="20"/>
              </w:rPr>
            </w:pPr>
            <w:r w:rsidRPr="003A5C20">
              <w:rPr>
                <w:rFonts w:cs="Arial"/>
                <w:b/>
                <w:color w:val="000000"/>
                <w:szCs w:val="20"/>
              </w:rPr>
              <w:t>Total</w:t>
            </w:r>
          </w:p>
        </w:tc>
        <w:tc>
          <w:tcPr>
            <w:tcW w:w="1587" w:type="dxa"/>
            <w:noWrap/>
            <w:hideMark/>
          </w:tcPr>
          <w:p w:rsidR="003A5C20" w:rsidRP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b/>
                <w:color w:val="000000"/>
                <w:szCs w:val="20"/>
              </w:rPr>
            </w:pPr>
            <w:r w:rsidRPr="003A5C20">
              <w:rPr>
                <w:rFonts w:cs="Arial"/>
                <w:b/>
                <w:color w:val="000000"/>
                <w:szCs w:val="20"/>
              </w:rPr>
              <w:t>14.8</w:t>
            </w:r>
          </w:p>
        </w:tc>
        <w:tc>
          <w:tcPr>
            <w:tcW w:w="1587" w:type="dxa"/>
            <w:noWrap/>
            <w:hideMark/>
          </w:tcPr>
          <w:p w:rsidR="003A5C20" w:rsidRP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b/>
                <w:color w:val="000000"/>
                <w:szCs w:val="20"/>
              </w:rPr>
            </w:pPr>
            <w:r w:rsidRPr="003A5C20">
              <w:rPr>
                <w:rFonts w:cs="Arial"/>
                <w:b/>
                <w:color w:val="000000"/>
                <w:szCs w:val="20"/>
              </w:rPr>
              <w:t>221</w:t>
            </w:r>
          </w:p>
        </w:tc>
        <w:tc>
          <w:tcPr>
            <w:tcW w:w="1507" w:type="dxa"/>
          </w:tcPr>
          <w:p w:rsidR="003A5C20" w:rsidRP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b/>
                <w:color w:val="000000"/>
                <w:szCs w:val="20"/>
              </w:rPr>
            </w:pPr>
            <w:r w:rsidRPr="003A5C20">
              <w:rPr>
                <w:rFonts w:cs="Arial"/>
                <w:b/>
                <w:color w:val="000000"/>
                <w:szCs w:val="20"/>
              </w:rPr>
              <w:t>100.0%</w:t>
            </w:r>
          </w:p>
        </w:tc>
        <w:tc>
          <w:tcPr>
            <w:tcW w:w="1667" w:type="dxa"/>
          </w:tcPr>
          <w:p w:rsidR="003A5C20" w:rsidRP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b/>
                <w:color w:val="000000"/>
                <w:szCs w:val="20"/>
              </w:rPr>
            </w:pPr>
            <w:r w:rsidRPr="003A5C20">
              <w:rPr>
                <w:rFonts w:cs="Arial"/>
                <w:b/>
                <w:color w:val="000000"/>
                <w:szCs w:val="20"/>
              </w:rPr>
              <w:t>100.0%</w:t>
            </w:r>
          </w:p>
        </w:tc>
      </w:tr>
    </w:tbl>
    <w:p w:rsidR="0075723F" w:rsidRPr="005E6422" w:rsidRDefault="00C234F2" w:rsidP="0075723F">
      <w:pPr>
        <w:pStyle w:val="Footnote"/>
      </w:pPr>
      <w:r w:rsidRPr="00C234F2">
        <w:t>The sum of percentages may not equal 100% due to rounding.</w:t>
      </w:r>
      <w:r>
        <w:br/>
      </w:r>
      <w:r w:rsidR="0075723F">
        <w:t>Source: f</w:t>
      </w:r>
      <w:r w:rsidR="0075723F" w:rsidRPr="005F38D5">
        <w:t>atality stati</w:t>
      </w:r>
      <w:r w:rsidR="0075723F">
        <w:t>stics—</w:t>
      </w:r>
      <w:r w:rsidR="0075723F" w:rsidRPr="005F38D5">
        <w:t>Traum</w:t>
      </w:r>
      <w:r w:rsidR="0075723F">
        <w:t>atic Injury Fatalities database; w</w:t>
      </w:r>
      <w:r w:rsidR="0075723F" w:rsidRPr="005F38D5">
        <w:t>orkforce statistics</w:t>
      </w:r>
      <w:r w:rsidR="0075723F">
        <w:t>—</w:t>
      </w:r>
      <w:r w:rsidR="0075723F" w:rsidRPr="005F38D5">
        <w:t>Labour Force Survey</w:t>
      </w:r>
      <w:r w:rsidR="0075723F">
        <w:t xml:space="preserve"> (ABS 2014)</w:t>
      </w:r>
      <w:r w:rsidR="0075723F" w:rsidRPr="005F38D5">
        <w:t>.</w:t>
      </w:r>
    </w:p>
    <w:p w:rsidR="0075723F" w:rsidRDefault="0075723F" w:rsidP="0075723F">
      <w:pPr>
        <w:pStyle w:val="Heading2"/>
      </w:pPr>
      <w:bookmarkStart w:id="27" w:name="_Toc453938275"/>
      <w:bookmarkStart w:id="28" w:name="_Toc459720367"/>
      <w:r>
        <w:t>Jurisdiction</w:t>
      </w:r>
      <w:bookmarkEnd w:id="27"/>
      <w:bookmarkEnd w:id="28"/>
    </w:p>
    <w:p w:rsidR="0075723F" w:rsidRDefault="0075723F" w:rsidP="0075723F">
      <w:r>
        <w:t>Between 2010</w:t>
      </w:r>
      <w:r w:rsidRPr="005E6422">
        <w:t xml:space="preserve"> and 2014, the fatality rate for </w:t>
      </w:r>
      <w:r>
        <w:t>agricultural worker</w:t>
      </w:r>
      <w:r w:rsidRPr="005E6422">
        <w:t>s in</w:t>
      </w:r>
      <w:r>
        <w:t xml:space="preserve"> the Northern Territory was 44.9</w:t>
      </w:r>
      <w:r w:rsidRPr="005E6422">
        <w:t xml:space="preserve"> fatalities per 100 000 workers, which is </w:t>
      </w:r>
      <w:r>
        <w:t>three</w:t>
      </w:r>
      <w:r w:rsidRPr="005E6422">
        <w:t xml:space="preserve"> times higher</w:t>
      </w:r>
      <w:r>
        <w:t xml:space="preserve"> than the national rate of 14.8. The fatality rate for South Australia (9.5) was substantially lower than the rates for other jurisdictions.</w:t>
      </w:r>
    </w:p>
    <w:p w:rsidR="0075723F" w:rsidRDefault="0075723F" w:rsidP="0075723F">
      <w:r w:rsidRPr="00D32E82">
        <w:lastRenderedPageBreak/>
        <w:t xml:space="preserve">The number of fatalities </w:t>
      </w:r>
      <w:r>
        <w:t xml:space="preserve">in each jurisdiction </w:t>
      </w:r>
      <w:r w:rsidRPr="00D32E82">
        <w:t xml:space="preserve">generally reflects the number of </w:t>
      </w:r>
      <w:r>
        <w:t xml:space="preserve">agricultural </w:t>
      </w:r>
      <w:r w:rsidRPr="00D32E82">
        <w:t xml:space="preserve">workers in </w:t>
      </w:r>
      <w:r>
        <w:t xml:space="preserve">the </w:t>
      </w:r>
      <w:r w:rsidRPr="00D32E82">
        <w:t>jurisdiction.</w:t>
      </w:r>
      <w:r>
        <w:t xml:space="preserve"> </w:t>
      </w:r>
      <w:r w:rsidRPr="00CA6FC1">
        <w:t>The more populous jurisdictions, such as New South Wales, Queensland and Victoria, had a higher number of fatalities than less populous jurisdictions.</w:t>
      </w:r>
    </w:p>
    <w:p w:rsidR="0075723F" w:rsidRPr="00CA6190" w:rsidRDefault="0075723F" w:rsidP="0075723F">
      <w:pPr>
        <w:pStyle w:val="Heading4"/>
      </w:pPr>
      <w:r>
        <w:t xml:space="preserve">Table </w:t>
      </w:r>
      <w:fldSimple w:instr=" SEQ Table \* ARABIC ">
        <w:r w:rsidR="001A7C10">
          <w:rPr>
            <w:noProof/>
          </w:rPr>
          <w:t>3</w:t>
        </w:r>
      </w:fldSimple>
      <w:r>
        <w:t xml:space="preserve">: </w:t>
      </w:r>
      <w:r w:rsidRPr="005E6422">
        <w:t xml:space="preserve">Fatality </w:t>
      </w:r>
      <w:r>
        <w:t xml:space="preserve">and workforce statistics </w:t>
      </w:r>
      <w:r w:rsidRPr="005E6422">
        <w:t xml:space="preserve">for the </w:t>
      </w:r>
      <w:r>
        <w:t>agricultural industry by jurisdiction, 2010</w:t>
      </w:r>
      <w:r w:rsidRPr="005E6422">
        <w:t xml:space="preserve"> to 2014</w:t>
      </w:r>
      <w:r>
        <w:t xml:space="preserve"> combined</w:t>
      </w:r>
    </w:p>
    <w:tbl>
      <w:tblPr>
        <w:tblStyle w:val="TableGrid"/>
        <w:tblW w:w="9474" w:type="dxa"/>
        <w:tblInd w:w="108" w:type="dxa"/>
        <w:tblLook w:val="04A0" w:firstRow="1" w:lastRow="0" w:firstColumn="1" w:lastColumn="0" w:noHBand="0" w:noVBand="1"/>
        <w:tblCaption w:val="Table 3"/>
      </w:tblPr>
      <w:tblGrid>
        <w:gridCol w:w="2446"/>
        <w:gridCol w:w="1757"/>
        <w:gridCol w:w="1757"/>
        <w:gridCol w:w="1757"/>
        <w:gridCol w:w="1757"/>
      </w:tblGrid>
      <w:tr w:rsidR="0075723F" w:rsidRPr="00DC7D02" w:rsidTr="003A5C20">
        <w:trPr>
          <w:trHeight w:val="255"/>
          <w:tblHeader/>
        </w:trPr>
        <w:tc>
          <w:tcPr>
            <w:cnfStyle w:val="001000000000" w:firstRow="0" w:lastRow="0" w:firstColumn="1" w:lastColumn="0" w:oddVBand="0" w:evenVBand="0" w:oddHBand="0" w:evenHBand="0" w:firstRowFirstColumn="0" w:firstRowLastColumn="0" w:lastRowFirstColumn="0" w:lastRowLastColumn="0"/>
            <w:tcW w:w="2446" w:type="dxa"/>
            <w:noWrap/>
            <w:hideMark/>
          </w:tcPr>
          <w:p w:rsidR="0075723F" w:rsidRPr="00DC7D02" w:rsidRDefault="0075723F" w:rsidP="003A5C20">
            <w:pPr>
              <w:rPr>
                <w:rFonts w:eastAsia="Times New Roman"/>
                <w:b/>
                <w:color w:val="000000"/>
                <w:szCs w:val="20"/>
              </w:rPr>
            </w:pPr>
            <w:r w:rsidRPr="00DC7D02">
              <w:rPr>
                <w:rFonts w:eastAsia="Times New Roman"/>
                <w:b/>
                <w:color w:val="000000"/>
                <w:szCs w:val="20"/>
              </w:rPr>
              <w:t>Jurisdiction</w:t>
            </w:r>
          </w:p>
        </w:tc>
        <w:tc>
          <w:tcPr>
            <w:tcW w:w="1757" w:type="dxa"/>
            <w:noWrap/>
            <w:hideMark/>
          </w:tcPr>
          <w:p w:rsidR="0075723F" w:rsidRPr="00DC7D02" w:rsidRDefault="0075723F" w:rsidP="003A5C20">
            <w:pPr>
              <w:cnfStyle w:val="000000000000" w:firstRow="0" w:lastRow="0" w:firstColumn="0" w:lastColumn="0" w:oddVBand="0" w:evenVBand="0" w:oddHBand="0" w:evenHBand="0" w:firstRowFirstColumn="0" w:firstRowLastColumn="0" w:lastRowFirstColumn="0" w:lastRowLastColumn="0"/>
              <w:rPr>
                <w:rFonts w:eastAsia="Times New Roman"/>
                <w:b/>
                <w:color w:val="000000"/>
                <w:szCs w:val="20"/>
              </w:rPr>
            </w:pPr>
            <w:r w:rsidRPr="00DC7D02">
              <w:rPr>
                <w:rFonts w:eastAsia="Times New Roman"/>
                <w:b/>
                <w:color w:val="000000"/>
                <w:szCs w:val="20"/>
              </w:rPr>
              <w:t>Fa</w:t>
            </w:r>
            <w:r w:rsidR="00E914AF">
              <w:rPr>
                <w:rFonts w:eastAsia="Times New Roman"/>
                <w:b/>
                <w:color w:val="000000"/>
                <w:szCs w:val="20"/>
              </w:rPr>
              <w:t>tality rate (fatalities per 100 </w:t>
            </w:r>
            <w:r w:rsidRPr="00DC7D02">
              <w:rPr>
                <w:rFonts w:eastAsia="Times New Roman"/>
                <w:b/>
                <w:color w:val="000000"/>
                <w:szCs w:val="20"/>
              </w:rPr>
              <w:t>000 workers)</w:t>
            </w:r>
          </w:p>
        </w:tc>
        <w:tc>
          <w:tcPr>
            <w:tcW w:w="1757" w:type="dxa"/>
            <w:noWrap/>
            <w:hideMark/>
          </w:tcPr>
          <w:p w:rsidR="0075723F" w:rsidRPr="00DC7D02" w:rsidRDefault="0075723F" w:rsidP="003A5C20">
            <w:pPr>
              <w:cnfStyle w:val="000000000000" w:firstRow="0" w:lastRow="0" w:firstColumn="0" w:lastColumn="0" w:oddVBand="0" w:evenVBand="0" w:oddHBand="0" w:evenHBand="0" w:firstRowFirstColumn="0" w:firstRowLastColumn="0" w:lastRowFirstColumn="0" w:lastRowLastColumn="0"/>
              <w:rPr>
                <w:rFonts w:eastAsia="Times New Roman"/>
                <w:b/>
                <w:color w:val="000000"/>
                <w:szCs w:val="20"/>
              </w:rPr>
            </w:pPr>
            <w:r w:rsidRPr="00DC7D02">
              <w:rPr>
                <w:rFonts w:eastAsia="Times New Roman"/>
                <w:b/>
                <w:color w:val="000000"/>
                <w:szCs w:val="20"/>
              </w:rPr>
              <w:t>Number of fatalities</w:t>
            </w:r>
          </w:p>
        </w:tc>
        <w:tc>
          <w:tcPr>
            <w:tcW w:w="1757" w:type="dxa"/>
          </w:tcPr>
          <w:p w:rsidR="0075723F" w:rsidRPr="00DC7D02" w:rsidRDefault="0075723F" w:rsidP="003A5C20">
            <w:pPr>
              <w:cnfStyle w:val="000000000000" w:firstRow="0" w:lastRow="0" w:firstColumn="0" w:lastColumn="0" w:oddVBand="0" w:evenVBand="0" w:oddHBand="0" w:evenHBand="0" w:firstRowFirstColumn="0" w:firstRowLastColumn="0" w:lastRowFirstColumn="0" w:lastRowLastColumn="0"/>
              <w:rPr>
                <w:rFonts w:cs="Arial"/>
                <w:b/>
                <w:color w:val="000000"/>
                <w:szCs w:val="20"/>
              </w:rPr>
            </w:pPr>
            <w:r w:rsidRPr="00DC7D02">
              <w:rPr>
                <w:rFonts w:cs="Arial"/>
                <w:b/>
                <w:color w:val="000000"/>
                <w:szCs w:val="20"/>
              </w:rPr>
              <w:t>Percentage of agricultural fatalities</w:t>
            </w:r>
          </w:p>
        </w:tc>
        <w:tc>
          <w:tcPr>
            <w:tcW w:w="1757" w:type="dxa"/>
          </w:tcPr>
          <w:p w:rsidR="0075723F" w:rsidRPr="00DC7D02" w:rsidRDefault="0075723F" w:rsidP="003A5C20">
            <w:pPr>
              <w:cnfStyle w:val="000000000000" w:firstRow="0" w:lastRow="0" w:firstColumn="0" w:lastColumn="0" w:oddVBand="0" w:evenVBand="0" w:oddHBand="0" w:evenHBand="0" w:firstRowFirstColumn="0" w:firstRowLastColumn="0" w:lastRowFirstColumn="0" w:lastRowLastColumn="0"/>
              <w:rPr>
                <w:rFonts w:cs="Arial"/>
                <w:b/>
                <w:color w:val="000000"/>
                <w:szCs w:val="20"/>
              </w:rPr>
            </w:pPr>
            <w:r w:rsidRPr="00DC7D02">
              <w:rPr>
                <w:rFonts w:cs="Arial"/>
                <w:b/>
                <w:color w:val="000000"/>
                <w:szCs w:val="20"/>
              </w:rPr>
              <w:t>Percentage of agricultural workforce</w:t>
            </w:r>
          </w:p>
        </w:tc>
      </w:tr>
      <w:tr w:rsidR="003A5C20" w:rsidRPr="00296F2D" w:rsidTr="003A5C20">
        <w:trPr>
          <w:trHeight w:val="255"/>
        </w:trPr>
        <w:tc>
          <w:tcPr>
            <w:cnfStyle w:val="001000000000" w:firstRow="0" w:lastRow="0" w:firstColumn="1" w:lastColumn="0" w:oddVBand="0" w:evenVBand="0" w:oddHBand="0" w:evenHBand="0" w:firstRowFirstColumn="0" w:firstRowLastColumn="0" w:lastRowFirstColumn="0" w:lastRowLastColumn="0"/>
            <w:tcW w:w="2446" w:type="dxa"/>
            <w:noWrap/>
            <w:hideMark/>
          </w:tcPr>
          <w:p w:rsidR="003A5C20" w:rsidRDefault="003A5C20" w:rsidP="003A5C20">
            <w:pPr>
              <w:rPr>
                <w:rFonts w:cs="Arial"/>
                <w:color w:val="000000"/>
                <w:szCs w:val="20"/>
              </w:rPr>
            </w:pPr>
            <w:r>
              <w:rPr>
                <w:rFonts w:cs="Arial"/>
                <w:color w:val="000000"/>
                <w:szCs w:val="20"/>
              </w:rPr>
              <w:t>Northern Territory</w:t>
            </w:r>
          </w:p>
        </w:tc>
        <w:tc>
          <w:tcPr>
            <w:tcW w:w="1757"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44.9</w:t>
            </w:r>
          </w:p>
        </w:tc>
        <w:tc>
          <w:tcPr>
            <w:tcW w:w="1757"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6</w:t>
            </w:r>
          </w:p>
        </w:tc>
        <w:tc>
          <w:tcPr>
            <w:tcW w:w="1757" w:type="dxa"/>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2.7%</w:t>
            </w:r>
          </w:p>
        </w:tc>
        <w:tc>
          <w:tcPr>
            <w:tcW w:w="1757" w:type="dxa"/>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0.9%</w:t>
            </w:r>
          </w:p>
        </w:tc>
      </w:tr>
      <w:tr w:rsidR="003A5C20" w:rsidRPr="00296F2D" w:rsidTr="003A5C20">
        <w:trPr>
          <w:trHeight w:val="255"/>
        </w:trPr>
        <w:tc>
          <w:tcPr>
            <w:cnfStyle w:val="001000000000" w:firstRow="0" w:lastRow="0" w:firstColumn="1" w:lastColumn="0" w:oddVBand="0" w:evenVBand="0" w:oddHBand="0" w:evenHBand="0" w:firstRowFirstColumn="0" w:firstRowLastColumn="0" w:lastRowFirstColumn="0" w:lastRowLastColumn="0"/>
            <w:tcW w:w="2446" w:type="dxa"/>
            <w:noWrap/>
            <w:hideMark/>
          </w:tcPr>
          <w:p w:rsidR="003A5C20" w:rsidRDefault="003A5C20" w:rsidP="003A5C20">
            <w:pPr>
              <w:rPr>
                <w:rFonts w:cs="Arial"/>
                <w:color w:val="000000"/>
                <w:szCs w:val="20"/>
              </w:rPr>
            </w:pPr>
            <w:r>
              <w:rPr>
                <w:rFonts w:cs="Arial"/>
                <w:color w:val="000000"/>
                <w:szCs w:val="20"/>
              </w:rPr>
              <w:t>Queensland</w:t>
            </w:r>
          </w:p>
        </w:tc>
        <w:tc>
          <w:tcPr>
            <w:tcW w:w="1757"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19.2</w:t>
            </w:r>
          </w:p>
        </w:tc>
        <w:tc>
          <w:tcPr>
            <w:tcW w:w="1757"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61</w:t>
            </w:r>
          </w:p>
        </w:tc>
        <w:tc>
          <w:tcPr>
            <w:tcW w:w="1757" w:type="dxa"/>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27.6%</w:t>
            </w:r>
          </w:p>
        </w:tc>
        <w:tc>
          <w:tcPr>
            <w:tcW w:w="1757" w:type="dxa"/>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21.5%</w:t>
            </w:r>
          </w:p>
        </w:tc>
      </w:tr>
      <w:tr w:rsidR="003A5C20" w:rsidRPr="00296F2D" w:rsidTr="003A5C20">
        <w:trPr>
          <w:trHeight w:val="255"/>
        </w:trPr>
        <w:tc>
          <w:tcPr>
            <w:cnfStyle w:val="001000000000" w:firstRow="0" w:lastRow="0" w:firstColumn="1" w:lastColumn="0" w:oddVBand="0" w:evenVBand="0" w:oddHBand="0" w:evenHBand="0" w:firstRowFirstColumn="0" w:firstRowLastColumn="0" w:lastRowFirstColumn="0" w:lastRowLastColumn="0"/>
            <w:tcW w:w="2446" w:type="dxa"/>
            <w:noWrap/>
            <w:hideMark/>
          </w:tcPr>
          <w:p w:rsidR="003A5C20" w:rsidRDefault="003A5C20" w:rsidP="003A5C20">
            <w:pPr>
              <w:rPr>
                <w:rFonts w:cs="Arial"/>
                <w:color w:val="000000"/>
                <w:szCs w:val="20"/>
              </w:rPr>
            </w:pPr>
            <w:r>
              <w:rPr>
                <w:rFonts w:cs="Arial"/>
                <w:color w:val="000000"/>
                <w:szCs w:val="20"/>
              </w:rPr>
              <w:t>Tasmania</w:t>
            </w:r>
          </w:p>
        </w:tc>
        <w:tc>
          <w:tcPr>
            <w:tcW w:w="1757"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17.8</w:t>
            </w:r>
          </w:p>
        </w:tc>
        <w:tc>
          <w:tcPr>
            <w:tcW w:w="1757"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9</w:t>
            </w:r>
          </w:p>
        </w:tc>
        <w:tc>
          <w:tcPr>
            <w:tcW w:w="1757" w:type="dxa"/>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4.1%</w:t>
            </w:r>
          </w:p>
        </w:tc>
        <w:tc>
          <w:tcPr>
            <w:tcW w:w="1757" w:type="dxa"/>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3.4%</w:t>
            </w:r>
          </w:p>
        </w:tc>
      </w:tr>
      <w:tr w:rsidR="003A5C20" w:rsidRPr="00296F2D" w:rsidTr="003A5C20">
        <w:trPr>
          <w:trHeight w:val="255"/>
        </w:trPr>
        <w:tc>
          <w:tcPr>
            <w:cnfStyle w:val="001000000000" w:firstRow="0" w:lastRow="0" w:firstColumn="1" w:lastColumn="0" w:oddVBand="0" w:evenVBand="0" w:oddHBand="0" w:evenHBand="0" w:firstRowFirstColumn="0" w:firstRowLastColumn="0" w:lastRowFirstColumn="0" w:lastRowLastColumn="0"/>
            <w:tcW w:w="2446" w:type="dxa"/>
            <w:noWrap/>
            <w:hideMark/>
          </w:tcPr>
          <w:p w:rsidR="003A5C20" w:rsidRDefault="003A5C20" w:rsidP="003A5C20">
            <w:pPr>
              <w:rPr>
                <w:rFonts w:cs="Arial"/>
                <w:color w:val="000000"/>
                <w:szCs w:val="20"/>
              </w:rPr>
            </w:pPr>
            <w:r>
              <w:rPr>
                <w:rFonts w:cs="Arial"/>
                <w:color w:val="000000"/>
                <w:szCs w:val="20"/>
              </w:rPr>
              <w:t>New South Wales</w:t>
            </w:r>
          </w:p>
        </w:tc>
        <w:tc>
          <w:tcPr>
            <w:tcW w:w="1757"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15.0</w:t>
            </w:r>
          </w:p>
        </w:tc>
        <w:tc>
          <w:tcPr>
            <w:tcW w:w="1757"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62</w:t>
            </w:r>
          </w:p>
        </w:tc>
        <w:tc>
          <w:tcPr>
            <w:tcW w:w="1757" w:type="dxa"/>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28.1%</w:t>
            </w:r>
          </w:p>
        </w:tc>
        <w:tc>
          <w:tcPr>
            <w:tcW w:w="1757" w:type="dxa"/>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26.3%</w:t>
            </w:r>
          </w:p>
        </w:tc>
      </w:tr>
      <w:tr w:rsidR="003A5C20" w:rsidRPr="00296F2D" w:rsidTr="003A5C20">
        <w:trPr>
          <w:trHeight w:val="255"/>
        </w:trPr>
        <w:tc>
          <w:tcPr>
            <w:cnfStyle w:val="001000000000" w:firstRow="0" w:lastRow="0" w:firstColumn="1" w:lastColumn="0" w:oddVBand="0" w:evenVBand="0" w:oddHBand="0" w:evenHBand="0" w:firstRowFirstColumn="0" w:firstRowLastColumn="0" w:lastRowFirstColumn="0" w:lastRowLastColumn="0"/>
            <w:tcW w:w="2446" w:type="dxa"/>
            <w:noWrap/>
            <w:hideMark/>
          </w:tcPr>
          <w:p w:rsidR="003A5C20" w:rsidRDefault="003A5C20" w:rsidP="003A5C20">
            <w:pPr>
              <w:rPr>
                <w:rFonts w:cs="Arial"/>
                <w:color w:val="000000"/>
                <w:szCs w:val="20"/>
              </w:rPr>
            </w:pPr>
            <w:r>
              <w:rPr>
                <w:rFonts w:cs="Arial"/>
                <w:color w:val="000000"/>
                <w:szCs w:val="20"/>
              </w:rPr>
              <w:t>Western Australia</w:t>
            </w:r>
          </w:p>
        </w:tc>
        <w:tc>
          <w:tcPr>
            <w:tcW w:w="1757"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14.2</w:t>
            </w:r>
          </w:p>
        </w:tc>
        <w:tc>
          <w:tcPr>
            <w:tcW w:w="1757"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22</w:t>
            </w:r>
          </w:p>
        </w:tc>
        <w:tc>
          <w:tcPr>
            <w:tcW w:w="1757" w:type="dxa"/>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10.0%</w:t>
            </w:r>
          </w:p>
        </w:tc>
        <w:tc>
          <w:tcPr>
            <w:tcW w:w="1757" w:type="dxa"/>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10.5%</w:t>
            </w:r>
          </w:p>
        </w:tc>
      </w:tr>
      <w:tr w:rsidR="003A5C20" w:rsidRPr="00296F2D" w:rsidTr="003A5C20">
        <w:trPr>
          <w:trHeight w:val="255"/>
        </w:trPr>
        <w:tc>
          <w:tcPr>
            <w:cnfStyle w:val="001000000000" w:firstRow="0" w:lastRow="0" w:firstColumn="1" w:lastColumn="0" w:oddVBand="0" w:evenVBand="0" w:oddHBand="0" w:evenHBand="0" w:firstRowFirstColumn="0" w:firstRowLastColumn="0" w:lastRowFirstColumn="0" w:lastRowLastColumn="0"/>
            <w:tcW w:w="2446" w:type="dxa"/>
            <w:noWrap/>
            <w:hideMark/>
          </w:tcPr>
          <w:p w:rsidR="003A5C20" w:rsidRDefault="003A5C20" w:rsidP="003A5C20">
            <w:pPr>
              <w:rPr>
                <w:rFonts w:cs="Arial"/>
                <w:color w:val="000000"/>
                <w:szCs w:val="20"/>
              </w:rPr>
            </w:pPr>
            <w:r>
              <w:rPr>
                <w:rFonts w:cs="Arial"/>
                <w:color w:val="000000"/>
                <w:szCs w:val="20"/>
              </w:rPr>
              <w:t>Victoria</w:t>
            </w:r>
          </w:p>
        </w:tc>
        <w:tc>
          <w:tcPr>
            <w:tcW w:w="1757"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12.0</w:t>
            </w:r>
          </w:p>
        </w:tc>
        <w:tc>
          <w:tcPr>
            <w:tcW w:w="1757"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45</w:t>
            </w:r>
          </w:p>
        </w:tc>
        <w:tc>
          <w:tcPr>
            <w:tcW w:w="1757" w:type="dxa"/>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20.4%</w:t>
            </w:r>
          </w:p>
        </w:tc>
        <w:tc>
          <w:tcPr>
            <w:tcW w:w="1757" w:type="dxa"/>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26.1%</w:t>
            </w:r>
          </w:p>
        </w:tc>
      </w:tr>
      <w:tr w:rsidR="003A5C20" w:rsidRPr="00296F2D" w:rsidTr="003A5C20">
        <w:trPr>
          <w:trHeight w:val="255"/>
        </w:trPr>
        <w:tc>
          <w:tcPr>
            <w:cnfStyle w:val="001000000000" w:firstRow="0" w:lastRow="0" w:firstColumn="1" w:lastColumn="0" w:oddVBand="0" w:evenVBand="0" w:oddHBand="0" w:evenHBand="0" w:firstRowFirstColumn="0" w:firstRowLastColumn="0" w:lastRowFirstColumn="0" w:lastRowLastColumn="0"/>
            <w:tcW w:w="2446" w:type="dxa"/>
            <w:noWrap/>
            <w:hideMark/>
          </w:tcPr>
          <w:p w:rsidR="003A5C20" w:rsidRDefault="003A5C20" w:rsidP="003A5C20">
            <w:pPr>
              <w:rPr>
                <w:rFonts w:cs="Arial"/>
                <w:color w:val="000000"/>
                <w:szCs w:val="20"/>
              </w:rPr>
            </w:pPr>
            <w:r>
              <w:rPr>
                <w:rFonts w:cs="Arial"/>
                <w:color w:val="000000"/>
                <w:szCs w:val="20"/>
              </w:rPr>
              <w:t>South Australia</w:t>
            </w:r>
          </w:p>
        </w:tc>
        <w:tc>
          <w:tcPr>
            <w:tcW w:w="1757"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9.5</w:t>
            </w:r>
          </w:p>
        </w:tc>
        <w:tc>
          <w:tcPr>
            <w:tcW w:w="1757"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16</w:t>
            </w:r>
          </w:p>
        </w:tc>
        <w:tc>
          <w:tcPr>
            <w:tcW w:w="1757" w:type="dxa"/>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7.2%</w:t>
            </w:r>
          </w:p>
        </w:tc>
        <w:tc>
          <w:tcPr>
            <w:tcW w:w="1757" w:type="dxa"/>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11.1%</w:t>
            </w:r>
          </w:p>
        </w:tc>
      </w:tr>
      <w:tr w:rsidR="003A5C20" w:rsidRPr="003A5C20" w:rsidTr="003A5C20">
        <w:trPr>
          <w:trHeight w:val="255"/>
        </w:trPr>
        <w:tc>
          <w:tcPr>
            <w:cnfStyle w:val="001000000000" w:firstRow="0" w:lastRow="0" w:firstColumn="1" w:lastColumn="0" w:oddVBand="0" w:evenVBand="0" w:oddHBand="0" w:evenHBand="0" w:firstRowFirstColumn="0" w:firstRowLastColumn="0" w:lastRowFirstColumn="0" w:lastRowLastColumn="0"/>
            <w:tcW w:w="2446" w:type="dxa"/>
            <w:noWrap/>
            <w:hideMark/>
          </w:tcPr>
          <w:p w:rsidR="003A5C20" w:rsidRPr="003A5C20" w:rsidRDefault="003A5C20" w:rsidP="003A5C20">
            <w:pPr>
              <w:rPr>
                <w:rFonts w:cs="Arial"/>
                <w:b/>
                <w:color w:val="000000"/>
                <w:szCs w:val="20"/>
              </w:rPr>
            </w:pPr>
            <w:r w:rsidRPr="003A5C20">
              <w:rPr>
                <w:rFonts w:cs="Arial"/>
                <w:b/>
                <w:color w:val="000000"/>
                <w:szCs w:val="20"/>
              </w:rPr>
              <w:t>Total</w:t>
            </w:r>
          </w:p>
        </w:tc>
        <w:tc>
          <w:tcPr>
            <w:tcW w:w="1757" w:type="dxa"/>
            <w:noWrap/>
            <w:hideMark/>
          </w:tcPr>
          <w:p w:rsidR="003A5C20" w:rsidRP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b/>
                <w:color w:val="000000"/>
                <w:szCs w:val="20"/>
              </w:rPr>
            </w:pPr>
            <w:r w:rsidRPr="003A5C20">
              <w:rPr>
                <w:rFonts w:cs="Arial"/>
                <w:b/>
                <w:color w:val="000000"/>
                <w:szCs w:val="20"/>
              </w:rPr>
              <w:t>14.8</w:t>
            </w:r>
          </w:p>
        </w:tc>
        <w:tc>
          <w:tcPr>
            <w:tcW w:w="1757" w:type="dxa"/>
            <w:noWrap/>
            <w:hideMark/>
          </w:tcPr>
          <w:p w:rsidR="003A5C20" w:rsidRP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b/>
                <w:color w:val="000000"/>
                <w:szCs w:val="20"/>
              </w:rPr>
            </w:pPr>
            <w:r w:rsidRPr="003A5C20">
              <w:rPr>
                <w:rFonts w:cs="Arial"/>
                <w:b/>
                <w:color w:val="000000"/>
                <w:szCs w:val="20"/>
              </w:rPr>
              <w:t>221</w:t>
            </w:r>
          </w:p>
        </w:tc>
        <w:tc>
          <w:tcPr>
            <w:tcW w:w="1757" w:type="dxa"/>
          </w:tcPr>
          <w:p w:rsidR="003A5C20" w:rsidRP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b/>
                <w:color w:val="000000"/>
                <w:szCs w:val="20"/>
              </w:rPr>
            </w:pPr>
            <w:r w:rsidRPr="003A5C20">
              <w:rPr>
                <w:rFonts w:cs="Arial"/>
                <w:b/>
                <w:color w:val="000000"/>
                <w:szCs w:val="20"/>
              </w:rPr>
              <w:t>100.0%</w:t>
            </w:r>
          </w:p>
        </w:tc>
        <w:tc>
          <w:tcPr>
            <w:tcW w:w="1757" w:type="dxa"/>
          </w:tcPr>
          <w:p w:rsidR="003A5C20" w:rsidRP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b/>
                <w:color w:val="000000"/>
                <w:szCs w:val="20"/>
              </w:rPr>
            </w:pPr>
            <w:r w:rsidRPr="003A5C20">
              <w:rPr>
                <w:rFonts w:cs="Arial"/>
                <w:b/>
                <w:color w:val="000000"/>
                <w:szCs w:val="20"/>
              </w:rPr>
              <w:t>100.0%</w:t>
            </w:r>
          </w:p>
        </w:tc>
      </w:tr>
    </w:tbl>
    <w:p w:rsidR="0075723F" w:rsidRPr="005E6422" w:rsidRDefault="00C234F2" w:rsidP="0075723F">
      <w:pPr>
        <w:pStyle w:val="Footnote"/>
      </w:pPr>
      <w:r w:rsidRPr="00C234F2">
        <w:t>The sum of percentages may not equal 100% due to rounding.</w:t>
      </w:r>
      <w:r>
        <w:br/>
      </w:r>
      <w:r w:rsidR="0075723F">
        <w:t>Source: f</w:t>
      </w:r>
      <w:r w:rsidR="0075723F" w:rsidRPr="005F38D5">
        <w:t>atality stati</w:t>
      </w:r>
      <w:r w:rsidR="0075723F">
        <w:t>stics—</w:t>
      </w:r>
      <w:r w:rsidR="0075723F" w:rsidRPr="005F38D5">
        <w:t>Traum</w:t>
      </w:r>
      <w:r w:rsidR="0075723F">
        <w:t>atic Injury Fatalities database; w</w:t>
      </w:r>
      <w:r w:rsidR="0075723F" w:rsidRPr="005F38D5">
        <w:t>orkforce statistics</w:t>
      </w:r>
      <w:r w:rsidR="0075723F">
        <w:t>—</w:t>
      </w:r>
      <w:r w:rsidR="0075723F" w:rsidRPr="005F38D5">
        <w:t>Labour Force Survey</w:t>
      </w:r>
      <w:r w:rsidR="0075723F">
        <w:t xml:space="preserve"> (ABS 2014)</w:t>
      </w:r>
      <w:r w:rsidR="0075723F" w:rsidRPr="005F38D5">
        <w:t>.</w:t>
      </w:r>
    </w:p>
    <w:p w:rsidR="0075723F" w:rsidRDefault="0075723F" w:rsidP="0075723F">
      <w:pPr>
        <w:pStyle w:val="Heading2"/>
      </w:pPr>
      <w:bookmarkStart w:id="29" w:name="_Toc453938276"/>
      <w:bookmarkStart w:id="30" w:name="_Toc459720368"/>
      <w:bookmarkStart w:id="31" w:name="_Toc445363840"/>
      <w:r>
        <w:t>Age group</w:t>
      </w:r>
      <w:bookmarkEnd w:id="29"/>
      <w:bookmarkEnd w:id="30"/>
    </w:p>
    <w:p w:rsidR="0075723F" w:rsidRDefault="0075723F" w:rsidP="0075723F">
      <w:r>
        <w:t>Over the five-year period between 2010</w:t>
      </w:r>
      <w:r w:rsidRPr="005E6422">
        <w:t xml:space="preserve"> and 2014, the fatality rate for </w:t>
      </w:r>
      <w:r>
        <w:t>agricultural worker</w:t>
      </w:r>
      <w:r w:rsidRPr="005E6422">
        <w:t>s aged 6</w:t>
      </w:r>
      <w:r>
        <w:t>5 years and above was 29.5</w:t>
      </w:r>
      <w:r w:rsidRPr="005E6422">
        <w:t xml:space="preserve"> fatalities per 100 000 workers, which is double the rate for all </w:t>
      </w:r>
      <w:r>
        <w:t>agricultural workers (14.8</w:t>
      </w:r>
      <w:r w:rsidRPr="005E6422">
        <w:t>).</w:t>
      </w:r>
      <w:r>
        <w:t xml:space="preserve"> Workers aged 65 years and above also accounted for the highest number (71) of fatalities, which equates to almost one in three agricultural fatalities.</w:t>
      </w:r>
    </w:p>
    <w:p w:rsidR="0075723F" w:rsidRPr="005E6422" w:rsidRDefault="0075723F" w:rsidP="0075723F">
      <w:r>
        <w:t>Workers aged 65 years and above are noteworthy because they have a substantially higher fatality rate and their participation in the agricultural industry is increasing. Although the number of agricultural workers</w:t>
      </w:r>
      <w:r w:rsidR="00E914AF">
        <w:t xml:space="preserve"> fell by 8 </w:t>
      </w:r>
      <w:r>
        <w:t>per cent between 2005 and 2014, the number of agricultural workers aged 65 years and above increased by 35 per cent (</w:t>
      </w:r>
      <w:r w:rsidRPr="005E6422">
        <w:t>ABS 2014</w:t>
      </w:r>
      <w:r>
        <w:t>). This age group now accounts for 16 per cent of agricultural workers, which is over five times higher than the percentage of workers in this age group in the Australian workforce (3 per cent) (ABS 2014).</w:t>
      </w:r>
    </w:p>
    <w:p w:rsidR="0075723F" w:rsidRPr="00A07E79" w:rsidRDefault="0075723F" w:rsidP="0075723F">
      <w:pPr>
        <w:pStyle w:val="Heading4"/>
      </w:pPr>
      <w:r>
        <w:t xml:space="preserve">Table </w:t>
      </w:r>
      <w:fldSimple w:instr=" SEQ Table \* ARABIC ">
        <w:r w:rsidR="001A7C10">
          <w:rPr>
            <w:noProof/>
          </w:rPr>
          <w:t>4</w:t>
        </w:r>
      </w:fldSimple>
      <w:r>
        <w:t xml:space="preserve">: </w:t>
      </w:r>
      <w:r w:rsidRPr="005E6422">
        <w:t xml:space="preserve">Fatality </w:t>
      </w:r>
      <w:r>
        <w:t xml:space="preserve">and workforce statistics </w:t>
      </w:r>
      <w:r w:rsidRPr="005E6422">
        <w:t xml:space="preserve">for the </w:t>
      </w:r>
      <w:r>
        <w:t>agricultural industry by age group, 2010</w:t>
      </w:r>
      <w:r w:rsidRPr="005E6422">
        <w:t xml:space="preserve"> to 2014</w:t>
      </w:r>
      <w:r>
        <w:t xml:space="preserve"> combined</w:t>
      </w:r>
    </w:p>
    <w:tbl>
      <w:tblPr>
        <w:tblStyle w:val="TableGrid"/>
        <w:tblW w:w="9781" w:type="dxa"/>
        <w:tblInd w:w="108" w:type="dxa"/>
        <w:tblLook w:val="04A0" w:firstRow="1" w:lastRow="0" w:firstColumn="1" w:lastColumn="0" w:noHBand="0" w:noVBand="1"/>
        <w:tblCaption w:val="Table 4"/>
      </w:tblPr>
      <w:tblGrid>
        <w:gridCol w:w="1276"/>
        <w:gridCol w:w="2126"/>
        <w:gridCol w:w="1985"/>
        <w:gridCol w:w="2126"/>
        <w:gridCol w:w="2268"/>
      </w:tblGrid>
      <w:tr w:rsidR="0075723F" w:rsidRPr="004F7496" w:rsidTr="003A5C20">
        <w:trPr>
          <w:trHeight w:val="255"/>
          <w:tblHeader/>
        </w:trPr>
        <w:tc>
          <w:tcPr>
            <w:cnfStyle w:val="001000000000" w:firstRow="0" w:lastRow="0" w:firstColumn="1" w:lastColumn="0" w:oddVBand="0" w:evenVBand="0" w:oddHBand="0" w:evenHBand="0" w:firstRowFirstColumn="0" w:firstRowLastColumn="0" w:lastRowFirstColumn="0" w:lastRowLastColumn="0"/>
            <w:tcW w:w="1276" w:type="dxa"/>
            <w:noWrap/>
            <w:hideMark/>
          </w:tcPr>
          <w:p w:rsidR="0075723F" w:rsidRPr="004F7496" w:rsidRDefault="0075723F" w:rsidP="003A5C20">
            <w:pPr>
              <w:rPr>
                <w:rFonts w:eastAsia="Times New Roman"/>
                <w:b/>
                <w:color w:val="000000"/>
                <w:szCs w:val="20"/>
              </w:rPr>
            </w:pPr>
            <w:r w:rsidRPr="004F7496">
              <w:rPr>
                <w:rFonts w:eastAsia="Times New Roman"/>
                <w:b/>
                <w:color w:val="000000"/>
                <w:szCs w:val="20"/>
              </w:rPr>
              <w:t>Age group</w:t>
            </w:r>
          </w:p>
        </w:tc>
        <w:tc>
          <w:tcPr>
            <w:tcW w:w="2126" w:type="dxa"/>
            <w:noWrap/>
            <w:hideMark/>
          </w:tcPr>
          <w:p w:rsidR="0075723F" w:rsidRPr="004F7496" w:rsidRDefault="0075723F" w:rsidP="003A5C20">
            <w:pPr>
              <w:cnfStyle w:val="000000000000" w:firstRow="0" w:lastRow="0" w:firstColumn="0" w:lastColumn="0" w:oddVBand="0" w:evenVBand="0" w:oddHBand="0" w:evenHBand="0" w:firstRowFirstColumn="0" w:firstRowLastColumn="0" w:lastRowFirstColumn="0" w:lastRowLastColumn="0"/>
              <w:rPr>
                <w:rFonts w:eastAsia="Times New Roman"/>
                <w:b/>
                <w:color w:val="000000"/>
                <w:szCs w:val="20"/>
              </w:rPr>
            </w:pPr>
            <w:r w:rsidRPr="004F7496">
              <w:rPr>
                <w:rFonts w:eastAsia="Times New Roman"/>
                <w:b/>
                <w:color w:val="000000"/>
                <w:szCs w:val="20"/>
              </w:rPr>
              <w:t>Fatality rate (fatalities p</w:t>
            </w:r>
            <w:r w:rsidR="00E914AF">
              <w:rPr>
                <w:rFonts w:eastAsia="Times New Roman"/>
                <w:b/>
                <w:color w:val="000000"/>
                <w:szCs w:val="20"/>
              </w:rPr>
              <w:t>er 100 </w:t>
            </w:r>
            <w:r w:rsidRPr="004F7496">
              <w:rPr>
                <w:rFonts w:eastAsia="Times New Roman"/>
                <w:b/>
                <w:color w:val="000000"/>
                <w:szCs w:val="20"/>
              </w:rPr>
              <w:t>000 workers)</w:t>
            </w:r>
          </w:p>
        </w:tc>
        <w:tc>
          <w:tcPr>
            <w:tcW w:w="1985" w:type="dxa"/>
            <w:noWrap/>
            <w:hideMark/>
          </w:tcPr>
          <w:p w:rsidR="0075723F" w:rsidRPr="004F7496" w:rsidRDefault="0075723F" w:rsidP="003A5C20">
            <w:pPr>
              <w:cnfStyle w:val="000000000000" w:firstRow="0" w:lastRow="0" w:firstColumn="0" w:lastColumn="0" w:oddVBand="0" w:evenVBand="0" w:oddHBand="0" w:evenHBand="0" w:firstRowFirstColumn="0" w:firstRowLastColumn="0" w:lastRowFirstColumn="0" w:lastRowLastColumn="0"/>
              <w:rPr>
                <w:rFonts w:eastAsia="Times New Roman"/>
                <w:b/>
                <w:color w:val="000000"/>
                <w:szCs w:val="20"/>
              </w:rPr>
            </w:pPr>
            <w:r w:rsidRPr="004F7496">
              <w:rPr>
                <w:rFonts w:eastAsia="Times New Roman"/>
                <w:b/>
                <w:color w:val="000000"/>
                <w:szCs w:val="20"/>
              </w:rPr>
              <w:t>Number of fatalities</w:t>
            </w:r>
          </w:p>
        </w:tc>
        <w:tc>
          <w:tcPr>
            <w:tcW w:w="2126" w:type="dxa"/>
            <w:noWrap/>
            <w:hideMark/>
          </w:tcPr>
          <w:p w:rsidR="0075723F" w:rsidRPr="004F7496" w:rsidRDefault="0075723F" w:rsidP="003A5C20">
            <w:pPr>
              <w:cnfStyle w:val="000000000000" w:firstRow="0" w:lastRow="0" w:firstColumn="0" w:lastColumn="0" w:oddVBand="0" w:evenVBand="0" w:oddHBand="0" w:evenHBand="0" w:firstRowFirstColumn="0" w:firstRowLastColumn="0" w:lastRowFirstColumn="0" w:lastRowLastColumn="0"/>
              <w:rPr>
                <w:rFonts w:eastAsia="Times New Roman"/>
                <w:b/>
                <w:color w:val="000000"/>
                <w:szCs w:val="20"/>
              </w:rPr>
            </w:pPr>
            <w:r w:rsidRPr="004F7496">
              <w:rPr>
                <w:rFonts w:eastAsia="Times New Roman"/>
                <w:b/>
                <w:color w:val="000000"/>
                <w:szCs w:val="20"/>
              </w:rPr>
              <w:t>Percentage of agricultural fatalities</w:t>
            </w:r>
          </w:p>
        </w:tc>
        <w:tc>
          <w:tcPr>
            <w:tcW w:w="2268" w:type="dxa"/>
            <w:noWrap/>
            <w:hideMark/>
          </w:tcPr>
          <w:p w:rsidR="0075723F" w:rsidRPr="004F7496" w:rsidRDefault="0075723F" w:rsidP="003A5C20">
            <w:pPr>
              <w:cnfStyle w:val="000000000000" w:firstRow="0" w:lastRow="0" w:firstColumn="0" w:lastColumn="0" w:oddVBand="0" w:evenVBand="0" w:oddHBand="0" w:evenHBand="0" w:firstRowFirstColumn="0" w:firstRowLastColumn="0" w:lastRowFirstColumn="0" w:lastRowLastColumn="0"/>
              <w:rPr>
                <w:rFonts w:eastAsia="Times New Roman"/>
                <w:b/>
                <w:color w:val="000000"/>
                <w:szCs w:val="20"/>
              </w:rPr>
            </w:pPr>
            <w:r w:rsidRPr="004F7496">
              <w:rPr>
                <w:rFonts w:eastAsia="Times New Roman"/>
                <w:b/>
                <w:color w:val="000000"/>
                <w:szCs w:val="20"/>
              </w:rPr>
              <w:t>Percentage of agricultural workforce</w:t>
            </w:r>
          </w:p>
        </w:tc>
      </w:tr>
      <w:tr w:rsidR="003A5C20" w:rsidRPr="004F7496" w:rsidTr="003A5C20">
        <w:trPr>
          <w:trHeight w:val="255"/>
        </w:trPr>
        <w:tc>
          <w:tcPr>
            <w:cnfStyle w:val="001000000000" w:firstRow="0" w:lastRow="0" w:firstColumn="1" w:lastColumn="0" w:oddVBand="0" w:evenVBand="0" w:oddHBand="0" w:evenHBand="0" w:firstRowFirstColumn="0" w:firstRowLastColumn="0" w:lastRowFirstColumn="0" w:lastRowLastColumn="0"/>
            <w:tcW w:w="1276" w:type="dxa"/>
            <w:noWrap/>
            <w:hideMark/>
          </w:tcPr>
          <w:p w:rsidR="003A5C20" w:rsidRDefault="003A5C20" w:rsidP="003A5C20">
            <w:pPr>
              <w:rPr>
                <w:rFonts w:cs="Arial"/>
                <w:color w:val="000000"/>
                <w:szCs w:val="20"/>
              </w:rPr>
            </w:pPr>
            <w:r>
              <w:rPr>
                <w:rFonts w:cs="Arial"/>
                <w:color w:val="000000"/>
                <w:szCs w:val="20"/>
              </w:rPr>
              <w:t>15–24</w:t>
            </w:r>
          </w:p>
        </w:tc>
        <w:tc>
          <w:tcPr>
            <w:tcW w:w="2126"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15.1</w:t>
            </w:r>
          </w:p>
        </w:tc>
        <w:tc>
          <w:tcPr>
            <w:tcW w:w="1985"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21</w:t>
            </w:r>
          </w:p>
        </w:tc>
        <w:tc>
          <w:tcPr>
            <w:tcW w:w="2126"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9.5%</w:t>
            </w:r>
          </w:p>
        </w:tc>
        <w:tc>
          <w:tcPr>
            <w:tcW w:w="2268"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9.3%</w:t>
            </w:r>
          </w:p>
        </w:tc>
      </w:tr>
      <w:tr w:rsidR="003A5C20" w:rsidRPr="004F7496" w:rsidTr="003A5C20">
        <w:trPr>
          <w:trHeight w:val="255"/>
        </w:trPr>
        <w:tc>
          <w:tcPr>
            <w:cnfStyle w:val="001000000000" w:firstRow="0" w:lastRow="0" w:firstColumn="1" w:lastColumn="0" w:oddVBand="0" w:evenVBand="0" w:oddHBand="0" w:evenHBand="0" w:firstRowFirstColumn="0" w:firstRowLastColumn="0" w:lastRowFirstColumn="0" w:lastRowLastColumn="0"/>
            <w:tcW w:w="1276" w:type="dxa"/>
            <w:noWrap/>
            <w:hideMark/>
          </w:tcPr>
          <w:p w:rsidR="003A5C20" w:rsidRDefault="003A5C20" w:rsidP="003A5C20">
            <w:pPr>
              <w:rPr>
                <w:rFonts w:cs="Arial"/>
                <w:color w:val="000000"/>
                <w:szCs w:val="20"/>
              </w:rPr>
            </w:pPr>
            <w:r>
              <w:rPr>
                <w:rFonts w:cs="Arial"/>
                <w:color w:val="000000"/>
                <w:szCs w:val="20"/>
              </w:rPr>
              <w:t>25–34</w:t>
            </w:r>
          </w:p>
        </w:tc>
        <w:tc>
          <w:tcPr>
            <w:tcW w:w="2126"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9.0</w:t>
            </w:r>
          </w:p>
        </w:tc>
        <w:tc>
          <w:tcPr>
            <w:tcW w:w="1985"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19</w:t>
            </w:r>
          </w:p>
        </w:tc>
        <w:tc>
          <w:tcPr>
            <w:tcW w:w="2126"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8.6%</w:t>
            </w:r>
          </w:p>
        </w:tc>
        <w:tc>
          <w:tcPr>
            <w:tcW w:w="2268"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14.1%</w:t>
            </w:r>
          </w:p>
        </w:tc>
      </w:tr>
      <w:tr w:rsidR="003A5C20" w:rsidRPr="004F7496" w:rsidTr="003A5C20">
        <w:trPr>
          <w:trHeight w:val="255"/>
        </w:trPr>
        <w:tc>
          <w:tcPr>
            <w:cnfStyle w:val="001000000000" w:firstRow="0" w:lastRow="0" w:firstColumn="1" w:lastColumn="0" w:oddVBand="0" w:evenVBand="0" w:oddHBand="0" w:evenHBand="0" w:firstRowFirstColumn="0" w:firstRowLastColumn="0" w:lastRowFirstColumn="0" w:lastRowLastColumn="0"/>
            <w:tcW w:w="1276" w:type="dxa"/>
            <w:noWrap/>
            <w:hideMark/>
          </w:tcPr>
          <w:p w:rsidR="003A5C20" w:rsidRDefault="003A5C20" w:rsidP="003A5C20">
            <w:pPr>
              <w:rPr>
                <w:rFonts w:cs="Arial"/>
                <w:color w:val="000000"/>
                <w:szCs w:val="20"/>
              </w:rPr>
            </w:pPr>
            <w:r>
              <w:rPr>
                <w:rFonts w:cs="Arial"/>
                <w:color w:val="000000"/>
                <w:szCs w:val="20"/>
              </w:rPr>
              <w:t>35–44</w:t>
            </w:r>
          </w:p>
        </w:tc>
        <w:tc>
          <w:tcPr>
            <w:tcW w:w="2126"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9.2</w:t>
            </w:r>
          </w:p>
        </w:tc>
        <w:tc>
          <w:tcPr>
            <w:tcW w:w="1985"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25</w:t>
            </w:r>
          </w:p>
        </w:tc>
        <w:tc>
          <w:tcPr>
            <w:tcW w:w="2126"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11.3%</w:t>
            </w:r>
          </w:p>
        </w:tc>
        <w:tc>
          <w:tcPr>
            <w:tcW w:w="2268"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18.2%</w:t>
            </w:r>
          </w:p>
        </w:tc>
      </w:tr>
      <w:tr w:rsidR="003A5C20" w:rsidRPr="004F7496" w:rsidTr="003A5C20">
        <w:trPr>
          <w:trHeight w:val="255"/>
        </w:trPr>
        <w:tc>
          <w:tcPr>
            <w:cnfStyle w:val="001000000000" w:firstRow="0" w:lastRow="0" w:firstColumn="1" w:lastColumn="0" w:oddVBand="0" w:evenVBand="0" w:oddHBand="0" w:evenHBand="0" w:firstRowFirstColumn="0" w:firstRowLastColumn="0" w:lastRowFirstColumn="0" w:lastRowLastColumn="0"/>
            <w:tcW w:w="1276" w:type="dxa"/>
            <w:noWrap/>
            <w:hideMark/>
          </w:tcPr>
          <w:p w:rsidR="003A5C20" w:rsidRDefault="003A5C20" w:rsidP="003A5C20">
            <w:pPr>
              <w:rPr>
                <w:rFonts w:cs="Arial"/>
                <w:color w:val="000000"/>
                <w:szCs w:val="20"/>
              </w:rPr>
            </w:pPr>
            <w:r>
              <w:rPr>
                <w:rFonts w:cs="Arial"/>
                <w:color w:val="000000"/>
                <w:szCs w:val="20"/>
              </w:rPr>
              <w:t>45–54</w:t>
            </w:r>
          </w:p>
        </w:tc>
        <w:tc>
          <w:tcPr>
            <w:tcW w:w="2126"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12.1</w:t>
            </w:r>
          </w:p>
        </w:tc>
        <w:tc>
          <w:tcPr>
            <w:tcW w:w="1985"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38</w:t>
            </w:r>
          </w:p>
        </w:tc>
        <w:tc>
          <w:tcPr>
            <w:tcW w:w="2126"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17.2%</w:t>
            </w:r>
          </w:p>
        </w:tc>
        <w:tc>
          <w:tcPr>
            <w:tcW w:w="2268"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21.1%</w:t>
            </w:r>
          </w:p>
        </w:tc>
      </w:tr>
      <w:tr w:rsidR="003A5C20" w:rsidRPr="004F7496" w:rsidTr="003A5C20">
        <w:trPr>
          <w:trHeight w:val="255"/>
        </w:trPr>
        <w:tc>
          <w:tcPr>
            <w:cnfStyle w:val="001000000000" w:firstRow="0" w:lastRow="0" w:firstColumn="1" w:lastColumn="0" w:oddVBand="0" w:evenVBand="0" w:oddHBand="0" w:evenHBand="0" w:firstRowFirstColumn="0" w:firstRowLastColumn="0" w:lastRowFirstColumn="0" w:lastRowLastColumn="0"/>
            <w:tcW w:w="1276" w:type="dxa"/>
            <w:noWrap/>
            <w:hideMark/>
          </w:tcPr>
          <w:p w:rsidR="003A5C20" w:rsidRDefault="003A5C20" w:rsidP="003A5C20">
            <w:pPr>
              <w:rPr>
                <w:rFonts w:cs="Arial"/>
                <w:color w:val="000000"/>
                <w:szCs w:val="20"/>
              </w:rPr>
            </w:pPr>
            <w:r>
              <w:rPr>
                <w:rFonts w:cs="Arial"/>
                <w:color w:val="000000"/>
                <w:szCs w:val="20"/>
              </w:rPr>
              <w:t>55–64</w:t>
            </w:r>
          </w:p>
        </w:tc>
        <w:tc>
          <w:tcPr>
            <w:tcW w:w="2126"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13.9</w:t>
            </w:r>
          </w:p>
        </w:tc>
        <w:tc>
          <w:tcPr>
            <w:tcW w:w="1985"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44</w:t>
            </w:r>
          </w:p>
        </w:tc>
        <w:tc>
          <w:tcPr>
            <w:tcW w:w="2126"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19.9%</w:t>
            </w:r>
          </w:p>
        </w:tc>
        <w:tc>
          <w:tcPr>
            <w:tcW w:w="2268"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21.2%</w:t>
            </w:r>
          </w:p>
        </w:tc>
      </w:tr>
      <w:tr w:rsidR="003A5C20" w:rsidRPr="004F7496" w:rsidTr="003A5C20">
        <w:trPr>
          <w:trHeight w:val="255"/>
        </w:trPr>
        <w:tc>
          <w:tcPr>
            <w:cnfStyle w:val="001000000000" w:firstRow="0" w:lastRow="0" w:firstColumn="1" w:lastColumn="0" w:oddVBand="0" w:evenVBand="0" w:oddHBand="0" w:evenHBand="0" w:firstRowFirstColumn="0" w:firstRowLastColumn="0" w:lastRowFirstColumn="0" w:lastRowLastColumn="0"/>
            <w:tcW w:w="1276" w:type="dxa"/>
            <w:noWrap/>
            <w:hideMark/>
          </w:tcPr>
          <w:p w:rsidR="003A5C20" w:rsidRDefault="003A5C20" w:rsidP="003A5C20">
            <w:pPr>
              <w:rPr>
                <w:rFonts w:cs="Arial"/>
                <w:color w:val="000000"/>
                <w:szCs w:val="20"/>
              </w:rPr>
            </w:pPr>
            <w:r>
              <w:rPr>
                <w:rFonts w:cs="Arial"/>
                <w:color w:val="000000"/>
                <w:szCs w:val="20"/>
              </w:rPr>
              <w:t>65+</w:t>
            </w:r>
          </w:p>
        </w:tc>
        <w:tc>
          <w:tcPr>
            <w:tcW w:w="2126"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29.5</w:t>
            </w:r>
          </w:p>
        </w:tc>
        <w:tc>
          <w:tcPr>
            <w:tcW w:w="1985"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71</w:t>
            </w:r>
          </w:p>
        </w:tc>
        <w:tc>
          <w:tcPr>
            <w:tcW w:w="2126"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32.1%</w:t>
            </w:r>
          </w:p>
        </w:tc>
        <w:tc>
          <w:tcPr>
            <w:tcW w:w="2268"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16.1%</w:t>
            </w:r>
          </w:p>
        </w:tc>
      </w:tr>
      <w:tr w:rsidR="003A5C20" w:rsidRPr="004F7496" w:rsidTr="003A5C20">
        <w:trPr>
          <w:trHeight w:val="255"/>
        </w:trPr>
        <w:tc>
          <w:tcPr>
            <w:cnfStyle w:val="001000000000" w:firstRow="0" w:lastRow="0" w:firstColumn="1" w:lastColumn="0" w:oddVBand="0" w:evenVBand="0" w:oddHBand="0" w:evenHBand="0" w:firstRowFirstColumn="0" w:firstRowLastColumn="0" w:lastRowFirstColumn="0" w:lastRowLastColumn="0"/>
            <w:tcW w:w="1276" w:type="dxa"/>
            <w:noWrap/>
          </w:tcPr>
          <w:p w:rsidR="003A5C20" w:rsidRDefault="003A5C20" w:rsidP="003A5C20">
            <w:pPr>
              <w:rPr>
                <w:rFonts w:cs="Arial"/>
                <w:color w:val="000000"/>
                <w:szCs w:val="20"/>
              </w:rPr>
            </w:pPr>
            <w:r>
              <w:rPr>
                <w:rFonts w:cs="Arial"/>
                <w:color w:val="000000"/>
                <w:szCs w:val="20"/>
              </w:rPr>
              <w:t>Other</w:t>
            </w:r>
          </w:p>
        </w:tc>
        <w:tc>
          <w:tcPr>
            <w:tcW w:w="2126" w:type="dxa"/>
            <w:noWrap/>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w:t>
            </w:r>
          </w:p>
        </w:tc>
        <w:tc>
          <w:tcPr>
            <w:tcW w:w="1985" w:type="dxa"/>
            <w:noWrap/>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3</w:t>
            </w:r>
          </w:p>
        </w:tc>
        <w:tc>
          <w:tcPr>
            <w:tcW w:w="2126" w:type="dxa"/>
            <w:noWrap/>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1.4%</w:t>
            </w:r>
          </w:p>
        </w:tc>
        <w:tc>
          <w:tcPr>
            <w:tcW w:w="2268" w:type="dxa"/>
            <w:noWrap/>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w:t>
            </w:r>
          </w:p>
        </w:tc>
      </w:tr>
      <w:tr w:rsidR="003A5C20" w:rsidRPr="0048182C" w:rsidTr="003A5C20">
        <w:trPr>
          <w:trHeight w:val="255"/>
        </w:trPr>
        <w:tc>
          <w:tcPr>
            <w:cnfStyle w:val="001000000000" w:firstRow="0" w:lastRow="0" w:firstColumn="1" w:lastColumn="0" w:oddVBand="0" w:evenVBand="0" w:oddHBand="0" w:evenHBand="0" w:firstRowFirstColumn="0" w:firstRowLastColumn="0" w:lastRowFirstColumn="0" w:lastRowLastColumn="0"/>
            <w:tcW w:w="1276" w:type="dxa"/>
            <w:noWrap/>
            <w:hideMark/>
          </w:tcPr>
          <w:p w:rsidR="003A5C20" w:rsidRPr="0048182C" w:rsidRDefault="003A5C20" w:rsidP="003A5C20">
            <w:pPr>
              <w:rPr>
                <w:rFonts w:cs="Arial"/>
                <w:b/>
                <w:color w:val="000000"/>
                <w:szCs w:val="20"/>
              </w:rPr>
            </w:pPr>
            <w:r w:rsidRPr="0048182C">
              <w:rPr>
                <w:rFonts w:cs="Arial"/>
                <w:b/>
                <w:color w:val="000000"/>
                <w:szCs w:val="20"/>
              </w:rPr>
              <w:t>Total</w:t>
            </w:r>
          </w:p>
        </w:tc>
        <w:tc>
          <w:tcPr>
            <w:tcW w:w="2126" w:type="dxa"/>
            <w:noWrap/>
            <w:hideMark/>
          </w:tcPr>
          <w:p w:rsidR="003A5C20" w:rsidRPr="0048182C" w:rsidRDefault="003A5C20" w:rsidP="003A5C20">
            <w:pPr>
              <w:cnfStyle w:val="000000000000" w:firstRow="0" w:lastRow="0" w:firstColumn="0" w:lastColumn="0" w:oddVBand="0" w:evenVBand="0" w:oddHBand="0" w:evenHBand="0" w:firstRowFirstColumn="0" w:firstRowLastColumn="0" w:lastRowFirstColumn="0" w:lastRowLastColumn="0"/>
              <w:rPr>
                <w:rFonts w:cs="Arial"/>
                <w:b/>
                <w:color w:val="000000"/>
                <w:szCs w:val="20"/>
              </w:rPr>
            </w:pPr>
            <w:r w:rsidRPr="0048182C">
              <w:rPr>
                <w:rFonts w:cs="Arial"/>
                <w:b/>
                <w:color w:val="000000"/>
                <w:szCs w:val="20"/>
              </w:rPr>
              <w:t>14.8</w:t>
            </w:r>
          </w:p>
        </w:tc>
        <w:tc>
          <w:tcPr>
            <w:tcW w:w="1985" w:type="dxa"/>
            <w:noWrap/>
            <w:hideMark/>
          </w:tcPr>
          <w:p w:rsidR="003A5C20" w:rsidRPr="0048182C" w:rsidRDefault="003A5C20" w:rsidP="003A5C20">
            <w:pPr>
              <w:cnfStyle w:val="000000000000" w:firstRow="0" w:lastRow="0" w:firstColumn="0" w:lastColumn="0" w:oddVBand="0" w:evenVBand="0" w:oddHBand="0" w:evenHBand="0" w:firstRowFirstColumn="0" w:firstRowLastColumn="0" w:lastRowFirstColumn="0" w:lastRowLastColumn="0"/>
              <w:rPr>
                <w:rFonts w:cs="Arial"/>
                <w:b/>
                <w:color w:val="000000"/>
                <w:szCs w:val="20"/>
              </w:rPr>
            </w:pPr>
            <w:r w:rsidRPr="0048182C">
              <w:rPr>
                <w:rFonts w:cs="Arial"/>
                <w:b/>
                <w:color w:val="000000"/>
                <w:szCs w:val="20"/>
              </w:rPr>
              <w:t>221</w:t>
            </w:r>
          </w:p>
        </w:tc>
        <w:tc>
          <w:tcPr>
            <w:tcW w:w="2126" w:type="dxa"/>
            <w:noWrap/>
            <w:hideMark/>
          </w:tcPr>
          <w:p w:rsidR="003A5C20" w:rsidRPr="0048182C" w:rsidRDefault="003A5C20" w:rsidP="003A5C20">
            <w:pPr>
              <w:cnfStyle w:val="000000000000" w:firstRow="0" w:lastRow="0" w:firstColumn="0" w:lastColumn="0" w:oddVBand="0" w:evenVBand="0" w:oddHBand="0" w:evenHBand="0" w:firstRowFirstColumn="0" w:firstRowLastColumn="0" w:lastRowFirstColumn="0" w:lastRowLastColumn="0"/>
              <w:rPr>
                <w:rFonts w:cs="Arial"/>
                <w:b/>
                <w:color w:val="000000"/>
                <w:szCs w:val="20"/>
              </w:rPr>
            </w:pPr>
            <w:r w:rsidRPr="0048182C">
              <w:rPr>
                <w:rFonts w:cs="Arial"/>
                <w:b/>
                <w:color w:val="000000"/>
                <w:szCs w:val="20"/>
              </w:rPr>
              <w:t>100.0%</w:t>
            </w:r>
          </w:p>
        </w:tc>
        <w:tc>
          <w:tcPr>
            <w:tcW w:w="2268" w:type="dxa"/>
            <w:noWrap/>
            <w:hideMark/>
          </w:tcPr>
          <w:p w:rsidR="003A5C20" w:rsidRPr="0048182C" w:rsidRDefault="003A5C20" w:rsidP="003A5C20">
            <w:pPr>
              <w:cnfStyle w:val="000000000000" w:firstRow="0" w:lastRow="0" w:firstColumn="0" w:lastColumn="0" w:oddVBand="0" w:evenVBand="0" w:oddHBand="0" w:evenHBand="0" w:firstRowFirstColumn="0" w:firstRowLastColumn="0" w:lastRowFirstColumn="0" w:lastRowLastColumn="0"/>
              <w:rPr>
                <w:rFonts w:cs="Arial"/>
                <w:b/>
                <w:color w:val="000000"/>
                <w:szCs w:val="20"/>
              </w:rPr>
            </w:pPr>
            <w:r w:rsidRPr="0048182C">
              <w:rPr>
                <w:rFonts w:cs="Arial"/>
                <w:b/>
                <w:color w:val="000000"/>
                <w:szCs w:val="20"/>
              </w:rPr>
              <w:t>100.0%</w:t>
            </w:r>
          </w:p>
        </w:tc>
      </w:tr>
    </w:tbl>
    <w:p w:rsidR="0075723F" w:rsidRPr="005E6422" w:rsidRDefault="00C234F2" w:rsidP="0075723F">
      <w:pPr>
        <w:pStyle w:val="Footnote"/>
      </w:pPr>
      <w:r w:rsidRPr="00C234F2">
        <w:t>The sum of percentages may not equal 100% due to rounding.</w:t>
      </w:r>
      <w:r>
        <w:br/>
      </w:r>
      <w:r w:rsidR="0075723F">
        <w:t>Source: f</w:t>
      </w:r>
      <w:r w:rsidR="0075723F" w:rsidRPr="005F38D5">
        <w:t>atality stati</w:t>
      </w:r>
      <w:r w:rsidR="0075723F">
        <w:t>stics—</w:t>
      </w:r>
      <w:r w:rsidR="0075723F" w:rsidRPr="005F38D5">
        <w:t>Traum</w:t>
      </w:r>
      <w:r w:rsidR="0075723F">
        <w:t>atic Injury Fatalities database; w</w:t>
      </w:r>
      <w:r w:rsidR="0075723F" w:rsidRPr="005F38D5">
        <w:t>orkforce statistics</w:t>
      </w:r>
      <w:r w:rsidR="0075723F">
        <w:t>—</w:t>
      </w:r>
      <w:r w:rsidR="0075723F" w:rsidRPr="005F38D5">
        <w:t>Labour Force Survey</w:t>
      </w:r>
      <w:r w:rsidR="0075723F">
        <w:t xml:space="preserve"> (ABS 2014)</w:t>
      </w:r>
      <w:r w:rsidR="0075723F" w:rsidRPr="005F38D5">
        <w:t>.</w:t>
      </w:r>
    </w:p>
    <w:p w:rsidR="00C234F2" w:rsidRDefault="00C234F2">
      <w:pPr>
        <w:rPr>
          <w:b/>
          <w:sz w:val="28"/>
          <w:szCs w:val="28"/>
        </w:rPr>
      </w:pPr>
      <w:bookmarkStart w:id="32" w:name="_Toc453938277"/>
      <w:r>
        <w:br w:type="page"/>
      </w:r>
    </w:p>
    <w:p w:rsidR="0075723F" w:rsidRDefault="0075723F" w:rsidP="0075723F">
      <w:pPr>
        <w:pStyle w:val="Heading2"/>
      </w:pPr>
      <w:bookmarkStart w:id="33" w:name="_Toc459720369"/>
      <w:r>
        <w:lastRenderedPageBreak/>
        <w:t>Fatalities involving vehicles</w:t>
      </w:r>
      <w:bookmarkEnd w:id="32"/>
      <w:bookmarkEnd w:id="33"/>
    </w:p>
    <w:p w:rsidR="0075723F" w:rsidRPr="005E6422" w:rsidRDefault="0075723F" w:rsidP="0075723F">
      <w:proofErr w:type="gramStart"/>
      <w:r>
        <w:t>Just over three-quarters (168) of the 221</w:t>
      </w:r>
      <w:r w:rsidRPr="005E6422">
        <w:t xml:space="preserve"> </w:t>
      </w:r>
      <w:r>
        <w:t>agricultural fatalities between 2010</w:t>
      </w:r>
      <w:r w:rsidRPr="005E6422">
        <w:t xml:space="preserve"> and 20</w:t>
      </w:r>
      <w:r>
        <w:t>14 involved vehicles.</w:t>
      </w:r>
      <w:proofErr w:type="gramEnd"/>
      <w:r>
        <w:t xml:space="preserve"> Of the 168</w:t>
      </w:r>
      <w:r w:rsidRPr="005E6422">
        <w:t xml:space="preserve"> </w:t>
      </w:r>
      <w:r w:rsidR="00E56427">
        <w:t>vehicle</w:t>
      </w:r>
      <w:r w:rsidRPr="005E6422">
        <w:t xml:space="preserve"> fatalities:</w:t>
      </w:r>
    </w:p>
    <w:p w:rsidR="0075723F" w:rsidRPr="005E6422" w:rsidRDefault="0075723F" w:rsidP="0075723F">
      <w:pPr>
        <w:pStyle w:val="ListParagraph"/>
        <w:numPr>
          <w:ilvl w:val="0"/>
          <w:numId w:val="10"/>
        </w:numPr>
      </w:pPr>
      <w:r>
        <w:t>93</w:t>
      </w:r>
      <w:r w:rsidRPr="005E6422">
        <w:t xml:space="preserve"> per cent were single-vehicle incidents, and</w:t>
      </w:r>
    </w:p>
    <w:p w:rsidR="0075723F" w:rsidRPr="005E6422" w:rsidRDefault="0075723F" w:rsidP="0075723F">
      <w:pPr>
        <w:pStyle w:val="ListParagraph"/>
        <w:numPr>
          <w:ilvl w:val="0"/>
          <w:numId w:val="10"/>
        </w:numPr>
      </w:pPr>
      <w:r>
        <w:t>89</w:t>
      </w:r>
      <w:r w:rsidRPr="005E6422">
        <w:t xml:space="preserve"> per cent occurred on farms.</w:t>
      </w:r>
    </w:p>
    <w:p w:rsidR="003B0F6E" w:rsidRDefault="0075723F" w:rsidP="0075723F">
      <w:r w:rsidRPr="005E6422">
        <w:t xml:space="preserve">The vehicle that </w:t>
      </w:r>
      <w:r>
        <w:t>was involved in</w:t>
      </w:r>
      <w:r w:rsidRPr="005E6422">
        <w:t xml:space="preserve"> the highest number of </w:t>
      </w:r>
      <w:r>
        <w:t>agricultural</w:t>
      </w:r>
      <w:r w:rsidRPr="005E6422">
        <w:t xml:space="preserve"> fatalities was the</w:t>
      </w:r>
      <w:r>
        <w:t xml:space="preserve"> tractor, which accounted for </w:t>
      </w:r>
      <w:r w:rsidR="007515D7">
        <w:t>over a quarter (27</w:t>
      </w:r>
      <w:r w:rsidRPr="005E6422">
        <w:t xml:space="preserve"> per cent</w:t>
      </w:r>
      <w:r>
        <w:t>)</w:t>
      </w:r>
      <w:r w:rsidRPr="005E6422">
        <w:t xml:space="preserve"> of </w:t>
      </w:r>
      <w:r w:rsidR="00E56427">
        <w:t>vehicle</w:t>
      </w:r>
      <w:r w:rsidRPr="005E6422">
        <w:t xml:space="preserve"> fatalities. Tractor fatalities most commonly resulted from a tractor rollover</w:t>
      </w:r>
      <w:r>
        <w:t xml:space="preserve"> or a worker being hit by their own tractor. </w:t>
      </w:r>
    </w:p>
    <w:p w:rsidR="0075723F" w:rsidRDefault="00B77AEB" w:rsidP="0075723F">
      <w:r>
        <w:t xml:space="preserve">There were 11 fatalities that resulted from workers being </w:t>
      </w:r>
      <w:r w:rsidR="00474191">
        <w:t>hit</w:t>
      </w:r>
      <w:r>
        <w:t xml:space="preserve"> by their own tractors. In most of these cases, the worker had alighted from the tractor</w:t>
      </w:r>
      <w:r w:rsidRPr="0000550B">
        <w:t xml:space="preserve"> in order to open a gate or to carry out maintenance on the tractor or to interact with an object on the ground.</w:t>
      </w:r>
      <w:r>
        <w:t xml:space="preserve"> </w:t>
      </w:r>
      <w:r w:rsidRPr="0000550B">
        <w:t>The workers sustained fatal injuries when their unmanned tractors rolled and struck them.</w:t>
      </w:r>
      <w:r w:rsidR="003B0F6E">
        <w:t xml:space="preserve"> Most of these fatalities</w:t>
      </w:r>
      <w:r w:rsidR="00A5602E">
        <w:t xml:space="preserve"> (eight</w:t>
      </w:r>
      <w:r w:rsidR="003B0F6E">
        <w:t xml:space="preserve"> out of 11) were of workers aged 65 years and above.</w:t>
      </w:r>
    </w:p>
    <w:p w:rsidR="0075723F" w:rsidRPr="005E6422" w:rsidRDefault="0075723F" w:rsidP="0075723F">
      <w:r>
        <w:t>Around one in five (21 per cent) vehicle fatalities involved q</w:t>
      </w:r>
      <w:r w:rsidRPr="005E6422">
        <w:t xml:space="preserve">uad bikes and </w:t>
      </w:r>
      <w:r w:rsidR="00E6608C">
        <w:t>over half (53</w:t>
      </w:r>
      <w:r w:rsidR="00B50F68">
        <w:t xml:space="preserve"> per cent)</w:t>
      </w:r>
      <w:r>
        <w:t xml:space="preserve"> resulted from quad bike rollovers. </w:t>
      </w:r>
      <w:r w:rsidR="00E6608C">
        <w:t xml:space="preserve">Nineteen </w:t>
      </w:r>
      <w:r>
        <w:t xml:space="preserve">per cent of vehicle fatalities involved aircraft, </w:t>
      </w:r>
      <w:r w:rsidR="00EB53CB">
        <w:t xml:space="preserve">almost </w:t>
      </w:r>
      <w:r>
        <w:t xml:space="preserve">all of which </w:t>
      </w:r>
      <w:r w:rsidR="00E6608C">
        <w:t>(97</w:t>
      </w:r>
      <w:r w:rsidR="003A5C20">
        <w:t xml:space="preserve"> per cent) </w:t>
      </w:r>
      <w:r>
        <w:t>were due to crashes. Around one</w:t>
      </w:r>
      <w:r w:rsidR="00E6608C">
        <w:t xml:space="preserve"> in 10 (12</w:t>
      </w:r>
      <w:r>
        <w:t xml:space="preserve"> per cent) vehicle fatalities involved a car or a </w:t>
      </w:r>
      <w:proofErr w:type="gramStart"/>
      <w:r>
        <w:t>ute</w:t>
      </w:r>
      <w:proofErr w:type="gramEnd"/>
      <w:r>
        <w:t>.</w:t>
      </w:r>
    </w:p>
    <w:p w:rsidR="0075723F" w:rsidRPr="005E6422" w:rsidRDefault="0075723F" w:rsidP="0075723F">
      <w:pPr>
        <w:pStyle w:val="Heading4"/>
      </w:pPr>
      <w:r>
        <w:t xml:space="preserve">Table </w:t>
      </w:r>
      <w:fldSimple w:instr=" SEQ Table \* ARABIC ">
        <w:r w:rsidR="001A7C10">
          <w:rPr>
            <w:noProof/>
          </w:rPr>
          <w:t>5</w:t>
        </w:r>
      </w:fldSimple>
      <w:r>
        <w:t xml:space="preserve">: </w:t>
      </w:r>
      <w:r w:rsidRPr="005E6422">
        <w:t xml:space="preserve">Number and percentage of </w:t>
      </w:r>
      <w:r w:rsidR="00E56427">
        <w:t>vehicle</w:t>
      </w:r>
      <w:r w:rsidRPr="005E6422">
        <w:t xml:space="preserve"> fatalities for the </w:t>
      </w:r>
      <w:r>
        <w:t>agricultural</w:t>
      </w:r>
      <w:r w:rsidRPr="005E6422">
        <w:t xml:space="preserve"> industry by type of vehicle and </w:t>
      </w:r>
      <w:r w:rsidR="00C234F2">
        <w:t xml:space="preserve">selected types </w:t>
      </w:r>
      <w:r w:rsidRPr="005E6422">
        <w:t>of vehicle incident</w:t>
      </w:r>
      <w:r w:rsidR="00C234F2">
        <w:t>s</w:t>
      </w:r>
      <w:r w:rsidRPr="005E6422">
        <w:t>, 2</w:t>
      </w:r>
      <w:r>
        <w:t>010</w:t>
      </w:r>
      <w:r w:rsidRPr="005E6422">
        <w:t xml:space="preserve"> to 2014</w:t>
      </w:r>
      <w:r>
        <w:t xml:space="preserve"> combined</w:t>
      </w:r>
    </w:p>
    <w:tbl>
      <w:tblPr>
        <w:tblStyle w:val="TableGrid"/>
        <w:tblW w:w="7864" w:type="dxa"/>
        <w:tblInd w:w="108" w:type="dxa"/>
        <w:tblLook w:val="04A0" w:firstRow="1" w:lastRow="0" w:firstColumn="1" w:lastColumn="0" w:noHBand="0" w:noVBand="1"/>
        <w:tblCaption w:val="Table 5"/>
      </w:tblPr>
      <w:tblGrid>
        <w:gridCol w:w="3807"/>
        <w:gridCol w:w="1867"/>
        <w:gridCol w:w="2190"/>
      </w:tblGrid>
      <w:tr w:rsidR="007515D7" w:rsidRPr="007515D7" w:rsidTr="003A5C20">
        <w:trPr>
          <w:trHeight w:val="520"/>
          <w:tblHeader/>
        </w:trPr>
        <w:tc>
          <w:tcPr>
            <w:cnfStyle w:val="001000000000" w:firstRow="0" w:lastRow="0" w:firstColumn="1" w:lastColumn="0" w:oddVBand="0" w:evenVBand="0" w:oddHBand="0" w:evenHBand="0" w:firstRowFirstColumn="0" w:firstRowLastColumn="0" w:lastRowFirstColumn="0" w:lastRowLastColumn="0"/>
            <w:tcW w:w="3807" w:type="dxa"/>
            <w:noWrap/>
            <w:hideMark/>
          </w:tcPr>
          <w:p w:rsidR="007515D7" w:rsidRPr="007515D7" w:rsidRDefault="007515D7" w:rsidP="003A5C20">
            <w:pPr>
              <w:rPr>
                <w:rFonts w:eastAsia="Times New Roman"/>
                <w:b/>
                <w:bCs/>
                <w:color w:val="000000"/>
                <w:szCs w:val="20"/>
              </w:rPr>
            </w:pPr>
            <w:r w:rsidRPr="007515D7">
              <w:rPr>
                <w:rFonts w:eastAsia="Times New Roman"/>
                <w:b/>
                <w:bCs/>
                <w:color w:val="000000"/>
                <w:szCs w:val="20"/>
              </w:rPr>
              <w:t>Type of vehicle</w:t>
            </w:r>
          </w:p>
          <w:p w:rsidR="007515D7" w:rsidRPr="007515D7" w:rsidRDefault="00C234F2" w:rsidP="003A5C20">
            <w:pPr>
              <w:ind w:firstLineChars="100" w:firstLine="200"/>
              <w:rPr>
                <w:rFonts w:eastAsia="Times New Roman"/>
                <w:bCs/>
                <w:color w:val="000000"/>
                <w:szCs w:val="20"/>
              </w:rPr>
            </w:pPr>
            <w:r>
              <w:rPr>
                <w:rFonts w:eastAsia="Times New Roman"/>
                <w:bCs/>
                <w:color w:val="000000"/>
                <w:szCs w:val="20"/>
              </w:rPr>
              <w:t>Nature</w:t>
            </w:r>
            <w:r w:rsidR="007515D7" w:rsidRPr="007515D7">
              <w:rPr>
                <w:rFonts w:eastAsia="Times New Roman"/>
                <w:bCs/>
                <w:color w:val="000000"/>
                <w:szCs w:val="20"/>
              </w:rPr>
              <w:t xml:space="preserve"> of vehicle incident</w:t>
            </w:r>
          </w:p>
        </w:tc>
        <w:tc>
          <w:tcPr>
            <w:tcW w:w="1867" w:type="dxa"/>
            <w:noWrap/>
            <w:hideMark/>
          </w:tcPr>
          <w:p w:rsidR="007515D7" w:rsidRPr="007515D7" w:rsidRDefault="007515D7" w:rsidP="003A5C20">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7515D7">
              <w:rPr>
                <w:rFonts w:eastAsia="Times New Roman"/>
                <w:b/>
                <w:bCs/>
                <w:color w:val="000000"/>
                <w:szCs w:val="20"/>
              </w:rPr>
              <w:t>Number of fatalities</w:t>
            </w:r>
          </w:p>
        </w:tc>
        <w:tc>
          <w:tcPr>
            <w:tcW w:w="2190" w:type="dxa"/>
            <w:noWrap/>
            <w:hideMark/>
          </w:tcPr>
          <w:p w:rsidR="007515D7" w:rsidRPr="007515D7" w:rsidRDefault="007515D7" w:rsidP="003A5C20">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7515D7">
              <w:rPr>
                <w:rFonts w:eastAsia="Times New Roman"/>
                <w:b/>
                <w:bCs/>
                <w:color w:val="000000"/>
                <w:szCs w:val="20"/>
              </w:rPr>
              <w:t>Percentage of fatalities</w:t>
            </w:r>
          </w:p>
        </w:tc>
      </w:tr>
      <w:tr w:rsidR="003A5C20" w:rsidRPr="007515D7" w:rsidTr="003A5C20">
        <w:trPr>
          <w:trHeight w:val="255"/>
        </w:trPr>
        <w:tc>
          <w:tcPr>
            <w:cnfStyle w:val="001000000000" w:firstRow="0" w:lastRow="0" w:firstColumn="1" w:lastColumn="0" w:oddVBand="0" w:evenVBand="0" w:oddHBand="0" w:evenHBand="0" w:firstRowFirstColumn="0" w:firstRowLastColumn="0" w:lastRowFirstColumn="0" w:lastRowLastColumn="0"/>
            <w:tcW w:w="3807" w:type="dxa"/>
            <w:noWrap/>
            <w:hideMark/>
          </w:tcPr>
          <w:p w:rsidR="003A5C20" w:rsidRDefault="003A5C20" w:rsidP="003A5C20">
            <w:pPr>
              <w:rPr>
                <w:rFonts w:cs="Arial"/>
                <w:b/>
                <w:bCs/>
                <w:color w:val="000000"/>
                <w:szCs w:val="20"/>
              </w:rPr>
            </w:pPr>
            <w:r>
              <w:rPr>
                <w:rFonts w:cs="Arial"/>
                <w:b/>
                <w:bCs/>
                <w:color w:val="000000"/>
                <w:szCs w:val="20"/>
              </w:rPr>
              <w:t>Tractor</w:t>
            </w:r>
          </w:p>
        </w:tc>
        <w:tc>
          <w:tcPr>
            <w:tcW w:w="1867"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46</w:t>
            </w:r>
          </w:p>
        </w:tc>
        <w:tc>
          <w:tcPr>
            <w:tcW w:w="2190"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27.4%</w:t>
            </w:r>
          </w:p>
        </w:tc>
      </w:tr>
      <w:tr w:rsidR="003A5C20" w:rsidRPr="007515D7" w:rsidTr="003A5C20">
        <w:trPr>
          <w:trHeight w:val="255"/>
        </w:trPr>
        <w:tc>
          <w:tcPr>
            <w:cnfStyle w:val="001000000000" w:firstRow="0" w:lastRow="0" w:firstColumn="1" w:lastColumn="0" w:oddVBand="0" w:evenVBand="0" w:oddHBand="0" w:evenHBand="0" w:firstRowFirstColumn="0" w:firstRowLastColumn="0" w:lastRowFirstColumn="0" w:lastRowLastColumn="0"/>
            <w:tcW w:w="3807" w:type="dxa"/>
            <w:noWrap/>
            <w:hideMark/>
          </w:tcPr>
          <w:p w:rsidR="003A5C20" w:rsidRDefault="003A5C20" w:rsidP="003A5C20">
            <w:pPr>
              <w:ind w:firstLineChars="100" w:firstLine="200"/>
              <w:rPr>
                <w:rFonts w:cs="Arial"/>
                <w:color w:val="000000"/>
                <w:szCs w:val="20"/>
              </w:rPr>
            </w:pPr>
            <w:r>
              <w:rPr>
                <w:rFonts w:cs="Arial"/>
                <w:color w:val="000000"/>
                <w:szCs w:val="20"/>
              </w:rPr>
              <w:t>Rollover</w:t>
            </w:r>
          </w:p>
        </w:tc>
        <w:tc>
          <w:tcPr>
            <w:tcW w:w="1867"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12</w:t>
            </w:r>
          </w:p>
        </w:tc>
        <w:tc>
          <w:tcPr>
            <w:tcW w:w="2190"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26.1%</w:t>
            </w:r>
          </w:p>
        </w:tc>
      </w:tr>
      <w:tr w:rsidR="003A5C20" w:rsidRPr="007515D7" w:rsidTr="003A5C20">
        <w:trPr>
          <w:trHeight w:val="255"/>
        </w:trPr>
        <w:tc>
          <w:tcPr>
            <w:cnfStyle w:val="001000000000" w:firstRow="0" w:lastRow="0" w:firstColumn="1" w:lastColumn="0" w:oddVBand="0" w:evenVBand="0" w:oddHBand="0" w:evenHBand="0" w:firstRowFirstColumn="0" w:firstRowLastColumn="0" w:lastRowFirstColumn="0" w:lastRowLastColumn="0"/>
            <w:tcW w:w="3807" w:type="dxa"/>
            <w:noWrap/>
            <w:hideMark/>
          </w:tcPr>
          <w:p w:rsidR="003A5C20" w:rsidRDefault="003A5C20" w:rsidP="003A5C20">
            <w:pPr>
              <w:ind w:firstLineChars="100" w:firstLine="200"/>
              <w:rPr>
                <w:rFonts w:cs="Arial"/>
                <w:color w:val="000000"/>
                <w:szCs w:val="20"/>
              </w:rPr>
            </w:pPr>
            <w:r>
              <w:rPr>
                <w:rFonts w:cs="Arial"/>
                <w:color w:val="000000"/>
                <w:szCs w:val="20"/>
              </w:rPr>
              <w:t>Hit by own vehicle</w:t>
            </w:r>
          </w:p>
        </w:tc>
        <w:tc>
          <w:tcPr>
            <w:tcW w:w="1867"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11</w:t>
            </w:r>
          </w:p>
        </w:tc>
        <w:tc>
          <w:tcPr>
            <w:tcW w:w="2190"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23.9%</w:t>
            </w:r>
          </w:p>
        </w:tc>
      </w:tr>
      <w:tr w:rsidR="003A5C20" w:rsidRPr="007515D7" w:rsidTr="003A5C20">
        <w:trPr>
          <w:trHeight w:val="255"/>
        </w:trPr>
        <w:tc>
          <w:tcPr>
            <w:cnfStyle w:val="001000000000" w:firstRow="0" w:lastRow="0" w:firstColumn="1" w:lastColumn="0" w:oddVBand="0" w:evenVBand="0" w:oddHBand="0" w:evenHBand="0" w:firstRowFirstColumn="0" w:firstRowLastColumn="0" w:lastRowFirstColumn="0" w:lastRowLastColumn="0"/>
            <w:tcW w:w="3807" w:type="dxa"/>
            <w:noWrap/>
            <w:hideMark/>
          </w:tcPr>
          <w:p w:rsidR="003A5C20" w:rsidRDefault="003A5C20" w:rsidP="003A5C20">
            <w:pPr>
              <w:ind w:firstLineChars="100" w:firstLine="200"/>
              <w:rPr>
                <w:rFonts w:cs="Arial"/>
                <w:color w:val="000000"/>
                <w:szCs w:val="20"/>
              </w:rPr>
            </w:pPr>
            <w:r>
              <w:rPr>
                <w:rFonts w:cs="Arial"/>
                <w:color w:val="000000"/>
                <w:szCs w:val="20"/>
              </w:rPr>
              <w:t>Hit by moving vehicle</w:t>
            </w:r>
          </w:p>
        </w:tc>
        <w:tc>
          <w:tcPr>
            <w:tcW w:w="1867"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8</w:t>
            </w:r>
          </w:p>
        </w:tc>
        <w:tc>
          <w:tcPr>
            <w:tcW w:w="2190"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17.4%</w:t>
            </w:r>
          </w:p>
        </w:tc>
      </w:tr>
      <w:tr w:rsidR="003A5C20" w:rsidRPr="007515D7" w:rsidTr="003A5C20">
        <w:trPr>
          <w:trHeight w:val="255"/>
        </w:trPr>
        <w:tc>
          <w:tcPr>
            <w:cnfStyle w:val="001000000000" w:firstRow="0" w:lastRow="0" w:firstColumn="1" w:lastColumn="0" w:oddVBand="0" w:evenVBand="0" w:oddHBand="0" w:evenHBand="0" w:firstRowFirstColumn="0" w:firstRowLastColumn="0" w:lastRowFirstColumn="0" w:lastRowLastColumn="0"/>
            <w:tcW w:w="3807" w:type="dxa"/>
            <w:noWrap/>
            <w:hideMark/>
          </w:tcPr>
          <w:p w:rsidR="003A5C20" w:rsidRDefault="003A5C20" w:rsidP="003A5C20">
            <w:pPr>
              <w:ind w:firstLineChars="100" w:firstLine="200"/>
              <w:rPr>
                <w:rFonts w:cs="Arial"/>
                <w:color w:val="000000"/>
                <w:szCs w:val="20"/>
              </w:rPr>
            </w:pPr>
            <w:r>
              <w:rPr>
                <w:rFonts w:cs="Arial"/>
                <w:color w:val="000000"/>
                <w:szCs w:val="20"/>
              </w:rPr>
              <w:t>Trapped or crushed by vehicle</w:t>
            </w:r>
          </w:p>
        </w:tc>
        <w:tc>
          <w:tcPr>
            <w:tcW w:w="1867"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5</w:t>
            </w:r>
          </w:p>
        </w:tc>
        <w:tc>
          <w:tcPr>
            <w:tcW w:w="2190"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10.9%</w:t>
            </w:r>
          </w:p>
        </w:tc>
      </w:tr>
      <w:tr w:rsidR="003A5C20" w:rsidRPr="007515D7" w:rsidTr="003A5C20">
        <w:trPr>
          <w:trHeight w:val="255"/>
        </w:trPr>
        <w:tc>
          <w:tcPr>
            <w:cnfStyle w:val="001000000000" w:firstRow="0" w:lastRow="0" w:firstColumn="1" w:lastColumn="0" w:oddVBand="0" w:evenVBand="0" w:oddHBand="0" w:evenHBand="0" w:firstRowFirstColumn="0" w:firstRowLastColumn="0" w:lastRowFirstColumn="0" w:lastRowLastColumn="0"/>
            <w:tcW w:w="3807" w:type="dxa"/>
            <w:noWrap/>
            <w:hideMark/>
          </w:tcPr>
          <w:p w:rsidR="003A5C20" w:rsidRDefault="003A5C20" w:rsidP="003A5C20">
            <w:pPr>
              <w:rPr>
                <w:rFonts w:cs="Arial"/>
                <w:b/>
                <w:bCs/>
                <w:color w:val="000000"/>
                <w:szCs w:val="20"/>
              </w:rPr>
            </w:pPr>
            <w:r>
              <w:rPr>
                <w:rFonts w:cs="Arial"/>
                <w:b/>
                <w:bCs/>
                <w:color w:val="000000"/>
                <w:szCs w:val="20"/>
              </w:rPr>
              <w:t>Quad bike</w:t>
            </w:r>
          </w:p>
        </w:tc>
        <w:tc>
          <w:tcPr>
            <w:tcW w:w="1867"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36</w:t>
            </w:r>
          </w:p>
        </w:tc>
        <w:tc>
          <w:tcPr>
            <w:tcW w:w="2190"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21.4%</w:t>
            </w:r>
          </w:p>
        </w:tc>
      </w:tr>
      <w:tr w:rsidR="003A5C20" w:rsidRPr="007515D7" w:rsidTr="003A5C20">
        <w:trPr>
          <w:trHeight w:val="255"/>
        </w:trPr>
        <w:tc>
          <w:tcPr>
            <w:cnfStyle w:val="001000000000" w:firstRow="0" w:lastRow="0" w:firstColumn="1" w:lastColumn="0" w:oddVBand="0" w:evenVBand="0" w:oddHBand="0" w:evenHBand="0" w:firstRowFirstColumn="0" w:firstRowLastColumn="0" w:lastRowFirstColumn="0" w:lastRowLastColumn="0"/>
            <w:tcW w:w="3807" w:type="dxa"/>
            <w:noWrap/>
            <w:hideMark/>
          </w:tcPr>
          <w:p w:rsidR="003A5C20" w:rsidRDefault="003A5C20" w:rsidP="003A5C20">
            <w:pPr>
              <w:ind w:firstLineChars="100" w:firstLine="200"/>
              <w:rPr>
                <w:rFonts w:cs="Arial"/>
                <w:color w:val="000000"/>
                <w:szCs w:val="20"/>
              </w:rPr>
            </w:pPr>
            <w:r>
              <w:rPr>
                <w:rFonts w:cs="Arial"/>
                <w:color w:val="000000"/>
                <w:szCs w:val="20"/>
              </w:rPr>
              <w:t>Rollover</w:t>
            </w:r>
          </w:p>
        </w:tc>
        <w:tc>
          <w:tcPr>
            <w:tcW w:w="1867"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19</w:t>
            </w:r>
          </w:p>
        </w:tc>
        <w:tc>
          <w:tcPr>
            <w:tcW w:w="2190"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52.8%</w:t>
            </w:r>
          </w:p>
        </w:tc>
      </w:tr>
      <w:tr w:rsidR="003A5C20" w:rsidRPr="007515D7" w:rsidTr="003A5C20">
        <w:trPr>
          <w:trHeight w:val="255"/>
        </w:trPr>
        <w:tc>
          <w:tcPr>
            <w:cnfStyle w:val="001000000000" w:firstRow="0" w:lastRow="0" w:firstColumn="1" w:lastColumn="0" w:oddVBand="0" w:evenVBand="0" w:oddHBand="0" w:evenHBand="0" w:firstRowFirstColumn="0" w:firstRowLastColumn="0" w:lastRowFirstColumn="0" w:lastRowLastColumn="0"/>
            <w:tcW w:w="3807" w:type="dxa"/>
            <w:noWrap/>
            <w:hideMark/>
          </w:tcPr>
          <w:p w:rsidR="003A5C20" w:rsidRDefault="003A5C20" w:rsidP="003A5C20">
            <w:pPr>
              <w:ind w:firstLineChars="100" w:firstLine="200"/>
              <w:rPr>
                <w:rFonts w:cs="Arial"/>
                <w:color w:val="000000"/>
                <w:szCs w:val="20"/>
              </w:rPr>
            </w:pPr>
            <w:r>
              <w:rPr>
                <w:rFonts w:cs="Arial"/>
                <w:color w:val="000000"/>
                <w:szCs w:val="20"/>
              </w:rPr>
              <w:t>Hit stationary object</w:t>
            </w:r>
          </w:p>
        </w:tc>
        <w:tc>
          <w:tcPr>
            <w:tcW w:w="1867"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7</w:t>
            </w:r>
          </w:p>
        </w:tc>
        <w:tc>
          <w:tcPr>
            <w:tcW w:w="2190"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19.4%</w:t>
            </w:r>
          </w:p>
        </w:tc>
      </w:tr>
      <w:tr w:rsidR="003A5C20" w:rsidRPr="007515D7" w:rsidTr="003A5C20">
        <w:trPr>
          <w:trHeight w:val="255"/>
        </w:trPr>
        <w:tc>
          <w:tcPr>
            <w:cnfStyle w:val="001000000000" w:firstRow="0" w:lastRow="0" w:firstColumn="1" w:lastColumn="0" w:oddVBand="0" w:evenVBand="0" w:oddHBand="0" w:evenHBand="0" w:firstRowFirstColumn="0" w:firstRowLastColumn="0" w:lastRowFirstColumn="0" w:lastRowLastColumn="0"/>
            <w:tcW w:w="3807" w:type="dxa"/>
            <w:noWrap/>
            <w:hideMark/>
          </w:tcPr>
          <w:p w:rsidR="003A5C20" w:rsidRDefault="003A5C20" w:rsidP="003A5C20">
            <w:pPr>
              <w:ind w:firstLineChars="100" w:firstLine="200"/>
              <w:rPr>
                <w:rFonts w:cs="Arial"/>
                <w:color w:val="000000"/>
                <w:szCs w:val="20"/>
              </w:rPr>
            </w:pPr>
            <w:r>
              <w:rPr>
                <w:rFonts w:cs="Arial"/>
                <w:color w:val="000000"/>
                <w:szCs w:val="20"/>
              </w:rPr>
              <w:t>Vehicle incident</w:t>
            </w:r>
          </w:p>
        </w:tc>
        <w:tc>
          <w:tcPr>
            <w:tcW w:w="1867"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5</w:t>
            </w:r>
          </w:p>
        </w:tc>
        <w:tc>
          <w:tcPr>
            <w:tcW w:w="2190"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13.9%</w:t>
            </w:r>
          </w:p>
        </w:tc>
      </w:tr>
      <w:tr w:rsidR="003A5C20" w:rsidRPr="007515D7" w:rsidTr="003A5C20">
        <w:trPr>
          <w:trHeight w:val="255"/>
        </w:trPr>
        <w:tc>
          <w:tcPr>
            <w:cnfStyle w:val="001000000000" w:firstRow="0" w:lastRow="0" w:firstColumn="1" w:lastColumn="0" w:oddVBand="0" w:evenVBand="0" w:oddHBand="0" w:evenHBand="0" w:firstRowFirstColumn="0" w:firstRowLastColumn="0" w:lastRowFirstColumn="0" w:lastRowLastColumn="0"/>
            <w:tcW w:w="3807" w:type="dxa"/>
            <w:noWrap/>
            <w:hideMark/>
          </w:tcPr>
          <w:p w:rsidR="003A5C20" w:rsidRDefault="003A5C20" w:rsidP="003A5C20">
            <w:pPr>
              <w:rPr>
                <w:rFonts w:cs="Arial"/>
                <w:b/>
                <w:bCs/>
                <w:color w:val="000000"/>
                <w:szCs w:val="20"/>
              </w:rPr>
            </w:pPr>
            <w:r>
              <w:rPr>
                <w:rFonts w:cs="Arial"/>
                <w:b/>
                <w:bCs/>
                <w:color w:val="000000"/>
                <w:szCs w:val="20"/>
              </w:rPr>
              <w:t>Aircraft</w:t>
            </w:r>
          </w:p>
        </w:tc>
        <w:tc>
          <w:tcPr>
            <w:tcW w:w="1867"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31</w:t>
            </w:r>
          </w:p>
        </w:tc>
        <w:tc>
          <w:tcPr>
            <w:tcW w:w="2190"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18.5%</w:t>
            </w:r>
          </w:p>
        </w:tc>
      </w:tr>
      <w:tr w:rsidR="003A5C20" w:rsidRPr="007515D7" w:rsidTr="003A5C20">
        <w:trPr>
          <w:trHeight w:val="255"/>
        </w:trPr>
        <w:tc>
          <w:tcPr>
            <w:cnfStyle w:val="001000000000" w:firstRow="0" w:lastRow="0" w:firstColumn="1" w:lastColumn="0" w:oddVBand="0" w:evenVBand="0" w:oddHBand="0" w:evenHBand="0" w:firstRowFirstColumn="0" w:firstRowLastColumn="0" w:lastRowFirstColumn="0" w:lastRowLastColumn="0"/>
            <w:tcW w:w="3807" w:type="dxa"/>
            <w:noWrap/>
            <w:hideMark/>
          </w:tcPr>
          <w:p w:rsidR="003A5C20" w:rsidRDefault="003A5C20" w:rsidP="003A5C20">
            <w:pPr>
              <w:ind w:firstLineChars="100" w:firstLine="200"/>
              <w:rPr>
                <w:rFonts w:cs="Arial"/>
                <w:color w:val="000000"/>
                <w:szCs w:val="20"/>
              </w:rPr>
            </w:pPr>
            <w:r>
              <w:rPr>
                <w:rFonts w:cs="Arial"/>
                <w:color w:val="000000"/>
                <w:szCs w:val="20"/>
              </w:rPr>
              <w:t>Plane crash</w:t>
            </w:r>
          </w:p>
        </w:tc>
        <w:tc>
          <w:tcPr>
            <w:tcW w:w="1867"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30</w:t>
            </w:r>
          </w:p>
        </w:tc>
        <w:tc>
          <w:tcPr>
            <w:tcW w:w="2190"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96.8%</w:t>
            </w:r>
          </w:p>
        </w:tc>
      </w:tr>
      <w:tr w:rsidR="003A5C20" w:rsidRPr="007515D7" w:rsidTr="003A5C20">
        <w:trPr>
          <w:trHeight w:val="255"/>
        </w:trPr>
        <w:tc>
          <w:tcPr>
            <w:cnfStyle w:val="001000000000" w:firstRow="0" w:lastRow="0" w:firstColumn="1" w:lastColumn="0" w:oddVBand="0" w:evenVBand="0" w:oddHBand="0" w:evenHBand="0" w:firstRowFirstColumn="0" w:firstRowLastColumn="0" w:lastRowFirstColumn="0" w:lastRowLastColumn="0"/>
            <w:tcW w:w="3807" w:type="dxa"/>
            <w:noWrap/>
            <w:hideMark/>
          </w:tcPr>
          <w:p w:rsidR="003A5C20" w:rsidRDefault="003A5C20" w:rsidP="003A5C20">
            <w:pPr>
              <w:ind w:firstLineChars="100" w:firstLine="200"/>
              <w:rPr>
                <w:rFonts w:cs="Arial"/>
                <w:color w:val="000000"/>
                <w:szCs w:val="20"/>
              </w:rPr>
            </w:pPr>
            <w:r>
              <w:rPr>
                <w:rFonts w:cs="Arial"/>
                <w:color w:val="000000"/>
                <w:szCs w:val="20"/>
              </w:rPr>
              <w:t>Hit by moving vehicle</w:t>
            </w:r>
          </w:p>
        </w:tc>
        <w:tc>
          <w:tcPr>
            <w:tcW w:w="1867"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w:t>
            </w:r>
          </w:p>
        </w:tc>
        <w:tc>
          <w:tcPr>
            <w:tcW w:w="2190"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3.2%</w:t>
            </w:r>
          </w:p>
        </w:tc>
      </w:tr>
      <w:tr w:rsidR="003A5C20" w:rsidRPr="007515D7" w:rsidTr="003A5C20">
        <w:trPr>
          <w:trHeight w:val="255"/>
        </w:trPr>
        <w:tc>
          <w:tcPr>
            <w:cnfStyle w:val="001000000000" w:firstRow="0" w:lastRow="0" w:firstColumn="1" w:lastColumn="0" w:oddVBand="0" w:evenVBand="0" w:oddHBand="0" w:evenHBand="0" w:firstRowFirstColumn="0" w:firstRowLastColumn="0" w:lastRowFirstColumn="0" w:lastRowLastColumn="0"/>
            <w:tcW w:w="3807" w:type="dxa"/>
            <w:noWrap/>
            <w:hideMark/>
          </w:tcPr>
          <w:p w:rsidR="003A5C20" w:rsidRDefault="003A5C20" w:rsidP="003A5C20">
            <w:pPr>
              <w:rPr>
                <w:rFonts w:cs="Arial"/>
                <w:b/>
                <w:bCs/>
                <w:color w:val="000000"/>
                <w:szCs w:val="20"/>
              </w:rPr>
            </w:pPr>
            <w:r>
              <w:rPr>
                <w:rFonts w:cs="Arial"/>
                <w:b/>
                <w:bCs/>
                <w:color w:val="000000"/>
                <w:szCs w:val="20"/>
              </w:rPr>
              <w:t>Car or ute</w:t>
            </w:r>
          </w:p>
        </w:tc>
        <w:tc>
          <w:tcPr>
            <w:tcW w:w="1867"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20</w:t>
            </w:r>
          </w:p>
        </w:tc>
        <w:tc>
          <w:tcPr>
            <w:tcW w:w="2190"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11.9%</w:t>
            </w:r>
          </w:p>
        </w:tc>
      </w:tr>
      <w:tr w:rsidR="003A5C20" w:rsidRPr="007515D7" w:rsidTr="003A5C20">
        <w:trPr>
          <w:trHeight w:val="255"/>
        </w:trPr>
        <w:tc>
          <w:tcPr>
            <w:cnfStyle w:val="001000000000" w:firstRow="0" w:lastRow="0" w:firstColumn="1" w:lastColumn="0" w:oddVBand="0" w:evenVBand="0" w:oddHBand="0" w:evenHBand="0" w:firstRowFirstColumn="0" w:firstRowLastColumn="0" w:lastRowFirstColumn="0" w:lastRowLastColumn="0"/>
            <w:tcW w:w="3807" w:type="dxa"/>
            <w:noWrap/>
            <w:hideMark/>
          </w:tcPr>
          <w:p w:rsidR="003A5C20" w:rsidRDefault="003A5C20" w:rsidP="003A5C20">
            <w:pPr>
              <w:ind w:firstLineChars="100" w:firstLine="200"/>
              <w:rPr>
                <w:rFonts w:cs="Arial"/>
                <w:color w:val="000000"/>
                <w:szCs w:val="20"/>
              </w:rPr>
            </w:pPr>
            <w:r>
              <w:rPr>
                <w:rFonts w:cs="Arial"/>
                <w:color w:val="000000"/>
                <w:szCs w:val="20"/>
              </w:rPr>
              <w:t>Rollover</w:t>
            </w:r>
          </w:p>
        </w:tc>
        <w:tc>
          <w:tcPr>
            <w:tcW w:w="1867"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5</w:t>
            </w:r>
          </w:p>
        </w:tc>
        <w:tc>
          <w:tcPr>
            <w:tcW w:w="2190"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25.0%</w:t>
            </w:r>
          </w:p>
        </w:tc>
      </w:tr>
      <w:tr w:rsidR="003A5C20" w:rsidRPr="007515D7" w:rsidTr="003A5C20">
        <w:trPr>
          <w:trHeight w:val="255"/>
        </w:trPr>
        <w:tc>
          <w:tcPr>
            <w:cnfStyle w:val="001000000000" w:firstRow="0" w:lastRow="0" w:firstColumn="1" w:lastColumn="0" w:oddVBand="0" w:evenVBand="0" w:oddHBand="0" w:evenHBand="0" w:firstRowFirstColumn="0" w:firstRowLastColumn="0" w:lastRowFirstColumn="0" w:lastRowLastColumn="0"/>
            <w:tcW w:w="3807" w:type="dxa"/>
            <w:noWrap/>
            <w:hideMark/>
          </w:tcPr>
          <w:p w:rsidR="003A5C20" w:rsidRDefault="003A5C20" w:rsidP="003A5C20">
            <w:pPr>
              <w:ind w:firstLineChars="100" w:firstLine="200"/>
              <w:rPr>
                <w:rFonts w:cs="Arial"/>
                <w:color w:val="000000"/>
                <w:szCs w:val="20"/>
              </w:rPr>
            </w:pPr>
            <w:r>
              <w:rPr>
                <w:rFonts w:cs="Arial"/>
                <w:color w:val="000000"/>
                <w:szCs w:val="20"/>
              </w:rPr>
              <w:t>Hit stationary object</w:t>
            </w:r>
          </w:p>
        </w:tc>
        <w:tc>
          <w:tcPr>
            <w:tcW w:w="1867"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5</w:t>
            </w:r>
          </w:p>
        </w:tc>
        <w:tc>
          <w:tcPr>
            <w:tcW w:w="2190"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25.0%</w:t>
            </w:r>
          </w:p>
        </w:tc>
      </w:tr>
      <w:tr w:rsidR="003A5C20" w:rsidRPr="007515D7" w:rsidTr="003A5C20">
        <w:trPr>
          <w:trHeight w:val="255"/>
        </w:trPr>
        <w:tc>
          <w:tcPr>
            <w:cnfStyle w:val="001000000000" w:firstRow="0" w:lastRow="0" w:firstColumn="1" w:lastColumn="0" w:oddVBand="0" w:evenVBand="0" w:oddHBand="0" w:evenHBand="0" w:firstRowFirstColumn="0" w:firstRowLastColumn="0" w:lastRowFirstColumn="0" w:lastRowLastColumn="0"/>
            <w:tcW w:w="3807" w:type="dxa"/>
            <w:noWrap/>
            <w:hideMark/>
          </w:tcPr>
          <w:p w:rsidR="003A5C20" w:rsidRDefault="003A5C20" w:rsidP="003A5C20">
            <w:pPr>
              <w:ind w:firstLineChars="100" w:firstLine="200"/>
              <w:rPr>
                <w:rFonts w:cs="Arial"/>
                <w:color w:val="000000"/>
                <w:szCs w:val="20"/>
              </w:rPr>
            </w:pPr>
            <w:r>
              <w:rPr>
                <w:rFonts w:cs="Arial"/>
                <w:color w:val="000000"/>
                <w:szCs w:val="20"/>
              </w:rPr>
              <w:t>Hit by moving vehicle</w:t>
            </w:r>
          </w:p>
        </w:tc>
        <w:tc>
          <w:tcPr>
            <w:tcW w:w="1867"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4</w:t>
            </w:r>
          </w:p>
        </w:tc>
        <w:tc>
          <w:tcPr>
            <w:tcW w:w="2190"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20.0%</w:t>
            </w:r>
          </w:p>
        </w:tc>
      </w:tr>
      <w:tr w:rsidR="003A5C20" w:rsidRPr="007515D7" w:rsidTr="003A5C20">
        <w:trPr>
          <w:trHeight w:val="255"/>
        </w:trPr>
        <w:tc>
          <w:tcPr>
            <w:cnfStyle w:val="001000000000" w:firstRow="0" w:lastRow="0" w:firstColumn="1" w:lastColumn="0" w:oddVBand="0" w:evenVBand="0" w:oddHBand="0" w:evenHBand="0" w:firstRowFirstColumn="0" w:firstRowLastColumn="0" w:lastRowFirstColumn="0" w:lastRowLastColumn="0"/>
            <w:tcW w:w="3807" w:type="dxa"/>
            <w:noWrap/>
            <w:hideMark/>
          </w:tcPr>
          <w:p w:rsidR="003A5C20" w:rsidRDefault="003A5C20" w:rsidP="003A5C20">
            <w:pPr>
              <w:rPr>
                <w:rFonts w:cs="Arial"/>
                <w:b/>
                <w:bCs/>
                <w:color w:val="000000"/>
                <w:szCs w:val="20"/>
              </w:rPr>
            </w:pPr>
            <w:r>
              <w:rPr>
                <w:rFonts w:cs="Arial"/>
                <w:b/>
                <w:bCs/>
                <w:color w:val="000000"/>
                <w:szCs w:val="20"/>
              </w:rPr>
              <w:t>Truck</w:t>
            </w:r>
          </w:p>
        </w:tc>
        <w:tc>
          <w:tcPr>
            <w:tcW w:w="1867"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14</w:t>
            </w:r>
          </w:p>
        </w:tc>
        <w:tc>
          <w:tcPr>
            <w:tcW w:w="2190"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8.3%</w:t>
            </w:r>
          </w:p>
        </w:tc>
      </w:tr>
      <w:tr w:rsidR="003A5C20" w:rsidRPr="007515D7" w:rsidTr="003A5C20">
        <w:trPr>
          <w:trHeight w:val="255"/>
        </w:trPr>
        <w:tc>
          <w:tcPr>
            <w:cnfStyle w:val="001000000000" w:firstRow="0" w:lastRow="0" w:firstColumn="1" w:lastColumn="0" w:oddVBand="0" w:evenVBand="0" w:oddHBand="0" w:evenHBand="0" w:firstRowFirstColumn="0" w:firstRowLastColumn="0" w:lastRowFirstColumn="0" w:lastRowLastColumn="0"/>
            <w:tcW w:w="3807" w:type="dxa"/>
            <w:noWrap/>
            <w:hideMark/>
          </w:tcPr>
          <w:p w:rsidR="003A5C20" w:rsidRDefault="00070B12" w:rsidP="003A5C20">
            <w:pPr>
              <w:ind w:firstLineChars="100" w:firstLine="200"/>
              <w:rPr>
                <w:rFonts w:cs="Arial"/>
                <w:color w:val="000000"/>
                <w:szCs w:val="20"/>
              </w:rPr>
            </w:pPr>
            <w:r>
              <w:rPr>
                <w:rFonts w:cs="Arial"/>
                <w:color w:val="000000"/>
                <w:szCs w:val="20"/>
              </w:rPr>
              <w:t xml:space="preserve">Trapped or </w:t>
            </w:r>
            <w:r w:rsidR="003A5C20">
              <w:rPr>
                <w:rFonts w:cs="Arial"/>
                <w:color w:val="000000"/>
                <w:szCs w:val="20"/>
              </w:rPr>
              <w:t>crushed by vehicle</w:t>
            </w:r>
          </w:p>
        </w:tc>
        <w:tc>
          <w:tcPr>
            <w:tcW w:w="1867"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5</w:t>
            </w:r>
          </w:p>
        </w:tc>
        <w:tc>
          <w:tcPr>
            <w:tcW w:w="2190"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35.7%</w:t>
            </w:r>
          </w:p>
        </w:tc>
      </w:tr>
      <w:tr w:rsidR="003A5C20" w:rsidRPr="007515D7" w:rsidTr="003A5C20">
        <w:trPr>
          <w:trHeight w:val="255"/>
        </w:trPr>
        <w:tc>
          <w:tcPr>
            <w:cnfStyle w:val="001000000000" w:firstRow="0" w:lastRow="0" w:firstColumn="1" w:lastColumn="0" w:oddVBand="0" w:evenVBand="0" w:oddHBand="0" w:evenHBand="0" w:firstRowFirstColumn="0" w:firstRowLastColumn="0" w:lastRowFirstColumn="0" w:lastRowLastColumn="0"/>
            <w:tcW w:w="3807" w:type="dxa"/>
            <w:noWrap/>
            <w:hideMark/>
          </w:tcPr>
          <w:p w:rsidR="003A5C20" w:rsidRDefault="003A5C20" w:rsidP="003A5C20">
            <w:pPr>
              <w:ind w:firstLineChars="100" w:firstLine="200"/>
              <w:rPr>
                <w:rFonts w:cs="Arial"/>
                <w:color w:val="000000"/>
                <w:szCs w:val="20"/>
              </w:rPr>
            </w:pPr>
            <w:r>
              <w:rPr>
                <w:rFonts w:cs="Arial"/>
                <w:color w:val="000000"/>
                <w:szCs w:val="20"/>
              </w:rPr>
              <w:t>Hit by own vehicle</w:t>
            </w:r>
          </w:p>
        </w:tc>
        <w:tc>
          <w:tcPr>
            <w:tcW w:w="1867"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3</w:t>
            </w:r>
          </w:p>
        </w:tc>
        <w:tc>
          <w:tcPr>
            <w:tcW w:w="2190"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21.4%</w:t>
            </w:r>
          </w:p>
        </w:tc>
      </w:tr>
      <w:tr w:rsidR="003A5C20" w:rsidRPr="007515D7" w:rsidTr="003A5C20">
        <w:trPr>
          <w:trHeight w:val="255"/>
        </w:trPr>
        <w:tc>
          <w:tcPr>
            <w:cnfStyle w:val="001000000000" w:firstRow="0" w:lastRow="0" w:firstColumn="1" w:lastColumn="0" w:oddVBand="0" w:evenVBand="0" w:oddHBand="0" w:evenHBand="0" w:firstRowFirstColumn="0" w:firstRowLastColumn="0" w:lastRowFirstColumn="0" w:lastRowLastColumn="0"/>
            <w:tcW w:w="3807" w:type="dxa"/>
            <w:noWrap/>
            <w:hideMark/>
          </w:tcPr>
          <w:p w:rsidR="003A5C20" w:rsidRDefault="003A5C20" w:rsidP="003A5C20">
            <w:pPr>
              <w:rPr>
                <w:rFonts w:cs="Arial"/>
                <w:b/>
                <w:bCs/>
                <w:color w:val="000000"/>
                <w:szCs w:val="20"/>
              </w:rPr>
            </w:pPr>
            <w:r>
              <w:rPr>
                <w:rFonts w:cs="Arial"/>
                <w:b/>
                <w:bCs/>
                <w:color w:val="000000"/>
                <w:szCs w:val="20"/>
              </w:rPr>
              <w:t>Loader, excavator, backhoe or dozer</w:t>
            </w:r>
          </w:p>
        </w:tc>
        <w:tc>
          <w:tcPr>
            <w:tcW w:w="1867"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8</w:t>
            </w:r>
          </w:p>
        </w:tc>
        <w:tc>
          <w:tcPr>
            <w:tcW w:w="2190"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4.8%</w:t>
            </w:r>
          </w:p>
        </w:tc>
      </w:tr>
      <w:tr w:rsidR="003A5C20" w:rsidRPr="007515D7" w:rsidTr="003A5C20">
        <w:trPr>
          <w:trHeight w:val="255"/>
        </w:trPr>
        <w:tc>
          <w:tcPr>
            <w:cnfStyle w:val="001000000000" w:firstRow="0" w:lastRow="0" w:firstColumn="1" w:lastColumn="0" w:oddVBand="0" w:evenVBand="0" w:oddHBand="0" w:evenHBand="0" w:firstRowFirstColumn="0" w:firstRowLastColumn="0" w:lastRowFirstColumn="0" w:lastRowLastColumn="0"/>
            <w:tcW w:w="3807" w:type="dxa"/>
            <w:noWrap/>
            <w:hideMark/>
          </w:tcPr>
          <w:p w:rsidR="003A5C20" w:rsidRDefault="003A5C20" w:rsidP="003A5C20">
            <w:pPr>
              <w:ind w:firstLineChars="100" w:firstLine="200"/>
              <w:rPr>
                <w:rFonts w:cs="Arial"/>
                <w:color w:val="000000"/>
                <w:szCs w:val="20"/>
              </w:rPr>
            </w:pPr>
            <w:r>
              <w:rPr>
                <w:rFonts w:cs="Arial"/>
                <w:color w:val="000000"/>
                <w:szCs w:val="20"/>
              </w:rPr>
              <w:t>Hit by falling object</w:t>
            </w:r>
          </w:p>
        </w:tc>
        <w:tc>
          <w:tcPr>
            <w:tcW w:w="1867"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3</w:t>
            </w:r>
          </w:p>
        </w:tc>
        <w:tc>
          <w:tcPr>
            <w:tcW w:w="2190"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37.5%</w:t>
            </w:r>
          </w:p>
        </w:tc>
      </w:tr>
      <w:tr w:rsidR="003A5C20" w:rsidRPr="007515D7" w:rsidTr="003A5C20">
        <w:trPr>
          <w:trHeight w:val="255"/>
        </w:trPr>
        <w:tc>
          <w:tcPr>
            <w:cnfStyle w:val="001000000000" w:firstRow="0" w:lastRow="0" w:firstColumn="1" w:lastColumn="0" w:oddVBand="0" w:evenVBand="0" w:oddHBand="0" w:evenHBand="0" w:firstRowFirstColumn="0" w:firstRowLastColumn="0" w:lastRowFirstColumn="0" w:lastRowLastColumn="0"/>
            <w:tcW w:w="3807" w:type="dxa"/>
            <w:noWrap/>
            <w:hideMark/>
          </w:tcPr>
          <w:p w:rsidR="003A5C20" w:rsidRDefault="003A5C20" w:rsidP="003A5C20">
            <w:pPr>
              <w:ind w:firstLineChars="100" w:firstLine="200"/>
              <w:rPr>
                <w:rFonts w:cs="Arial"/>
                <w:color w:val="000000"/>
                <w:szCs w:val="20"/>
              </w:rPr>
            </w:pPr>
            <w:r>
              <w:rPr>
                <w:rFonts w:cs="Arial"/>
                <w:color w:val="000000"/>
                <w:szCs w:val="20"/>
              </w:rPr>
              <w:t>Trapped or crushed by vehicle</w:t>
            </w:r>
          </w:p>
        </w:tc>
        <w:tc>
          <w:tcPr>
            <w:tcW w:w="1867"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2</w:t>
            </w:r>
          </w:p>
        </w:tc>
        <w:tc>
          <w:tcPr>
            <w:tcW w:w="2190"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25.0%</w:t>
            </w:r>
          </w:p>
        </w:tc>
      </w:tr>
      <w:tr w:rsidR="003A5C20" w:rsidRPr="007515D7" w:rsidTr="003A5C20">
        <w:trPr>
          <w:trHeight w:val="255"/>
        </w:trPr>
        <w:tc>
          <w:tcPr>
            <w:cnfStyle w:val="001000000000" w:firstRow="0" w:lastRow="0" w:firstColumn="1" w:lastColumn="0" w:oddVBand="0" w:evenVBand="0" w:oddHBand="0" w:evenHBand="0" w:firstRowFirstColumn="0" w:firstRowLastColumn="0" w:lastRowFirstColumn="0" w:lastRowLastColumn="0"/>
            <w:tcW w:w="3807" w:type="dxa"/>
            <w:noWrap/>
            <w:hideMark/>
          </w:tcPr>
          <w:p w:rsidR="003A5C20" w:rsidRDefault="003A5C20" w:rsidP="003A5C20">
            <w:pPr>
              <w:rPr>
                <w:rFonts w:cs="Arial"/>
                <w:b/>
                <w:bCs/>
                <w:color w:val="000000"/>
                <w:szCs w:val="20"/>
              </w:rPr>
            </w:pPr>
            <w:r>
              <w:rPr>
                <w:rFonts w:cs="Arial"/>
                <w:b/>
                <w:bCs/>
                <w:color w:val="000000"/>
                <w:szCs w:val="20"/>
              </w:rPr>
              <w:t>Harvester</w:t>
            </w:r>
          </w:p>
        </w:tc>
        <w:tc>
          <w:tcPr>
            <w:tcW w:w="1867"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4</w:t>
            </w:r>
          </w:p>
        </w:tc>
        <w:tc>
          <w:tcPr>
            <w:tcW w:w="2190"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2.4%</w:t>
            </w:r>
          </w:p>
        </w:tc>
      </w:tr>
      <w:tr w:rsidR="003A5C20" w:rsidRPr="007515D7" w:rsidTr="003A5C20">
        <w:trPr>
          <w:trHeight w:val="255"/>
        </w:trPr>
        <w:tc>
          <w:tcPr>
            <w:cnfStyle w:val="001000000000" w:firstRow="0" w:lastRow="0" w:firstColumn="1" w:lastColumn="0" w:oddVBand="0" w:evenVBand="0" w:oddHBand="0" w:evenHBand="0" w:firstRowFirstColumn="0" w:firstRowLastColumn="0" w:lastRowFirstColumn="0" w:lastRowLastColumn="0"/>
            <w:tcW w:w="3807" w:type="dxa"/>
            <w:noWrap/>
            <w:hideMark/>
          </w:tcPr>
          <w:p w:rsidR="003A5C20" w:rsidRDefault="003A5C20" w:rsidP="003A5C20">
            <w:pPr>
              <w:rPr>
                <w:rFonts w:cs="Arial"/>
                <w:b/>
                <w:bCs/>
                <w:color w:val="000000"/>
                <w:szCs w:val="20"/>
              </w:rPr>
            </w:pPr>
            <w:r>
              <w:rPr>
                <w:rFonts w:cs="Arial"/>
                <w:b/>
                <w:bCs/>
                <w:color w:val="000000"/>
                <w:szCs w:val="20"/>
              </w:rPr>
              <w:t>Forklift</w:t>
            </w:r>
          </w:p>
        </w:tc>
        <w:tc>
          <w:tcPr>
            <w:tcW w:w="1867"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4</w:t>
            </w:r>
          </w:p>
        </w:tc>
        <w:tc>
          <w:tcPr>
            <w:tcW w:w="2190"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2.4%</w:t>
            </w:r>
          </w:p>
        </w:tc>
      </w:tr>
      <w:tr w:rsidR="003A5C20" w:rsidRPr="007515D7" w:rsidTr="003A5C20">
        <w:trPr>
          <w:trHeight w:val="255"/>
        </w:trPr>
        <w:tc>
          <w:tcPr>
            <w:cnfStyle w:val="001000000000" w:firstRow="0" w:lastRow="0" w:firstColumn="1" w:lastColumn="0" w:oddVBand="0" w:evenVBand="0" w:oddHBand="0" w:evenHBand="0" w:firstRowFirstColumn="0" w:firstRowLastColumn="0" w:lastRowFirstColumn="0" w:lastRowLastColumn="0"/>
            <w:tcW w:w="3807" w:type="dxa"/>
            <w:noWrap/>
            <w:hideMark/>
          </w:tcPr>
          <w:p w:rsidR="003A5C20" w:rsidRDefault="003A5C20" w:rsidP="003A5C20">
            <w:pPr>
              <w:rPr>
                <w:rFonts w:cs="Arial"/>
                <w:b/>
                <w:bCs/>
                <w:color w:val="000000"/>
                <w:szCs w:val="20"/>
              </w:rPr>
            </w:pPr>
            <w:r>
              <w:rPr>
                <w:rFonts w:cs="Arial"/>
                <w:b/>
                <w:bCs/>
                <w:color w:val="000000"/>
                <w:szCs w:val="20"/>
              </w:rPr>
              <w:t>Motorbike</w:t>
            </w:r>
          </w:p>
        </w:tc>
        <w:tc>
          <w:tcPr>
            <w:tcW w:w="1867"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2</w:t>
            </w:r>
          </w:p>
        </w:tc>
        <w:tc>
          <w:tcPr>
            <w:tcW w:w="2190"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1.2%</w:t>
            </w:r>
          </w:p>
        </w:tc>
      </w:tr>
      <w:tr w:rsidR="003A5C20" w:rsidRPr="007515D7" w:rsidTr="003A5C20">
        <w:trPr>
          <w:trHeight w:val="255"/>
        </w:trPr>
        <w:tc>
          <w:tcPr>
            <w:cnfStyle w:val="001000000000" w:firstRow="0" w:lastRow="0" w:firstColumn="1" w:lastColumn="0" w:oddVBand="0" w:evenVBand="0" w:oddHBand="0" w:evenHBand="0" w:firstRowFirstColumn="0" w:firstRowLastColumn="0" w:lastRowFirstColumn="0" w:lastRowLastColumn="0"/>
            <w:tcW w:w="3807" w:type="dxa"/>
            <w:noWrap/>
            <w:hideMark/>
          </w:tcPr>
          <w:p w:rsidR="003A5C20" w:rsidRDefault="003A5C20" w:rsidP="003A5C20">
            <w:pPr>
              <w:rPr>
                <w:rFonts w:cs="Arial"/>
                <w:b/>
                <w:bCs/>
                <w:color w:val="000000"/>
                <w:szCs w:val="20"/>
              </w:rPr>
            </w:pPr>
            <w:r>
              <w:rPr>
                <w:rFonts w:cs="Arial"/>
                <w:b/>
                <w:bCs/>
                <w:color w:val="000000"/>
                <w:szCs w:val="20"/>
              </w:rPr>
              <w:t>Mower or slasher</w:t>
            </w:r>
          </w:p>
        </w:tc>
        <w:tc>
          <w:tcPr>
            <w:tcW w:w="1867"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2</w:t>
            </w:r>
          </w:p>
        </w:tc>
        <w:tc>
          <w:tcPr>
            <w:tcW w:w="2190"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1.2%</w:t>
            </w:r>
          </w:p>
        </w:tc>
      </w:tr>
      <w:tr w:rsidR="003A5C20" w:rsidRPr="007515D7" w:rsidTr="003A5C20">
        <w:trPr>
          <w:trHeight w:val="255"/>
        </w:trPr>
        <w:tc>
          <w:tcPr>
            <w:cnfStyle w:val="001000000000" w:firstRow="0" w:lastRow="0" w:firstColumn="1" w:lastColumn="0" w:oddVBand="0" w:evenVBand="0" w:oddHBand="0" w:evenHBand="0" w:firstRowFirstColumn="0" w:firstRowLastColumn="0" w:lastRowFirstColumn="0" w:lastRowLastColumn="0"/>
            <w:tcW w:w="3807" w:type="dxa"/>
            <w:noWrap/>
            <w:hideMark/>
          </w:tcPr>
          <w:p w:rsidR="003A5C20" w:rsidRDefault="003A5C20" w:rsidP="003A5C20">
            <w:pPr>
              <w:rPr>
                <w:rFonts w:cs="Arial"/>
                <w:b/>
                <w:bCs/>
                <w:color w:val="000000"/>
                <w:szCs w:val="20"/>
              </w:rPr>
            </w:pPr>
            <w:r>
              <w:rPr>
                <w:rFonts w:cs="Arial"/>
                <w:b/>
                <w:bCs/>
                <w:color w:val="000000"/>
                <w:szCs w:val="20"/>
              </w:rPr>
              <w:t>Bus</w:t>
            </w:r>
          </w:p>
        </w:tc>
        <w:tc>
          <w:tcPr>
            <w:tcW w:w="1867"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1</w:t>
            </w:r>
          </w:p>
        </w:tc>
        <w:tc>
          <w:tcPr>
            <w:tcW w:w="2190"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0.6%</w:t>
            </w:r>
          </w:p>
        </w:tc>
      </w:tr>
      <w:tr w:rsidR="003A5C20" w:rsidRPr="007515D7" w:rsidTr="003A5C20">
        <w:trPr>
          <w:trHeight w:val="255"/>
        </w:trPr>
        <w:tc>
          <w:tcPr>
            <w:cnfStyle w:val="001000000000" w:firstRow="0" w:lastRow="0" w:firstColumn="1" w:lastColumn="0" w:oddVBand="0" w:evenVBand="0" w:oddHBand="0" w:evenHBand="0" w:firstRowFirstColumn="0" w:firstRowLastColumn="0" w:lastRowFirstColumn="0" w:lastRowLastColumn="0"/>
            <w:tcW w:w="3807" w:type="dxa"/>
            <w:noWrap/>
            <w:hideMark/>
          </w:tcPr>
          <w:p w:rsidR="003A5C20" w:rsidRDefault="003A5C20" w:rsidP="003A5C20">
            <w:pPr>
              <w:rPr>
                <w:rFonts w:cs="Arial"/>
                <w:b/>
                <w:bCs/>
                <w:color w:val="000000"/>
                <w:szCs w:val="20"/>
              </w:rPr>
            </w:pPr>
            <w:r>
              <w:rPr>
                <w:rFonts w:cs="Arial"/>
                <w:b/>
                <w:bCs/>
                <w:color w:val="000000"/>
                <w:szCs w:val="20"/>
              </w:rPr>
              <w:t>Total</w:t>
            </w:r>
          </w:p>
        </w:tc>
        <w:tc>
          <w:tcPr>
            <w:tcW w:w="1867"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168</w:t>
            </w:r>
          </w:p>
        </w:tc>
        <w:tc>
          <w:tcPr>
            <w:tcW w:w="2190"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100.0%</w:t>
            </w:r>
          </w:p>
        </w:tc>
      </w:tr>
    </w:tbl>
    <w:p w:rsidR="0075723F" w:rsidRPr="005E6422" w:rsidRDefault="00C234F2" w:rsidP="0075723F">
      <w:pPr>
        <w:pStyle w:val="Footnote"/>
      </w:pPr>
      <w:r w:rsidRPr="00C234F2">
        <w:t>The sum of percentages may not equal 100% due to rounding.</w:t>
      </w:r>
      <w:r>
        <w:br/>
      </w:r>
      <w:r w:rsidR="0075723F" w:rsidRPr="005E6422">
        <w:t>Source: Traumatic Injury Fatalities database.</w:t>
      </w:r>
    </w:p>
    <w:p w:rsidR="00C234F2" w:rsidRDefault="00C234F2">
      <w:pPr>
        <w:rPr>
          <w:b/>
          <w:sz w:val="28"/>
          <w:szCs w:val="28"/>
        </w:rPr>
      </w:pPr>
      <w:bookmarkStart w:id="34" w:name="_Toc453938278"/>
      <w:r>
        <w:br w:type="page"/>
      </w:r>
    </w:p>
    <w:p w:rsidR="0075723F" w:rsidRDefault="0075723F" w:rsidP="0075723F">
      <w:pPr>
        <w:pStyle w:val="Heading2"/>
      </w:pPr>
      <w:bookmarkStart w:id="35" w:name="_Toc459720370"/>
      <w:r>
        <w:lastRenderedPageBreak/>
        <w:t>Fatalities involving vehicles by age group</w:t>
      </w:r>
      <w:bookmarkEnd w:id="34"/>
      <w:bookmarkEnd w:id="35"/>
    </w:p>
    <w:p w:rsidR="0075723F" w:rsidRDefault="0075723F" w:rsidP="0075723F">
      <w:r w:rsidRPr="00B67CCA">
        <w:t xml:space="preserve">An age-group breakdown of the 168 </w:t>
      </w:r>
      <w:r w:rsidR="00E56427">
        <w:t>vehicle</w:t>
      </w:r>
      <w:r w:rsidR="00196611">
        <w:t xml:space="preserve">-involved </w:t>
      </w:r>
      <w:r w:rsidRPr="00B67CCA">
        <w:t>fatalities shows that</w:t>
      </w:r>
      <w:r>
        <w:t xml:space="preserve"> tractors account for a </w:t>
      </w:r>
      <w:r w:rsidRPr="00052DB7">
        <w:t>significantly</w:t>
      </w:r>
      <w:r>
        <w:t xml:space="preserve"> higher percentage of fatalities among workers aged 65 years and above. Al</w:t>
      </w:r>
      <w:r w:rsidR="0094112C">
        <w:t>though tractors accounted for 27</w:t>
      </w:r>
      <w:r>
        <w:t xml:space="preserve"> per cent of </w:t>
      </w:r>
      <w:r w:rsidR="00E56427">
        <w:t>vehicle</w:t>
      </w:r>
      <w:r>
        <w:t xml:space="preserve"> fatalities among all agricultural worke</w:t>
      </w:r>
      <w:r w:rsidR="0094112C">
        <w:t>rs, the vehicle accounted for 46</w:t>
      </w:r>
      <w:r>
        <w:t xml:space="preserve"> per cent of </w:t>
      </w:r>
      <w:r w:rsidR="00E56427">
        <w:t>vehicle</w:t>
      </w:r>
      <w:r>
        <w:t xml:space="preserve"> fatalities among workers aged </w:t>
      </w:r>
      <w:r w:rsidR="0094112C">
        <w:t>65 years and above.</w:t>
      </w:r>
    </w:p>
    <w:p w:rsidR="003A5C20" w:rsidRDefault="0075723F" w:rsidP="0075723F">
      <w:r>
        <w:t>Workers aged between 35 and 44 years had</w:t>
      </w:r>
      <w:r w:rsidR="00E914AF">
        <w:t xml:space="preserve"> the highest percentage </w:t>
      </w:r>
      <w:r>
        <w:t xml:space="preserve">of </w:t>
      </w:r>
      <w:r w:rsidR="00E56427">
        <w:t>vehicle</w:t>
      </w:r>
      <w:r>
        <w:t xml:space="preserve"> fatalities that </w:t>
      </w:r>
      <w:r w:rsidR="00D636FB">
        <w:t xml:space="preserve">involved aircraft (35 per cent) and trucks (15 per cent), and the lowest percentage of vehicle fatalities that involved quad bikes (10 per cent) and cars or </w:t>
      </w:r>
      <w:proofErr w:type="gramStart"/>
      <w:r w:rsidR="00D636FB">
        <w:t>utes</w:t>
      </w:r>
      <w:proofErr w:type="gramEnd"/>
      <w:r w:rsidR="00D636FB">
        <w:t xml:space="preserve"> (5 per cent).</w:t>
      </w:r>
      <w:r w:rsidR="003A5C20">
        <w:t xml:space="preserve"> </w:t>
      </w:r>
    </w:p>
    <w:p w:rsidR="00ED2624" w:rsidRDefault="00ED2624" w:rsidP="0075723F">
      <w:r>
        <w:t xml:space="preserve">Among workers aged between 15 and 24 years, there was a more even spread in the types of vehicles that were </w:t>
      </w:r>
      <w:r w:rsidR="003A5C20">
        <w:t>involved in fatal injuries.</w:t>
      </w:r>
      <w:r w:rsidR="006160E5">
        <w:t xml:space="preserve"> There was no single vehicle that was involved in a disproportionately high </w:t>
      </w:r>
      <w:r w:rsidR="00357A34">
        <w:t>percentage</w:t>
      </w:r>
      <w:r w:rsidR="004018C2">
        <w:t xml:space="preserve"> of fatalities within this age group.</w:t>
      </w:r>
    </w:p>
    <w:p w:rsidR="0075723F" w:rsidRDefault="0075723F" w:rsidP="0075723F">
      <w:pPr>
        <w:pStyle w:val="Heading4"/>
      </w:pPr>
      <w:r>
        <w:t xml:space="preserve">Table </w:t>
      </w:r>
      <w:fldSimple w:instr=" SEQ Table \* ARABIC ">
        <w:r w:rsidR="001A7C10">
          <w:rPr>
            <w:noProof/>
          </w:rPr>
          <w:t>6</w:t>
        </w:r>
      </w:fldSimple>
      <w:r>
        <w:t>: P</w:t>
      </w:r>
      <w:r w:rsidRPr="00BE15D2">
        <w:t xml:space="preserve">ercentage of </w:t>
      </w:r>
      <w:r w:rsidR="00E56427">
        <w:t>vehicle</w:t>
      </w:r>
      <w:r w:rsidRPr="00BE15D2">
        <w:t xml:space="preserve"> fatalities for the agricultural industry by type of vehicle and </w:t>
      </w:r>
      <w:r>
        <w:t>age group</w:t>
      </w:r>
      <w:r w:rsidRPr="00BE15D2">
        <w:t>, 2010 to 2014</w:t>
      </w:r>
      <w:r>
        <w:t xml:space="preserve"> combined</w:t>
      </w:r>
    </w:p>
    <w:tbl>
      <w:tblPr>
        <w:tblStyle w:val="TableGrid"/>
        <w:tblW w:w="9509" w:type="dxa"/>
        <w:tblInd w:w="108" w:type="dxa"/>
        <w:tblLook w:val="04A0" w:firstRow="1" w:lastRow="0" w:firstColumn="1" w:lastColumn="0" w:noHBand="0" w:noVBand="1"/>
        <w:tblCaption w:val="Table 6"/>
      </w:tblPr>
      <w:tblGrid>
        <w:gridCol w:w="2422"/>
        <w:gridCol w:w="895"/>
        <w:gridCol w:w="895"/>
        <w:gridCol w:w="895"/>
        <w:gridCol w:w="895"/>
        <w:gridCol w:w="895"/>
        <w:gridCol w:w="895"/>
        <w:gridCol w:w="1717"/>
      </w:tblGrid>
      <w:tr w:rsidR="000900B4" w:rsidRPr="0094112C" w:rsidTr="00C234F2">
        <w:trPr>
          <w:trHeight w:val="255"/>
          <w:tblHeader/>
        </w:trPr>
        <w:tc>
          <w:tcPr>
            <w:cnfStyle w:val="001000000000" w:firstRow="0" w:lastRow="0" w:firstColumn="1" w:lastColumn="0" w:oddVBand="0" w:evenVBand="0" w:oddHBand="0" w:evenHBand="0" w:firstRowFirstColumn="0" w:firstRowLastColumn="0" w:lastRowFirstColumn="0" w:lastRowLastColumn="0"/>
            <w:tcW w:w="2422" w:type="dxa"/>
            <w:noWrap/>
            <w:hideMark/>
          </w:tcPr>
          <w:p w:rsidR="000900B4" w:rsidRDefault="000900B4" w:rsidP="000900B4">
            <w:pPr>
              <w:rPr>
                <w:rFonts w:cs="Arial"/>
                <w:b/>
                <w:bCs/>
                <w:color w:val="000000"/>
                <w:szCs w:val="20"/>
              </w:rPr>
            </w:pPr>
            <w:r>
              <w:rPr>
                <w:rFonts w:cs="Arial"/>
                <w:b/>
                <w:bCs/>
                <w:color w:val="000000"/>
                <w:szCs w:val="20"/>
              </w:rPr>
              <w:t>Type of vehicle</w:t>
            </w:r>
          </w:p>
        </w:tc>
        <w:tc>
          <w:tcPr>
            <w:tcW w:w="895" w:type="dxa"/>
            <w:noWrap/>
            <w:hideMark/>
          </w:tcPr>
          <w:p w:rsidR="000900B4" w:rsidRDefault="000900B4" w:rsidP="000900B4">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15–24</w:t>
            </w:r>
          </w:p>
        </w:tc>
        <w:tc>
          <w:tcPr>
            <w:tcW w:w="895" w:type="dxa"/>
            <w:noWrap/>
            <w:hideMark/>
          </w:tcPr>
          <w:p w:rsidR="000900B4" w:rsidRDefault="000900B4" w:rsidP="000900B4">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25–34</w:t>
            </w:r>
          </w:p>
        </w:tc>
        <w:tc>
          <w:tcPr>
            <w:tcW w:w="895" w:type="dxa"/>
            <w:noWrap/>
            <w:hideMark/>
          </w:tcPr>
          <w:p w:rsidR="000900B4" w:rsidRDefault="000900B4" w:rsidP="000900B4">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35–44</w:t>
            </w:r>
          </w:p>
        </w:tc>
        <w:tc>
          <w:tcPr>
            <w:tcW w:w="895" w:type="dxa"/>
            <w:noWrap/>
            <w:hideMark/>
          </w:tcPr>
          <w:p w:rsidR="000900B4" w:rsidRDefault="000900B4" w:rsidP="000900B4">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45–54</w:t>
            </w:r>
          </w:p>
        </w:tc>
        <w:tc>
          <w:tcPr>
            <w:tcW w:w="895" w:type="dxa"/>
            <w:noWrap/>
            <w:hideMark/>
          </w:tcPr>
          <w:p w:rsidR="000900B4" w:rsidRDefault="000900B4" w:rsidP="000900B4">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55–64</w:t>
            </w:r>
          </w:p>
        </w:tc>
        <w:tc>
          <w:tcPr>
            <w:tcW w:w="895" w:type="dxa"/>
            <w:noWrap/>
            <w:hideMark/>
          </w:tcPr>
          <w:p w:rsidR="000900B4" w:rsidRDefault="000900B4" w:rsidP="000900B4">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65+</w:t>
            </w:r>
          </w:p>
        </w:tc>
        <w:tc>
          <w:tcPr>
            <w:tcW w:w="1717" w:type="dxa"/>
            <w:noWrap/>
            <w:hideMark/>
          </w:tcPr>
          <w:p w:rsidR="000900B4" w:rsidRDefault="000900B4" w:rsidP="000900B4">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All age groups</w:t>
            </w:r>
          </w:p>
        </w:tc>
      </w:tr>
      <w:tr w:rsidR="000900B4" w:rsidRPr="0094112C" w:rsidTr="00C234F2">
        <w:trPr>
          <w:trHeight w:val="255"/>
        </w:trPr>
        <w:tc>
          <w:tcPr>
            <w:cnfStyle w:val="001000000000" w:firstRow="0" w:lastRow="0" w:firstColumn="1" w:lastColumn="0" w:oddVBand="0" w:evenVBand="0" w:oddHBand="0" w:evenHBand="0" w:firstRowFirstColumn="0" w:firstRowLastColumn="0" w:lastRowFirstColumn="0" w:lastRowLastColumn="0"/>
            <w:tcW w:w="2422" w:type="dxa"/>
            <w:noWrap/>
            <w:hideMark/>
          </w:tcPr>
          <w:p w:rsidR="000900B4" w:rsidRDefault="000900B4" w:rsidP="000900B4">
            <w:pPr>
              <w:rPr>
                <w:rFonts w:cs="Arial"/>
                <w:color w:val="000000"/>
                <w:szCs w:val="20"/>
              </w:rPr>
            </w:pPr>
            <w:r>
              <w:rPr>
                <w:rFonts w:cs="Arial"/>
                <w:color w:val="000000"/>
                <w:szCs w:val="20"/>
              </w:rPr>
              <w:t>Tractor</w:t>
            </w:r>
          </w:p>
        </w:tc>
        <w:tc>
          <w:tcPr>
            <w:tcW w:w="895" w:type="dxa"/>
            <w:noWrap/>
            <w:hideMark/>
          </w:tcPr>
          <w:p w:rsidR="000900B4" w:rsidRDefault="000900B4" w:rsidP="000900B4">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11.8%</w:t>
            </w:r>
          </w:p>
        </w:tc>
        <w:tc>
          <w:tcPr>
            <w:tcW w:w="895" w:type="dxa"/>
            <w:noWrap/>
            <w:hideMark/>
          </w:tcPr>
          <w:p w:rsidR="000900B4" w:rsidRDefault="000900B4" w:rsidP="000900B4">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14.3%</w:t>
            </w:r>
          </w:p>
        </w:tc>
        <w:tc>
          <w:tcPr>
            <w:tcW w:w="895" w:type="dxa"/>
            <w:noWrap/>
            <w:hideMark/>
          </w:tcPr>
          <w:p w:rsidR="000900B4" w:rsidRDefault="000900B4" w:rsidP="000900B4">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30.0%</w:t>
            </w:r>
          </w:p>
        </w:tc>
        <w:tc>
          <w:tcPr>
            <w:tcW w:w="895" w:type="dxa"/>
            <w:noWrap/>
            <w:hideMark/>
          </w:tcPr>
          <w:p w:rsidR="000900B4" w:rsidRDefault="000900B4" w:rsidP="000900B4">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11.1%</w:t>
            </w:r>
          </w:p>
        </w:tc>
        <w:tc>
          <w:tcPr>
            <w:tcW w:w="895" w:type="dxa"/>
            <w:noWrap/>
            <w:hideMark/>
          </w:tcPr>
          <w:p w:rsidR="000900B4" w:rsidRDefault="000900B4" w:rsidP="000900B4">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23.5%</w:t>
            </w:r>
          </w:p>
        </w:tc>
        <w:tc>
          <w:tcPr>
            <w:tcW w:w="895" w:type="dxa"/>
            <w:noWrap/>
            <w:hideMark/>
          </w:tcPr>
          <w:p w:rsidR="000900B4" w:rsidRDefault="000900B4" w:rsidP="000900B4">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46.3%</w:t>
            </w:r>
          </w:p>
        </w:tc>
        <w:tc>
          <w:tcPr>
            <w:tcW w:w="1717" w:type="dxa"/>
            <w:noWrap/>
            <w:hideMark/>
          </w:tcPr>
          <w:p w:rsidR="000900B4" w:rsidRDefault="000900B4" w:rsidP="000900B4">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27.4%</w:t>
            </w:r>
          </w:p>
        </w:tc>
      </w:tr>
      <w:tr w:rsidR="000900B4" w:rsidRPr="0094112C" w:rsidTr="00C234F2">
        <w:trPr>
          <w:trHeight w:val="255"/>
        </w:trPr>
        <w:tc>
          <w:tcPr>
            <w:cnfStyle w:val="001000000000" w:firstRow="0" w:lastRow="0" w:firstColumn="1" w:lastColumn="0" w:oddVBand="0" w:evenVBand="0" w:oddHBand="0" w:evenHBand="0" w:firstRowFirstColumn="0" w:firstRowLastColumn="0" w:lastRowFirstColumn="0" w:lastRowLastColumn="0"/>
            <w:tcW w:w="2422" w:type="dxa"/>
            <w:noWrap/>
            <w:hideMark/>
          </w:tcPr>
          <w:p w:rsidR="000900B4" w:rsidRDefault="000900B4" w:rsidP="000900B4">
            <w:pPr>
              <w:rPr>
                <w:rFonts w:cs="Arial"/>
                <w:color w:val="000000"/>
                <w:szCs w:val="20"/>
              </w:rPr>
            </w:pPr>
            <w:r>
              <w:rPr>
                <w:rFonts w:cs="Arial"/>
                <w:color w:val="000000"/>
                <w:szCs w:val="20"/>
              </w:rPr>
              <w:t>Quad bike</w:t>
            </w:r>
          </w:p>
        </w:tc>
        <w:tc>
          <w:tcPr>
            <w:tcW w:w="895" w:type="dxa"/>
            <w:noWrap/>
            <w:hideMark/>
          </w:tcPr>
          <w:p w:rsidR="000900B4" w:rsidRDefault="000900B4" w:rsidP="000900B4">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11.8%</w:t>
            </w:r>
          </w:p>
        </w:tc>
        <w:tc>
          <w:tcPr>
            <w:tcW w:w="895" w:type="dxa"/>
            <w:noWrap/>
            <w:hideMark/>
          </w:tcPr>
          <w:p w:rsidR="000900B4" w:rsidRDefault="000900B4" w:rsidP="000900B4">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21.4%</w:t>
            </w:r>
          </w:p>
        </w:tc>
        <w:tc>
          <w:tcPr>
            <w:tcW w:w="895" w:type="dxa"/>
            <w:noWrap/>
            <w:hideMark/>
          </w:tcPr>
          <w:p w:rsidR="000900B4" w:rsidRDefault="000900B4" w:rsidP="000900B4">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10.0%</w:t>
            </w:r>
          </w:p>
        </w:tc>
        <w:tc>
          <w:tcPr>
            <w:tcW w:w="895" w:type="dxa"/>
            <w:noWrap/>
            <w:hideMark/>
          </w:tcPr>
          <w:p w:rsidR="000900B4" w:rsidRDefault="000900B4" w:rsidP="000900B4">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22.2%</w:t>
            </w:r>
          </w:p>
        </w:tc>
        <w:tc>
          <w:tcPr>
            <w:tcW w:w="895" w:type="dxa"/>
            <w:noWrap/>
            <w:hideMark/>
          </w:tcPr>
          <w:p w:rsidR="000900B4" w:rsidRDefault="000900B4" w:rsidP="000900B4">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26.5%</w:t>
            </w:r>
          </w:p>
        </w:tc>
        <w:tc>
          <w:tcPr>
            <w:tcW w:w="895" w:type="dxa"/>
            <w:noWrap/>
            <w:hideMark/>
          </w:tcPr>
          <w:p w:rsidR="000900B4" w:rsidRDefault="000900B4" w:rsidP="000900B4">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22.2%</w:t>
            </w:r>
          </w:p>
        </w:tc>
        <w:tc>
          <w:tcPr>
            <w:tcW w:w="1717" w:type="dxa"/>
            <w:noWrap/>
            <w:hideMark/>
          </w:tcPr>
          <w:p w:rsidR="000900B4" w:rsidRDefault="000900B4" w:rsidP="000900B4">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21.4%</w:t>
            </w:r>
          </w:p>
        </w:tc>
      </w:tr>
      <w:tr w:rsidR="000900B4" w:rsidRPr="0094112C" w:rsidTr="00C234F2">
        <w:trPr>
          <w:trHeight w:val="255"/>
        </w:trPr>
        <w:tc>
          <w:tcPr>
            <w:cnfStyle w:val="001000000000" w:firstRow="0" w:lastRow="0" w:firstColumn="1" w:lastColumn="0" w:oddVBand="0" w:evenVBand="0" w:oddHBand="0" w:evenHBand="0" w:firstRowFirstColumn="0" w:firstRowLastColumn="0" w:lastRowFirstColumn="0" w:lastRowLastColumn="0"/>
            <w:tcW w:w="2422" w:type="dxa"/>
            <w:noWrap/>
            <w:hideMark/>
          </w:tcPr>
          <w:p w:rsidR="000900B4" w:rsidRDefault="000900B4" w:rsidP="000900B4">
            <w:pPr>
              <w:rPr>
                <w:rFonts w:cs="Arial"/>
                <w:color w:val="000000"/>
                <w:szCs w:val="20"/>
              </w:rPr>
            </w:pPr>
            <w:r>
              <w:rPr>
                <w:rFonts w:cs="Arial"/>
                <w:color w:val="000000"/>
                <w:szCs w:val="20"/>
              </w:rPr>
              <w:t>Aircraft</w:t>
            </w:r>
          </w:p>
        </w:tc>
        <w:tc>
          <w:tcPr>
            <w:tcW w:w="895" w:type="dxa"/>
            <w:noWrap/>
            <w:hideMark/>
          </w:tcPr>
          <w:p w:rsidR="000900B4" w:rsidRDefault="000900B4" w:rsidP="000900B4">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17.6%</w:t>
            </w:r>
          </w:p>
        </w:tc>
        <w:tc>
          <w:tcPr>
            <w:tcW w:w="895" w:type="dxa"/>
            <w:noWrap/>
            <w:hideMark/>
          </w:tcPr>
          <w:p w:rsidR="000900B4" w:rsidRDefault="000900B4" w:rsidP="000900B4">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28.6%</w:t>
            </w:r>
          </w:p>
        </w:tc>
        <w:tc>
          <w:tcPr>
            <w:tcW w:w="895" w:type="dxa"/>
            <w:noWrap/>
            <w:hideMark/>
          </w:tcPr>
          <w:p w:rsidR="000900B4" w:rsidRDefault="000900B4" w:rsidP="000900B4">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35.0%</w:t>
            </w:r>
          </w:p>
        </w:tc>
        <w:tc>
          <w:tcPr>
            <w:tcW w:w="895" w:type="dxa"/>
            <w:noWrap/>
            <w:hideMark/>
          </w:tcPr>
          <w:p w:rsidR="000900B4" w:rsidRDefault="000900B4" w:rsidP="000900B4">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33.3%</w:t>
            </w:r>
          </w:p>
        </w:tc>
        <w:tc>
          <w:tcPr>
            <w:tcW w:w="895" w:type="dxa"/>
            <w:noWrap/>
            <w:hideMark/>
          </w:tcPr>
          <w:p w:rsidR="000900B4" w:rsidRDefault="000900B4" w:rsidP="000900B4">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14.7%</w:t>
            </w:r>
          </w:p>
        </w:tc>
        <w:tc>
          <w:tcPr>
            <w:tcW w:w="895" w:type="dxa"/>
            <w:noWrap/>
            <w:hideMark/>
          </w:tcPr>
          <w:p w:rsidR="000900B4" w:rsidRDefault="000900B4" w:rsidP="000900B4">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5.6%</w:t>
            </w:r>
          </w:p>
        </w:tc>
        <w:tc>
          <w:tcPr>
            <w:tcW w:w="1717" w:type="dxa"/>
            <w:noWrap/>
            <w:hideMark/>
          </w:tcPr>
          <w:p w:rsidR="000900B4" w:rsidRDefault="000900B4" w:rsidP="000900B4">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18.5%</w:t>
            </w:r>
          </w:p>
        </w:tc>
      </w:tr>
      <w:tr w:rsidR="000900B4" w:rsidRPr="0094112C" w:rsidTr="00C234F2">
        <w:trPr>
          <w:trHeight w:val="255"/>
        </w:trPr>
        <w:tc>
          <w:tcPr>
            <w:cnfStyle w:val="001000000000" w:firstRow="0" w:lastRow="0" w:firstColumn="1" w:lastColumn="0" w:oddVBand="0" w:evenVBand="0" w:oddHBand="0" w:evenHBand="0" w:firstRowFirstColumn="0" w:firstRowLastColumn="0" w:lastRowFirstColumn="0" w:lastRowLastColumn="0"/>
            <w:tcW w:w="2422" w:type="dxa"/>
            <w:noWrap/>
            <w:hideMark/>
          </w:tcPr>
          <w:p w:rsidR="000900B4" w:rsidRDefault="000900B4" w:rsidP="000900B4">
            <w:pPr>
              <w:rPr>
                <w:rFonts w:cs="Arial"/>
                <w:color w:val="000000"/>
                <w:szCs w:val="20"/>
              </w:rPr>
            </w:pPr>
            <w:r>
              <w:rPr>
                <w:rFonts w:cs="Arial"/>
                <w:color w:val="000000"/>
                <w:szCs w:val="20"/>
              </w:rPr>
              <w:t>Car or ute</w:t>
            </w:r>
          </w:p>
        </w:tc>
        <w:tc>
          <w:tcPr>
            <w:tcW w:w="895" w:type="dxa"/>
            <w:noWrap/>
            <w:hideMark/>
          </w:tcPr>
          <w:p w:rsidR="000900B4" w:rsidRDefault="000900B4" w:rsidP="000900B4">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17.6%</w:t>
            </w:r>
          </w:p>
        </w:tc>
        <w:tc>
          <w:tcPr>
            <w:tcW w:w="895" w:type="dxa"/>
            <w:noWrap/>
            <w:hideMark/>
          </w:tcPr>
          <w:p w:rsidR="000900B4" w:rsidRDefault="000900B4" w:rsidP="000900B4">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21.4%</w:t>
            </w:r>
          </w:p>
        </w:tc>
        <w:tc>
          <w:tcPr>
            <w:tcW w:w="895" w:type="dxa"/>
            <w:noWrap/>
            <w:hideMark/>
          </w:tcPr>
          <w:p w:rsidR="000900B4" w:rsidRDefault="000900B4" w:rsidP="000900B4">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5.0%</w:t>
            </w:r>
          </w:p>
        </w:tc>
        <w:tc>
          <w:tcPr>
            <w:tcW w:w="895" w:type="dxa"/>
            <w:noWrap/>
            <w:hideMark/>
          </w:tcPr>
          <w:p w:rsidR="000900B4" w:rsidRDefault="000900B4" w:rsidP="000900B4">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11.1%</w:t>
            </w:r>
          </w:p>
        </w:tc>
        <w:tc>
          <w:tcPr>
            <w:tcW w:w="895" w:type="dxa"/>
            <w:noWrap/>
            <w:hideMark/>
          </w:tcPr>
          <w:p w:rsidR="000900B4" w:rsidRDefault="000900B4" w:rsidP="000900B4">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17.6%</w:t>
            </w:r>
          </w:p>
        </w:tc>
        <w:tc>
          <w:tcPr>
            <w:tcW w:w="895" w:type="dxa"/>
            <w:noWrap/>
            <w:hideMark/>
          </w:tcPr>
          <w:p w:rsidR="000900B4" w:rsidRDefault="000900B4" w:rsidP="000900B4">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7.4%</w:t>
            </w:r>
          </w:p>
        </w:tc>
        <w:tc>
          <w:tcPr>
            <w:tcW w:w="1717" w:type="dxa"/>
            <w:noWrap/>
            <w:hideMark/>
          </w:tcPr>
          <w:p w:rsidR="000900B4" w:rsidRDefault="000900B4" w:rsidP="000900B4">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11.9%</w:t>
            </w:r>
          </w:p>
        </w:tc>
      </w:tr>
      <w:tr w:rsidR="000900B4" w:rsidRPr="0094112C" w:rsidTr="00C234F2">
        <w:trPr>
          <w:trHeight w:val="255"/>
        </w:trPr>
        <w:tc>
          <w:tcPr>
            <w:cnfStyle w:val="001000000000" w:firstRow="0" w:lastRow="0" w:firstColumn="1" w:lastColumn="0" w:oddVBand="0" w:evenVBand="0" w:oddHBand="0" w:evenHBand="0" w:firstRowFirstColumn="0" w:firstRowLastColumn="0" w:lastRowFirstColumn="0" w:lastRowLastColumn="0"/>
            <w:tcW w:w="2422" w:type="dxa"/>
            <w:noWrap/>
            <w:hideMark/>
          </w:tcPr>
          <w:p w:rsidR="000900B4" w:rsidRDefault="000900B4" w:rsidP="000900B4">
            <w:pPr>
              <w:rPr>
                <w:rFonts w:cs="Arial"/>
                <w:color w:val="000000"/>
                <w:szCs w:val="20"/>
              </w:rPr>
            </w:pPr>
            <w:r>
              <w:rPr>
                <w:rFonts w:cs="Arial"/>
                <w:color w:val="000000"/>
                <w:szCs w:val="20"/>
              </w:rPr>
              <w:t>Truck</w:t>
            </w:r>
          </w:p>
        </w:tc>
        <w:tc>
          <w:tcPr>
            <w:tcW w:w="895" w:type="dxa"/>
            <w:noWrap/>
            <w:hideMark/>
          </w:tcPr>
          <w:p w:rsidR="000900B4" w:rsidRDefault="000900B4" w:rsidP="000900B4">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5.9%</w:t>
            </w:r>
          </w:p>
        </w:tc>
        <w:tc>
          <w:tcPr>
            <w:tcW w:w="895" w:type="dxa"/>
            <w:noWrap/>
            <w:hideMark/>
          </w:tcPr>
          <w:p w:rsidR="000900B4" w:rsidRDefault="000900B4" w:rsidP="000900B4">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7.1%</w:t>
            </w:r>
          </w:p>
        </w:tc>
        <w:tc>
          <w:tcPr>
            <w:tcW w:w="895" w:type="dxa"/>
            <w:noWrap/>
            <w:hideMark/>
          </w:tcPr>
          <w:p w:rsidR="000900B4" w:rsidRDefault="000900B4" w:rsidP="000900B4">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15.0%</w:t>
            </w:r>
          </w:p>
        </w:tc>
        <w:tc>
          <w:tcPr>
            <w:tcW w:w="895" w:type="dxa"/>
            <w:noWrap/>
            <w:hideMark/>
          </w:tcPr>
          <w:p w:rsidR="000900B4" w:rsidRDefault="000900B4" w:rsidP="000900B4">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11.1%</w:t>
            </w:r>
          </w:p>
        </w:tc>
        <w:tc>
          <w:tcPr>
            <w:tcW w:w="895" w:type="dxa"/>
            <w:noWrap/>
            <w:hideMark/>
          </w:tcPr>
          <w:p w:rsidR="000900B4" w:rsidRDefault="000900B4" w:rsidP="000900B4">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5.9%</w:t>
            </w:r>
          </w:p>
        </w:tc>
        <w:tc>
          <w:tcPr>
            <w:tcW w:w="895" w:type="dxa"/>
            <w:noWrap/>
            <w:hideMark/>
          </w:tcPr>
          <w:p w:rsidR="000900B4" w:rsidRDefault="000900B4" w:rsidP="000900B4">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7.4%</w:t>
            </w:r>
          </w:p>
        </w:tc>
        <w:tc>
          <w:tcPr>
            <w:tcW w:w="1717" w:type="dxa"/>
            <w:noWrap/>
            <w:hideMark/>
          </w:tcPr>
          <w:p w:rsidR="000900B4" w:rsidRDefault="000900B4" w:rsidP="000900B4">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8.3%</w:t>
            </w:r>
          </w:p>
        </w:tc>
      </w:tr>
      <w:tr w:rsidR="000900B4" w:rsidRPr="0094112C" w:rsidTr="00C234F2">
        <w:trPr>
          <w:trHeight w:val="255"/>
        </w:trPr>
        <w:tc>
          <w:tcPr>
            <w:cnfStyle w:val="001000000000" w:firstRow="0" w:lastRow="0" w:firstColumn="1" w:lastColumn="0" w:oddVBand="0" w:evenVBand="0" w:oddHBand="0" w:evenHBand="0" w:firstRowFirstColumn="0" w:firstRowLastColumn="0" w:lastRowFirstColumn="0" w:lastRowLastColumn="0"/>
            <w:tcW w:w="2422" w:type="dxa"/>
            <w:noWrap/>
            <w:hideMark/>
          </w:tcPr>
          <w:p w:rsidR="000900B4" w:rsidRDefault="000900B4" w:rsidP="000900B4">
            <w:pPr>
              <w:rPr>
                <w:rFonts w:cs="Arial"/>
                <w:color w:val="000000"/>
                <w:szCs w:val="20"/>
              </w:rPr>
            </w:pPr>
            <w:r>
              <w:rPr>
                <w:rFonts w:cs="Arial"/>
                <w:color w:val="000000"/>
                <w:szCs w:val="20"/>
              </w:rPr>
              <w:t>Loader, excavator, backhoe or dozer</w:t>
            </w:r>
          </w:p>
        </w:tc>
        <w:tc>
          <w:tcPr>
            <w:tcW w:w="895" w:type="dxa"/>
            <w:noWrap/>
            <w:hideMark/>
          </w:tcPr>
          <w:p w:rsidR="000900B4" w:rsidRDefault="000900B4" w:rsidP="000900B4">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11.8%</w:t>
            </w:r>
          </w:p>
        </w:tc>
        <w:tc>
          <w:tcPr>
            <w:tcW w:w="895" w:type="dxa"/>
            <w:noWrap/>
            <w:hideMark/>
          </w:tcPr>
          <w:p w:rsidR="000900B4" w:rsidRDefault="000900B4" w:rsidP="000900B4">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0.0%</w:t>
            </w:r>
          </w:p>
        </w:tc>
        <w:tc>
          <w:tcPr>
            <w:tcW w:w="895" w:type="dxa"/>
            <w:noWrap/>
            <w:hideMark/>
          </w:tcPr>
          <w:p w:rsidR="000900B4" w:rsidRDefault="000900B4" w:rsidP="000900B4">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0.0%</w:t>
            </w:r>
          </w:p>
        </w:tc>
        <w:tc>
          <w:tcPr>
            <w:tcW w:w="895" w:type="dxa"/>
            <w:noWrap/>
            <w:hideMark/>
          </w:tcPr>
          <w:p w:rsidR="000900B4" w:rsidRDefault="000900B4" w:rsidP="000900B4">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3.7%</w:t>
            </w:r>
          </w:p>
        </w:tc>
        <w:tc>
          <w:tcPr>
            <w:tcW w:w="895" w:type="dxa"/>
            <w:noWrap/>
            <w:hideMark/>
          </w:tcPr>
          <w:p w:rsidR="000900B4" w:rsidRDefault="000900B4" w:rsidP="000900B4">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2.9%</w:t>
            </w:r>
          </w:p>
        </w:tc>
        <w:tc>
          <w:tcPr>
            <w:tcW w:w="895" w:type="dxa"/>
            <w:noWrap/>
            <w:hideMark/>
          </w:tcPr>
          <w:p w:rsidR="000900B4" w:rsidRDefault="000900B4" w:rsidP="000900B4">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7.4%</w:t>
            </w:r>
          </w:p>
        </w:tc>
        <w:tc>
          <w:tcPr>
            <w:tcW w:w="1717" w:type="dxa"/>
            <w:noWrap/>
            <w:hideMark/>
          </w:tcPr>
          <w:p w:rsidR="000900B4" w:rsidRDefault="000900B4" w:rsidP="000900B4">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4.8%</w:t>
            </w:r>
          </w:p>
        </w:tc>
      </w:tr>
      <w:tr w:rsidR="000900B4" w:rsidRPr="0094112C" w:rsidTr="00C234F2">
        <w:trPr>
          <w:trHeight w:val="255"/>
        </w:trPr>
        <w:tc>
          <w:tcPr>
            <w:cnfStyle w:val="001000000000" w:firstRow="0" w:lastRow="0" w:firstColumn="1" w:lastColumn="0" w:oddVBand="0" w:evenVBand="0" w:oddHBand="0" w:evenHBand="0" w:firstRowFirstColumn="0" w:firstRowLastColumn="0" w:lastRowFirstColumn="0" w:lastRowLastColumn="0"/>
            <w:tcW w:w="2422" w:type="dxa"/>
            <w:noWrap/>
            <w:hideMark/>
          </w:tcPr>
          <w:p w:rsidR="000900B4" w:rsidRDefault="000900B4" w:rsidP="000900B4">
            <w:pPr>
              <w:rPr>
                <w:rFonts w:cs="Arial"/>
                <w:color w:val="000000"/>
                <w:szCs w:val="20"/>
              </w:rPr>
            </w:pPr>
            <w:r>
              <w:rPr>
                <w:rFonts w:cs="Arial"/>
                <w:color w:val="000000"/>
                <w:szCs w:val="20"/>
              </w:rPr>
              <w:t>Harvester</w:t>
            </w:r>
          </w:p>
        </w:tc>
        <w:tc>
          <w:tcPr>
            <w:tcW w:w="895" w:type="dxa"/>
            <w:noWrap/>
            <w:hideMark/>
          </w:tcPr>
          <w:p w:rsidR="000900B4" w:rsidRDefault="000900B4" w:rsidP="000900B4">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0.0%</w:t>
            </w:r>
          </w:p>
        </w:tc>
        <w:tc>
          <w:tcPr>
            <w:tcW w:w="895" w:type="dxa"/>
            <w:noWrap/>
            <w:hideMark/>
          </w:tcPr>
          <w:p w:rsidR="000900B4" w:rsidRDefault="000900B4" w:rsidP="000900B4">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0.0%</w:t>
            </w:r>
          </w:p>
        </w:tc>
        <w:tc>
          <w:tcPr>
            <w:tcW w:w="895" w:type="dxa"/>
            <w:noWrap/>
            <w:hideMark/>
          </w:tcPr>
          <w:p w:rsidR="000900B4" w:rsidRDefault="000900B4" w:rsidP="000900B4">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0.0%</w:t>
            </w:r>
          </w:p>
        </w:tc>
        <w:tc>
          <w:tcPr>
            <w:tcW w:w="895" w:type="dxa"/>
            <w:noWrap/>
            <w:hideMark/>
          </w:tcPr>
          <w:p w:rsidR="000900B4" w:rsidRDefault="000900B4" w:rsidP="000900B4">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3.7%</w:t>
            </w:r>
          </w:p>
        </w:tc>
        <w:tc>
          <w:tcPr>
            <w:tcW w:w="895" w:type="dxa"/>
            <w:noWrap/>
            <w:hideMark/>
          </w:tcPr>
          <w:p w:rsidR="000900B4" w:rsidRDefault="000900B4" w:rsidP="000900B4">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5.9%</w:t>
            </w:r>
          </w:p>
        </w:tc>
        <w:tc>
          <w:tcPr>
            <w:tcW w:w="895" w:type="dxa"/>
            <w:noWrap/>
            <w:hideMark/>
          </w:tcPr>
          <w:p w:rsidR="000900B4" w:rsidRDefault="000900B4" w:rsidP="000900B4">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1.9%</w:t>
            </w:r>
          </w:p>
        </w:tc>
        <w:tc>
          <w:tcPr>
            <w:tcW w:w="1717" w:type="dxa"/>
            <w:noWrap/>
            <w:hideMark/>
          </w:tcPr>
          <w:p w:rsidR="000900B4" w:rsidRDefault="000900B4" w:rsidP="000900B4">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2.4%</w:t>
            </w:r>
          </w:p>
        </w:tc>
      </w:tr>
      <w:tr w:rsidR="000900B4" w:rsidRPr="0094112C" w:rsidTr="00C234F2">
        <w:trPr>
          <w:trHeight w:val="255"/>
        </w:trPr>
        <w:tc>
          <w:tcPr>
            <w:cnfStyle w:val="001000000000" w:firstRow="0" w:lastRow="0" w:firstColumn="1" w:lastColumn="0" w:oddVBand="0" w:evenVBand="0" w:oddHBand="0" w:evenHBand="0" w:firstRowFirstColumn="0" w:firstRowLastColumn="0" w:lastRowFirstColumn="0" w:lastRowLastColumn="0"/>
            <w:tcW w:w="2422" w:type="dxa"/>
            <w:noWrap/>
            <w:hideMark/>
          </w:tcPr>
          <w:p w:rsidR="000900B4" w:rsidRDefault="000900B4" w:rsidP="000900B4">
            <w:pPr>
              <w:rPr>
                <w:rFonts w:cs="Arial"/>
                <w:color w:val="000000"/>
                <w:szCs w:val="20"/>
              </w:rPr>
            </w:pPr>
            <w:r>
              <w:rPr>
                <w:rFonts w:cs="Arial"/>
                <w:color w:val="000000"/>
                <w:szCs w:val="20"/>
              </w:rPr>
              <w:t>Forklift</w:t>
            </w:r>
          </w:p>
        </w:tc>
        <w:tc>
          <w:tcPr>
            <w:tcW w:w="895" w:type="dxa"/>
            <w:noWrap/>
            <w:hideMark/>
          </w:tcPr>
          <w:p w:rsidR="000900B4" w:rsidRDefault="000900B4" w:rsidP="000900B4">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11.8%</w:t>
            </w:r>
          </w:p>
        </w:tc>
        <w:tc>
          <w:tcPr>
            <w:tcW w:w="895" w:type="dxa"/>
            <w:noWrap/>
            <w:hideMark/>
          </w:tcPr>
          <w:p w:rsidR="000900B4" w:rsidRDefault="000900B4" w:rsidP="000900B4">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0.0%</w:t>
            </w:r>
          </w:p>
        </w:tc>
        <w:tc>
          <w:tcPr>
            <w:tcW w:w="895" w:type="dxa"/>
            <w:noWrap/>
            <w:hideMark/>
          </w:tcPr>
          <w:p w:rsidR="000900B4" w:rsidRDefault="000900B4" w:rsidP="000900B4">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5.0%</w:t>
            </w:r>
          </w:p>
        </w:tc>
        <w:tc>
          <w:tcPr>
            <w:tcW w:w="895" w:type="dxa"/>
            <w:noWrap/>
            <w:hideMark/>
          </w:tcPr>
          <w:p w:rsidR="000900B4" w:rsidRDefault="000900B4" w:rsidP="000900B4">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0.0%</w:t>
            </w:r>
          </w:p>
        </w:tc>
        <w:tc>
          <w:tcPr>
            <w:tcW w:w="895" w:type="dxa"/>
            <w:noWrap/>
            <w:hideMark/>
          </w:tcPr>
          <w:p w:rsidR="000900B4" w:rsidRDefault="000900B4" w:rsidP="000900B4">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2.9%</w:t>
            </w:r>
          </w:p>
        </w:tc>
        <w:tc>
          <w:tcPr>
            <w:tcW w:w="895" w:type="dxa"/>
            <w:noWrap/>
            <w:hideMark/>
          </w:tcPr>
          <w:p w:rsidR="000900B4" w:rsidRDefault="000900B4" w:rsidP="000900B4">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0.0%</w:t>
            </w:r>
          </w:p>
        </w:tc>
        <w:tc>
          <w:tcPr>
            <w:tcW w:w="1717" w:type="dxa"/>
            <w:noWrap/>
            <w:hideMark/>
          </w:tcPr>
          <w:p w:rsidR="000900B4" w:rsidRDefault="000900B4" w:rsidP="000900B4">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2.4%</w:t>
            </w:r>
          </w:p>
        </w:tc>
      </w:tr>
      <w:tr w:rsidR="000900B4" w:rsidRPr="0094112C" w:rsidTr="00C234F2">
        <w:trPr>
          <w:trHeight w:val="255"/>
        </w:trPr>
        <w:tc>
          <w:tcPr>
            <w:cnfStyle w:val="001000000000" w:firstRow="0" w:lastRow="0" w:firstColumn="1" w:lastColumn="0" w:oddVBand="0" w:evenVBand="0" w:oddHBand="0" w:evenHBand="0" w:firstRowFirstColumn="0" w:firstRowLastColumn="0" w:lastRowFirstColumn="0" w:lastRowLastColumn="0"/>
            <w:tcW w:w="2422" w:type="dxa"/>
            <w:noWrap/>
          </w:tcPr>
          <w:p w:rsidR="000900B4" w:rsidRDefault="000900B4" w:rsidP="000900B4">
            <w:pPr>
              <w:rPr>
                <w:rFonts w:cs="Arial"/>
                <w:color w:val="000000"/>
                <w:szCs w:val="20"/>
              </w:rPr>
            </w:pPr>
            <w:r>
              <w:rPr>
                <w:rFonts w:cs="Arial"/>
                <w:color w:val="000000"/>
                <w:szCs w:val="20"/>
              </w:rPr>
              <w:t>Motorbike</w:t>
            </w:r>
          </w:p>
        </w:tc>
        <w:tc>
          <w:tcPr>
            <w:tcW w:w="895" w:type="dxa"/>
            <w:noWrap/>
          </w:tcPr>
          <w:p w:rsidR="000900B4" w:rsidRDefault="000900B4" w:rsidP="000900B4">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11.8%</w:t>
            </w:r>
          </w:p>
        </w:tc>
        <w:tc>
          <w:tcPr>
            <w:tcW w:w="895" w:type="dxa"/>
            <w:noWrap/>
          </w:tcPr>
          <w:p w:rsidR="000900B4" w:rsidRDefault="000900B4" w:rsidP="000900B4">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0.0%</w:t>
            </w:r>
          </w:p>
        </w:tc>
        <w:tc>
          <w:tcPr>
            <w:tcW w:w="895" w:type="dxa"/>
            <w:noWrap/>
          </w:tcPr>
          <w:p w:rsidR="000900B4" w:rsidRDefault="000900B4" w:rsidP="000900B4">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0.0%</w:t>
            </w:r>
          </w:p>
        </w:tc>
        <w:tc>
          <w:tcPr>
            <w:tcW w:w="895" w:type="dxa"/>
            <w:noWrap/>
          </w:tcPr>
          <w:p w:rsidR="000900B4" w:rsidRDefault="000900B4" w:rsidP="000900B4">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0.0%</w:t>
            </w:r>
          </w:p>
        </w:tc>
        <w:tc>
          <w:tcPr>
            <w:tcW w:w="895" w:type="dxa"/>
            <w:noWrap/>
          </w:tcPr>
          <w:p w:rsidR="000900B4" w:rsidRDefault="000900B4" w:rsidP="000900B4">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0.0%</w:t>
            </w:r>
          </w:p>
        </w:tc>
        <w:tc>
          <w:tcPr>
            <w:tcW w:w="895" w:type="dxa"/>
            <w:noWrap/>
          </w:tcPr>
          <w:p w:rsidR="000900B4" w:rsidRDefault="000900B4" w:rsidP="000900B4">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0.0%</w:t>
            </w:r>
          </w:p>
        </w:tc>
        <w:tc>
          <w:tcPr>
            <w:tcW w:w="1717" w:type="dxa"/>
            <w:noWrap/>
          </w:tcPr>
          <w:p w:rsidR="000900B4" w:rsidRDefault="000900B4" w:rsidP="000900B4">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1.2%</w:t>
            </w:r>
          </w:p>
        </w:tc>
      </w:tr>
      <w:tr w:rsidR="000900B4" w:rsidRPr="0094112C" w:rsidTr="00C234F2">
        <w:trPr>
          <w:trHeight w:val="255"/>
        </w:trPr>
        <w:tc>
          <w:tcPr>
            <w:cnfStyle w:val="001000000000" w:firstRow="0" w:lastRow="0" w:firstColumn="1" w:lastColumn="0" w:oddVBand="0" w:evenVBand="0" w:oddHBand="0" w:evenHBand="0" w:firstRowFirstColumn="0" w:firstRowLastColumn="0" w:lastRowFirstColumn="0" w:lastRowLastColumn="0"/>
            <w:tcW w:w="2422" w:type="dxa"/>
            <w:noWrap/>
            <w:hideMark/>
          </w:tcPr>
          <w:p w:rsidR="000900B4" w:rsidRDefault="000900B4" w:rsidP="000900B4">
            <w:pPr>
              <w:rPr>
                <w:rFonts w:cs="Arial"/>
                <w:color w:val="000000"/>
                <w:szCs w:val="20"/>
              </w:rPr>
            </w:pPr>
            <w:r>
              <w:rPr>
                <w:rFonts w:cs="Arial"/>
                <w:color w:val="000000"/>
                <w:szCs w:val="20"/>
              </w:rPr>
              <w:t>Other</w:t>
            </w:r>
          </w:p>
        </w:tc>
        <w:tc>
          <w:tcPr>
            <w:tcW w:w="895" w:type="dxa"/>
            <w:noWrap/>
            <w:hideMark/>
          </w:tcPr>
          <w:p w:rsidR="000900B4" w:rsidRDefault="000900B4" w:rsidP="000900B4">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0.0%</w:t>
            </w:r>
          </w:p>
        </w:tc>
        <w:tc>
          <w:tcPr>
            <w:tcW w:w="895" w:type="dxa"/>
            <w:noWrap/>
            <w:hideMark/>
          </w:tcPr>
          <w:p w:rsidR="000900B4" w:rsidRDefault="000900B4" w:rsidP="000900B4">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7.1%</w:t>
            </w:r>
          </w:p>
        </w:tc>
        <w:tc>
          <w:tcPr>
            <w:tcW w:w="895" w:type="dxa"/>
            <w:noWrap/>
            <w:hideMark/>
          </w:tcPr>
          <w:p w:rsidR="000900B4" w:rsidRDefault="000900B4" w:rsidP="000900B4">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0.0%</w:t>
            </w:r>
          </w:p>
        </w:tc>
        <w:tc>
          <w:tcPr>
            <w:tcW w:w="895" w:type="dxa"/>
            <w:noWrap/>
            <w:hideMark/>
          </w:tcPr>
          <w:p w:rsidR="000900B4" w:rsidRDefault="000900B4" w:rsidP="000900B4">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3.7%</w:t>
            </w:r>
          </w:p>
        </w:tc>
        <w:tc>
          <w:tcPr>
            <w:tcW w:w="895" w:type="dxa"/>
            <w:noWrap/>
            <w:hideMark/>
          </w:tcPr>
          <w:p w:rsidR="000900B4" w:rsidRDefault="000900B4" w:rsidP="000900B4">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0.0%</w:t>
            </w:r>
          </w:p>
        </w:tc>
        <w:tc>
          <w:tcPr>
            <w:tcW w:w="895" w:type="dxa"/>
            <w:noWrap/>
            <w:hideMark/>
          </w:tcPr>
          <w:p w:rsidR="000900B4" w:rsidRDefault="000900B4" w:rsidP="000900B4">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1.9%</w:t>
            </w:r>
          </w:p>
        </w:tc>
        <w:tc>
          <w:tcPr>
            <w:tcW w:w="1717" w:type="dxa"/>
            <w:noWrap/>
            <w:hideMark/>
          </w:tcPr>
          <w:p w:rsidR="000900B4" w:rsidRDefault="000900B4" w:rsidP="000900B4">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1.8%</w:t>
            </w:r>
          </w:p>
        </w:tc>
      </w:tr>
      <w:tr w:rsidR="000900B4" w:rsidRPr="0094112C" w:rsidTr="00C234F2">
        <w:trPr>
          <w:trHeight w:val="255"/>
        </w:trPr>
        <w:tc>
          <w:tcPr>
            <w:cnfStyle w:val="001000000000" w:firstRow="0" w:lastRow="0" w:firstColumn="1" w:lastColumn="0" w:oddVBand="0" w:evenVBand="0" w:oddHBand="0" w:evenHBand="0" w:firstRowFirstColumn="0" w:firstRowLastColumn="0" w:lastRowFirstColumn="0" w:lastRowLastColumn="0"/>
            <w:tcW w:w="2422" w:type="dxa"/>
            <w:noWrap/>
            <w:hideMark/>
          </w:tcPr>
          <w:p w:rsidR="000900B4" w:rsidRDefault="000900B4" w:rsidP="000900B4">
            <w:pPr>
              <w:rPr>
                <w:rFonts w:cs="Arial"/>
                <w:b/>
                <w:bCs/>
                <w:color w:val="000000"/>
                <w:szCs w:val="20"/>
              </w:rPr>
            </w:pPr>
            <w:r>
              <w:rPr>
                <w:rFonts w:cs="Arial"/>
                <w:b/>
                <w:bCs/>
                <w:color w:val="000000"/>
                <w:szCs w:val="20"/>
              </w:rPr>
              <w:t>Total</w:t>
            </w:r>
          </w:p>
        </w:tc>
        <w:tc>
          <w:tcPr>
            <w:tcW w:w="895" w:type="dxa"/>
            <w:noWrap/>
            <w:hideMark/>
          </w:tcPr>
          <w:p w:rsidR="000900B4" w:rsidRDefault="000900B4" w:rsidP="000900B4">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100.0%</w:t>
            </w:r>
          </w:p>
        </w:tc>
        <w:tc>
          <w:tcPr>
            <w:tcW w:w="895" w:type="dxa"/>
            <w:noWrap/>
            <w:hideMark/>
          </w:tcPr>
          <w:p w:rsidR="000900B4" w:rsidRDefault="000900B4" w:rsidP="000900B4">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100.0%</w:t>
            </w:r>
          </w:p>
        </w:tc>
        <w:tc>
          <w:tcPr>
            <w:tcW w:w="895" w:type="dxa"/>
            <w:noWrap/>
            <w:hideMark/>
          </w:tcPr>
          <w:p w:rsidR="000900B4" w:rsidRDefault="000900B4" w:rsidP="000900B4">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100.0%</w:t>
            </w:r>
          </w:p>
        </w:tc>
        <w:tc>
          <w:tcPr>
            <w:tcW w:w="895" w:type="dxa"/>
            <w:noWrap/>
            <w:hideMark/>
          </w:tcPr>
          <w:p w:rsidR="000900B4" w:rsidRDefault="000900B4" w:rsidP="000900B4">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100.0%</w:t>
            </w:r>
          </w:p>
        </w:tc>
        <w:tc>
          <w:tcPr>
            <w:tcW w:w="895" w:type="dxa"/>
            <w:noWrap/>
            <w:hideMark/>
          </w:tcPr>
          <w:p w:rsidR="000900B4" w:rsidRDefault="000900B4" w:rsidP="000900B4">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100.0%</w:t>
            </w:r>
          </w:p>
        </w:tc>
        <w:tc>
          <w:tcPr>
            <w:tcW w:w="895" w:type="dxa"/>
            <w:noWrap/>
            <w:hideMark/>
          </w:tcPr>
          <w:p w:rsidR="000900B4" w:rsidRDefault="000900B4" w:rsidP="000900B4">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100.0%</w:t>
            </w:r>
          </w:p>
        </w:tc>
        <w:tc>
          <w:tcPr>
            <w:tcW w:w="1717" w:type="dxa"/>
            <w:noWrap/>
            <w:hideMark/>
          </w:tcPr>
          <w:p w:rsidR="000900B4" w:rsidRDefault="000900B4" w:rsidP="000900B4">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100.0%</w:t>
            </w:r>
          </w:p>
        </w:tc>
      </w:tr>
    </w:tbl>
    <w:p w:rsidR="0075723F" w:rsidRPr="005E6422" w:rsidRDefault="00C234F2" w:rsidP="0075723F">
      <w:pPr>
        <w:pStyle w:val="Footnote"/>
      </w:pPr>
      <w:r w:rsidRPr="00C234F2">
        <w:t>The sum of percentages may not equal 100% due to rounding.</w:t>
      </w:r>
      <w:r>
        <w:br/>
      </w:r>
      <w:r w:rsidR="0075723F" w:rsidRPr="005E6422">
        <w:t>Source: Traumatic Injury Fatalities database.</w:t>
      </w:r>
    </w:p>
    <w:p w:rsidR="0075723F" w:rsidRDefault="0075723F" w:rsidP="0075723F">
      <w:pPr>
        <w:pStyle w:val="Heading2"/>
      </w:pPr>
      <w:bookmarkStart w:id="36" w:name="_Toc459720371"/>
      <w:r>
        <w:t>Activities associated with vehicle fatalities</w:t>
      </w:r>
      <w:bookmarkEnd w:id="36"/>
    </w:p>
    <w:p w:rsidR="00FA1D73" w:rsidRDefault="005A7FC4" w:rsidP="0075723F">
      <w:r>
        <w:t xml:space="preserve">Twenty-nine </w:t>
      </w:r>
      <w:r w:rsidR="001A7C10">
        <w:t>per cent</w:t>
      </w:r>
      <w:r w:rsidR="00FA1D73">
        <w:t xml:space="preserve"> of vehicle fatalities occurred while workers were driving on a farm</w:t>
      </w:r>
      <w:r w:rsidR="007E0E08">
        <w:t xml:space="preserve"> and the majority </w:t>
      </w:r>
      <w:r>
        <w:t>(79</w:t>
      </w:r>
      <w:r w:rsidR="00722658">
        <w:t> </w:t>
      </w:r>
      <w:r w:rsidR="007E0E08">
        <w:t xml:space="preserve">per cent) </w:t>
      </w:r>
      <w:r w:rsidR="003D0A9B">
        <w:t xml:space="preserve">were driving </w:t>
      </w:r>
      <w:r w:rsidR="007E0E08">
        <w:t>tractors or quad bikes</w:t>
      </w:r>
      <w:r w:rsidR="00FA1D73">
        <w:t xml:space="preserve">. </w:t>
      </w:r>
      <w:r w:rsidR="007E0E08">
        <w:t xml:space="preserve">These workers were undertaking </w:t>
      </w:r>
      <w:r w:rsidR="00070B12">
        <w:t xml:space="preserve">general </w:t>
      </w:r>
      <w:r w:rsidR="008F2905">
        <w:t>farm-related duties</w:t>
      </w:r>
      <w:r w:rsidR="007E0E08">
        <w:t>.</w:t>
      </w:r>
    </w:p>
    <w:p w:rsidR="0075723F" w:rsidRDefault="005A7FC4" w:rsidP="0075723F">
      <w:r>
        <w:t xml:space="preserve">Fourteen </w:t>
      </w:r>
      <w:r w:rsidR="0075723F">
        <w:t xml:space="preserve">per cent of vehicle fatalities were associated with mustering and most </w:t>
      </w:r>
      <w:r w:rsidR="00677DA8">
        <w:t xml:space="preserve">cases </w:t>
      </w:r>
      <w:r w:rsidR="001902B4">
        <w:t>(</w:t>
      </w:r>
      <w:r>
        <w:t>88</w:t>
      </w:r>
      <w:r w:rsidR="001902B4">
        <w:t xml:space="preserve"> per cent) </w:t>
      </w:r>
      <w:r w:rsidR="008A527C">
        <w:t xml:space="preserve">involved </w:t>
      </w:r>
      <w:r w:rsidR="0075723F">
        <w:t xml:space="preserve">aircraft or quad bikes. </w:t>
      </w:r>
      <w:r>
        <w:t xml:space="preserve">Fourteen </w:t>
      </w:r>
      <w:r w:rsidR="0075723F">
        <w:t xml:space="preserve">per cent of vehicle fatalities took place while workers were loading or unloading vehicles. Around one in 10 (11 per cent) vehicle fatalities occurred during the repair or maintenance of a vehicle. </w:t>
      </w:r>
      <w:r>
        <w:t xml:space="preserve">Eight </w:t>
      </w:r>
      <w:r w:rsidR="0075723F">
        <w:t xml:space="preserve">per cent of vehicle fatalities occurred </w:t>
      </w:r>
      <w:r w:rsidR="00DB7BDD">
        <w:t>while workers were driving on a public road</w:t>
      </w:r>
      <w:r w:rsidR="0075723F">
        <w:t>.</w:t>
      </w:r>
      <w:r w:rsidR="00DB7BDD">
        <w:t xml:space="preserve"> Crop dusting or weed spraying accounted for </w:t>
      </w:r>
      <w:r w:rsidR="004A39AC">
        <w:t>7</w:t>
      </w:r>
      <w:r w:rsidR="00DB7BDD">
        <w:t xml:space="preserve"> per cent of vehicle fatalities and all cases involved aircraft or quad bikes.</w:t>
      </w:r>
    </w:p>
    <w:p w:rsidR="0075723F" w:rsidRDefault="0075723F" w:rsidP="0075723F">
      <w:pPr>
        <w:pStyle w:val="Heading4"/>
      </w:pPr>
      <w:r>
        <w:t xml:space="preserve">Table </w:t>
      </w:r>
      <w:fldSimple w:instr=" SEQ Table \* ARABIC ">
        <w:r w:rsidR="001A7C10">
          <w:rPr>
            <w:noProof/>
          </w:rPr>
          <w:t>7</w:t>
        </w:r>
      </w:fldSimple>
      <w:r>
        <w:t xml:space="preserve">: </w:t>
      </w:r>
      <w:r w:rsidRPr="005E6422">
        <w:t xml:space="preserve">Number and percentage of </w:t>
      </w:r>
      <w:r w:rsidR="00E56427">
        <w:t>vehicle</w:t>
      </w:r>
      <w:r w:rsidRPr="005E6422">
        <w:t xml:space="preserve"> fatalities for the </w:t>
      </w:r>
      <w:r>
        <w:t>agricultural</w:t>
      </w:r>
      <w:r w:rsidRPr="005E6422">
        <w:t xml:space="preserve"> industry by </w:t>
      </w:r>
      <w:r>
        <w:t xml:space="preserve">vehicle-related activity and </w:t>
      </w:r>
      <w:r w:rsidR="00C234F2">
        <w:t xml:space="preserve">selected </w:t>
      </w:r>
      <w:r>
        <w:t>type</w:t>
      </w:r>
      <w:r w:rsidR="00C234F2">
        <w:t>s</w:t>
      </w:r>
      <w:r>
        <w:t xml:space="preserve"> of vehicle</w:t>
      </w:r>
      <w:r w:rsidR="00C234F2">
        <w:t>s</w:t>
      </w:r>
      <w:r>
        <w:t>, 2010</w:t>
      </w:r>
      <w:r w:rsidRPr="005E6422">
        <w:t xml:space="preserve"> to 2014</w:t>
      </w:r>
      <w:r>
        <w:t xml:space="preserve"> combined</w:t>
      </w:r>
    </w:p>
    <w:tbl>
      <w:tblPr>
        <w:tblStyle w:val="TableGrid"/>
        <w:tblW w:w="7842" w:type="dxa"/>
        <w:tblInd w:w="108" w:type="dxa"/>
        <w:tblLook w:val="04A0" w:firstRow="1" w:lastRow="0" w:firstColumn="1" w:lastColumn="0" w:noHBand="0" w:noVBand="1"/>
        <w:tblCaption w:val="Table 7"/>
      </w:tblPr>
      <w:tblGrid>
        <w:gridCol w:w="3785"/>
        <w:gridCol w:w="1867"/>
        <w:gridCol w:w="2190"/>
      </w:tblGrid>
      <w:tr w:rsidR="00DB7BDD" w:rsidRPr="00DB7BDD" w:rsidTr="007A7F7B">
        <w:trPr>
          <w:trHeight w:val="501"/>
          <w:tblHeader/>
        </w:trPr>
        <w:tc>
          <w:tcPr>
            <w:cnfStyle w:val="001000000000" w:firstRow="0" w:lastRow="0" w:firstColumn="1" w:lastColumn="0" w:oddVBand="0" w:evenVBand="0" w:oddHBand="0" w:evenHBand="0" w:firstRowFirstColumn="0" w:firstRowLastColumn="0" w:lastRowFirstColumn="0" w:lastRowLastColumn="0"/>
            <w:tcW w:w="3785" w:type="dxa"/>
            <w:noWrap/>
            <w:hideMark/>
          </w:tcPr>
          <w:p w:rsidR="00DB7BDD" w:rsidRPr="00DB7BDD" w:rsidRDefault="00DB7BDD" w:rsidP="003A5C20">
            <w:pPr>
              <w:rPr>
                <w:rFonts w:eastAsia="Times New Roman"/>
                <w:b/>
                <w:bCs/>
                <w:color w:val="000000"/>
                <w:szCs w:val="20"/>
              </w:rPr>
            </w:pPr>
            <w:r w:rsidRPr="00DB7BDD">
              <w:rPr>
                <w:rFonts w:eastAsia="Times New Roman"/>
                <w:b/>
                <w:bCs/>
                <w:color w:val="000000"/>
                <w:szCs w:val="20"/>
              </w:rPr>
              <w:t>Vehicle-related activity</w:t>
            </w:r>
          </w:p>
          <w:p w:rsidR="00DB7BDD" w:rsidRPr="00DB7BDD" w:rsidRDefault="00DB7BDD" w:rsidP="003A5C20">
            <w:pPr>
              <w:ind w:firstLineChars="100" w:firstLine="200"/>
              <w:rPr>
                <w:rFonts w:eastAsia="Times New Roman"/>
                <w:bCs/>
                <w:color w:val="000000"/>
                <w:szCs w:val="20"/>
              </w:rPr>
            </w:pPr>
            <w:r w:rsidRPr="00DB7BDD">
              <w:rPr>
                <w:rFonts w:eastAsia="Times New Roman"/>
                <w:bCs/>
                <w:color w:val="000000"/>
                <w:szCs w:val="20"/>
              </w:rPr>
              <w:t>Type of vehicle</w:t>
            </w:r>
          </w:p>
        </w:tc>
        <w:tc>
          <w:tcPr>
            <w:tcW w:w="1867" w:type="dxa"/>
            <w:noWrap/>
            <w:hideMark/>
          </w:tcPr>
          <w:p w:rsidR="00DB7BDD" w:rsidRPr="00DB7BDD" w:rsidRDefault="00DB7BDD" w:rsidP="003A5C20">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B7BDD">
              <w:rPr>
                <w:rFonts w:eastAsia="Times New Roman"/>
                <w:b/>
                <w:bCs/>
                <w:color w:val="000000"/>
                <w:szCs w:val="20"/>
              </w:rPr>
              <w:t>Number of fatalities</w:t>
            </w:r>
          </w:p>
        </w:tc>
        <w:tc>
          <w:tcPr>
            <w:tcW w:w="2190" w:type="dxa"/>
            <w:noWrap/>
            <w:hideMark/>
          </w:tcPr>
          <w:p w:rsidR="00DB7BDD" w:rsidRPr="00DB7BDD" w:rsidRDefault="00DB7BDD" w:rsidP="003A5C20">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B7BDD">
              <w:rPr>
                <w:rFonts w:eastAsia="Times New Roman"/>
                <w:b/>
                <w:bCs/>
                <w:color w:val="000000"/>
                <w:szCs w:val="20"/>
              </w:rPr>
              <w:t>Percentage of fatalities</w:t>
            </w:r>
          </w:p>
        </w:tc>
      </w:tr>
      <w:tr w:rsidR="003A5C20" w:rsidRPr="00DB7BDD" w:rsidTr="003A5C20">
        <w:trPr>
          <w:trHeight w:val="255"/>
        </w:trPr>
        <w:tc>
          <w:tcPr>
            <w:cnfStyle w:val="001000000000" w:firstRow="0" w:lastRow="0" w:firstColumn="1" w:lastColumn="0" w:oddVBand="0" w:evenVBand="0" w:oddHBand="0" w:evenHBand="0" w:firstRowFirstColumn="0" w:firstRowLastColumn="0" w:lastRowFirstColumn="0" w:lastRowLastColumn="0"/>
            <w:tcW w:w="3785" w:type="dxa"/>
            <w:noWrap/>
            <w:hideMark/>
          </w:tcPr>
          <w:p w:rsidR="003A5C20" w:rsidRDefault="003A5C20" w:rsidP="003A5C20">
            <w:pPr>
              <w:rPr>
                <w:rFonts w:cs="Arial"/>
                <w:b/>
                <w:bCs/>
                <w:color w:val="000000"/>
                <w:szCs w:val="20"/>
              </w:rPr>
            </w:pPr>
            <w:r>
              <w:rPr>
                <w:rFonts w:cs="Arial"/>
                <w:b/>
                <w:bCs/>
                <w:color w:val="000000"/>
                <w:szCs w:val="20"/>
              </w:rPr>
              <w:t>Driving on a farm</w:t>
            </w:r>
          </w:p>
        </w:tc>
        <w:tc>
          <w:tcPr>
            <w:tcW w:w="1867"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48</w:t>
            </w:r>
          </w:p>
        </w:tc>
        <w:tc>
          <w:tcPr>
            <w:tcW w:w="2190"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28.6%</w:t>
            </w:r>
          </w:p>
        </w:tc>
      </w:tr>
      <w:tr w:rsidR="003A5C20" w:rsidRPr="00DB7BDD" w:rsidTr="003A5C20">
        <w:trPr>
          <w:trHeight w:val="255"/>
        </w:trPr>
        <w:tc>
          <w:tcPr>
            <w:cnfStyle w:val="001000000000" w:firstRow="0" w:lastRow="0" w:firstColumn="1" w:lastColumn="0" w:oddVBand="0" w:evenVBand="0" w:oddHBand="0" w:evenHBand="0" w:firstRowFirstColumn="0" w:firstRowLastColumn="0" w:lastRowFirstColumn="0" w:lastRowLastColumn="0"/>
            <w:tcW w:w="3785" w:type="dxa"/>
            <w:noWrap/>
            <w:hideMark/>
          </w:tcPr>
          <w:p w:rsidR="003A5C20" w:rsidRDefault="001158C7" w:rsidP="003A5C20">
            <w:pPr>
              <w:ind w:firstLineChars="100" w:firstLine="200"/>
              <w:rPr>
                <w:rFonts w:cs="Arial"/>
                <w:color w:val="000000"/>
                <w:szCs w:val="20"/>
              </w:rPr>
            </w:pPr>
            <w:r>
              <w:rPr>
                <w:rFonts w:cs="Arial"/>
                <w:color w:val="000000"/>
                <w:szCs w:val="20"/>
              </w:rPr>
              <w:t>Tractor</w:t>
            </w:r>
          </w:p>
        </w:tc>
        <w:tc>
          <w:tcPr>
            <w:tcW w:w="1867"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19</w:t>
            </w:r>
          </w:p>
        </w:tc>
        <w:tc>
          <w:tcPr>
            <w:tcW w:w="2190"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39.6%</w:t>
            </w:r>
          </w:p>
        </w:tc>
      </w:tr>
      <w:tr w:rsidR="003A5C20" w:rsidRPr="00DB7BDD" w:rsidTr="003A5C20">
        <w:trPr>
          <w:trHeight w:val="255"/>
        </w:trPr>
        <w:tc>
          <w:tcPr>
            <w:cnfStyle w:val="001000000000" w:firstRow="0" w:lastRow="0" w:firstColumn="1" w:lastColumn="0" w:oddVBand="0" w:evenVBand="0" w:oddHBand="0" w:evenHBand="0" w:firstRowFirstColumn="0" w:firstRowLastColumn="0" w:lastRowFirstColumn="0" w:lastRowLastColumn="0"/>
            <w:tcW w:w="3785" w:type="dxa"/>
            <w:noWrap/>
            <w:hideMark/>
          </w:tcPr>
          <w:p w:rsidR="003A5C20" w:rsidRDefault="003A5C20" w:rsidP="003A5C20">
            <w:pPr>
              <w:ind w:firstLineChars="100" w:firstLine="200"/>
              <w:rPr>
                <w:rFonts w:cs="Arial"/>
                <w:color w:val="000000"/>
                <w:szCs w:val="20"/>
              </w:rPr>
            </w:pPr>
            <w:r>
              <w:rPr>
                <w:rFonts w:cs="Arial"/>
                <w:color w:val="000000"/>
                <w:szCs w:val="20"/>
              </w:rPr>
              <w:t>Quad bike</w:t>
            </w:r>
          </w:p>
        </w:tc>
        <w:tc>
          <w:tcPr>
            <w:tcW w:w="1867"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19</w:t>
            </w:r>
          </w:p>
        </w:tc>
        <w:tc>
          <w:tcPr>
            <w:tcW w:w="2190"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39.6%</w:t>
            </w:r>
          </w:p>
        </w:tc>
      </w:tr>
      <w:tr w:rsidR="003A5C20" w:rsidRPr="00DB7BDD" w:rsidTr="003A5C20">
        <w:trPr>
          <w:trHeight w:val="255"/>
        </w:trPr>
        <w:tc>
          <w:tcPr>
            <w:cnfStyle w:val="001000000000" w:firstRow="0" w:lastRow="0" w:firstColumn="1" w:lastColumn="0" w:oddVBand="0" w:evenVBand="0" w:oddHBand="0" w:evenHBand="0" w:firstRowFirstColumn="0" w:firstRowLastColumn="0" w:lastRowFirstColumn="0" w:lastRowLastColumn="0"/>
            <w:tcW w:w="3785" w:type="dxa"/>
            <w:noWrap/>
            <w:hideMark/>
          </w:tcPr>
          <w:p w:rsidR="003A5C20" w:rsidRDefault="003A5C20" w:rsidP="003A5C20">
            <w:pPr>
              <w:ind w:firstLineChars="100" w:firstLine="200"/>
              <w:rPr>
                <w:rFonts w:cs="Arial"/>
                <w:color w:val="000000"/>
                <w:szCs w:val="20"/>
              </w:rPr>
            </w:pPr>
            <w:r>
              <w:rPr>
                <w:rFonts w:cs="Arial"/>
                <w:color w:val="000000"/>
                <w:szCs w:val="20"/>
              </w:rPr>
              <w:t>Car or ute</w:t>
            </w:r>
          </w:p>
        </w:tc>
        <w:tc>
          <w:tcPr>
            <w:tcW w:w="1867"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6</w:t>
            </w:r>
          </w:p>
        </w:tc>
        <w:tc>
          <w:tcPr>
            <w:tcW w:w="2190"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12.5%</w:t>
            </w:r>
          </w:p>
        </w:tc>
      </w:tr>
      <w:tr w:rsidR="003A5C20" w:rsidRPr="00DB7BDD" w:rsidTr="003A5C20">
        <w:trPr>
          <w:trHeight w:val="255"/>
        </w:trPr>
        <w:tc>
          <w:tcPr>
            <w:cnfStyle w:val="001000000000" w:firstRow="0" w:lastRow="0" w:firstColumn="1" w:lastColumn="0" w:oddVBand="0" w:evenVBand="0" w:oddHBand="0" w:evenHBand="0" w:firstRowFirstColumn="0" w:firstRowLastColumn="0" w:lastRowFirstColumn="0" w:lastRowLastColumn="0"/>
            <w:tcW w:w="3785" w:type="dxa"/>
            <w:noWrap/>
            <w:hideMark/>
          </w:tcPr>
          <w:p w:rsidR="003A5C20" w:rsidRDefault="003A5C20" w:rsidP="003A5C20">
            <w:pPr>
              <w:ind w:firstLineChars="100" w:firstLine="200"/>
              <w:rPr>
                <w:rFonts w:cs="Arial"/>
                <w:color w:val="000000"/>
                <w:szCs w:val="20"/>
              </w:rPr>
            </w:pPr>
            <w:r>
              <w:rPr>
                <w:rFonts w:cs="Arial"/>
                <w:color w:val="000000"/>
                <w:szCs w:val="20"/>
              </w:rPr>
              <w:t>Loader, excavator, backhoe or dozer</w:t>
            </w:r>
          </w:p>
        </w:tc>
        <w:tc>
          <w:tcPr>
            <w:tcW w:w="1867"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2</w:t>
            </w:r>
          </w:p>
        </w:tc>
        <w:tc>
          <w:tcPr>
            <w:tcW w:w="2190"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4.2%</w:t>
            </w:r>
          </w:p>
        </w:tc>
      </w:tr>
      <w:tr w:rsidR="003A5C20" w:rsidRPr="00DB7BDD" w:rsidTr="003A5C20">
        <w:trPr>
          <w:trHeight w:val="255"/>
        </w:trPr>
        <w:tc>
          <w:tcPr>
            <w:cnfStyle w:val="001000000000" w:firstRow="0" w:lastRow="0" w:firstColumn="1" w:lastColumn="0" w:oddVBand="0" w:evenVBand="0" w:oddHBand="0" w:evenHBand="0" w:firstRowFirstColumn="0" w:firstRowLastColumn="0" w:lastRowFirstColumn="0" w:lastRowLastColumn="0"/>
            <w:tcW w:w="3785" w:type="dxa"/>
            <w:noWrap/>
            <w:hideMark/>
          </w:tcPr>
          <w:p w:rsidR="003A5C20" w:rsidRDefault="003A5C20" w:rsidP="003A5C20">
            <w:pPr>
              <w:rPr>
                <w:rFonts w:cs="Arial"/>
                <w:b/>
                <w:bCs/>
                <w:color w:val="000000"/>
                <w:szCs w:val="20"/>
              </w:rPr>
            </w:pPr>
            <w:r>
              <w:rPr>
                <w:rFonts w:cs="Arial"/>
                <w:b/>
                <w:bCs/>
                <w:color w:val="000000"/>
                <w:szCs w:val="20"/>
              </w:rPr>
              <w:t>Mustering</w:t>
            </w:r>
          </w:p>
        </w:tc>
        <w:tc>
          <w:tcPr>
            <w:tcW w:w="1867"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24</w:t>
            </w:r>
          </w:p>
        </w:tc>
        <w:tc>
          <w:tcPr>
            <w:tcW w:w="2190"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14.3%</w:t>
            </w:r>
          </w:p>
        </w:tc>
      </w:tr>
      <w:tr w:rsidR="003A5C20" w:rsidRPr="00DB7BDD" w:rsidTr="003A5C20">
        <w:trPr>
          <w:trHeight w:val="255"/>
        </w:trPr>
        <w:tc>
          <w:tcPr>
            <w:cnfStyle w:val="001000000000" w:firstRow="0" w:lastRow="0" w:firstColumn="1" w:lastColumn="0" w:oddVBand="0" w:evenVBand="0" w:oddHBand="0" w:evenHBand="0" w:firstRowFirstColumn="0" w:firstRowLastColumn="0" w:lastRowFirstColumn="0" w:lastRowLastColumn="0"/>
            <w:tcW w:w="3785" w:type="dxa"/>
            <w:noWrap/>
            <w:hideMark/>
          </w:tcPr>
          <w:p w:rsidR="003A5C20" w:rsidRDefault="003A5C20" w:rsidP="003A5C20">
            <w:pPr>
              <w:ind w:firstLineChars="100" w:firstLine="200"/>
              <w:rPr>
                <w:rFonts w:cs="Arial"/>
                <w:color w:val="000000"/>
                <w:szCs w:val="20"/>
              </w:rPr>
            </w:pPr>
            <w:r>
              <w:rPr>
                <w:rFonts w:cs="Arial"/>
                <w:color w:val="000000"/>
                <w:szCs w:val="20"/>
              </w:rPr>
              <w:t>Aircraft</w:t>
            </w:r>
          </w:p>
        </w:tc>
        <w:tc>
          <w:tcPr>
            <w:tcW w:w="1867"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14</w:t>
            </w:r>
          </w:p>
        </w:tc>
        <w:tc>
          <w:tcPr>
            <w:tcW w:w="2190"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58.3%</w:t>
            </w:r>
          </w:p>
        </w:tc>
      </w:tr>
      <w:tr w:rsidR="003A5C20" w:rsidRPr="00DB7BDD" w:rsidTr="003A5C20">
        <w:trPr>
          <w:trHeight w:val="255"/>
        </w:trPr>
        <w:tc>
          <w:tcPr>
            <w:cnfStyle w:val="001000000000" w:firstRow="0" w:lastRow="0" w:firstColumn="1" w:lastColumn="0" w:oddVBand="0" w:evenVBand="0" w:oddHBand="0" w:evenHBand="0" w:firstRowFirstColumn="0" w:firstRowLastColumn="0" w:lastRowFirstColumn="0" w:lastRowLastColumn="0"/>
            <w:tcW w:w="3785" w:type="dxa"/>
            <w:noWrap/>
            <w:hideMark/>
          </w:tcPr>
          <w:p w:rsidR="003A5C20" w:rsidRDefault="003A5C20" w:rsidP="003A5C20">
            <w:pPr>
              <w:ind w:firstLineChars="100" w:firstLine="200"/>
              <w:rPr>
                <w:rFonts w:cs="Arial"/>
                <w:color w:val="000000"/>
                <w:szCs w:val="20"/>
              </w:rPr>
            </w:pPr>
            <w:r>
              <w:rPr>
                <w:rFonts w:cs="Arial"/>
                <w:color w:val="000000"/>
                <w:szCs w:val="20"/>
              </w:rPr>
              <w:t>Quad bike</w:t>
            </w:r>
          </w:p>
        </w:tc>
        <w:tc>
          <w:tcPr>
            <w:tcW w:w="1867"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7</w:t>
            </w:r>
          </w:p>
        </w:tc>
        <w:tc>
          <w:tcPr>
            <w:tcW w:w="2190"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29.2%</w:t>
            </w:r>
          </w:p>
        </w:tc>
      </w:tr>
      <w:tr w:rsidR="003A5C20" w:rsidRPr="00DB7BDD" w:rsidTr="003A5C20">
        <w:trPr>
          <w:trHeight w:val="255"/>
        </w:trPr>
        <w:tc>
          <w:tcPr>
            <w:cnfStyle w:val="001000000000" w:firstRow="0" w:lastRow="0" w:firstColumn="1" w:lastColumn="0" w:oddVBand="0" w:evenVBand="0" w:oddHBand="0" w:evenHBand="0" w:firstRowFirstColumn="0" w:firstRowLastColumn="0" w:lastRowFirstColumn="0" w:lastRowLastColumn="0"/>
            <w:tcW w:w="3785" w:type="dxa"/>
            <w:noWrap/>
            <w:hideMark/>
          </w:tcPr>
          <w:p w:rsidR="003A5C20" w:rsidRDefault="003A5C20" w:rsidP="003A5C20">
            <w:pPr>
              <w:rPr>
                <w:rFonts w:cs="Arial"/>
                <w:b/>
                <w:bCs/>
                <w:color w:val="000000"/>
                <w:szCs w:val="20"/>
              </w:rPr>
            </w:pPr>
            <w:r>
              <w:rPr>
                <w:rFonts w:cs="Arial"/>
                <w:b/>
                <w:bCs/>
                <w:color w:val="000000"/>
                <w:szCs w:val="20"/>
              </w:rPr>
              <w:t>Loading or unloading</w:t>
            </w:r>
          </w:p>
        </w:tc>
        <w:tc>
          <w:tcPr>
            <w:tcW w:w="1867"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23</w:t>
            </w:r>
          </w:p>
        </w:tc>
        <w:tc>
          <w:tcPr>
            <w:tcW w:w="2190"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13.7%</w:t>
            </w:r>
          </w:p>
        </w:tc>
      </w:tr>
      <w:tr w:rsidR="003A5C20" w:rsidRPr="00DB7BDD" w:rsidTr="003A5C20">
        <w:trPr>
          <w:trHeight w:val="255"/>
        </w:trPr>
        <w:tc>
          <w:tcPr>
            <w:cnfStyle w:val="001000000000" w:firstRow="0" w:lastRow="0" w:firstColumn="1" w:lastColumn="0" w:oddVBand="0" w:evenVBand="0" w:oddHBand="0" w:evenHBand="0" w:firstRowFirstColumn="0" w:firstRowLastColumn="0" w:lastRowFirstColumn="0" w:lastRowLastColumn="0"/>
            <w:tcW w:w="3785" w:type="dxa"/>
            <w:noWrap/>
            <w:hideMark/>
          </w:tcPr>
          <w:p w:rsidR="003A5C20" w:rsidRDefault="001158C7" w:rsidP="003A5C20">
            <w:pPr>
              <w:ind w:firstLineChars="100" w:firstLine="200"/>
              <w:rPr>
                <w:rFonts w:cs="Arial"/>
                <w:color w:val="000000"/>
                <w:szCs w:val="20"/>
              </w:rPr>
            </w:pPr>
            <w:r>
              <w:rPr>
                <w:rFonts w:cs="Arial"/>
                <w:color w:val="000000"/>
                <w:szCs w:val="20"/>
              </w:rPr>
              <w:lastRenderedPageBreak/>
              <w:t>Tractor</w:t>
            </w:r>
          </w:p>
        </w:tc>
        <w:tc>
          <w:tcPr>
            <w:tcW w:w="1867"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10</w:t>
            </w:r>
          </w:p>
        </w:tc>
        <w:tc>
          <w:tcPr>
            <w:tcW w:w="2190"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43.5%</w:t>
            </w:r>
          </w:p>
        </w:tc>
      </w:tr>
      <w:tr w:rsidR="003A5C20" w:rsidRPr="00DB7BDD" w:rsidTr="003A5C20">
        <w:trPr>
          <w:trHeight w:val="255"/>
        </w:trPr>
        <w:tc>
          <w:tcPr>
            <w:cnfStyle w:val="001000000000" w:firstRow="0" w:lastRow="0" w:firstColumn="1" w:lastColumn="0" w:oddVBand="0" w:evenVBand="0" w:oddHBand="0" w:evenHBand="0" w:firstRowFirstColumn="0" w:firstRowLastColumn="0" w:lastRowFirstColumn="0" w:lastRowLastColumn="0"/>
            <w:tcW w:w="3785" w:type="dxa"/>
            <w:noWrap/>
            <w:hideMark/>
          </w:tcPr>
          <w:p w:rsidR="003A5C20" w:rsidRDefault="003A5C20" w:rsidP="003A5C20">
            <w:pPr>
              <w:ind w:firstLineChars="100" w:firstLine="200"/>
              <w:rPr>
                <w:rFonts w:cs="Arial"/>
                <w:color w:val="000000"/>
                <w:szCs w:val="20"/>
              </w:rPr>
            </w:pPr>
            <w:r>
              <w:rPr>
                <w:rFonts w:cs="Arial"/>
                <w:color w:val="000000"/>
                <w:szCs w:val="20"/>
              </w:rPr>
              <w:t>Truck</w:t>
            </w:r>
          </w:p>
        </w:tc>
        <w:tc>
          <w:tcPr>
            <w:tcW w:w="1867"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7</w:t>
            </w:r>
          </w:p>
        </w:tc>
        <w:tc>
          <w:tcPr>
            <w:tcW w:w="2190"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30.4%</w:t>
            </w:r>
          </w:p>
        </w:tc>
      </w:tr>
      <w:tr w:rsidR="003A5C20" w:rsidRPr="00DB7BDD" w:rsidTr="003A5C20">
        <w:trPr>
          <w:trHeight w:val="255"/>
        </w:trPr>
        <w:tc>
          <w:tcPr>
            <w:cnfStyle w:val="001000000000" w:firstRow="0" w:lastRow="0" w:firstColumn="1" w:lastColumn="0" w:oddVBand="0" w:evenVBand="0" w:oddHBand="0" w:evenHBand="0" w:firstRowFirstColumn="0" w:firstRowLastColumn="0" w:lastRowFirstColumn="0" w:lastRowLastColumn="0"/>
            <w:tcW w:w="3785" w:type="dxa"/>
            <w:noWrap/>
            <w:hideMark/>
          </w:tcPr>
          <w:p w:rsidR="003A5C20" w:rsidRDefault="003A5C20" w:rsidP="003A5C20">
            <w:pPr>
              <w:ind w:firstLineChars="100" w:firstLine="200"/>
              <w:rPr>
                <w:rFonts w:cs="Arial"/>
                <w:color w:val="000000"/>
                <w:szCs w:val="20"/>
              </w:rPr>
            </w:pPr>
            <w:r>
              <w:rPr>
                <w:rFonts w:cs="Arial"/>
                <w:color w:val="000000"/>
                <w:szCs w:val="20"/>
              </w:rPr>
              <w:t>Forklift</w:t>
            </w:r>
          </w:p>
        </w:tc>
        <w:tc>
          <w:tcPr>
            <w:tcW w:w="1867"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3</w:t>
            </w:r>
          </w:p>
        </w:tc>
        <w:tc>
          <w:tcPr>
            <w:tcW w:w="2190"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13.0%</w:t>
            </w:r>
          </w:p>
        </w:tc>
      </w:tr>
      <w:tr w:rsidR="003A5C20" w:rsidRPr="00DB7BDD" w:rsidTr="003A5C20">
        <w:trPr>
          <w:trHeight w:val="255"/>
        </w:trPr>
        <w:tc>
          <w:tcPr>
            <w:cnfStyle w:val="001000000000" w:firstRow="0" w:lastRow="0" w:firstColumn="1" w:lastColumn="0" w:oddVBand="0" w:evenVBand="0" w:oddHBand="0" w:evenHBand="0" w:firstRowFirstColumn="0" w:firstRowLastColumn="0" w:lastRowFirstColumn="0" w:lastRowLastColumn="0"/>
            <w:tcW w:w="3785" w:type="dxa"/>
            <w:noWrap/>
            <w:hideMark/>
          </w:tcPr>
          <w:p w:rsidR="003A5C20" w:rsidRDefault="003A5C20" w:rsidP="003A5C20">
            <w:pPr>
              <w:rPr>
                <w:rFonts w:cs="Arial"/>
                <w:b/>
                <w:bCs/>
                <w:color w:val="000000"/>
                <w:szCs w:val="20"/>
              </w:rPr>
            </w:pPr>
            <w:r>
              <w:rPr>
                <w:rFonts w:cs="Arial"/>
                <w:b/>
                <w:bCs/>
                <w:color w:val="000000"/>
                <w:szCs w:val="20"/>
              </w:rPr>
              <w:t>Repair or maintenance</w:t>
            </w:r>
          </w:p>
        </w:tc>
        <w:tc>
          <w:tcPr>
            <w:tcW w:w="1867"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19</w:t>
            </w:r>
          </w:p>
        </w:tc>
        <w:tc>
          <w:tcPr>
            <w:tcW w:w="2190"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11.3%</w:t>
            </w:r>
          </w:p>
        </w:tc>
      </w:tr>
      <w:tr w:rsidR="003A5C20" w:rsidRPr="00DB7BDD" w:rsidTr="003A5C20">
        <w:trPr>
          <w:trHeight w:val="255"/>
        </w:trPr>
        <w:tc>
          <w:tcPr>
            <w:cnfStyle w:val="001000000000" w:firstRow="0" w:lastRow="0" w:firstColumn="1" w:lastColumn="0" w:oddVBand="0" w:evenVBand="0" w:oddHBand="0" w:evenHBand="0" w:firstRowFirstColumn="0" w:firstRowLastColumn="0" w:lastRowFirstColumn="0" w:lastRowLastColumn="0"/>
            <w:tcW w:w="3785" w:type="dxa"/>
            <w:noWrap/>
            <w:hideMark/>
          </w:tcPr>
          <w:p w:rsidR="003A5C20" w:rsidRDefault="001158C7" w:rsidP="003A5C20">
            <w:pPr>
              <w:ind w:firstLineChars="100" w:firstLine="200"/>
              <w:rPr>
                <w:rFonts w:cs="Arial"/>
                <w:color w:val="000000"/>
                <w:szCs w:val="20"/>
              </w:rPr>
            </w:pPr>
            <w:r>
              <w:rPr>
                <w:rFonts w:cs="Arial"/>
                <w:color w:val="000000"/>
                <w:szCs w:val="20"/>
              </w:rPr>
              <w:t>Tractor</w:t>
            </w:r>
          </w:p>
        </w:tc>
        <w:tc>
          <w:tcPr>
            <w:tcW w:w="1867"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8</w:t>
            </w:r>
          </w:p>
        </w:tc>
        <w:tc>
          <w:tcPr>
            <w:tcW w:w="2190"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42.1%</w:t>
            </w:r>
          </w:p>
        </w:tc>
      </w:tr>
      <w:tr w:rsidR="003A5C20" w:rsidRPr="00DB7BDD" w:rsidTr="003A5C20">
        <w:trPr>
          <w:trHeight w:val="255"/>
        </w:trPr>
        <w:tc>
          <w:tcPr>
            <w:cnfStyle w:val="001000000000" w:firstRow="0" w:lastRow="0" w:firstColumn="1" w:lastColumn="0" w:oddVBand="0" w:evenVBand="0" w:oddHBand="0" w:evenHBand="0" w:firstRowFirstColumn="0" w:firstRowLastColumn="0" w:lastRowFirstColumn="0" w:lastRowLastColumn="0"/>
            <w:tcW w:w="3785" w:type="dxa"/>
            <w:noWrap/>
            <w:hideMark/>
          </w:tcPr>
          <w:p w:rsidR="003A5C20" w:rsidRDefault="003A5C20" w:rsidP="003A5C20">
            <w:pPr>
              <w:ind w:firstLineChars="100" w:firstLine="200"/>
              <w:rPr>
                <w:rFonts w:cs="Arial"/>
                <w:color w:val="000000"/>
                <w:szCs w:val="20"/>
              </w:rPr>
            </w:pPr>
            <w:r>
              <w:rPr>
                <w:rFonts w:cs="Arial"/>
                <w:color w:val="000000"/>
                <w:szCs w:val="20"/>
              </w:rPr>
              <w:t>Loader, excavator, backhoe or dozer</w:t>
            </w:r>
          </w:p>
        </w:tc>
        <w:tc>
          <w:tcPr>
            <w:tcW w:w="1867"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3</w:t>
            </w:r>
          </w:p>
        </w:tc>
        <w:tc>
          <w:tcPr>
            <w:tcW w:w="2190"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15.8%</w:t>
            </w:r>
          </w:p>
        </w:tc>
      </w:tr>
      <w:tr w:rsidR="003A5C20" w:rsidRPr="00DB7BDD" w:rsidTr="003A5C20">
        <w:trPr>
          <w:trHeight w:val="255"/>
        </w:trPr>
        <w:tc>
          <w:tcPr>
            <w:cnfStyle w:val="001000000000" w:firstRow="0" w:lastRow="0" w:firstColumn="1" w:lastColumn="0" w:oddVBand="0" w:evenVBand="0" w:oddHBand="0" w:evenHBand="0" w:firstRowFirstColumn="0" w:firstRowLastColumn="0" w:lastRowFirstColumn="0" w:lastRowLastColumn="0"/>
            <w:tcW w:w="3785" w:type="dxa"/>
            <w:noWrap/>
            <w:hideMark/>
          </w:tcPr>
          <w:p w:rsidR="003A5C20" w:rsidRDefault="003A5C20" w:rsidP="003A5C20">
            <w:pPr>
              <w:rPr>
                <w:rFonts w:cs="Arial"/>
                <w:b/>
                <w:bCs/>
                <w:color w:val="000000"/>
                <w:szCs w:val="20"/>
              </w:rPr>
            </w:pPr>
            <w:r>
              <w:rPr>
                <w:rFonts w:cs="Arial"/>
                <w:b/>
                <w:bCs/>
                <w:color w:val="000000"/>
                <w:szCs w:val="20"/>
              </w:rPr>
              <w:t>Driving on a public road</w:t>
            </w:r>
          </w:p>
        </w:tc>
        <w:tc>
          <w:tcPr>
            <w:tcW w:w="1867"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14</w:t>
            </w:r>
          </w:p>
        </w:tc>
        <w:tc>
          <w:tcPr>
            <w:tcW w:w="2190"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8.3%</w:t>
            </w:r>
          </w:p>
        </w:tc>
      </w:tr>
      <w:tr w:rsidR="003A5C20" w:rsidRPr="00DB7BDD" w:rsidTr="003A5C20">
        <w:trPr>
          <w:trHeight w:val="255"/>
        </w:trPr>
        <w:tc>
          <w:tcPr>
            <w:cnfStyle w:val="001000000000" w:firstRow="0" w:lastRow="0" w:firstColumn="1" w:lastColumn="0" w:oddVBand="0" w:evenVBand="0" w:oddHBand="0" w:evenHBand="0" w:firstRowFirstColumn="0" w:firstRowLastColumn="0" w:lastRowFirstColumn="0" w:lastRowLastColumn="0"/>
            <w:tcW w:w="3785" w:type="dxa"/>
            <w:noWrap/>
            <w:hideMark/>
          </w:tcPr>
          <w:p w:rsidR="003A5C20" w:rsidRDefault="003A5C20" w:rsidP="003A5C20">
            <w:pPr>
              <w:ind w:firstLineChars="100" w:firstLine="200"/>
              <w:rPr>
                <w:rFonts w:cs="Arial"/>
                <w:color w:val="000000"/>
                <w:szCs w:val="20"/>
              </w:rPr>
            </w:pPr>
            <w:r>
              <w:rPr>
                <w:rFonts w:cs="Arial"/>
                <w:color w:val="000000"/>
                <w:szCs w:val="20"/>
              </w:rPr>
              <w:t>Car or ute</w:t>
            </w:r>
          </w:p>
        </w:tc>
        <w:tc>
          <w:tcPr>
            <w:tcW w:w="1867"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7</w:t>
            </w:r>
          </w:p>
        </w:tc>
        <w:tc>
          <w:tcPr>
            <w:tcW w:w="2190"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50.0%</w:t>
            </w:r>
          </w:p>
        </w:tc>
      </w:tr>
      <w:tr w:rsidR="003A5C20" w:rsidRPr="00DB7BDD" w:rsidTr="003A5C20">
        <w:trPr>
          <w:trHeight w:val="255"/>
        </w:trPr>
        <w:tc>
          <w:tcPr>
            <w:cnfStyle w:val="001000000000" w:firstRow="0" w:lastRow="0" w:firstColumn="1" w:lastColumn="0" w:oddVBand="0" w:evenVBand="0" w:oddHBand="0" w:evenHBand="0" w:firstRowFirstColumn="0" w:firstRowLastColumn="0" w:lastRowFirstColumn="0" w:lastRowLastColumn="0"/>
            <w:tcW w:w="3785" w:type="dxa"/>
            <w:noWrap/>
            <w:hideMark/>
          </w:tcPr>
          <w:p w:rsidR="003A5C20" w:rsidRDefault="003A5C20" w:rsidP="003A5C20">
            <w:pPr>
              <w:ind w:firstLineChars="100" w:firstLine="200"/>
              <w:rPr>
                <w:rFonts w:cs="Arial"/>
                <w:color w:val="000000"/>
                <w:szCs w:val="20"/>
              </w:rPr>
            </w:pPr>
            <w:r>
              <w:rPr>
                <w:rFonts w:cs="Arial"/>
                <w:color w:val="000000"/>
                <w:szCs w:val="20"/>
              </w:rPr>
              <w:t>Truck</w:t>
            </w:r>
          </w:p>
        </w:tc>
        <w:tc>
          <w:tcPr>
            <w:tcW w:w="1867"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3</w:t>
            </w:r>
          </w:p>
        </w:tc>
        <w:tc>
          <w:tcPr>
            <w:tcW w:w="2190"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21.4%</w:t>
            </w:r>
          </w:p>
        </w:tc>
      </w:tr>
      <w:tr w:rsidR="003A5C20" w:rsidRPr="00DB7BDD" w:rsidTr="003A5C20">
        <w:trPr>
          <w:trHeight w:val="255"/>
        </w:trPr>
        <w:tc>
          <w:tcPr>
            <w:cnfStyle w:val="001000000000" w:firstRow="0" w:lastRow="0" w:firstColumn="1" w:lastColumn="0" w:oddVBand="0" w:evenVBand="0" w:oddHBand="0" w:evenHBand="0" w:firstRowFirstColumn="0" w:firstRowLastColumn="0" w:lastRowFirstColumn="0" w:lastRowLastColumn="0"/>
            <w:tcW w:w="3785" w:type="dxa"/>
            <w:noWrap/>
            <w:hideMark/>
          </w:tcPr>
          <w:p w:rsidR="003A5C20" w:rsidRDefault="003A5C20" w:rsidP="003A5C20">
            <w:pPr>
              <w:rPr>
                <w:rFonts w:cs="Arial"/>
                <w:b/>
                <w:bCs/>
                <w:color w:val="000000"/>
                <w:szCs w:val="20"/>
              </w:rPr>
            </w:pPr>
            <w:r>
              <w:rPr>
                <w:rFonts w:cs="Arial"/>
                <w:b/>
                <w:bCs/>
                <w:color w:val="000000"/>
                <w:szCs w:val="20"/>
              </w:rPr>
              <w:t>Crop dusting or weed spraying</w:t>
            </w:r>
          </w:p>
        </w:tc>
        <w:tc>
          <w:tcPr>
            <w:tcW w:w="1867"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12</w:t>
            </w:r>
          </w:p>
        </w:tc>
        <w:tc>
          <w:tcPr>
            <w:tcW w:w="2190"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7.1%</w:t>
            </w:r>
          </w:p>
        </w:tc>
      </w:tr>
      <w:tr w:rsidR="003A5C20" w:rsidRPr="00DB7BDD" w:rsidTr="003A5C20">
        <w:trPr>
          <w:trHeight w:val="255"/>
        </w:trPr>
        <w:tc>
          <w:tcPr>
            <w:cnfStyle w:val="001000000000" w:firstRow="0" w:lastRow="0" w:firstColumn="1" w:lastColumn="0" w:oddVBand="0" w:evenVBand="0" w:oddHBand="0" w:evenHBand="0" w:firstRowFirstColumn="0" w:firstRowLastColumn="0" w:lastRowFirstColumn="0" w:lastRowLastColumn="0"/>
            <w:tcW w:w="3785" w:type="dxa"/>
            <w:noWrap/>
            <w:hideMark/>
          </w:tcPr>
          <w:p w:rsidR="003A5C20" w:rsidRDefault="003A5C20" w:rsidP="003A5C20">
            <w:pPr>
              <w:ind w:firstLineChars="100" w:firstLine="200"/>
              <w:rPr>
                <w:rFonts w:cs="Arial"/>
                <w:color w:val="000000"/>
                <w:szCs w:val="20"/>
              </w:rPr>
            </w:pPr>
            <w:r>
              <w:rPr>
                <w:rFonts w:cs="Arial"/>
                <w:color w:val="000000"/>
                <w:szCs w:val="20"/>
              </w:rPr>
              <w:t>Aircraft</w:t>
            </w:r>
          </w:p>
        </w:tc>
        <w:tc>
          <w:tcPr>
            <w:tcW w:w="1867"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9</w:t>
            </w:r>
          </w:p>
        </w:tc>
        <w:tc>
          <w:tcPr>
            <w:tcW w:w="2190"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75.0%</w:t>
            </w:r>
          </w:p>
        </w:tc>
      </w:tr>
      <w:tr w:rsidR="003A5C20" w:rsidRPr="00DB7BDD" w:rsidTr="003A5C20">
        <w:trPr>
          <w:trHeight w:val="255"/>
        </w:trPr>
        <w:tc>
          <w:tcPr>
            <w:cnfStyle w:val="001000000000" w:firstRow="0" w:lastRow="0" w:firstColumn="1" w:lastColumn="0" w:oddVBand="0" w:evenVBand="0" w:oddHBand="0" w:evenHBand="0" w:firstRowFirstColumn="0" w:firstRowLastColumn="0" w:lastRowFirstColumn="0" w:lastRowLastColumn="0"/>
            <w:tcW w:w="3785" w:type="dxa"/>
            <w:noWrap/>
            <w:hideMark/>
          </w:tcPr>
          <w:p w:rsidR="003A5C20" w:rsidRDefault="003A5C20" w:rsidP="003A5C20">
            <w:pPr>
              <w:ind w:firstLineChars="100" w:firstLine="200"/>
              <w:rPr>
                <w:rFonts w:cs="Arial"/>
                <w:color w:val="000000"/>
                <w:szCs w:val="20"/>
              </w:rPr>
            </w:pPr>
            <w:r>
              <w:rPr>
                <w:rFonts w:cs="Arial"/>
                <w:color w:val="000000"/>
                <w:szCs w:val="20"/>
              </w:rPr>
              <w:t>Quad bike</w:t>
            </w:r>
          </w:p>
        </w:tc>
        <w:tc>
          <w:tcPr>
            <w:tcW w:w="1867"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3</w:t>
            </w:r>
          </w:p>
        </w:tc>
        <w:tc>
          <w:tcPr>
            <w:tcW w:w="2190"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25.0%</w:t>
            </w:r>
          </w:p>
        </w:tc>
      </w:tr>
      <w:tr w:rsidR="003A5C20" w:rsidRPr="00DB7BDD" w:rsidTr="003A5C20">
        <w:trPr>
          <w:trHeight w:val="255"/>
        </w:trPr>
        <w:tc>
          <w:tcPr>
            <w:cnfStyle w:val="001000000000" w:firstRow="0" w:lastRow="0" w:firstColumn="1" w:lastColumn="0" w:oddVBand="0" w:evenVBand="0" w:oddHBand="0" w:evenHBand="0" w:firstRowFirstColumn="0" w:firstRowLastColumn="0" w:lastRowFirstColumn="0" w:lastRowLastColumn="0"/>
            <w:tcW w:w="3785" w:type="dxa"/>
            <w:noWrap/>
            <w:hideMark/>
          </w:tcPr>
          <w:p w:rsidR="003A5C20" w:rsidRDefault="003A5C20" w:rsidP="003A5C20">
            <w:pPr>
              <w:rPr>
                <w:rFonts w:cs="Arial"/>
                <w:b/>
                <w:bCs/>
                <w:color w:val="000000"/>
                <w:szCs w:val="20"/>
              </w:rPr>
            </w:pPr>
            <w:r>
              <w:rPr>
                <w:rFonts w:cs="Arial"/>
                <w:b/>
                <w:bCs/>
                <w:color w:val="000000"/>
                <w:szCs w:val="20"/>
              </w:rPr>
              <w:t>Checking property</w:t>
            </w:r>
          </w:p>
        </w:tc>
        <w:tc>
          <w:tcPr>
            <w:tcW w:w="1867"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10</w:t>
            </w:r>
          </w:p>
        </w:tc>
        <w:tc>
          <w:tcPr>
            <w:tcW w:w="2190"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6.0%</w:t>
            </w:r>
          </w:p>
        </w:tc>
      </w:tr>
      <w:tr w:rsidR="003A5C20" w:rsidRPr="00DB7BDD" w:rsidTr="003A5C20">
        <w:trPr>
          <w:trHeight w:val="255"/>
        </w:trPr>
        <w:tc>
          <w:tcPr>
            <w:cnfStyle w:val="001000000000" w:firstRow="0" w:lastRow="0" w:firstColumn="1" w:lastColumn="0" w:oddVBand="0" w:evenVBand="0" w:oddHBand="0" w:evenHBand="0" w:firstRowFirstColumn="0" w:firstRowLastColumn="0" w:lastRowFirstColumn="0" w:lastRowLastColumn="0"/>
            <w:tcW w:w="3785" w:type="dxa"/>
            <w:noWrap/>
            <w:hideMark/>
          </w:tcPr>
          <w:p w:rsidR="003A5C20" w:rsidRDefault="003A5C20" w:rsidP="003A5C20">
            <w:pPr>
              <w:ind w:firstLineChars="100" w:firstLine="200"/>
              <w:rPr>
                <w:rFonts w:cs="Arial"/>
                <w:color w:val="000000"/>
                <w:szCs w:val="20"/>
              </w:rPr>
            </w:pPr>
            <w:r>
              <w:rPr>
                <w:rFonts w:cs="Arial"/>
                <w:color w:val="000000"/>
                <w:szCs w:val="20"/>
              </w:rPr>
              <w:t>Aircraft</w:t>
            </w:r>
          </w:p>
        </w:tc>
        <w:tc>
          <w:tcPr>
            <w:tcW w:w="1867"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6</w:t>
            </w:r>
          </w:p>
        </w:tc>
        <w:tc>
          <w:tcPr>
            <w:tcW w:w="2190"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60.0%</w:t>
            </w:r>
          </w:p>
        </w:tc>
      </w:tr>
      <w:tr w:rsidR="003A5C20" w:rsidRPr="00DB7BDD" w:rsidTr="003A5C20">
        <w:trPr>
          <w:trHeight w:val="255"/>
        </w:trPr>
        <w:tc>
          <w:tcPr>
            <w:cnfStyle w:val="001000000000" w:firstRow="0" w:lastRow="0" w:firstColumn="1" w:lastColumn="0" w:oddVBand="0" w:evenVBand="0" w:oddHBand="0" w:evenHBand="0" w:firstRowFirstColumn="0" w:firstRowLastColumn="0" w:lastRowFirstColumn="0" w:lastRowLastColumn="0"/>
            <w:tcW w:w="3785" w:type="dxa"/>
            <w:noWrap/>
            <w:hideMark/>
          </w:tcPr>
          <w:p w:rsidR="003A5C20" w:rsidRDefault="003A5C20" w:rsidP="003A5C20">
            <w:pPr>
              <w:ind w:firstLineChars="100" w:firstLine="200"/>
              <w:rPr>
                <w:rFonts w:cs="Arial"/>
                <w:color w:val="000000"/>
                <w:szCs w:val="20"/>
              </w:rPr>
            </w:pPr>
            <w:r>
              <w:rPr>
                <w:rFonts w:cs="Arial"/>
                <w:color w:val="000000"/>
                <w:szCs w:val="20"/>
              </w:rPr>
              <w:t>Quad bike</w:t>
            </w:r>
          </w:p>
        </w:tc>
        <w:tc>
          <w:tcPr>
            <w:tcW w:w="1867"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4</w:t>
            </w:r>
          </w:p>
        </w:tc>
        <w:tc>
          <w:tcPr>
            <w:tcW w:w="2190"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40.0%</w:t>
            </w:r>
          </w:p>
        </w:tc>
      </w:tr>
      <w:tr w:rsidR="003A5C20" w:rsidRPr="00DB7BDD" w:rsidTr="003A5C20">
        <w:trPr>
          <w:trHeight w:val="255"/>
        </w:trPr>
        <w:tc>
          <w:tcPr>
            <w:cnfStyle w:val="001000000000" w:firstRow="0" w:lastRow="0" w:firstColumn="1" w:lastColumn="0" w:oddVBand="0" w:evenVBand="0" w:oddHBand="0" w:evenHBand="0" w:firstRowFirstColumn="0" w:firstRowLastColumn="0" w:lastRowFirstColumn="0" w:lastRowLastColumn="0"/>
            <w:tcW w:w="3785" w:type="dxa"/>
            <w:noWrap/>
            <w:hideMark/>
          </w:tcPr>
          <w:p w:rsidR="003A5C20" w:rsidRDefault="003A5C20" w:rsidP="003A5C20">
            <w:pPr>
              <w:rPr>
                <w:rFonts w:cs="Arial"/>
                <w:b/>
                <w:bCs/>
                <w:color w:val="000000"/>
                <w:szCs w:val="20"/>
              </w:rPr>
            </w:pPr>
            <w:r>
              <w:rPr>
                <w:rFonts w:cs="Arial"/>
                <w:b/>
                <w:bCs/>
                <w:color w:val="000000"/>
                <w:szCs w:val="20"/>
              </w:rPr>
              <w:t>Opening gate</w:t>
            </w:r>
          </w:p>
        </w:tc>
        <w:tc>
          <w:tcPr>
            <w:tcW w:w="1867"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3</w:t>
            </w:r>
          </w:p>
        </w:tc>
        <w:tc>
          <w:tcPr>
            <w:tcW w:w="2190"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1.8%</w:t>
            </w:r>
          </w:p>
        </w:tc>
      </w:tr>
      <w:tr w:rsidR="003A5C20" w:rsidRPr="00DB7BDD" w:rsidTr="003A5C20">
        <w:trPr>
          <w:trHeight w:val="255"/>
        </w:trPr>
        <w:tc>
          <w:tcPr>
            <w:cnfStyle w:val="001000000000" w:firstRow="0" w:lastRow="0" w:firstColumn="1" w:lastColumn="0" w:oddVBand="0" w:evenVBand="0" w:oddHBand="0" w:evenHBand="0" w:firstRowFirstColumn="0" w:firstRowLastColumn="0" w:lastRowFirstColumn="0" w:lastRowLastColumn="0"/>
            <w:tcW w:w="3785" w:type="dxa"/>
            <w:noWrap/>
            <w:hideMark/>
          </w:tcPr>
          <w:p w:rsidR="003A5C20" w:rsidRDefault="003A5C20" w:rsidP="003A5C20">
            <w:pPr>
              <w:rPr>
                <w:rFonts w:cs="Arial"/>
                <w:b/>
                <w:bCs/>
                <w:color w:val="000000"/>
                <w:szCs w:val="20"/>
              </w:rPr>
            </w:pPr>
            <w:r>
              <w:rPr>
                <w:rFonts w:cs="Arial"/>
                <w:b/>
                <w:bCs/>
                <w:color w:val="000000"/>
                <w:szCs w:val="20"/>
              </w:rPr>
              <w:t>Other</w:t>
            </w:r>
          </w:p>
        </w:tc>
        <w:tc>
          <w:tcPr>
            <w:tcW w:w="1867"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15</w:t>
            </w:r>
          </w:p>
        </w:tc>
        <w:tc>
          <w:tcPr>
            <w:tcW w:w="2190"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8.9%</w:t>
            </w:r>
          </w:p>
        </w:tc>
      </w:tr>
      <w:tr w:rsidR="003A5C20" w:rsidRPr="00DB7BDD" w:rsidTr="003A5C20">
        <w:trPr>
          <w:trHeight w:val="255"/>
        </w:trPr>
        <w:tc>
          <w:tcPr>
            <w:cnfStyle w:val="001000000000" w:firstRow="0" w:lastRow="0" w:firstColumn="1" w:lastColumn="0" w:oddVBand="0" w:evenVBand="0" w:oddHBand="0" w:evenHBand="0" w:firstRowFirstColumn="0" w:firstRowLastColumn="0" w:lastRowFirstColumn="0" w:lastRowLastColumn="0"/>
            <w:tcW w:w="3785" w:type="dxa"/>
            <w:noWrap/>
            <w:hideMark/>
          </w:tcPr>
          <w:p w:rsidR="003A5C20" w:rsidRDefault="003A5C20" w:rsidP="003A5C20">
            <w:pPr>
              <w:rPr>
                <w:rFonts w:cs="Arial"/>
                <w:b/>
                <w:bCs/>
                <w:color w:val="000000"/>
                <w:szCs w:val="20"/>
              </w:rPr>
            </w:pPr>
            <w:r>
              <w:rPr>
                <w:rFonts w:cs="Arial"/>
                <w:b/>
                <w:bCs/>
                <w:color w:val="000000"/>
                <w:szCs w:val="20"/>
              </w:rPr>
              <w:t>Total</w:t>
            </w:r>
          </w:p>
        </w:tc>
        <w:tc>
          <w:tcPr>
            <w:tcW w:w="1867"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168</w:t>
            </w:r>
          </w:p>
        </w:tc>
        <w:tc>
          <w:tcPr>
            <w:tcW w:w="2190"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100.0%</w:t>
            </w:r>
          </w:p>
        </w:tc>
      </w:tr>
    </w:tbl>
    <w:p w:rsidR="0075723F" w:rsidRPr="005E6422" w:rsidRDefault="00C234F2" w:rsidP="0075723F">
      <w:pPr>
        <w:pStyle w:val="Footnote"/>
      </w:pPr>
      <w:r w:rsidRPr="00C234F2">
        <w:t>The sum of percentages may not equal 100% due to rounding.</w:t>
      </w:r>
      <w:r>
        <w:br/>
      </w:r>
      <w:r w:rsidR="0075723F" w:rsidRPr="005E6422">
        <w:t>Source: Traumatic Injury Fatalities database.</w:t>
      </w:r>
    </w:p>
    <w:p w:rsidR="0075723F" w:rsidRDefault="0075723F" w:rsidP="0075723F">
      <w:pPr>
        <w:pStyle w:val="Heading2"/>
      </w:pPr>
      <w:bookmarkStart w:id="37" w:name="_Toc453938279"/>
      <w:bookmarkStart w:id="38" w:name="_Toc459720372"/>
      <w:r>
        <w:t>Fatalities not involving vehicles</w:t>
      </w:r>
      <w:bookmarkEnd w:id="37"/>
      <w:bookmarkEnd w:id="38"/>
    </w:p>
    <w:p w:rsidR="0075723F" w:rsidRDefault="0075723F" w:rsidP="0075723F">
      <w:r>
        <w:t xml:space="preserve">Just under a quarter (53) of the 221 agricultural fatalities between 2010 and 2014 did not involve vehicles. In around half (49 per cent) of these cases, </w:t>
      </w:r>
      <w:r w:rsidRPr="00347F71">
        <w:t xml:space="preserve">the breakdown agency </w:t>
      </w:r>
      <w:r>
        <w:t>was an animal or human (mostly live, four-legged animals)</w:t>
      </w:r>
      <w:r w:rsidRPr="00347F71">
        <w:t xml:space="preserve">, or </w:t>
      </w:r>
      <w:r>
        <w:t xml:space="preserve">was related to </w:t>
      </w:r>
      <w:r w:rsidRPr="00347F71">
        <w:t xml:space="preserve">the environment (e.g. </w:t>
      </w:r>
      <w:r>
        <w:t>buildings, vegetation, weather).</w:t>
      </w:r>
      <w:r w:rsidRPr="00211F73">
        <w:t xml:space="preserve"> </w:t>
      </w:r>
      <w:r>
        <w:t>The breakdown agency identifies the object, substance or circumstance that was principally involved in, or most closely associated with, the point at which things started to go wrong and which ultimately led to the fatal injury.</w:t>
      </w:r>
    </w:p>
    <w:p w:rsidR="0075723F" w:rsidRDefault="0075723F" w:rsidP="0075723F">
      <w:pPr>
        <w:pStyle w:val="Heading4"/>
      </w:pPr>
      <w:r>
        <w:t xml:space="preserve">Table </w:t>
      </w:r>
      <w:fldSimple w:instr=" SEQ Table \* ARABIC ">
        <w:r w:rsidR="001A7C10">
          <w:rPr>
            <w:noProof/>
          </w:rPr>
          <w:t>8</w:t>
        </w:r>
      </w:fldSimple>
      <w:r>
        <w:t>: Number and percentage of agricultural fatalities not involving vehicles by breakdown agency of fatal injury, 2010 to 2014 combined</w:t>
      </w:r>
    </w:p>
    <w:tbl>
      <w:tblPr>
        <w:tblStyle w:val="TableGrid"/>
        <w:tblW w:w="9498" w:type="dxa"/>
        <w:tblInd w:w="108" w:type="dxa"/>
        <w:tblLook w:val="04A0" w:firstRow="1" w:lastRow="0" w:firstColumn="1" w:lastColumn="0" w:noHBand="0" w:noVBand="1"/>
        <w:tblCaption w:val="Table 8"/>
      </w:tblPr>
      <w:tblGrid>
        <w:gridCol w:w="5350"/>
        <w:gridCol w:w="2016"/>
        <w:gridCol w:w="2132"/>
      </w:tblGrid>
      <w:tr w:rsidR="003A5C20" w:rsidRPr="009C1A0B" w:rsidTr="00070B12">
        <w:trPr>
          <w:trHeight w:val="255"/>
          <w:tblHeader/>
        </w:trPr>
        <w:tc>
          <w:tcPr>
            <w:cnfStyle w:val="001000000000" w:firstRow="0" w:lastRow="0" w:firstColumn="1" w:lastColumn="0" w:oddVBand="0" w:evenVBand="0" w:oddHBand="0" w:evenHBand="0" w:firstRowFirstColumn="0" w:firstRowLastColumn="0" w:lastRowFirstColumn="0" w:lastRowLastColumn="0"/>
            <w:tcW w:w="5350" w:type="dxa"/>
            <w:noWrap/>
            <w:hideMark/>
          </w:tcPr>
          <w:p w:rsidR="003A5C20" w:rsidRDefault="003A5C20" w:rsidP="003A5C20">
            <w:pPr>
              <w:rPr>
                <w:rFonts w:cs="Arial"/>
                <w:b/>
                <w:bCs/>
                <w:color w:val="000000"/>
                <w:szCs w:val="20"/>
              </w:rPr>
            </w:pPr>
            <w:r>
              <w:rPr>
                <w:rFonts w:cs="Arial"/>
                <w:b/>
                <w:bCs/>
                <w:color w:val="000000"/>
                <w:szCs w:val="20"/>
              </w:rPr>
              <w:t>Breakdown agency of fatal injury</w:t>
            </w:r>
          </w:p>
        </w:tc>
        <w:tc>
          <w:tcPr>
            <w:tcW w:w="2016"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Number of fatalities</w:t>
            </w:r>
          </w:p>
        </w:tc>
        <w:tc>
          <w:tcPr>
            <w:tcW w:w="2132"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Percentage of fatalities</w:t>
            </w:r>
          </w:p>
        </w:tc>
      </w:tr>
      <w:tr w:rsidR="003A5C20" w:rsidRPr="009C1A0B" w:rsidTr="00070B12">
        <w:trPr>
          <w:trHeight w:val="255"/>
        </w:trPr>
        <w:tc>
          <w:tcPr>
            <w:cnfStyle w:val="001000000000" w:firstRow="0" w:lastRow="0" w:firstColumn="1" w:lastColumn="0" w:oddVBand="0" w:evenVBand="0" w:oddHBand="0" w:evenHBand="0" w:firstRowFirstColumn="0" w:firstRowLastColumn="0" w:lastRowFirstColumn="0" w:lastRowLastColumn="0"/>
            <w:tcW w:w="5350" w:type="dxa"/>
            <w:noWrap/>
            <w:hideMark/>
          </w:tcPr>
          <w:p w:rsidR="003A5C20" w:rsidRDefault="003A5C20" w:rsidP="003A5C20">
            <w:pPr>
              <w:rPr>
                <w:rFonts w:cs="Arial"/>
                <w:b/>
                <w:bCs/>
                <w:color w:val="000000"/>
                <w:szCs w:val="20"/>
              </w:rPr>
            </w:pPr>
            <w:r>
              <w:rPr>
                <w:rFonts w:cs="Arial"/>
                <w:b/>
                <w:bCs/>
                <w:color w:val="000000"/>
                <w:szCs w:val="20"/>
              </w:rPr>
              <w:t>Animal, human  and  biological agencies</w:t>
            </w:r>
          </w:p>
        </w:tc>
        <w:tc>
          <w:tcPr>
            <w:tcW w:w="2016"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16</w:t>
            </w:r>
          </w:p>
        </w:tc>
        <w:tc>
          <w:tcPr>
            <w:tcW w:w="2132"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30.2%</w:t>
            </w:r>
          </w:p>
        </w:tc>
      </w:tr>
      <w:tr w:rsidR="003A5C20" w:rsidRPr="009C1A0B" w:rsidTr="00070B12">
        <w:trPr>
          <w:trHeight w:val="255"/>
        </w:trPr>
        <w:tc>
          <w:tcPr>
            <w:cnfStyle w:val="001000000000" w:firstRow="0" w:lastRow="0" w:firstColumn="1" w:lastColumn="0" w:oddVBand="0" w:evenVBand="0" w:oddHBand="0" w:evenHBand="0" w:firstRowFirstColumn="0" w:firstRowLastColumn="0" w:lastRowFirstColumn="0" w:lastRowLastColumn="0"/>
            <w:tcW w:w="5350" w:type="dxa"/>
            <w:noWrap/>
            <w:hideMark/>
          </w:tcPr>
          <w:p w:rsidR="003A5C20" w:rsidRDefault="003A5C20" w:rsidP="003A5C20">
            <w:pPr>
              <w:ind w:firstLineChars="100" w:firstLine="200"/>
              <w:rPr>
                <w:rFonts w:cs="Arial"/>
                <w:color w:val="000000"/>
                <w:szCs w:val="20"/>
              </w:rPr>
            </w:pPr>
            <w:r>
              <w:rPr>
                <w:rFonts w:cs="Arial"/>
                <w:color w:val="000000"/>
                <w:szCs w:val="20"/>
              </w:rPr>
              <w:t>Cows, steers, cattle, bulls, buffalo</w:t>
            </w:r>
          </w:p>
        </w:tc>
        <w:tc>
          <w:tcPr>
            <w:tcW w:w="2016"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9</w:t>
            </w:r>
          </w:p>
        </w:tc>
        <w:tc>
          <w:tcPr>
            <w:tcW w:w="2132"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56.3%</w:t>
            </w:r>
          </w:p>
        </w:tc>
      </w:tr>
      <w:tr w:rsidR="003A5C20" w:rsidRPr="009C1A0B" w:rsidTr="00070B12">
        <w:trPr>
          <w:trHeight w:val="255"/>
        </w:trPr>
        <w:tc>
          <w:tcPr>
            <w:cnfStyle w:val="001000000000" w:firstRow="0" w:lastRow="0" w:firstColumn="1" w:lastColumn="0" w:oddVBand="0" w:evenVBand="0" w:oddHBand="0" w:evenHBand="0" w:firstRowFirstColumn="0" w:firstRowLastColumn="0" w:lastRowFirstColumn="0" w:lastRowLastColumn="0"/>
            <w:tcW w:w="5350" w:type="dxa"/>
            <w:noWrap/>
            <w:hideMark/>
          </w:tcPr>
          <w:p w:rsidR="003A5C20" w:rsidRDefault="003A5C20" w:rsidP="003A5C20">
            <w:pPr>
              <w:ind w:firstLineChars="100" w:firstLine="200"/>
              <w:rPr>
                <w:rFonts w:cs="Arial"/>
                <w:color w:val="000000"/>
                <w:szCs w:val="20"/>
              </w:rPr>
            </w:pPr>
            <w:r>
              <w:rPr>
                <w:rFonts w:cs="Arial"/>
                <w:color w:val="000000"/>
                <w:szCs w:val="20"/>
              </w:rPr>
              <w:t>Horses, donkeys, mules</w:t>
            </w:r>
          </w:p>
        </w:tc>
        <w:tc>
          <w:tcPr>
            <w:tcW w:w="2016"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4</w:t>
            </w:r>
          </w:p>
        </w:tc>
        <w:tc>
          <w:tcPr>
            <w:tcW w:w="2132"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25.0%</w:t>
            </w:r>
          </w:p>
        </w:tc>
      </w:tr>
      <w:tr w:rsidR="003A5C20" w:rsidRPr="009C1A0B" w:rsidTr="00070B12">
        <w:trPr>
          <w:trHeight w:val="255"/>
        </w:trPr>
        <w:tc>
          <w:tcPr>
            <w:cnfStyle w:val="001000000000" w:firstRow="0" w:lastRow="0" w:firstColumn="1" w:lastColumn="0" w:oddVBand="0" w:evenVBand="0" w:oddHBand="0" w:evenHBand="0" w:firstRowFirstColumn="0" w:firstRowLastColumn="0" w:lastRowFirstColumn="0" w:lastRowLastColumn="0"/>
            <w:tcW w:w="5350" w:type="dxa"/>
            <w:noWrap/>
            <w:hideMark/>
          </w:tcPr>
          <w:p w:rsidR="003A5C20" w:rsidRDefault="003A5C20" w:rsidP="003A5C20">
            <w:pPr>
              <w:ind w:firstLineChars="100" w:firstLine="200"/>
              <w:rPr>
                <w:rFonts w:cs="Arial"/>
                <w:color w:val="000000"/>
                <w:szCs w:val="20"/>
              </w:rPr>
            </w:pPr>
            <w:r>
              <w:rPr>
                <w:rFonts w:cs="Arial"/>
                <w:color w:val="000000"/>
                <w:szCs w:val="20"/>
              </w:rPr>
              <w:t>Sheep</w:t>
            </w:r>
          </w:p>
        </w:tc>
        <w:tc>
          <w:tcPr>
            <w:tcW w:w="2016"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w:t>
            </w:r>
          </w:p>
        </w:tc>
        <w:tc>
          <w:tcPr>
            <w:tcW w:w="2132"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6.3%</w:t>
            </w:r>
          </w:p>
        </w:tc>
      </w:tr>
      <w:tr w:rsidR="003A5C20" w:rsidRPr="009C1A0B" w:rsidTr="00070B12">
        <w:trPr>
          <w:trHeight w:val="255"/>
        </w:trPr>
        <w:tc>
          <w:tcPr>
            <w:cnfStyle w:val="001000000000" w:firstRow="0" w:lastRow="0" w:firstColumn="1" w:lastColumn="0" w:oddVBand="0" w:evenVBand="0" w:oddHBand="0" w:evenHBand="0" w:firstRowFirstColumn="0" w:firstRowLastColumn="0" w:lastRowFirstColumn="0" w:lastRowLastColumn="0"/>
            <w:tcW w:w="5350" w:type="dxa"/>
            <w:noWrap/>
            <w:hideMark/>
          </w:tcPr>
          <w:p w:rsidR="003A5C20" w:rsidRDefault="003A5C20" w:rsidP="003A5C20">
            <w:pPr>
              <w:ind w:firstLineChars="100" w:firstLine="200"/>
              <w:rPr>
                <w:rFonts w:cs="Arial"/>
                <w:color w:val="000000"/>
                <w:szCs w:val="20"/>
              </w:rPr>
            </w:pPr>
            <w:r>
              <w:rPr>
                <w:rFonts w:cs="Arial"/>
                <w:color w:val="000000"/>
                <w:szCs w:val="20"/>
              </w:rPr>
              <w:t>Snakes and other reptiles</w:t>
            </w:r>
          </w:p>
        </w:tc>
        <w:tc>
          <w:tcPr>
            <w:tcW w:w="2016"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w:t>
            </w:r>
          </w:p>
        </w:tc>
        <w:tc>
          <w:tcPr>
            <w:tcW w:w="2132"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6.3%</w:t>
            </w:r>
          </w:p>
        </w:tc>
      </w:tr>
      <w:tr w:rsidR="003A5C20" w:rsidRPr="009C1A0B" w:rsidTr="00070B12">
        <w:trPr>
          <w:trHeight w:val="255"/>
        </w:trPr>
        <w:tc>
          <w:tcPr>
            <w:cnfStyle w:val="001000000000" w:firstRow="0" w:lastRow="0" w:firstColumn="1" w:lastColumn="0" w:oddVBand="0" w:evenVBand="0" w:oddHBand="0" w:evenHBand="0" w:firstRowFirstColumn="0" w:firstRowLastColumn="0" w:lastRowFirstColumn="0" w:lastRowLastColumn="0"/>
            <w:tcW w:w="5350" w:type="dxa"/>
            <w:noWrap/>
            <w:hideMark/>
          </w:tcPr>
          <w:p w:rsidR="003A5C20" w:rsidRDefault="003A5C20" w:rsidP="003A5C20">
            <w:pPr>
              <w:ind w:firstLineChars="100" w:firstLine="200"/>
              <w:rPr>
                <w:rFonts w:cs="Arial"/>
                <w:color w:val="000000"/>
                <w:szCs w:val="20"/>
              </w:rPr>
            </w:pPr>
            <w:r>
              <w:rPr>
                <w:rFonts w:cs="Arial"/>
                <w:color w:val="000000"/>
                <w:szCs w:val="20"/>
              </w:rPr>
              <w:t>Other person</w:t>
            </w:r>
          </w:p>
        </w:tc>
        <w:tc>
          <w:tcPr>
            <w:tcW w:w="2016"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w:t>
            </w:r>
          </w:p>
        </w:tc>
        <w:tc>
          <w:tcPr>
            <w:tcW w:w="2132"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6.3%</w:t>
            </w:r>
          </w:p>
        </w:tc>
      </w:tr>
      <w:tr w:rsidR="003A5C20" w:rsidRPr="009C1A0B" w:rsidTr="00070B12">
        <w:trPr>
          <w:trHeight w:val="255"/>
        </w:trPr>
        <w:tc>
          <w:tcPr>
            <w:cnfStyle w:val="001000000000" w:firstRow="0" w:lastRow="0" w:firstColumn="1" w:lastColumn="0" w:oddVBand="0" w:evenVBand="0" w:oddHBand="0" w:evenHBand="0" w:firstRowFirstColumn="0" w:firstRowLastColumn="0" w:lastRowFirstColumn="0" w:lastRowLastColumn="0"/>
            <w:tcW w:w="5350" w:type="dxa"/>
            <w:noWrap/>
            <w:hideMark/>
          </w:tcPr>
          <w:p w:rsidR="003A5C20" w:rsidRDefault="003A5C20" w:rsidP="003A5C20">
            <w:pPr>
              <w:rPr>
                <w:rFonts w:cs="Arial"/>
                <w:b/>
                <w:bCs/>
                <w:color w:val="000000"/>
                <w:szCs w:val="20"/>
              </w:rPr>
            </w:pPr>
            <w:r>
              <w:rPr>
                <w:rFonts w:cs="Arial"/>
                <w:b/>
                <w:bCs/>
                <w:color w:val="000000"/>
                <w:szCs w:val="20"/>
              </w:rPr>
              <w:t>Environmental agencies</w:t>
            </w:r>
          </w:p>
        </w:tc>
        <w:tc>
          <w:tcPr>
            <w:tcW w:w="2016"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10</w:t>
            </w:r>
          </w:p>
        </w:tc>
        <w:tc>
          <w:tcPr>
            <w:tcW w:w="2132"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18.9%</w:t>
            </w:r>
          </w:p>
        </w:tc>
      </w:tr>
      <w:tr w:rsidR="003A5C20" w:rsidRPr="009C1A0B" w:rsidTr="00070B12">
        <w:trPr>
          <w:trHeight w:val="255"/>
        </w:trPr>
        <w:tc>
          <w:tcPr>
            <w:cnfStyle w:val="001000000000" w:firstRow="0" w:lastRow="0" w:firstColumn="1" w:lastColumn="0" w:oddVBand="0" w:evenVBand="0" w:oddHBand="0" w:evenHBand="0" w:firstRowFirstColumn="0" w:firstRowLastColumn="0" w:lastRowFirstColumn="0" w:lastRowLastColumn="0"/>
            <w:tcW w:w="5350" w:type="dxa"/>
            <w:noWrap/>
            <w:hideMark/>
          </w:tcPr>
          <w:p w:rsidR="003A5C20" w:rsidRDefault="003A5C20" w:rsidP="003A5C20">
            <w:pPr>
              <w:ind w:firstLineChars="100" w:firstLine="200"/>
              <w:rPr>
                <w:rFonts w:cs="Arial"/>
                <w:color w:val="000000"/>
                <w:szCs w:val="20"/>
              </w:rPr>
            </w:pPr>
            <w:r>
              <w:rPr>
                <w:rFonts w:cs="Arial"/>
                <w:color w:val="000000"/>
                <w:szCs w:val="20"/>
              </w:rPr>
              <w:t>Buildings and other structures</w:t>
            </w:r>
          </w:p>
        </w:tc>
        <w:tc>
          <w:tcPr>
            <w:tcW w:w="2016"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5</w:t>
            </w:r>
          </w:p>
        </w:tc>
        <w:tc>
          <w:tcPr>
            <w:tcW w:w="2132"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50.0%</w:t>
            </w:r>
          </w:p>
        </w:tc>
      </w:tr>
      <w:tr w:rsidR="003A5C20" w:rsidRPr="009C1A0B" w:rsidTr="00070B12">
        <w:trPr>
          <w:trHeight w:val="255"/>
        </w:trPr>
        <w:tc>
          <w:tcPr>
            <w:cnfStyle w:val="001000000000" w:firstRow="0" w:lastRow="0" w:firstColumn="1" w:lastColumn="0" w:oddVBand="0" w:evenVBand="0" w:oddHBand="0" w:evenHBand="0" w:firstRowFirstColumn="0" w:firstRowLastColumn="0" w:lastRowFirstColumn="0" w:lastRowLastColumn="0"/>
            <w:tcW w:w="5350" w:type="dxa"/>
            <w:noWrap/>
            <w:hideMark/>
          </w:tcPr>
          <w:p w:rsidR="003A5C20" w:rsidRDefault="003A5C20" w:rsidP="003A5C20">
            <w:pPr>
              <w:ind w:firstLineChars="100" w:firstLine="200"/>
              <w:rPr>
                <w:rFonts w:cs="Arial"/>
                <w:color w:val="000000"/>
                <w:szCs w:val="20"/>
              </w:rPr>
            </w:pPr>
            <w:r>
              <w:rPr>
                <w:rFonts w:cs="Arial"/>
                <w:color w:val="000000"/>
                <w:szCs w:val="20"/>
              </w:rPr>
              <w:t>Vegetation</w:t>
            </w:r>
          </w:p>
        </w:tc>
        <w:tc>
          <w:tcPr>
            <w:tcW w:w="2016"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2</w:t>
            </w:r>
          </w:p>
        </w:tc>
        <w:tc>
          <w:tcPr>
            <w:tcW w:w="2132"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20.0%</w:t>
            </w:r>
          </w:p>
        </w:tc>
      </w:tr>
      <w:tr w:rsidR="003A5C20" w:rsidRPr="009C1A0B" w:rsidTr="00070B12">
        <w:trPr>
          <w:trHeight w:val="255"/>
        </w:trPr>
        <w:tc>
          <w:tcPr>
            <w:cnfStyle w:val="001000000000" w:firstRow="0" w:lastRow="0" w:firstColumn="1" w:lastColumn="0" w:oddVBand="0" w:evenVBand="0" w:oddHBand="0" w:evenHBand="0" w:firstRowFirstColumn="0" w:firstRowLastColumn="0" w:lastRowFirstColumn="0" w:lastRowLastColumn="0"/>
            <w:tcW w:w="5350" w:type="dxa"/>
            <w:noWrap/>
            <w:hideMark/>
          </w:tcPr>
          <w:p w:rsidR="003A5C20" w:rsidRDefault="003A5C20" w:rsidP="003A5C20">
            <w:pPr>
              <w:ind w:firstLineChars="100" w:firstLine="200"/>
              <w:rPr>
                <w:rFonts w:cs="Arial"/>
                <w:color w:val="000000"/>
                <w:szCs w:val="20"/>
              </w:rPr>
            </w:pPr>
            <w:r>
              <w:rPr>
                <w:rFonts w:cs="Arial"/>
                <w:color w:val="000000"/>
                <w:szCs w:val="20"/>
              </w:rPr>
              <w:t>Weather and water</w:t>
            </w:r>
          </w:p>
        </w:tc>
        <w:tc>
          <w:tcPr>
            <w:tcW w:w="2016"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w:t>
            </w:r>
          </w:p>
        </w:tc>
        <w:tc>
          <w:tcPr>
            <w:tcW w:w="2132"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10.0%</w:t>
            </w:r>
          </w:p>
        </w:tc>
      </w:tr>
      <w:tr w:rsidR="003A5C20" w:rsidRPr="009C1A0B" w:rsidTr="00070B12">
        <w:trPr>
          <w:trHeight w:val="255"/>
        </w:trPr>
        <w:tc>
          <w:tcPr>
            <w:cnfStyle w:val="001000000000" w:firstRow="0" w:lastRow="0" w:firstColumn="1" w:lastColumn="0" w:oddVBand="0" w:evenVBand="0" w:oddHBand="0" w:evenHBand="0" w:firstRowFirstColumn="0" w:firstRowLastColumn="0" w:lastRowFirstColumn="0" w:lastRowLastColumn="0"/>
            <w:tcW w:w="5350" w:type="dxa"/>
            <w:noWrap/>
            <w:hideMark/>
          </w:tcPr>
          <w:p w:rsidR="003A5C20" w:rsidRDefault="003A5C20" w:rsidP="003A5C20">
            <w:pPr>
              <w:ind w:firstLineChars="100" w:firstLine="200"/>
              <w:rPr>
                <w:rFonts w:cs="Arial"/>
                <w:color w:val="000000"/>
                <w:szCs w:val="20"/>
              </w:rPr>
            </w:pPr>
            <w:r>
              <w:rPr>
                <w:rFonts w:cs="Arial"/>
                <w:color w:val="000000"/>
                <w:szCs w:val="20"/>
              </w:rPr>
              <w:t>Fencing</w:t>
            </w:r>
          </w:p>
        </w:tc>
        <w:tc>
          <w:tcPr>
            <w:tcW w:w="2016"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w:t>
            </w:r>
          </w:p>
        </w:tc>
        <w:tc>
          <w:tcPr>
            <w:tcW w:w="2132"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10.0%</w:t>
            </w:r>
          </w:p>
        </w:tc>
      </w:tr>
      <w:tr w:rsidR="003A5C20" w:rsidRPr="009C1A0B" w:rsidTr="00070B12">
        <w:trPr>
          <w:trHeight w:val="255"/>
        </w:trPr>
        <w:tc>
          <w:tcPr>
            <w:cnfStyle w:val="001000000000" w:firstRow="0" w:lastRow="0" w:firstColumn="1" w:lastColumn="0" w:oddVBand="0" w:evenVBand="0" w:oddHBand="0" w:evenHBand="0" w:firstRowFirstColumn="0" w:firstRowLastColumn="0" w:lastRowFirstColumn="0" w:lastRowLastColumn="0"/>
            <w:tcW w:w="5350" w:type="dxa"/>
            <w:noWrap/>
            <w:hideMark/>
          </w:tcPr>
          <w:p w:rsidR="003A5C20" w:rsidRDefault="003A5C20" w:rsidP="003A5C20">
            <w:pPr>
              <w:ind w:firstLineChars="100" w:firstLine="200"/>
              <w:rPr>
                <w:rFonts w:cs="Arial"/>
                <w:color w:val="000000"/>
                <w:szCs w:val="20"/>
              </w:rPr>
            </w:pPr>
            <w:r>
              <w:rPr>
                <w:rFonts w:cs="Arial"/>
                <w:color w:val="000000"/>
                <w:szCs w:val="20"/>
              </w:rPr>
              <w:t>Traffic and ground surfaces other</w:t>
            </w:r>
          </w:p>
        </w:tc>
        <w:tc>
          <w:tcPr>
            <w:tcW w:w="2016"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w:t>
            </w:r>
          </w:p>
        </w:tc>
        <w:tc>
          <w:tcPr>
            <w:tcW w:w="2132"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10.0%</w:t>
            </w:r>
          </w:p>
        </w:tc>
      </w:tr>
      <w:tr w:rsidR="003A5C20" w:rsidRPr="009C1A0B" w:rsidTr="00070B12">
        <w:trPr>
          <w:trHeight w:val="255"/>
        </w:trPr>
        <w:tc>
          <w:tcPr>
            <w:cnfStyle w:val="001000000000" w:firstRow="0" w:lastRow="0" w:firstColumn="1" w:lastColumn="0" w:oddVBand="0" w:evenVBand="0" w:oddHBand="0" w:evenHBand="0" w:firstRowFirstColumn="0" w:firstRowLastColumn="0" w:lastRowFirstColumn="0" w:lastRowLastColumn="0"/>
            <w:tcW w:w="5350" w:type="dxa"/>
            <w:noWrap/>
            <w:hideMark/>
          </w:tcPr>
          <w:p w:rsidR="003A5C20" w:rsidRDefault="003A5C20" w:rsidP="003A5C20">
            <w:pPr>
              <w:rPr>
                <w:rFonts w:cs="Arial"/>
                <w:b/>
                <w:bCs/>
                <w:color w:val="000000"/>
                <w:szCs w:val="20"/>
              </w:rPr>
            </w:pPr>
            <w:r>
              <w:rPr>
                <w:rFonts w:cs="Arial"/>
                <w:b/>
                <w:bCs/>
                <w:color w:val="000000"/>
                <w:szCs w:val="20"/>
              </w:rPr>
              <w:t>Powered equipment, tools  and  appliances</w:t>
            </w:r>
          </w:p>
        </w:tc>
        <w:tc>
          <w:tcPr>
            <w:tcW w:w="2016"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8</w:t>
            </w:r>
          </w:p>
        </w:tc>
        <w:tc>
          <w:tcPr>
            <w:tcW w:w="2132"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15.1%</w:t>
            </w:r>
          </w:p>
        </w:tc>
      </w:tr>
      <w:tr w:rsidR="003A5C20" w:rsidRPr="009C1A0B" w:rsidTr="00070B12">
        <w:trPr>
          <w:trHeight w:val="255"/>
        </w:trPr>
        <w:tc>
          <w:tcPr>
            <w:cnfStyle w:val="001000000000" w:firstRow="0" w:lastRow="0" w:firstColumn="1" w:lastColumn="0" w:oddVBand="0" w:evenVBand="0" w:oddHBand="0" w:evenHBand="0" w:firstRowFirstColumn="0" w:firstRowLastColumn="0" w:lastRowFirstColumn="0" w:lastRowLastColumn="0"/>
            <w:tcW w:w="5350" w:type="dxa"/>
            <w:noWrap/>
            <w:hideMark/>
          </w:tcPr>
          <w:p w:rsidR="003A5C20" w:rsidRDefault="003A5C20" w:rsidP="003A5C20">
            <w:pPr>
              <w:ind w:firstLineChars="100" w:firstLine="200"/>
              <w:rPr>
                <w:rFonts w:cs="Arial"/>
                <w:color w:val="000000"/>
                <w:szCs w:val="20"/>
              </w:rPr>
            </w:pPr>
            <w:r>
              <w:rPr>
                <w:rFonts w:cs="Arial"/>
                <w:color w:val="000000"/>
                <w:szCs w:val="20"/>
              </w:rPr>
              <w:t>Weapons</w:t>
            </w:r>
          </w:p>
        </w:tc>
        <w:tc>
          <w:tcPr>
            <w:tcW w:w="2016"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5</w:t>
            </w:r>
          </w:p>
        </w:tc>
        <w:tc>
          <w:tcPr>
            <w:tcW w:w="2132"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62.5%</w:t>
            </w:r>
          </w:p>
        </w:tc>
      </w:tr>
      <w:tr w:rsidR="003A5C20" w:rsidRPr="009C1A0B" w:rsidTr="00070B12">
        <w:trPr>
          <w:trHeight w:val="255"/>
        </w:trPr>
        <w:tc>
          <w:tcPr>
            <w:cnfStyle w:val="001000000000" w:firstRow="0" w:lastRow="0" w:firstColumn="1" w:lastColumn="0" w:oddVBand="0" w:evenVBand="0" w:oddHBand="0" w:evenHBand="0" w:firstRowFirstColumn="0" w:firstRowLastColumn="0" w:lastRowFirstColumn="0" w:lastRowLastColumn="0"/>
            <w:tcW w:w="5350" w:type="dxa"/>
            <w:noWrap/>
            <w:hideMark/>
          </w:tcPr>
          <w:p w:rsidR="003A5C20" w:rsidRDefault="003A5C20" w:rsidP="003A5C20">
            <w:pPr>
              <w:ind w:firstLineChars="100" w:firstLine="200"/>
              <w:rPr>
                <w:rFonts w:cs="Arial"/>
                <w:color w:val="000000"/>
                <w:szCs w:val="20"/>
              </w:rPr>
            </w:pPr>
            <w:r>
              <w:rPr>
                <w:rFonts w:cs="Arial"/>
                <w:color w:val="000000"/>
                <w:szCs w:val="20"/>
              </w:rPr>
              <w:t>Arc welding equipment</w:t>
            </w:r>
          </w:p>
        </w:tc>
        <w:tc>
          <w:tcPr>
            <w:tcW w:w="2016"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3</w:t>
            </w:r>
          </w:p>
        </w:tc>
        <w:tc>
          <w:tcPr>
            <w:tcW w:w="2132"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37.5%</w:t>
            </w:r>
          </w:p>
        </w:tc>
      </w:tr>
      <w:tr w:rsidR="003A5C20" w:rsidRPr="009C1A0B" w:rsidTr="00070B12">
        <w:trPr>
          <w:trHeight w:val="255"/>
        </w:trPr>
        <w:tc>
          <w:tcPr>
            <w:cnfStyle w:val="001000000000" w:firstRow="0" w:lastRow="0" w:firstColumn="1" w:lastColumn="0" w:oddVBand="0" w:evenVBand="0" w:oddHBand="0" w:evenHBand="0" w:firstRowFirstColumn="0" w:firstRowLastColumn="0" w:lastRowFirstColumn="0" w:lastRowLastColumn="0"/>
            <w:tcW w:w="5350" w:type="dxa"/>
            <w:noWrap/>
            <w:hideMark/>
          </w:tcPr>
          <w:p w:rsidR="003A5C20" w:rsidRDefault="003A5C20" w:rsidP="003A5C20">
            <w:pPr>
              <w:rPr>
                <w:rFonts w:cs="Arial"/>
                <w:b/>
                <w:bCs/>
                <w:color w:val="000000"/>
                <w:szCs w:val="20"/>
              </w:rPr>
            </w:pPr>
            <w:r>
              <w:rPr>
                <w:rFonts w:cs="Arial"/>
                <w:b/>
                <w:bCs/>
                <w:color w:val="000000"/>
                <w:szCs w:val="20"/>
              </w:rPr>
              <w:t>Mobile plant  and  transport</w:t>
            </w:r>
          </w:p>
        </w:tc>
        <w:tc>
          <w:tcPr>
            <w:tcW w:w="2016"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7</w:t>
            </w:r>
          </w:p>
        </w:tc>
        <w:tc>
          <w:tcPr>
            <w:tcW w:w="2132"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13.2%</w:t>
            </w:r>
          </w:p>
        </w:tc>
      </w:tr>
      <w:tr w:rsidR="003A5C20" w:rsidRPr="009C1A0B" w:rsidTr="00070B12">
        <w:trPr>
          <w:trHeight w:val="255"/>
        </w:trPr>
        <w:tc>
          <w:tcPr>
            <w:cnfStyle w:val="001000000000" w:firstRow="0" w:lastRow="0" w:firstColumn="1" w:lastColumn="0" w:oddVBand="0" w:evenVBand="0" w:oddHBand="0" w:evenHBand="0" w:firstRowFirstColumn="0" w:firstRowLastColumn="0" w:lastRowFirstColumn="0" w:lastRowLastColumn="0"/>
            <w:tcW w:w="5350" w:type="dxa"/>
            <w:noWrap/>
            <w:hideMark/>
          </w:tcPr>
          <w:p w:rsidR="003A5C20" w:rsidRDefault="003A5C20" w:rsidP="003A5C20">
            <w:pPr>
              <w:rPr>
                <w:rFonts w:cs="Arial"/>
                <w:b/>
                <w:bCs/>
                <w:color w:val="000000"/>
                <w:szCs w:val="20"/>
              </w:rPr>
            </w:pPr>
            <w:r>
              <w:rPr>
                <w:rFonts w:cs="Arial"/>
                <w:b/>
                <w:bCs/>
                <w:color w:val="000000"/>
                <w:szCs w:val="20"/>
              </w:rPr>
              <w:t>Machinery  and  (mainly) fixed plant</w:t>
            </w:r>
          </w:p>
        </w:tc>
        <w:tc>
          <w:tcPr>
            <w:tcW w:w="2016"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7</w:t>
            </w:r>
          </w:p>
        </w:tc>
        <w:tc>
          <w:tcPr>
            <w:tcW w:w="2132"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13.2%</w:t>
            </w:r>
          </w:p>
        </w:tc>
      </w:tr>
      <w:tr w:rsidR="003A5C20" w:rsidRPr="009C1A0B" w:rsidTr="00070B12">
        <w:trPr>
          <w:trHeight w:val="255"/>
        </w:trPr>
        <w:tc>
          <w:tcPr>
            <w:cnfStyle w:val="001000000000" w:firstRow="0" w:lastRow="0" w:firstColumn="1" w:lastColumn="0" w:oddVBand="0" w:evenVBand="0" w:oddHBand="0" w:evenHBand="0" w:firstRowFirstColumn="0" w:firstRowLastColumn="0" w:lastRowFirstColumn="0" w:lastRowLastColumn="0"/>
            <w:tcW w:w="5350" w:type="dxa"/>
            <w:noWrap/>
            <w:hideMark/>
          </w:tcPr>
          <w:p w:rsidR="003A5C20" w:rsidRDefault="003A5C20" w:rsidP="003A5C20">
            <w:pPr>
              <w:rPr>
                <w:rFonts w:cs="Arial"/>
                <w:b/>
                <w:bCs/>
                <w:color w:val="000000"/>
                <w:szCs w:val="20"/>
              </w:rPr>
            </w:pPr>
            <w:r>
              <w:rPr>
                <w:rFonts w:cs="Arial"/>
                <w:b/>
                <w:bCs/>
                <w:color w:val="000000"/>
                <w:szCs w:val="20"/>
              </w:rPr>
              <w:t xml:space="preserve">Non-powered </w:t>
            </w:r>
            <w:proofErr w:type="spellStart"/>
            <w:r>
              <w:rPr>
                <w:rFonts w:cs="Arial"/>
                <w:b/>
                <w:bCs/>
                <w:color w:val="000000"/>
                <w:szCs w:val="20"/>
              </w:rPr>
              <w:t>handtools</w:t>
            </w:r>
            <w:proofErr w:type="spellEnd"/>
            <w:r>
              <w:rPr>
                <w:rFonts w:cs="Arial"/>
                <w:b/>
                <w:bCs/>
                <w:color w:val="000000"/>
                <w:szCs w:val="20"/>
              </w:rPr>
              <w:t>, appliances  and  equipment</w:t>
            </w:r>
          </w:p>
        </w:tc>
        <w:tc>
          <w:tcPr>
            <w:tcW w:w="2016"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5</w:t>
            </w:r>
          </w:p>
        </w:tc>
        <w:tc>
          <w:tcPr>
            <w:tcW w:w="2132"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9.4%</w:t>
            </w:r>
          </w:p>
        </w:tc>
      </w:tr>
      <w:tr w:rsidR="003A5C20" w:rsidRPr="009C1A0B" w:rsidTr="00070B12">
        <w:trPr>
          <w:trHeight w:val="255"/>
        </w:trPr>
        <w:tc>
          <w:tcPr>
            <w:cnfStyle w:val="001000000000" w:firstRow="0" w:lastRow="0" w:firstColumn="1" w:lastColumn="0" w:oddVBand="0" w:evenVBand="0" w:oddHBand="0" w:evenHBand="0" w:firstRowFirstColumn="0" w:firstRowLastColumn="0" w:lastRowFirstColumn="0" w:lastRowLastColumn="0"/>
            <w:tcW w:w="5350" w:type="dxa"/>
            <w:noWrap/>
            <w:hideMark/>
          </w:tcPr>
          <w:p w:rsidR="003A5C20" w:rsidRDefault="003A5C20" w:rsidP="003A5C20">
            <w:pPr>
              <w:rPr>
                <w:rFonts w:cs="Arial"/>
                <w:b/>
                <w:bCs/>
                <w:color w:val="000000"/>
                <w:szCs w:val="20"/>
              </w:rPr>
            </w:pPr>
            <w:r>
              <w:rPr>
                <w:rFonts w:cs="Arial"/>
                <w:b/>
                <w:bCs/>
                <w:color w:val="000000"/>
                <w:szCs w:val="20"/>
              </w:rPr>
              <w:t>Total</w:t>
            </w:r>
          </w:p>
        </w:tc>
        <w:tc>
          <w:tcPr>
            <w:tcW w:w="2016"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53</w:t>
            </w:r>
          </w:p>
        </w:tc>
        <w:tc>
          <w:tcPr>
            <w:tcW w:w="2132" w:type="dxa"/>
            <w:noWrap/>
            <w:hideMark/>
          </w:tcPr>
          <w:p w:rsidR="003A5C20" w:rsidRDefault="003A5C20" w:rsidP="003A5C20">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100.0%</w:t>
            </w:r>
          </w:p>
        </w:tc>
      </w:tr>
    </w:tbl>
    <w:p w:rsidR="0075723F" w:rsidRPr="005E6422" w:rsidRDefault="00C234F2" w:rsidP="0075723F">
      <w:pPr>
        <w:pStyle w:val="Footnote"/>
      </w:pPr>
      <w:r w:rsidRPr="00C234F2">
        <w:t>The sum of percentages may not equal 100% due to rounding.</w:t>
      </w:r>
      <w:r>
        <w:br/>
      </w:r>
      <w:r w:rsidR="0075723F" w:rsidRPr="005E6422">
        <w:t>Source: Traumatic Injury Fatalities database.</w:t>
      </w:r>
    </w:p>
    <w:p w:rsidR="0075723F" w:rsidRDefault="0075723F" w:rsidP="0075723F">
      <w:pPr>
        <w:pStyle w:val="Heading1"/>
      </w:pPr>
      <w:bookmarkStart w:id="39" w:name="_Toc453938280"/>
      <w:bookmarkStart w:id="40" w:name="_Toc459720373"/>
      <w:r>
        <w:lastRenderedPageBreak/>
        <w:t>Workers’ compensation claims</w:t>
      </w:r>
      <w:bookmarkEnd w:id="39"/>
      <w:bookmarkEnd w:id="40"/>
    </w:p>
    <w:p w:rsidR="0075723F" w:rsidRDefault="0075723F" w:rsidP="0075723F">
      <w:r>
        <w:t xml:space="preserve">The workers’ compensation statistics in this chapter come from Safe Work Australia’s </w:t>
      </w:r>
      <w:r w:rsidRPr="000A2D9A">
        <w:t xml:space="preserve">National Data Set for Compensation-Based Statistics </w:t>
      </w:r>
      <w:r>
        <w:t xml:space="preserve">(NDS). The NDS is a collection of </w:t>
      </w:r>
      <w:r w:rsidRPr="005E6422">
        <w:t xml:space="preserve">workers’ compensation </w:t>
      </w:r>
      <w:r>
        <w:t xml:space="preserve">data from </w:t>
      </w:r>
      <w:r w:rsidRPr="005E6422">
        <w:t xml:space="preserve">each </w:t>
      </w:r>
      <w:r>
        <w:t>Australian jurisdiction. D</w:t>
      </w:r>
      <w:r w:rsidRPr="004A37FF">
        <w:t xml:space="preserve">ata for 2013–14 are preliminary </w:t>
      </w:r>
      <w:r w:rsidRPr="00993A94">
        <w:t>(denoted by 'p' in tables and figures)</w:t>
      </w:r>
      <w:r>
        <w:t xml:space="preserve"> </w:t>
      </w:r>
      <w:r w:rsidRPr="004A37FF">
        <w:t>and are subject to revision.</w:t>
      </w:r>
      <w:r>
        <w:t xml:space="preserve"> Below are the main limitations of the NDS data in this chapter:</w:t>
      </w:r>
    </w:p>
    <w:p w:rsidR="0075723F" w:rsidRDefault="0075723F" w:rsidP="0075723F">
      <w:pPr>
        <w:numPr>
          <w:ilvl w:val="0"/>
          <w:numId w:val="14"/>
        </w:numPr>
      </w:pPr>
      <w:r>
        <w:t xml:space="preserve">Only serious claims are presented. </w:t>
      </w:r>
      <w:r w:rsidRPr="005E6422">
        <w:t>A serious claim is an accepted workers’ compensation claim that involves one or more weeks away from work and excludes all fatalities, and all injuries experienced while travelling to or from work or while on a break away from the workplace.</w:t>
      </w:r>
    </w:p>
    <w:p w:rsidR="0075723F" w:rsidRDefault="0075723F" w:rsidP="0075723F">
      <w:pPr>
        <w:numPr>
          <w:ilvl w:val="0"/>
          <w:numId w:val="14"/>
        </w:numPr>
      </w:pPr>
      <w:r>
        <w:t>W</w:t>
      </w:r>
      <w:r w:rsidRPr="005E6422">
        <w:t xml:space="preserve">orkers’ compensation schemes do not generally cover self-employed workers. </w:t>
      </w:r>
      <w:r>
        <w:t xml:space="preserve">Because a relatively high percentage </w:t>
      </w:r>
      <w:r w:rsidRPr="005E6422">
        <w:t xml:space="preserve">of </w:t>
      </w:r>
      <w:r>
        <w:t>agricultural workers are</w:t>
      </w:r>
      <w:r w:rsidRPr="005E6422">
        <w:t xml:space="preserve"> self</w:t>
      </w:r>
      <w:r>
        <w:t>-employed</w:t>
      </w:r>
      <w:r w:rsidRPr="005E6422">
        <w:t xml:space="preserve">, </w:t>
      </w:r>
      <w:r>
        <w:t xml:space="preserve">NDS data under-represents the number of </w:t>
      </w:r>
      <w:r w:rsidRPr="005E6422">
        <w:t xml:space="preserve">injuries and diseases </w:t>
      </w:r>
      <w:r>
        <w:t>of agricultural workers more than it does for workers in other industries. The denominators used to calculate rates were adjusted to only include agricultural workers who are eligible for workers’ compensation (this adjustment was also done for other industries). Therefore, the rates of serious claims for the agricultural industry can be compared to the rates for other industries.</w:t>
      </w:r>
    </w:p>
    <w:p w:rsidR="0075723F" w:rsidRPr="005E6422" w:rsidRDefault="0075723F" w:rsidP="0075723F">
      <w:pPr>
        <w:numPr>
          <w:ilvl w:val="0"/>
          <w:numId w:val="14"/>
        </w:numPr>
      </w:pPr>
      <w:r>
        <w:t>Some employees who are eligible for workers’ compensation do not lodge a claim after a work-related injury or disease.</w:t>
      </w:r>
    </w:p>
    <w:p w:rsidR="0075723F" w:rsidRPr="005E6422" w:rsidRDefault="0075723F" w:rsidP="0075723F">
      <w:pPr>
        <w:numPr>
          <w:ilvl w:val="0"/>
          <w:numId w:val="14"/>
        </w:numPr>
      </w:pPr>
      <w:r w:rsidRPr="005E6422">
        <w:t>Diseases are under-represented because many diseases result from long-term exposure to agen</w:t>
      </w:r>
      <w:r>
        <w:t xml:space="preserve">ts or have long latency periods and this </w:t>
      </w:r>
      <w:r w:rsidRPr="005E6422">
        <w:t>makes the link between the work-related disease and the workplace difficult to establish.</w:t>
      </w:r>
    </w:p>
    <w:p w:rsidR="0075723F" w:rsidRDefault="0075723F" w:rsidP="0075723F">
      <w:pPr>
        <w:pStyle w:val="Heading2"/>
      </w:pPr>
      <w:bookmarkStart w:id="41" w:name="_Toc453938281"/>
      <w:bookmarkStart w:id="42" w:name="_Toc459720374"/>
      <w:r>
        <w:t>Comparison with other industries</w:t>
      </w:r>
      <w:bookmarkEnd w:id="41"/>
      <w:bookmarkEnd w:id="42"/>
    </w:p>
    <w:p w:rsidR="0075723F" w:rsidRPr="005E6422" w:rsidRDefault="0075723F" w:rsidP="0075723F">
      <w:r>
        <w:t xml:space="preserve">Of the 596 855 serious claims lodged between </w:t>
      </w:r>
      <w:r w:rsidRPr="005E6422">
        <w:t>2009–10 and 2013–14</w:t>
      </w:r>
      <w:r>
        <w:t xml:space="preserve">, 16 185 were made by employees in the agricultural industry. </w:t>
      </w:r>
      <w:r w:rsidRPr="005E6422">
        <w:t xml:space="preserve">Over the five-year period, the </w:t>
      </w:r>
      <w:r>
        <w:t xml:space="preserve">frequency </w:t>
      </w:r>
      <w:r w:rsidRPr="005E6422">
        <w:t xml:space="preserve">rate for </w:t>
      </w:r>
      <w:r>
        <w:t>agricultural employees</w:t>
      </w:r>
      <w:r w:rsidR="00785767">
        <w:t xml:space="preserve"> was 11</w:t>
      </w:r>
      <w:r w:rsidR="00B23184">
        <w:t>.0</w:t>
      </w:r>
      <w:r w:rsidRPr="005E6422">
        <w:t xml:space="preserve"> serious claims pe</w:t>
      </w:r>
      <w:r>
        <w:t>r million hours worked, which i</w:t>
      </w:r>
      <w:r w:rsidRPr="005E6422">
        <w:t xml:space="preserve">s 59 per cent higher than the rate for all industries (6.9) and higher than </w:t>
      </w:r>
      <w:r>
        <w:t>every other industry. Figure 3</w:t>
      </w:r>
      <w:r w:rsidRPr="005E6422">
        <w:t xml:space="preserve"> shows </w:t>
      </w:r>
      <w:r>
        <w:t xml:space="preserve">frequency </w:t>
      </w:r>
      <w:r w:rsidRPr="005E6422">
        <w:t>rate</w:t>
      </w:r>
      <w:r>
        <w:t>s</w:t>
      </w:r>
      <w:r w:rsidRPr="005E6422">
        <w:t xml:space="preserve"> of serious claims </w:t>
      </w:r>
      <w:r>
        <w:t xml:space="preserve">by industry </w:t>
      </w:r>
      <w:r w:rsidRPr="005E6422">
        <w:t>for the period between 2009–10 and 2013–14.</w:t>
      </w:r>
    </w:p>
    <w:p w:rsidR="0075723F" w:rsidRPr="005E6422" w:rsidRDefault="0075723F" w:rsidP="0075723F">
      <w:pPr>
        <w:pStyle w:val="Heading4"/>
      </w:pPr>
      <w:r>
        <w:t xml:space="preserve">Figure </w:t>
      </w:r>
      <w:fldSimple w:instr=" SEQ Figure \* ARABIC ">
        <w:r w:rsidR="001A7C10">
          <w:rPr>
            <w:noProof/>
          </w:rPr>
          <w:t>3</w:t>
        </w:r>
      </w:fldSimple>
      <w:r>
        <w:t>: Frequency</w:t>
      </w:r>
      <w:r w:rsidRPr="005E6422">
        <w:t xml:space="preserve"> </w:t>
      </w:r>
      <w:r>
        <w:t>r</w:t>
      </w:r>
      <w:r w:rsidRPr="005E6422">
        <w:t>ates of serious claims by industry, 2009–10 to 2013–</w:t>
      </w:r>
      <w:proofErr w:type="spellStart"/>
      <w:r w:rsidRPr="005E6422">
        <w:t>14</w:t>
      </w:r>
      <w:r>
        <w:t>p</w:t>
      </w:r>
      <w:proofErr w:type="spellEnd"/>
      <w:r>
        <w:t xml:space="preserve"> combined</w:t>
      </w:r>
    </w:p>
    <w:p w:rsidR="0075723F" w:rsidRPr="005E6422" w:rsidRDefault="0075723F" w:rsidP="0075723F">
      <w:r>
        <w:rPr>
          <w:noProof/>
        </w:rPr>
        <w:drawing>
          <wp:inline distT="0" distB="0" distL="0" distR="0" wp14:anchorId="72BF8F75" wp14:editId="39EF7C62">
            <wp:extent cx="5400000" cy="3438075"/>
            <wp:effectExtent l="0" t="0" r="10795" b="10160"/>
            <wp:docPr id="8" name="Chart 8" descr="The frequency rate for agricultural employees was 11 serious claims per million hours worked, which is 59 per cent higher than the rate for all industries (6.9) and higher than every other industry.&#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5723F" w:rsidRPr="008016F8" w:rsidRDefault="0075723F" w:rsidP="0075723F">
      <w:pPr>
        <w:pStyle w:val="Footnote"/>
      </w:pPr>
      <w:r w:rsidRPr="008016F8">
        <w:t>Source: National Data Set for Compensation-Based Statistics.</w:t>
      </w:r>
    </w:p>
    <w:p w:rsidR="0075723F" w:rsidRDefault="0075723F" w:rsidP="0075723F"/>
    <w:p w:rsidR="0075723F" w:rsidRPr="005E6422" w:rsidRDefault="0075723F" w:rsidP="0075723F">
      <w:r w:rsidRPr="005E6422">
        <w:lastRenderedPageBreak/>
        <w:t xml:space="preserve">Although the </w:t>
      </w:r>
      <w:r>
        <w:t xml:space="preserve">frequency </w:t>
      </w:r>
      <w:r w:rsidRPr="005E6422">
        <w:t xml:space="preserve">rate </w:t>
      </w:r>
      <w:r>
        <w:t xml:space="preserve">of serious claims </w:t>
      </w:r>
      <w:r w:rsidRPr="005E6422">
        <w:t xml:space="preserve">for the </w:t>
      </w:r>
      <w:r>
        <w:t>agricultural industry i</w:t>
      </w:r>
      <w:r w:rsidRPr="005E6422">
        <w:t xml:space="preserve">s 59 per cent higher than the rate for all industries, the median </w:t>
      </w:r>
      <w:r>
        <w:t>amount of compensation ($7 700) i</w:t>
      </w:r>
      <w:r w:rsidRPr="005E6422">
        <w:t xml:space="preserve">s 13 per cent lower than the median for all industries ($8 800). The median time lost for the </w:t>
      </w:r>
      <w:r>
        <w:t>agricultural industry (5.8 working weeks) i</w:t>
      </w:r>
      <w:r w:rsidRPr="005E6422">
        <w:t>s 7 per cent higher than the median time lost for all industries (5.4 working weeks).</w:t>
      </w:r>
    </w:p>
    <w:p w:rsidR="0075723F" w:rsidRDefault="0075723F" w:rsidP="0075723F">
      <w:pPr>
        <w:pStyle w:val="Heading2"/>
      </w:pPr>
      <w:bookmarkStart w:id="43" w:name="_Toc453938282"/>
      <w:bookmarkStart w:id="44" w:name="_Toc459720375"/>
      <w:r>
        <w:t>Trends over time</w:t>
      </w:r>
      <w:bookmarkEnd w:id="43"/>
      <w:bookmarkEnd w:id="44"/>
    </w:p>
    <w:p w:rsidR="0075723F" w:rsidRPr="005E6422" w:rsidRDefault="0075723F" w:rsidP="0075723F">
      <w:r>
        <w:t xml:space="preserve">The rate of serious claims for agricultural employees is falling slower than the national rate. </w:t>
      </w:r>
      <w:r w:rsidRPr="005E6422">
        <w:t>F</w:t>
      </w:r>
      <w:r>
        <w:t>igure 4</w:t>
      </w:r>
      <w:r w:rsidRPr="005E6422">
        <w:t xml:space="preserve"> shows that the </w:t>
      </w:r>
      <w:r>
        <w:t xml:space="preserve">frequency </w:t>
      </w:r>
      <w:r w:rsidRPr="005E6422">
        <w:t xml:space="preserve">rate of serious claims for the </w:t>
      </w:r>
      <w:r>
        <w:t>agricultural</w:t>
      </w:r>
      <w:r w:rsidRPr="005E6422">
        <w:t xml:space="preserve"> indust</w:t>
      </w:r>
      <w:r w:rsidR="00785767">
        <w:t>ry fell by 14 per cent from 14</w:t>
      </w:r>
      <w:r w:rsidR="00B23184">
        <w:t>.0</w:t>
      </w:r>
      <w:r w:rsidRPr="005E6422">
        <w:t xml:space="preserve"> serious claims per million hours worked in 2000–01 to 12.1 in 2012–13. Over the same period, however, the </w:t>
      </w:r>
      <w:r>
        <w:t xml:space="preserve">frequency </w:t>
      </w:r>
      <w:r w:rsidRPr="005E6422">
        <w:t>rate for all industries fell by 31 per cent from 9.5 to 6.6.</w:t>
      </w:r>
      <w:r>
        <w:t xml:space="preserve"> Data for 2013–14 are preliminary and are excluded when calculating the percentage change over time.</w:t>
      </w:r>
    </w:p>
    <w:p w:rsidR="0075723F" w:rsidRPr="005E6422" w:rsidRDefault="0075723F" w:rsidP="0075723F">
      <w:pPr>
        <w:pStyle w:val="Heading4"/>
      </w:pPr>
      <w:r>
        <w:t xml:space="preserve">Figure </w:t>
      </w:r>
      <w:fldSimple w:instr=" SEQ Figure \* ARABIC ">
        <w:r w:rsidR="001A7C10">
          <w:rPr>
            <w:noProof/>
          </w:rPr>
          <w:t>4</w:t>
        </w:r>
      </w:fldSimple>
      <w:r>
        <w:t>: Frequency r</w:t>
      </w:r>
      <w:r w:rsidRPr="005E6422">
        <w:t xml:space="preserve">ates of serious claims for the </w:t>
      </w:r>
      <w:r>
        <w:t>agricultural</w:t>
      </w:r>
      <w:r w:rsidRPr="005E6422">
        <w:t xml:space="preserve"> industry and all industries, 2000–01 to 2013–</w:t>
      </w:r>
      <w:proofErr w:type="spellStart"/>
      <w:r w:rsidRPr="005E6422">
        <w:t>14</w:t>
      </w:r>
      <w:r>
        <w:t>p</w:t>
      </w:r>
      <w:proofErr w:type="spellEnd"/>
    </w:p>
    <w:p w:rsidR="0075723F" w:rsidRPr="005E6422" w:rsidRDefault="0075723F" w:rsidP="0075723F">
      <w:r>
        <w:rPr>
          <w:noProof/>
        </w:rPr>
        <w:drawing>
          <wp:inline distT="0" distB="0" distL="0" distR="0" wp14:anchorId="33837F43" wp14:editId="56B60801">
            <wp:extent cx="5400000" cy="3240000"/>
            <wp:effectExtent l="0" t="0" r="10795" b="17780"/>
            <wp:docPr id="16" name="Chart 16" descr="The frequency rate of serious claims for the agricultural industry fell by 14 per cent from 14 serious claims per million hours worked in 2000–01 to 12.1 in 2012–13.&#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5723F" w:rsidRPr="008016F8" w:rsidRDefault="0075723F" w:rsidP="0075723F">
      <w:pPr>
        <w:pStyle w:val="Footnote"/>
      </w:pPr>
      <w:r w:rsidRPr="008016F8">
        <w:t>Source: National Data Set for Compensation-Based Statistics.</w:t>
      </w:r>
    </w:p>
    <w:p w:rsidR="0075723F" w:rsidRDefault="0075723F" w:rsidP="0075723F">
      <w:pPr>
        <w:pStyle w:val="Heading2"/>
      </w:pPr>
      <w:bookmarkStart w:id="45" w:name="_Toc453938283"/>
      <w:bookmarkStart w:id="46" w:name="_Toc459720376"/>
      <w:r>
        <w:t>Agricultural subdivisions</w:t>
      </w:r>
      <w:bookmarkEnd w:id="45"/>
      <w:bookmarkEnd w:id="46"/>
    </w:p>
    <w:p w:rsidR="0075723F" w:rsidRDefault="0075723F" w:rsidP="0075723F">
      <w:r>
        <w:t xml:space="preserve">Frequency </w:t>
      </w:r>
      <w:r w:rsidRPr="005E6422">
        <w:t xml:space="preserve">rates </w:t>
      </w:r>
      <w:r>
        <w:t xml:space="preserve">of serious claims </w:t>
      </w:r>
      <w:r w:rsidRPr="005E6422">
        <w:t xml:space="preserve">vary considerably by industry </w:t>
      </w:r>
      <w:r>
        <w:t>subdivision</w:t>
      </w:r>
      <w:r w:rsidRPr="005E6422">
        <w:t xml:space="preserve">. </w:t>
      </w:r>
      <w:r>
        <w:t>Agricultural worker</w:t>
      </w:r>
      <w:r w:rsidRPr="005E6422">
        <w:t xml:space="preserve">s in the other </w:t>
      </w:r>
      <w:r>
        <w:t>livestock farming</w:t>
      </w:r>
      <w:r w:rsidRPr="005E6422">
        <w:t xml:space="preserve"> </w:t>
      </w:r>
      <w:r>
        <w:t>subdivision</w:t>
      </w:r>
      <w:r w:rsidRPr="005E6422">
        <w:t xml:space="preserve"> had the highest </w:t>
      </w:r>
      <w:r>
        <w:t>frequency</w:t>
      </w:r>
      <w:r w:rsidRPr="005E6422">
        <w:t xml:space="preserve"> rate (</w:t>
      </w:r>
      <w:r>
        <w:t>21.1</w:t>
      </w:r>
      <w:r w:rsidRPr="005E6422">
        <w:t xml:space="preserve"> </w:t>
      </w:r>
      <w:r>
        <w:t>serious claims per million hours worked), which i</w:t>
      </w:r>
      <w:r w:rsidRPr="005E6422">
        <w:t xml:space="preserve">s </w:t>
      </w:r>
      <w:r>
        <w:t>almost</w:t>
      </w:r>
      <w:r w:rsidRPr="005E6422">
        <w:t xml:space="preserve"> double the rate for all </w:t>
      </w:r>
      <w:r>
        <w:t>agricultural worker</w:t>
      </w:r>
      <w:r w:rsidRPr="005E6422">
        <w:t>s</w:t>
      </w:r>
      <w:r w:rsidR="00785767">
        <w:t xml:space="preserve"> (11</w:t>
      </w:r>
      <w:r w:rsidR="00B23184">
        <w:t>.0</w:t>
      </w:r>
      <w:r>
        <w:t>)</w:t>
      </w:r>
      <w:r w:rsidRPr="005E6422">
        <w:t xml:space="preserve">. </w:t>
      </w:r>
      <w:r w:rsidRPr="00546B4F">
        <w:t xml:space="preserve">The other livestock farming </w:t>
      </w:r>
      <w:r>
        <w:t xml:space="preserve">subdivision is comprised of </w:t>
      </w:r>
      <w:r w:rsidRPr="00546B4F">
        <w:t xml:space="preserve">businesses that </w:t>
      </w:r>
      <w:r>
        <w:t xml:space="preserve">breed </w:t>
      </w:r>
      <w:r w:rsidRPr="006904EF">
        <w:t xml:space="preserve">or </w:t>
      </w:r>
      <w:r>
        <w:t>keep</w:t>
      </w:r>
      <w:r w:rsidRPr="006904EF">
        <w:t xml:space="preserve"> </w:t>
      </w:r>
      <w:r>
        <w:t xml:space="preserve">horses, pigs, bees and other </w:t>
      </w:r>
      <w:r w:rsidRPr="00546B4F">
        <w:t xml:space="preserve">animals </w:t>
      </w:r>
      <w:r>
        <w:t xml:space="preserve">that are </w:t>
      </w:r>
      <w:r w:rsidRPr="00546B4F">
        <w:t>not classified elsewhere.</w:t>
      </w:r>
      <w:r w:rsidRPr="005E6422">
        <w:t xml:space="preserve"> </w:t>
      </w:r>
      <w:r>
        <w:t>The dairy cattle farming subdivision had the lowest frequency rate (6.9) over the five-year period.</w:t>
      </w:r>
    </w:p>
    <w:p w:rsidR="0075723F" w:rsidRDefault="0075723F" w:rsidP="0075723F">
      <w:r>
        <w:t xml:space="preserve">The highest median time lost occurred in the dairy cattle farming subdivision (7.2 working weeks) and the highest median amount of compensation occurred in the </w:t>
      </w:r>
      <w:r w:rsidRPr="006E4E64">
        <w:t>sheep, beef cattle and grain farming</w:t>
      </w:r>
      <w:r>
        <w:t xml:space="preserve"> subdivision ($8 900).</w:t>
      </w:r>
    </w:p>
    <w:p w:rsidR="00196611" w:rsidRDefault="00196611">
      <w:pPr>
        <w:rPr>
          <w:b/>
        </w:rPr>
      </w:pPr>
      <w:r>
        <w:br w:type="page"/>
      </w:r>
    </w:p>
    <w:p w:rsidR="0075723F" w:rsidRPr="005E6422" w:rsidRDefault="0075723F" w:rsidP="0075723F">
      <w:pPr>
        <w:pStyle w:val="Heading4"/>
      </w:pPr>
      <w:r>
        <w:lastRenderedPageBreak/>
        <w:t xml:space="preserve">Table </w:t>
      </w:r>
      <w:fldSimple w:instr=" SEQ Table \* ARABIC ">
        <w:r w:rsidR="001A7C10">
          <w:rPr>
            <w:noProof/>
          </w:rPr>
          <w:t>9</w:t>
        </w:r>
      </w:fldSimple>
      <w:r>
        <w:t>: Serious claims: statistics</w:t>
      </w:r>
      <w:r w:rsidRPr="005E6422">
        <w:t xml:space="preserve"> by </w:t>
      </w:r>
      <w:r>
        <w:t>agricultural</w:t>
      </w:r>
      <w:r w:rsidRPr="005E6422">
        <w:t xml:space="preserve"> </w:t>
      </w:r>
      <w:r>
        <w:t>subdivision</w:t>
      </w:r>
      <w:r w:rsidRPr="005E6422">
        <w:t xml:space="preserve">, </w:t>
      </w:r>
      <w:r>
        <w:t>2009–10 to</w:t>
      </w:r>
      <w:r w:rsidRPr="005E6422">
        <w:t xml:space="preserve"> 2013–</w:t>
      </w:r>
      <w:proofErr w:type="spellStart"/>
      <w:r w:rsidRPr="005E6422">
        <w:t>14</w:t>
      </w:r>
      <w:r>
        <w:t>p</w:t>
      </w:r>
      <w:proofErr w:type="spellEnd"/>
      <w:r>
        <w:t xml:space="preserve"> combined</w:t>
      </w:r>
    </w:p>
    <w:tbl>
      <w:tblPr>
        <w:tblStyle w:val="TableGrid"/>
        <w:tblW w:w="9860" w:type="dxa"/>
        <w:tblInd w:w="108" w:type="dxa"/>
        <w:tblLook w:val="04A0" w:firstRow="1" w:lastRow="0" w:firstColumn="1" w:lastColumn="0" w:noHBand="0" w:noVBand="1"/>
        <w:tblCaption w:val="Table 9"/>
      </w:tblPr>
      <w:tblGrid>
        <w:gridCol w:w="3402"/>
        <w:gridCol w:w="1560"/>
        <w:gridCol w:w="1559"/>
        <w:gridCol w:w="1559"/>
        <w:gridCol w:w="1780"/>
      </w:tblGrid>
      <w:tr w:rsidR="0075723F" w:rsidRPr="00CC3052" w:rsidTr="00C63B2D">
        <w:trPr>
          <w:trHeight w:val="255"/>
          <w:tblHeader/>
        </w:trPr>
        <w:tc>
          <w:tcPr>
            <w:cnfStyle w:val="001000000000" w:firstRow="0" w:lastRow="0" w:firstColumn="1" w:lastColumn="0" w:oddVBand="0" w:evenVBand="0" w:oddHBand="0" w:evenHBand="0" w:firstRowFirstColumn="0" w:firstRowLastColumn="0" w:lastRowFirstColumn="0" w:lastRowLastColumn="0"/>
            <w:tcW w:w="3402" w:type="dxa"/>
            <w:noWrap/>
            <w:hideMark/>
          </w:tcPr>
          <w:p w:rsidR="0075723F" w:rsidRPr="00CC3052" w:rsidRDefault="00C63B2D" w:rsidP="00C63B2D">
            <w:pPr>
              <w:rPr>
                <w:rFonts w:eastAsia="Times New Roman"/>
                <w:b/>
                <w:bCs/>
                <w:color w:val="000000"/>
                <w:szCs w:val="20"/>
              </w:rPr>
            </w:pPr>
            <w:r>
              <w:rPr>
                <w:rFonts w:eastAsia="Times New Roman"/>
                <w:b/>
                <w:bCs/>
                <w:color w:val="000000"/>
                <w:szCs w:val="20"/>
              </w:rPr>
              <w:t>Agricultural subdivision</w:t>
            </w:r>
          </w:p>
        </w:tc>
        <w:tc>
          <w:tcPr>
            <w:tcW w:w="1560" w:type="dxa"/>
            <w:noWrap/>
            <w:hideMark/>
          </w:tcPr>
          <w:p w:rsidR="0075723F" w:rsidRPr="00CC3052" w:rsidRDefault="0075723F" w:rsidP="00C63B2D">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Pr>
                <w:rFonts w:eastAsia="Times New Roman"/>
                <w:b/>
                <w:bCs/>
                <w:color w:val="000000"/>
                <w:szCs w:val="20"/>
              </w:rPr>
              <w:t>Frequency rate (serious claims per million hours worked)</w:t>
            </w:r>
          </w:p>
        </w:tc>
        <w:tc>
          <w:tcPr>
            <w:tcW w:w="1559" w:type="dxa"/>
          </w:tcPr>
          <w:p w:rsidR="0075723F" w:rsidRDefault="0075723F" w:rsidP="00C63B2D">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Percentage of serious claims</w:t>
            </w:r>
          </w:p>
        </w:tc>
        <w:tc>
          <w:tcPr>
            <w:tcW w:w="1559" w:type="dxa"/>
          </w:tcPr>
          <w:p w:rsidR="0075723F" w:rsidRDefault="0075723F" w:rsidP="00C63B2D">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Median time lost (working weeks)</w:t>
            </w:r>
          </w:p>
        </w:tc>
        <w:tc>
          <w:tcPr>
            <w:tcW w:w="1780" w:type="dxa"/>
          </w:tcPr>
          <w:p w:rsidR="0075723F" w:rsidRDefault="0075723F" w:rsidP="00C63B2D">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Median compensation</w:t>
            </w:r>
          </w:p>
        </w:tc>
      </w:tr>
      <w:tr w:rsidR="00C63B2D" w:rsidRPr="00CC3052" w:rsidTr="00C63B2D">
        <w:trPr>
          <w:trHeight w:val="255"/>
        </w:trPr>
        <w:tc>
          <w:tcPr>
            <w:cnfStyle w:val="001000000000" w:firstRow="0" w:lastRow="0" w:firstColumn="1" w:lastColumn="0" w:oddVBand="0" w:evenVBand="0" w:oddHBand="0" w:evenHBand="0" w:firstRowFirstColumn="0" w:firstRowLastColumn="0" w:lastRowFirstColumn="0" w:lastRowLastColumn="0"/>
            <w:tcW w:w="3402" w:type="dxa"/>
            <w:noWrap/>
            <w:hideMark/>
          </w:tcPr>
          <w:p w:rsidR="00C63B2D" w:rsidRDefault="00C63B2D" w:rsidP="00C63B2D">
            <w:pPr>
              <w:rPr>
                <w:rFonts w:cs="Arial"/>
                <w:color w:val="000000"/>
                <w:szCs w:val="20"/>
              </w:rPr>
            </w:pPr>
            <w:r>
              <w:rPr>
                <w:rFonts w:cs="Arial"/>
                <w:color w:val="000000"/>
                <w:szCs w:val="20"/>
              </w:rPr>
              <w:t>Other livestock farming</w:t>
            </w:r>
          </w:p>
        </w:tc>
        <w:tc>
          <w:tcPr>
            <w:tcW w:w="1560"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21.1</w:t>
            </w:r>
          </w:p>
        </w:tc>
        <w:tc>
          <w:tcPr>
            <w:tcW w:w="1559" w:type="dxa"/>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9.5%</w:t>
            </w:r>
          </w:p>
        </w:tc>
        <w:tc>
          <w:tcPr>
            <w:tcW w:w="1559" w:type="dxa"/>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4.2</w:t>
            </w:r>
          </w:p>
        </w:tc>
        <w:tc>
          <w:tcPr>
            <w:tcW w:w="1780" w:type="dxa"/>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$6 300</w:t>
            </w:r>
          </w:p>
        </w:tc>
      </w:tr>
      <w:tr w:rsidR="00C63B2D" w:rsidRPr="00CC3052" w:rsidTr="00C63B2D">
        <w:trPr>
          <w:trHeight w:val="255"/>
        </w:trPr>
        <w:tc>
          <w:tcPr>
            <w:cnfStyle w:val="001000000000" w:firstRow="0" w:lastRow="0" w:firstColumn="1" w:lastColumn="0" w:oddVBand="0" w:evenVBand="0" w:oddHBand="0" w:evenHBand="0" w:firstRowFirstColumn="0" w:firstRowLastColumn="0" w:lastRowFirstColumn="0" w:lastRowLastColumn="0"/>
            <w:tcW w:w="3402" w:type="dxa"/>
            <w:noWrap/>
            <w:hideMark/>
          </w:tcPr>
          <w:p w:rsidR="00C63B2D" w:rsidRDefault="00C63B2D" w:rsidP="00C63B2D">
            <w:pPr>
              <w:rPr>
                <w:rFonts w:cs="Arial"/>
                <w:color w:val="000000"/>
                <w:szCs w:val="20"/>
              </w:rPr>
            </w:pPr>
            <w:r>
              <w:rPr>
                <w:rFonts w:cs="Arial"/>
                <w:color w:val="000000"/>
                <w:szCs w:val="20"/>
              </w:rPr>
              <w:t>Agriculture and fishing support services</w:t>
            </w:r>
          </w:p>
        </w:tc>
        <w:tc>
          <w:tcPr>
            <w:tcW w:w="1560"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17.5</w:t>
            </w:r>
          </w:p>
        </w:tc>
        <w:tc>
          <w:tcPr>
            <w:tcW w:w="1559" w:type="dxa"/>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13.5%</w:t>
            </w:r>
          </w:p>
        </w:tc>
        <w:tc>
          <w:tcPr>
            <w:tcW w:w="1559" w:type="dxa"/>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5.8</w:t>
            </w:r>
          </w:p>
        </w:tc>
        <w:tc>
          <w:tcPr>
            <w:tcW w:w="1780" w:type="dxa"/>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$7 700</w:t>
            </w:r>
          </w:p>
        </w:tc>
      </w:tr>
      <w:tr w:rsidR="00C63B2D" w:rsidRPr="00CC3052" w:rsidTr="00C63B2D">
        <w:trPr>
          <w:trHeight w:val="255"/>
        </w:trPr>
        <w:tc>
          <w:tcPr>
            <w:cnfStyle w:val="001000000000" w:firstRow="0" w:lastRow="0" w:firstColumn="1" w:lastColumn="0" w:oddVBand="0" w:evenVBand="0" w:oddHBand="0" w:evenHBand="0" w:firstRowFirstColumn="0" w:firstRowLastColumn="0" w:lastRowFirstColumn="0" w:lastRowLastColumn="0"/>
            <w:tcW w:w="3402" w:type="dxa"/>
            <w:noWrap/>
            <w:hideMark/>
          </w:tcPr>
          <w:p w:rsidR="00C63B2D" w:rsidRDefault="00C63B2D" w:rsidP="00C63B2D">
            <w:pPr>
              <w:rPr>
                <w:rFonts w:cs="Arial"/>
                <w:color w:val="000000"/>
                <w:szCs w:val="20"/>
              </w:rPr>
            </w:pPr>
            <w:r>
              <w:rPr>
                <w:rFonts w:cs="Arial"/>
                <w:color w:val="000000"/>
                <w:szCs w:val="20"/>
              </w:rPr>
              <w:t>Other crop growing</w:t>
            </w:r>
          </w:p>
        </w:tc>
        <w:tc>
          <w:tcPr>
            <w:tcW w:w="1560"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13.4</w:t>
            </w:r>
          </w:p>
        </w:tc>
        <w:tc>
          <w:tcPr>
            <w:tcW w:w="1559" w:type="dxa"/>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4.0%</w:t>
            </w:r>
          </w:p>
        </w:tc>
        <w:tc>
          <w:tcPr>
            <w:tcW w:w="1559" w:type="dxa"/>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5.6</w:t>
            </w:r>
          </w:p>
        </w:tc>
        <w:tc>
          <w:tcPr>
            <w:tcW w:w="1780" w:type="dxa"/>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$7 900</w:t>
            </w:r>
          </w:p>
        </w:tc>
      </w:tr>
      <w:tr w:rsidR="00C63B2D" w:rsidRPr="00CC3052" w:rsidTr="00C63B2D">
        <w:trPr>
          <w:trHeight w:val="255"/>
        </w:trPr>
        <w:tc>
          <w:tcPr>
            <w:cnfStyle w:val="001000000000" w:firstRow="0" w:lastRow="0" w:firstColumn="1" w:lastColumn="0" w:oddVBand="0" w:evenVBand="0" w:oddHBand="0" w:evenHBand="0" w:firstRowFirstColumn="0" w:firstRowLastColumn="0" w:lastRowFirstColumn="0" w:lastRowLastColumn="0"/>
            <w:tcW w:w="3402" w:type="dxa"/>
            <w:noWrap/>
            <w:hideMark/>
          </w:tcPr>
          <w:p w:rsidR="00C63B2D" w:rsidRDefault="00C63B2D" w:rsidP="00C63B2D">
            <w:pPr>
              <w:rPr>
                <w:rFonts w:cs="Arial"/>
                <w:color w:val="000000"/>
                <w:szCs w:val="20"/>
              </w:rPr>
            </w:pPr>
            <w:r>
              <w:rPr>
                <w:rFonts w:cs="Arial"/>
                <w:color w:val="000000"/>
                <w:szCs w:val="20"/>
              </w:rPr>
              <w:t>Poultry farming</w:t>
            </w:r>
          </w:p>
        </w:tc>
        <w:tc>
          <w:tcPr>
            <w:tcW w:w="1560"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13.2</w:t>
            </w:r>
          </w:p>
        </w:tc>
        <w:tc>
          <w:tcPr>
            <w:tcW w:w="1559" w:type="dxa"/>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5.3%</w:t>
            </w:r>
          </w:p>
        </w:tc>
        <w:tc>
          <w:tcPr>
            <w:tcW w:w="1559" w:type="dxa"/>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5.6</w:t>
            </w:r>
          </w:p>
        </w:tc>
        <w:tc>
          <w:tcPr>
            <w:tcW w:w="1780" w:type="dxa"/>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$7 100</w:t>
            </w:r>
          </w:p>
        </w:tc>
      </w:tr>
      <w:tr w:rsidR="00C63B2D" w:rsidRPr="00CC3052" w:rsidTr="00C63B2D">
        <w:trPr>
          <w:trHeight w:val="255"/>
        </w:trPr>
        <w:tc>
          <w:tcPr>
            <w:cnfStyle w:val="001000000000" w:firstRow="0" w:lastRow="0" w:firstColumn="1" w:lastColumn="0" w:oddVBand="0" w:evenVBand="0" w:oddHBand="0" w:evenHBand="0" w:firstRowFirstColumn="0" w:firstRowLastColumn="0" w:lastRowFirstColumn="0" w:lastRowLastColumn="0"/>
            <w:tcW w:w="3402" w:type="dxa"/>
            <w:noWrap/>
            <w:hideMark/>
          </w:tcPr>
          <w:p w:rsidR="00C63B2D" w:rsidRDefault="00C63B2D" w:rsidP="00C63B2D">
            <w:pPr>
              <w:rPr>
                <w:rFonts w:cs="Arial"/>
                <w:color w:val="000000"/>
                <w:szCs w:val="20"/>
              </w:rPr>
            </w:pPr>
            <w:r>
              <w:rPr>
                <w:rFonts w:cs="Arial"/>
                <w:color w:val="000000"/>
                <w:szCs w:val="20"/>
              </w:rPr>
              <w:t>Nursery and floriculture production</w:t>
            </w:r>
          </w:p>
        </w:tc>
        <w:tc>
          <w:tcPr>
            <w:tcW w:w="1560"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12.2</w:t>
            </w:r>
          </w:p>
        </w:tc>
        <w:tc>
          <w:tcPr>
            <w:tcW w:w="1559" w:type="dxa"/>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6.1%</w:t>
            </w:r>
          </w:p>
        </w:tc>
        <w:tc>
          <w:tcPr>
            <w:tcW w:w="1559" w:type="dxa"/>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4.6</w:t>
            </w:r>
          </w:p>
        </w:tc>
        <w:tc>
          <w:tcPr>
            <w:tcW w:w="1780" w:type="dxa"/>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$6 200</w:t>
            </w:r>
          </w:p>
        </w:tc>
      </w:tr>
      <w:tr w:rsidR="00C63B2D" w:rsidRPr="00CC3052" w:rsidTr="00C63B2D">
        <w:trPr>
          <w:trHeight w:val="255"/>
        </w:trPr>
        <w:tc>
          <w:tcPr>
            <w:cnfStyle w:val="001000000000" w:firstRow="0" w:lastRow="0" w:firstColumn="1" w:lastColumn="0" w:oddVBand="0" w:evenVBand="0" w:oddHBand="0" w:evenHBand="0" w:firstRowFirstColumn="0" w:firstRowLastColumn="0" w:lastRowFirstColumn="0" w:lastRowLastColumn="0"/>
            <w:tcW w:w="3402" w:type="dxa"/>
            <w:noWrap/>
            <w:hideMark/>
          </w:tcPr>
          <w:p w:rsidR="00C63B2D" w:rsidRDefault="00C63B2D" w:rsidP="00C63B2D">
            <w:pPr>
              <w:rPr>
                <w:rFonts w:cs="Arial"/>
                <w:color w:val="000000"/>
                <w:szCs w:val="20"/>
              </w:rPr>
            </w:pPr>
            <w:r>
              <w:rPr>
                <w:rFonts w:cs="Arial"/>
                <w:color w:val="000000"/>
                <w:szCs w:val="20"/>
              </w:rPr>
              <w:t>Fruit and tree nut growing</w:t>
            </w:r>
          </w:p>
        </w:tc>
        <w:tc>
          <w:tcPr>
            <w:tcW w:w="1560"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10.4</w:t>
            </w:r>
          </w:p>
        </w:tc>
        <w:tc>
          <w:tcPr>
            <w:tcW w:w="1559" w:type="dxa"/>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13.2%</w:t>
            </w:r>
          </w:p>
        </w:tc>
        <w:tc>
          <w:tcPr>
            <w:tcW w:w="1559" w:type="dxa"/>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4.6</w:t>
            </w:r>
          </w:p>
        </w:tc>
        <w:tc>
          <w:tcPr>
            <w:tcW w:w="1780" w:type="dxa"/>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$5 800</w:t>
            </w:r>
          </w:p>
        </w:tc>
      </w:tr>
      <w:tr w:rsidR="00C63B2D" w:rsidRPr="00CC3052" w:rsidTr="00C63B2D">
        <w:trPr>
          <w:trHeight w:val="255"/>
        </w:trPr>
        <w:tc>
          <w:tcPr>
            <w:cnfStyle w:val="001000000000" w:firstRow="0" w:lastRow="0" w:firstColumn="1" w:lastColumn="0" w:oddVBand="0" w:evenVBand="0" w:oddHBand="0" w:evenHBand="0" w:firstRowFirstColumn="0" w:firstRowLastColumn="0" w:lastRowFirstColumn="0" w:lastRowLastColumn="0"/>
            <w:tcW w:w="3402" w:type="dxa"/>
            <w:noWrap/>
            <w:hideMark/>
          </w:tcPr>
          <w:p w:rsidR="00C63B2D" w:rsidRDefault="00C63B2D" w:rsidP="00C63B2D">
            <w:pPr>
              <w:rPr>
                <w:rFonts w:cs="Arial"/>
                <w:color w:val="000000"/>
                <w:szCs w:val="20"/>
              </w:rPr>
            </w:pPr>
            <w:r>
              <w:rPr>
                <w:rFonts w:cs="Arial"/>
                <w:color w:val="000000"/>
                <w:szCs w:val="20"/>
              </w:rPr>
              <w:t>Sheep, beef cattle and grain farming</w:t>
            </w:r>
          </w:p>
        </w:tc>
        <w:tc>
          <w:tcPr>
            <w:tcW w:w="1560"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9.8</w:t>
            </w:r>
          </w:p>
        </w:tc>
        <w:tc>
          <w:tcPr>
            <w:tcW w:w="1559" w:type="dxa"/>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35.7%</w:t>
            </w:r>
          </w:p>
        </w:tc>
        <w:tc>
          <w:tcPr>
            <w:tcW w:w="1559" w:type="dxa"/>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6.4</w:t>
            </w:r>
          </w:p>
        </w:tc>
        <w:tc>
          <w:tcPr>
            <w:tcW w:w="1780" w:type="dxa"/>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$8 900</w:t>
            </w:r>
          </w:p>
        </w:tc>
      </w:tr>
      <w:tr w:rsidR="00C63B2D" w:rsidRPr="00CC3052" w:rsidTr="00C63B2D">
        <w:trPr>
          <w:trHeight w:val="255"/>
        </w:trPr>
        <w:tc>
          <w:tcPr>
            <w:cnfStyle w:val="001000000000" w:firstRow="0" w:lastRow="0" w:firstColumn="1" w:lastColumn="0" w:oddVBand="0" w:evenVBand="0" w:oddHBand="0" w:evenHBand="0" w:firstRowFirstColumn="0" w:firstRowLastColumn="0" w:lastRowFirstColumn="0" w:lastRowLastColumn="0"/>
            <w:tcW w:w="3402" w:type="dxa"/>
            <w:noWrap/>
            <w:hideMark/>
          </w:tcPr>
          <w:p w:rsidR="00C63B2D" w:rsidRDefault="00C63B2D" w:rsidP="00C63B2D">
            <w:pPr>
              <w:rPr>
                <w:rFonts w:cs="Arial"/>
                <w:color w:val="000000"/>
                <w:szCs w:val="20"/>
              </w:rPr>
            </w:pPr>
            <w:r>
              <w:rPr>
                <w:rFonts w:cs="Arial"/>
                <w:color w:val="000000"/>
                <w:szCs w:val="20"/>
              </w:rPr>
              <w:t>Mushroom and vegetable growing</w:t>
            </w:r>
          </w:p>
        </w:tc>
        <w:tc>
          <w:tcPr>
            <w:tcW w:w="1560"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7.8</w:t>
            </w:r>
          </w:p>
        </w:tc>
        <w:tc>
          <w:tcPr>
            <w:tcW w:w="1559" w:type="dxa"/>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6.3%</w:t>
            </w:r>
          </w:p>
        </w:tc>
        <w:tc>
          <w:tcPr>
            <w:tcW w:w="1559" w:type="dxa"/>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6.4</w:t>
            </w:r>
          </w:p>
        </w:tc>
        <w:tc>
          <w:tcPr>
            <w:tcW w:w="1780" w:type="dxa"/>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$6 900</w:t>
            </w:r>
          </w:p>
        </w:tc>
      </w:tr>
      <w:tr w:rsidR="00C63B2D" w:rsidRPr="00CC3052" w:rsidTr="00C63B2D">
        <w:trPr>
          <w:trHeight w:val="255"/>
        </w:trPr>
        <w:tc>
          <w:tcPr>
            <w:cnfStyle w:val="001000000000" w:firstRow="0" w:lastRow="0" w:firstColumn="1" w:lastColumn="0" w:oddVBand="0" w:evenVBand="0" w:oddHBand="0" w:evenHBand="0" w:firstRowFirstColumn="0" w:firstRowLastColumn="0" w:lastRowFirstColumn="0" w:lastRowLastColumn="0"/>
            <w:tcW w:w="3402" w:type="dxa"/>
            <w:noWrap/>
            <w:hideMark/>
          </w:tcPr>
          <w:p w:rsidR="00C63B2D" w:rsidRDefault="00C63B2D" w:rsidP="00C63B2D">
            <w:pPr>
              <w:rPr>
                <w:rFonts w:cs="Arial"/>
                <w:color w:val="000000"/>
                <w:szCs w:val="20"/>
              </w:rPr>
            </w:pPr>
            <w:r>
              <w:rPr>
                <w:rFonts w:cs="Arial"/>
                <w:color w:val="000000"/>
                <w:szCs w:val="20"/>
              </w:rPr>
              <w:t>Dairy cattle farming</w:t>
            </w:r>
          </w:p>
        </w:tc>
        <w:tc>
          <w:tcPr>
            <w:tcW w:w="1560"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6.9</w:t>
            </w:r>
          </w:p>
        </w:tc>
        <w:tc>
          <w:tcPr>
            <w:tcW w:w="1559" w:type="dxa"/>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6.4%</w:t>
            </w:r>
          </w:p>
        </w:tc>
        <w:tc>
          <w:tcPr>
            <w:tcW w:w="1559" w:type="dxa"/>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7.2</w:t>
            </w:r>
          </w:p>
        </w:tc>
        <w:tc>
          <w:tcPr>
            <w:tcW w:w="1780" w:type="dxa"/>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$8 700</w:t>
            </w:r>
          </w:p>
        </w:tc>
      </w:tr>
      <w:tr w:rsidR="00C63B2D" w:rsidRPr="00CC3052" w:rsidTr="00C63B2D">
        <w:trPr>
          <w:trHeight w:val="255"/>
        </w:trPr>
        <w:tc>
          <w:tcPr>
            <w:cnfStyle w:val="001000000000" w:firstRow="0" w:lastRow="0" w:firstColumn="1" w:lastColumn="0" w:oddVBand="0" w:evenVBand="0" w:oddHBand="0" w:evenHBand="0" w:firstRowFirstColumn="0" w:firstRowLastColumn="0" w:lastRowFirstColumn="0" w:lastRowLastColumn="0"/>
            <w:tcW w:w="3402" w:type="dxa"/>
            <w:noWrap/>
            <w:hideMark/>
          </w:tcPr>
          <w:p w:rsidR="00C63B2D" w:rsidRDefault="00C63B2D" w:rsidP="00C63B2D">
            <w:pPr>
              <w:rPr>
                <w:rFonts w:cs="Arial"/>
                <w:b/>
                <w:bCs/>
                <w:color w:val="000000"/>
                <w:szCs w:val="20"/>
              </w:rPr>
            </w:pPr>
            <w:r>
              <w:rPr>
                <w:rFonts w:cs="Arial"/>
                <w:b/>
                <w:bCs/>
                <w:color w:val="000000"/>
                <w:szCs w:val="20"/>
              </w:rPr>
              <w:t>Total</w:t>
            </w:r>
          </w:p>
        </w:tc>
        <w:tc>
          <w:tcPr>
            <w:tcW w:w="1560"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11.0</w:t>
            </w:r>
          </w:p>
        </w:tc>
        <w:tc>
          <w:tcPr>
            <w:tcW w:w="1559" w:type="dxa"/>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100.0%</w:t>
            </w:r>
          </w:p>
        </w:tc>
        <w:tc>
          <w:tcPr>
            <w:tcW w:w="1559" w:type="dxa"/>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5.8</w:t>
            </w:r>
          </w:p>
        </w:tc>
        <w:tc>
          <w:tcPr>
            <w:tcW w:w="1780" w:type="dxa"/>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$7 700</w:t>
            </w:r>
          </w:p>
        </w:tc>
      </w:tr>
    </w:tbl>
    <w:p w:rsidR="0075723F" w:rsidRPr="005E6422" w:rsidRDefault="00C234F2" w:rsidP="0075723F">
      <w:pPr>
        <w:pStyle w:val="Footnote"/>
      </w:pPr>
      <w:r w:rsidRPr="00C234F2">
        <w:t>The sum of percentages may not equal 100% due to rounding.</w:t>
      </w:r>
      <w:r>
        <w:br/>
      </w:r>
      <w:r w:rsidR="0075723F" w:rsidRPr="005E6422">
        <w:t>Source: National Data Set for Compensation-Based Statistics.</w:t>
      </w:r>
    </w:p>
    <w:p w:rsidR="0075723F" w:rsidRDefault="0075723F" w:rsidP="0075723F">
      <w:pPr>
        <w:pStyle w:val="Heading2"/>
      </w:pPr>
      <w:bookmarkStart w:id="47" w:name="_Toc453938284"/>
      <w:bookmarkStart w:id="48" w:name="_Toc459720377"/>
      <w:r>
        <w:t>Jurisdiction</w:t>
      </w:r>
      <w:bookmarkEnd w:id="47"/>
      <w:bookmarkEnd w:id="48"/>
    </w:p>
    <w:p w:rsidR="0075723F" w:rsidRDefault="0075723F" w:rsidP="0075723F">
      <w:r w:rsidRPr="005E6422">
        <w:t xml:space="preserve">Over the five-year period between 2009–10 and 2013–14, </w:t>
      </w:r>
      <w:r>
        <w:t xml:space="preserve">agricultural employees in the Northern Territory </w:t>
      </w:r>
      <w:r w:rsidRPr="005E6422">
        <w:t>experienced the highest</w:t>
      </w:r>
      <w:r>
        <w:t xml:space="preserve"> </w:t>
      </w:r>
      <w:r w:rsidRPr="005E6422">
        <w:t xml:space="preserve">rate </w:t>
      </w:r>
      <w:r>
        <w:t xml:space="preserve">of serious claims </w:t>
      </w:r>
      <w:r w:rsidR="00785767">
        <w:t>(19</w:t>
      </w:r>
      <w:r w:rsidR="00B23184">
        <w:t>.0</w:t>
      </w:r>
      <w:r w:rsidRPr="005E6422">
        <w:t xml:space="preserve"> serious claims per million hours worked), while employees in Victoria experienced the lowest (5.9). The national rate over the five-year period w</w:t>
      </w:r>
      <w:r w:rsidR="00785767">
        <w:t>as 11</w:t>
      </w:r>
      <w:r w:rsidR="00B23184">
        <w:t>.0</w:t>
      </w:r>
      <w:r w:rsidRPr="005E6422">
        <w:t xml:space="preserve"> serious claims pe</w:t>
      </w:r>
      <w:r>
        <w:t>r million hours worked. Figure 5</w:t>
      </w:r>
      <w:r w:rsidRPr="005E6422">
        <w:t xml:space="preserve"> shows the wide jurisdictional variations in rates of serious claims for </w:t>
      </w:r>
      <w:r>
        <w:t>agricultural employees</w:t>
      </w:r>
      <w:r w:rsidRPr="005E6422">
        <w:t xml:space="preserve"> in Australia.</w:t>
      </w:r>
    </w:p>
    <w:p w:rsidR="0075723F" w:rsidRDefault="0075723F" w:rsidP="0075723F">
      <w:pPr>
        <w:pStyle w:val="Heading4"/>
      </w:pPr>
      <w:r>
        <w:t xml:space="preserve">Figure </w:t>
      </w:r>
      <w:fldSimple w:instr=" SEQ Figure \* ARABIC ">
        <w:r w:rsidR="001A7C10">
          <w:rPr>
            <w:noProof/>
          </w:rPr>
          <w:t>5</w:t>
        </w:r>
      </w:fldSimple>
      <w:r>
        <w:t>: Frequency</w:t>
      </w:r>
      <w:r w:rsidRPr="005E6422">
        <w:t xml:space="preserve"> </w:t>
      </w:r>
      <w:r>
        <w:t>r</w:t>
      </w:r>
      <w:r w:rsidRPr="005E6422">
        <w:t>ates of serious claims by jurisdiction, 2009–10 to 2013–</w:t>
      </w:r>
      <w:proofErr w:type="spellStart"/>
      <w:r w:rsidRPr="005E6422">
        <w:t>14</w:t>
      </w:r>
      <w:r>
        <w:t>p</w:t>
      </w:r>
      <w:proofErr w:type="spellEnd"/>
      <w:r>
        <w:t xml:space="preserve"> combined</w:t>
      </w:r>
    </w:p>
    <w:p w:rsidR="0075723F" w:rsidRPr="005E6422" w:rsidRDefault="0075723F" w:rsidP="0075723F">
      <w:r>
        <w:rPr>
          <w:noProof/>
        </w:rPr>
        <w:drawing>
          <wp:inline distT="0" distB="0" distL="0" distR="0" wp14:anchorId="205DDFF6" wp14:editId="4C65B2CA">
            <wp:extent cx="5400000" cy="3240000"/>
            <wp:effectExtent l="0" t="0" r="10795" b="17780"/>
            <wp:docPr id="4" name="Chart 4" descr="Agricultural employees in the Northern Territory experienced the highest rate of serious claims (19.0 serious claims per million hours worked), while employees in Victoria experienced the lowest (5.9).&#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5723F" w:rsidRPr="005E6422" w:rsidRDefault="0075723F" w:rsidP="0075723F">
      <w:pPr>
        <w:pStyle w:val="Footnote"/>
      </w:pPr>
      <w:r w:rsidRPr="005E6422">
        <w:t>Source: National Data Set for Compensation-Based Statistics.</w:t>
      </w:r>
    </w:p>
    <w:p w:rsidR="0075723F" w:rsidRDefault="0075723F" w:rsidP="0075723F">
      <w:pPr>
        <w:pStyle w:val="Heading2"/>
      </w:pPr>
      <w:bookmarkStart w:id="49" w:name="_Toc453938285"/>
      <w:bookmarkStart w:id="50" w:name="_Toc459720378"/>
      <w:bookmarkStart w:id="51" w:name="_Toc442274036"/>
      <w:bookmarkStart w:id="52" w:name="_Toc445363806"/>
      <w:r>
        <w:t>Breakdown agency of injury or disease</w:t>
      </w:r>
      <w:bookmarkEnd w:id="49"/>
      <w:bookmarkEnd w:id="50"/>
    </w:p>
    <w:p w:rsidR="0075723F" w:rsidRDefault="0075723F" w:rsidP="0075723F">
      <w:r>
        <w:t>Almost a quarter (24 per cent) of agricultural employees’ serious claims involved animal, human or biological agencies, and the most common type w</w:t>
      </w:r>
      <w:r w:rsidR="00A01F5E">
        <w:t>a</w:t>
      </w:r>
      <w:r w:rsidR="005A7FC4">
        <w:t>s live, four-legged animals (87</w:t>
      </w:r>
      <w:r>
        <w:t xml:space="preserve"> per cent). Mobile plant and transport were involved in 17 per cent of serious claims and the most common types we</w:t>
      </w:r>
      <w:r w:rsidR="00A01F5E">
        <w:t>r</w:t>
      </w:r>
      <w:r w:rsidR="005A7FC4">
        <w:t>e motorcycles and tractors (46</w:t>
      </w:r>
      <w:r w:rsidR="00E914AF">
        <w:t> </w:t>
      </w:r>
      <w:r>
        <w:t>per cent).</w:t>
      </w:r>
    </w:p>
    <w:p w:rsidR="0075723F" w:rsidRDefault="0075723F" w:rsidP="0075723F">
      <w:pPr>
        <w:pStyle w:val="Heading4"/>
      </w:pPr>
      <w:r>
        <w:lastRenderedPageBreak/>
        <w:t xml:space="preserve">Table </w:t>
      </w:r>
      <w:fldSimple w:instr=" SEQ Table \* ARABIC ">
        <w:r w:rsidR="001A7C10">
          <w:rPr>
            <w:noProof/>
          </w:rPr>
          <w:t>10</w:t>
        </w:r>
      </w:fldSimple>
      <w:r>
        <w:t xml:space="preserve">: </w:t>
      </w:r>
      <w:r w:rsidRPr="001C39D8">
        <w:t xml:space="preserve">Percentage of serious claims for the </w:t>
      </w:r>
      <w:r>
        <w:t>agricultural</w:t>
      </w:r>
      <w:r w:rsidRPr="001C39D8">
        <w:t xml:space="preserve"> industry and all industries by </w:t>
      </w:r>
      <w:r>
        <w:t>breakdown agency</w:t>
      </w:r>
      <w:r w:rsidRPr="001C39D8">
        <w:t xml:space="preserve"> of injury or disease, 2009–10 to 2013–</w:t>
      </w:r>
      <w:proofErr w:type="spellStart"/>
      <w:r w:rsidRPr="001C39D8">
        <w:t>14</w:t>
      </w:r>
      <w:r>
        <w:t>p</w:t>
      </w:r>
      <w:proofErr w:type="spellEnd"/>
      <w:r>
        <w:t xml:space="preserve"> combined</w:t>
      </w:r>
    </w:p>
    <w:tbl>
      <w:tblPr>
        <w:tblStyle w:val="TableGrid"/>
        <w:tblW w:w="8215" w:type="dxa"/>
        <w:tblInd w:w="108" w:type="dxa"/>
        <w:tblLook w:val="04A0" w:firstRow="1" w:lastRow="0" w:firstColumn="1" w:lastColumn="0" w:noHBand="0" w:noVBand="1"/>
        <w:tblCaption w:val="Table 10"/>
      </w:tblPr>
      <w:tblGrid>
        <w:gridCol w:w="5239"/>
        <w:gridCol w:w="1417"/>
        <w:gridCol w:w="1559"/>
      </w:tblGrid>
      <w:tr w:rsidR="0075723F" w:rsidRPr="007E19AF" w:rsidTr="00070B12">
        <w:trPr>
          <w:trHeight w:val="255"/>
          <w:tblHeader/>
        </w:trPr>
        <w:tc>
          <w:tcPr>
            <w:cnfStyle w:val="001000000000" w:firstRow="0" w:lastRow="0" w:firstColumn="1" w:lastColumn="0" w:oddVBand="0" w:evenVBand="0" w:oddHBand="0" w:evenHBand="0" w:firstRowFirstColumn="0" w:firstRowLastColumn="0" w:lastRowFirstColumn="0" w:lastRowLastColumn="0"/>
            <w:tcW w:w="5239" w:type="dxa"/>
            <w:noWrap/>
            <w:hideMark/>
          </w:tcPr>
          <w:p w:rsidR="0075723F" w:rsidRPr="007E19AF" w:rsidRDefault="00C63B2D" w:rsidP="00C63B2D">
            <w:pPr>
              <w:rPr>
                <w:rFonts w:eastAsia="Times New Roman"/>
                <w:b/>
                <w:bCs/>
                <w:color w:val="000000"/>
                <w:szCs w:val="20"/>
              </w:rPr>
            </w:pPr>
            <w:r w:rsidRPr="007E19AF">
              <w:rPr>
                <w:rFonts w:eastAsia="Times New Roman"/>
                <w:b/>
                <w:bCs/>
                <w:color w:val="000000"/>
                <w:szCs w:val="20"/>
              </w:rPr>
              <w:t>Breakdown agency of injury or disease</w:t>
            </w:r>
          </w:p>
        </w:tc>
        <w:tc>
          <w:tcPr>
            <w:tcW w:w="1417" w:type="dxa"/>
            <w:noWrap/>
            <w:hideMark/>
          </w:tcPr>
          <w:p w:rsidR="0075723F" w:rsidRPr="007E19AF" w:rsidRDefault="0075723F" w:rsidP="00C63B2D">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Pr>
                <w:rFonts w:eastAsia="Times New Roman"/>
                <w:b/>
                <w:bCs/>
                <w:color w:val="000000"/>
                <w:szCs w:val="20"/>
              </w:rPr>
              <w:t>Agricultural industry</w:t>
            </w:r>
          </w:p>
        </w:tc>
        <w:tc>
          <w:tcPr>
            <w:tcW w:w="1559" w:type="dxa"/>
            <w:noWrap/>
            <w:hideMark/>
          </w:tcPr>
          <w:p w:rsidR="0075723F" w:rsidRPr="007E19AF" w:rsidRDefault="0075723F" w:rsidP="00C63B2D">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7E19AF">
              <w:rPr>
                <w:rFonts w:eastAsia="Times New Roman"/>
                <w:b/>
                <w:bCs/>
                <w:color w:val="000000"/>
                <w:szCs w:val="20"/>
              </w:rPr>
              <w:t>All industries</w:t>
            </w:r>
          </w:p>
        </w:tc>
      </w:tr>
      <w:tr w:rsidR="00C63B2D" w:rsidRPr="007E19AF" w:rsidTr="00070B12">
        <w:trPr>
          <w:trHeight w:val="255"/>
        </w:trPr>
        <w:tc>
          <w:tcPr>
            <w:cnfStyle w:val="001000000000" w:firstRow="0" w:lastRow="0" w:firstColumn="1" w:lastColumn="0" w:oddVBand="0" w:evenVBand="0" w:oddHBand="0" w:evenHBand="0" w:firstRowFirstColumn="0" w:firstRowLastColumn="0" w:lastRowFirstColumn="0" w:lastRowLastColumn="0"/>
            <w:tcW w:w="5239" w:type="dxa"/>
            <w:noWrap/>
            <w:hideMark/>
          </w:tcPr>
          <w:p w:rsidR="00C63B2D" w:rsidRDefault="00C63B2D" w:rsidP="00C63B2D">
            <w:pPr>
              <w:rPr>
                <w:rFonts w:cs="Arial"/>
                <w:b/>
                <w:bCs/>
                <w:color w:val="000000"/>
                <w:szCs w:val="20"/>
              </w:rPr>
            </w:pPr>
            <w:r>
              <w:rPr>
                <w:rFonts w:cs="Arial"/>
                <w:b/>
                <w:bCs/>
                <w:color w:val="000000"/>
                <w:szCs w:val="20"/>
              </w:rPr>
              <w:t>Animal, human and biological agencies</w:t>
            </w:r>
          </w:p>
        </w:tc>
        <w:tc>
          <w:tcPr>
            <w:tcW w:w="1417"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24.0%</w:t>
            </w:r>
          </w:p>
        </w:tc>
        <w:tc>
          <w:tcPr>
            <w:tcW w:w="1559"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13.0%</w:t>
            </w:r>
          </w:p>
        </w:tc>
      </w:tr>
      <w:tr w:rsidR="00C63B2D" w:rsidRPr="007E19AF" w:rsidTr="00070B12">
        <w:trPr>
          <w:trHeight w:val="255"/>
        </w:trPr>
        <w:tc>
          <w:tcPr>
            <w:cnfStyle w:val="001000000000" w:firstRow="0" w:lastRow="0" w:firstColumn="1" w:lastColumn="0" w:oddVBand="0" w:evenVBand="0" w:oddHBand="0" w:evenHBand="0" w:firstRowFirstColumn="0" w:firstRowLastColumn="0" w:lastRowFirstColumn="0" w:lastRowLastColumn="0"/>
            <w:tcW w:w="5239" w:type="dxa"/>
            <w:noWrap/>
            <w:hideMark/>
          </w:tcPr>
          <w:p w:rsidR="00C63B2D" w:rsidRDefault="00C63B2D" w:rsidP="00C63B2D">
            <w:pPr>
              <w:ind w:firstLineChars="100" w:firstLine="200"/>
              <w:rPr>
                <w:rFonts w:cs="Arial"/>
                <w:color w:val="000000"/>
                <w:szCs w:val="20"/>
              </w:rPr>
            </w:pPr>
            <w:r>
              <w:rPr>
                <w:rFonts w:cs="Arial"/>
                <w:color w:val="000000"/>
                <w:szCs w:val="20"/>
              </w:rPr>
              <w:t>Cows, steers, cattle, bulls, buffalo</w:t>
            </w:r>
          </w:p>
        </w:tc>
        <w:tc>
          <w:tcPr>
            <w:tcW w:w="1417"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29.0%</w:t>
            </w:r>
          </w:p>
        </w:tc>
        <w:tc>
          <w:tcPr>
            <w:tcW w:w="1559"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0.9%</w:t>
            </w:r>
          </w:p>
        </w:tc>
      </w:tr>
      <w:tr w:rsidR="00C63B2D" w:rsidRPr="007E19AF" w:rsidTr="00070B12">
        <w:trPr>
          <w:trHeight w:val="255"/>
        </w:trPr>
        <w:tc>
          <w:tcPr>
            <w:cnfStyle w:val="001000000000" w:firstRow="0" w:lastRow="0" w:firstColumn="1" w:lastColumn="0" w:oddVBand="0" w:evenVBand="0" w:oddHBand="0" w:evenHBand="0" w:firstRowFirstColumn="0" w:firstRowLastColumn="0" w:lastRowFirstColumn="0" w:lastRowLastColumn="0"/>
            <w:tcW w:w="5239" w:type="dxa"/>
            <w:noWrap/>
            <w:hideMark/>
          </w:tcPr>
          <w:p w:rsidR="00C63B2D" w:rsidRDefault="00C63B2D" w:rsidP="00C63B2D">
            <w:pPr>
              <w:ind w:firstLineChars="100" w:firstLine="200"/>
              <w:rPr>
                <w:rFonts w:cs="Arial"/>
                <w:color w:val="000000"/>
                <w:szCs w:val="20"/>
              </w:rPr>
            </w:pPr>
            <w:r>
              <w:rPr>
                <w:rFonts w:cs="Arial"/>
                <w:color w:val="000000"/>
                <w:szCs w:val="20"/>
              </w:rPr>
              <w:t>Horses, donkeys, mules</w:t>
            </w:r>
          </w:p>
        </w:tc>
        <w:tc>
          <w:tcPr>
            <w:tcW w:w="1417"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27.8%</w:t>
            </w:r>
          </w:p>
        </w:tc>
        <w:tc>
          <w:tcPr>
            <w:tcW w:w="1559"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3.3%</w:t>
            </w:r>
          </w:p>
        </w:tc>
      </w:tr>
      <w:tr w:rsidR="00C63B2D" w:rsidRPr="007E19AF" w:rsidTr="00070B12">
        <w:trPr>
          <w:trHeight w:val="255"/>
        </w:trPr>
        <w:tc>
          <w:tcPr>
            <w:cnfStyle w:val="001000000000" w:firstRow="0" w:lastRow="0" w:firstColumn="1" w:lastColumn="0" w:oddVBand="0" w:evenVBand="0" w:oddHBand="0" w:evenHBand="0" w:firstRowFirstColumn="0" w:firstRowLastColumn="0" w:lastRowFirstColumn="0" w:lastRowLastColumn="0"/>
            <w:tcW w:w="5239" w:type="dxa"/>
            <w:noWrap/>
            <w:hideMark/>
          </w:tcPr>
          <w:p w:rsidR="00C63B2D" w:rsidRDefault="00C63B2D" w:rsidP="00C63B2D">
            <w:pPr>
              <w:ind w:firstLineChars="100" w:firstLine="200"/>
              <w:rPr>
                <w:rFonts w:cs="Arial"/>
                <w:color w:val="000000"/>
                <w:szCs w:val="20"/>
              </w:rPr>
            </w:pPr>
            <w:r>
              <w:rPr>
                <w:rFonts w:cs="Arial"/>
                <w:color w:val="000000"/>
                <w:szCs w:val="20"/>
              </w:rPr>
              <w:t>Sheep</w:t>
            </w:r>
          </w:p>
        </w:tc>
        <w:tc>
          <w:tcPr>
            <w:tcW w:w="1417"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22.1%</w:t>
            </w:r>
          </w:p>
        </w:tc>
        <w:tc>
          <w:tcPr>
            <w:tcW w:w="1559"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0.3%</w:t>
            </w:r>
          </w:p>
        </w:tc>
      </w:tr>
      <w:tr w:rsidR="00C63B2D" w:rsidRPr="007E19AF" w:rsidTr="00070B12">
        <w:trPr>
          <w:trHeight w:val="255"/>
        </w:trPr>
        <w:tc>
          <w:tcPr>
            <w:cnfStyle w:val="001000000000" w:firstRow="0" w:lastRow="0" w:firstColumn="1" w:lastColumn="0" w:oddVBand="0" w:evenVBand="0" w:oddHBand="0" w:evenHBand="0" w:firstRowFirstColumn="0" w:firstRowLastColumn="0" w:lastRowFirstColumn="0" w:lastRowLastColumn="0"/>
            <w:tcW w:w="5239" w:type="dxa"/>
            <w:noWrap/>
            <w:hideMark/>
          </w:tcPr>
          <w:p w:rsidR="00C63B2D" w:rsidRDefault="00C63B2D" w:rsidP="00C63B2D">
            <w:pPr>
              <w:ind w:firstLineChars="100" w:firstLine="200"/>
              <w:rPr>
                <w:rFonts w:cs="Arial"/>
                <w:color w:val="000000"/>
                <w:szCs w:val="20"/>
              </w:rPr>
            </w:pPr>
            <w:r>
              <w:rPr>
                <w:rFonts w:cs="Arial"/>
                <w:color w:val="000000"/>
                <w:szCs w:val="20"/>
              </w:rPr>
              <w:t>Pigs</w:t>
            </w:r>
          </w:p>
        </w:tc>
        <w:tc>
          <w:tcPr>
            <w:tcW w:w="1417"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4.6%</w:t>
            </w:r>
          </w:p>
        </w:tc>
        <w:tc>
          <w:tcPr>
            <w:tcW w:w="1559"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0.1%</w:t>
            </w:r>
          </w:p>
        </w:tc>
      </w:tr>
      <w:tr w:rsidR="00C63B2D" w:rsidRPr="007E19AF" w:rsidTr="00070B12">
        <w:trPr>
          <w:trHeight w:val="255"/>
        </w:trPr>
        <w:tc>
          <w:tcPr>
            <w:cnfStyle w:val="001000000000" w:firstRow="0" w:lastRow="0" w:firstColumn="1" w:lastColumn="0" w:oddVBand="0" w:evenVBand="0" w:oddHBand="0" w:evenHBand="0" w:firstRowFirstColumn="0" w:firstRowLastColumn="0" w:lastRowFirstColumn="0" w:lastRowLastColumn="0"/>
            <w:tcW w:w="5239" w:type="dxa"/>
            <w:noWrap/>
            <w:hideMark/>
          </w:tcPr>
          <w:p w:rsidR="00C63B2D" w:rsidRDefault="00C63B2D" w:rsidP="00C63B2D">
            <w:pPr>
              <w:ind w:firstLineChars="100" w:firstLine="200"/>
              <w:rPr>
                <w:rFonts w:cs="Arial"/>
                <w:color w:val="000000"/>
                <w:szCs w:val="20"/>
              </w:rPr>
            </w:pPr>
            <w:r>
              <w:rPr>
                <w:rFonts w:cs="Arial"/>
                <w:color w:val="000000"/>
                <w:szCs w:val="20"/>
              </w:rPr>
              <w:t>Other four-legged animals</w:t>
            </w:r>
          </w:p>
        </w:tc>
        <w:tc>
          <w:tcPr>
            <w:tcW w:w="1417"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3.1%</w:t>
            </w:r>
          </w:p>
        </w:tc>
        <w:tc>
          <w:tcPr>
            <w:tcW w:w="1559"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2.0%</w:t>
            </w:r>
          </w:p>
        </w:tc>
      </w:tr>
      <w:tr w:rsidR="00C63B2D" w:rsidRPr="007E19AF" w:rsidTr="00070B12">
        <w:trPr>
          <w:trHeight w:val="255"/>
        </w:trPr>
        <w:tc>
          <w:tcPr>
            <w:cnfStyle w:val="001000000000" w:firstRow="0" w:lastRow="0" w:firstColumn="1" w:lastColumn="0" w:oddVBand="0" w:evenVBand="0" w:oddHBand="0" w:evenHBand="0" w:firstRowFirstColumn="0" w:firstRowLastColumn="0" w:lastRowFirstColumn="0" w:lastRowLastColumn="0"/>
            <w:tcW w:w="5239" w:type="dxa"/>
            <w:noWrap/>
            <w:hideMark/>
          </w:tcPr>
          <w:p w:rsidR="00C63B2D" w:rsidRDefault="00C63B2D" w:rsidP="00C63B2D">
            <w:pPr>
              <w:ind w:firstLineChars="100" w:firstLine="200"/>
              <w:rPr>
                <w:rFonts w:cs="Arial"/>
                <w:color w:val="000000"/>
                <w:szCs w:val="20"/>
              </w:rPr>
            </w:pPr>
            <w:r>
              <w:rPr>
                <w:rFonts w:cs="Arial"/>
                <w:color w:val="000000"/>
                <w:szCs w:val="20"/>
              </w:rPr>
              <w:t>Other person</w:t>
            </w:r>
          </w:p>
        </w:tc>
        <w:tc>
          <w:tcPr>
            <w:tcW w:w="1417"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3.2%</w:t>
            </w:r>
          </w:p>
        </w:tc>
        <w:tc>
          <w:tcPr>
            <w:tcW w:w="1559"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79.4%</w:t>
            </w:r>
          </w:p>
        </w:tc>
      </w:tr>
      <w:tr w:rsidR="00C63B2D" w:rsidRPr="007E19AF" w:rsidTr="00070B12">
        <w:trPr>
          <w:trHeight w:val="255"/>
        </w:trPr>
        <w:tc>
          <w:tcPr>
            <w:cnfStyle w:val="001000000000" w:firstRow="0" w:lastRow="0" w:firstColumn="1" w:lastColumn="0" w:oddVBand="0" w:evenVBand="0" w:oddHBand="0" w:evenHBand="0" w:firstRowFirstColumn="0" w:firstRowLastColumn="0" w:lastRowFirstColumn="0" w:lastRowLastColumn="0"/>
            <w:tcW w:w="5239" w:type="dxa"/>
            <w:noWrap/>
            <w:hideMark/>
          </w:tcPr>
          <w:p w:rsidR="00C63B2D" w:rsidRDefault="00C63B2D" w:rsidP="00C63B2D">
            <w:pPr>
              <w:rPr>
                <w:rFonts w:cs="Arial"/>
                <w:b/>
                <w:bCs/>
                <w:color w:val="000000"/>
                <w:szCs w:val="20"/>
              </w:rPr>
            </w:pPr>
            <w:r>
              <w:rPr>
                <w:rFonts w:cs="Arial"/>
                <w:b/>
                <w:bCs/>
                <w:color w:val="000000"/>
                <w:szCs w:val="20"/>
              </w:rPr>
              <w:t>Mobile plant and transport</w:t>
            </w:r>
          </w:p>
        </w:tc>
        <w:tc>
          <w:tcPr>
            <w:tcW w:w="1417"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17.1%</w:t>
            </w:r>
          </w:p>
        </w:tc>
        <w:tc>
          <w:tcPr>
            <w:tcW w:w="1559"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9.1%</w:t>
            </w:r>
          </w:p>
        </w:tc>
      </w:tr>
      <w:tr w:rsidR="00C63B2D" w:rsidRPr="007E19AF" w:rsidTr="00070B12">
        <w:trPr>
          <w:trHeight w:val="255"/>
        </w:trPr>
        <w:tc>
          <w:tcPr>
            <w:cnfStyle w:val="001000000000" w:firstRow="0" w:lastRow="0" w:firstColumn="1" w:lastColumn="0" w:oddVBand="0" w:evenVBand="0" w:oddHBand="0" w:evenHBand="0" w:firstRowFirstColumn="0" w:firstRowLastColumn="0" w:lastRowFirstColumn="0" w:lastRowLastColumn="0"/>
            <w:tcW w:w="5239" w:type="dxa"/>
            <w:noWrap/>
            <w:hideMark/>
          </w:tcPr>
          <w:p w:rsidR="00C63B2D" w:rsidRDefault="00C63B2D" w:rsidP="00C63B2D">
            <w:pPr>
              <w:ind w:firstLineChars="100" w:firstLine="200"/>
              <w:rPr>
                <w:rFonts w:cs="Arial"/>
                <w:color w:val="000000"/>
                <w:szCs w:val="20"/>
              </w:rPr>
            </w:pPr>
            <w:r>
              <w:rPr>
                <w:rFonts w:cs="Arial"/>
                <w:color w:val="000000"/>
                <w:szCs w:val="20"/>
              </w:rPr>
              <w:t>Motorcycles and sidecars, scooters</w:t>
            </w:r>
          </w:p>
        </w:tc>
        <w:tc>
          <w:tcPr>
            <w:tcW w:w="1417"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28.1%</w:t>
            </w:r>
          </w:p>
        </w:tc>
        <w:tc>
          <w:tcPr>
            <w:tcW w:w="1559"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1.8%</w:t>
            </w:r>
          </w:p>
        </w:tc>
      </w:tr>
      <w:tr w:rsidR="00C63B2D" w:rsidRPr="007E19AF" w:rsidTr="00070B12">
        <w:trPr>
          <w:trHeight w:val="255"/>
        </w:trPr>
        <w:tc>
          <w:tcPr>
            <w:cnfStyle w:val="001000000000" w:firstRow="0" w:lastRow="0" w:firstColumn="1" w:lastColumn="0" w:oddVBand="0" w:evenVBand="0" w:oddHBand="0" w:evenHBand="0" w:firstRowFirstColumn="0" w:firstRowLastColumn="0" w:lastRowFirstColumn="0" w:lastRowLastColumn="0"/>
            <w:tcW w:w="5239" w:type="dxa"/>
            <w:noWrap/>
            <w:hideMark/>
          </w:tcPr>
          <w:p w:rsidR="00C63B2D" w:rsidRDefault="00C63B2D" w:rsidP="00C63B2D">
            <w:pPr>
              <w:ind w:firstLineChars="100" w:firstLine="200"/>
              <w:rPr>
                <w:rFonts w:cs="Arial"/>
                <w:color w:val="000000"/>
                <w:szCs w:val="20"/>
              </w:rPr>
            </w:pPr>
            <w:r>
              <w:rPr>
                <w:rFonts w:cs="Arial"/>
                <w:color w:val="000000"/>
                <w:szCs w:val="20"/>
              </w:rPr>
              <w:t>Tractors, agricultural or otherwise</w:t>
            </w:r>
          </w:p>
        </w:tc>
        <w:tc>
          <w:tcPr>
            <w:tcW w:w="1417"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17.5%</w:t>
            </w:r>
          </w:p>
        </w:tc>
        <w:tc>
          <w:tcPr>
            <w:tcW w:w="1559"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0.8%</w:t>
            </w:r>
          </w:p>
        </w:tc>
      </w:tr>
      <w:tr w:rsidR="00C63B2D" w:rsidRPr="007E19AF" w:rsidTr="00070B12">
        <w:trPr>
          <w:trHeight w:val="255"/>
        </w:trPr>
        <w:tc>
          <w:tcPr>
            <w:cnfStyle w:val="001000000000" w:firstRow="0" w:lastRow="0" w:firstColumn="1" w:lastColumn="0" w:oddVBand="0" w:evenVBand="0" w:oddHBand="0" w:evenHBand="0" w:firstRowFirstColumn="0" w:firstRowLastColumn="0" w:lastRowFirstColumn="0" w:lastRowLastColumn="0"/>
            <w:tcW w:w="5239" w:type="dxa"/>
            <w:noWrap/>
            <w:hideMark/>
          </w:tcPr>
          <w:p w:rsidR="00C63B2D" w:rsidRDefault="00C63B2D" w:rsidP="00C63B2D">
            <w:pPr>
              <w:ind w:firstLineChars="100" w:firstLine="200"/>
              <w:rPr>
                <w:rFonts w:cs="Arial"/>
                <w:color w:val="000000"/>
                <w:szCs w:val="20"/>
              </w:rPr>
            </w:pPr>
            <w:r>
              <w:rPr>
                <w:rFonts w:cs="Arial"/>
                <w:color w:val="000000"/>
                <w:szCs w:val="20"/>
              </w:rPr>
              <w:t>Trucks, semi-trailers, lorries</w:t>
            </w:r>
          </w:p>
        </w:tc>
        <w:tc>
          <w:tcPr>
            <w:tcW w:w="1417"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12.6%</w:t>
            </w:r>
          </w:p>
        </w:tc>
        <w:tc>
          <w:tcPr>
            <w:tcW w:w="1559"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28.5%</w:t>
            </w:r>
          </w:p>
        </w:tc>
      </w:tr>
      <w:tr w:rsidR="00C63B2D" w:rsidRPr="007E19AF" w:rsidTr="00070B12">
        <w:trPr>
          <w:trHeight w:val="255"/>
        </w:trPr>
        <w:tc>
          <w:tcPr>
            <w:cnfStyle w:val="001000000000" w:firstRow="0" w:lastRow="0" w:firstColumn="1" w:lastColumn="0" w:oddVBand="0" w:evenVBand="0" w:oddHBand="0" w:evenHBand="0" w:firstRowFirstColumn="0" w:firstRowLastColumn="0" w:lastRowFirstColumn="0" w:lastRowLastColumn="0"/>
            <w:tcW w:w="5239" w:type="dxa"/>
            <w:noWrap/>
            <w:hideMark/>
          </w:tcPr>
          <w:p w:rsidR="00C63B2D" w:rsidRDefault="00C63B2D" w:rsidP="00C63B2D">
            <w:pPr>
              <w:ind w:firstLineChars="100" w:firstLine="200"/>
              <w:rPr>
                <w:rFonts w:cs="Arial"/>
                <w:color w:val="000000"/>
                <w:szCs w:val="20"/>
              </w:rPr>
            </w:pPr>
            <w:r>
              <w:rPr>
                <w:rFonts w:cs="Arial"/>
                <w:color w:val="000000"/>
                <w:szCs w:val="20"/>
              </w:rPr>
              <w:t>Cars, station wagons, vans, utilities</w:t>
            </w:r>
          </w:p>
        </w:tc>
        <w:tc>
          <w:tcPr>
            <w:tcW w:w="1417"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7.6%</w:t>
            </w:r>
          </w:p>
        </w:tc>
        <w:tc>
          <w:tcPr>
            <w:tcW w:w="1559"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24.2%</w:t>
            </w:r>
          </w:p>
        </w:tc>
      </w:tr>
      <w:tr w:rsidR="00C63B2D" w:rsidRPr="007E19AF" w:rsidTr="00070B12">
        <w:trPr>
          <w:trHeight w:val="255"/>
        </w:trPr>
        <w:tc>
          <w:tcPr>
            <w:cnfStyle w:val="001000000000" w:firstRow="0" w:lastRow="0" w:firstColumn="1" w:lastColumn="0" w:oddVBand="0" w:evenVBand="0" w:oddHBand="0" w:evenHBand="0" w:firstRowFirstColumn="0" w:firstRowLastColumn="0" w:lastRowFirstColumn="0" w:lastRowLastColumn="0"/>
            <w:tcW w:w="5239" w:type="dxa"/>
            <w:noWrap/>
            <w:hideMark/>
          </w:tcPr>
          <w:p w:rsidR="00C63B2D" w:rsidRDefault="00C63B2D" w:rsidP="00C63B2D">
            <w:pPr>
              <w:ind w:firstLineChars="100" w:firstLine="200"/>
              <w:rPr>
                <w:rFonts w:cs="Arial"/>
                <w:color w:val="000000"/>
                <w:szCs w:val="20"/>
              </w:rPr>
            </w:pPr>
            <w:r>
              <w:rPr>
                <w:rFonts w:cs="Arial"/>
                <w:color w:val="000000"/>
                <w:szCs w:val="20"/>
              </w:rPr>
              <w:t>Trailers, caravans</w:t>
            </w:r>
          </w:p>
        </w:tc>
        <w:tc>
          <w:tcPr>
            <w:tcW w:w="1417"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5.6%</w:t>
            </w:r>
          </w:p>
        </w:tc>
        <w:tc>
          <w:tcPr>
            <w:tcW w:w="1559"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3.6%</w:t>
            </w:r>
          </w:p>
        </w:tc>
      </w:tr>
      <w:tr w:rsidR="00C63B2D" w:rsidRPr="007E19AF" w:rsidTr="00070B12">
        <w:trPr>
          <w:trHeight w:val="255"/>
        </w:trPr>
        <w:tc>
          <w:tcPr>
            <w:cnfStyle w:val="001000000000" w:firstRow="0" w:lastRow="0" w:firstColumn="1" w:lastColumn="0" w:oddVBand="0" w:evenVBand="0" w:oddHBand="0" w:evenHBand="0" w:firstRowFirstColumn="0" w:firstRowLastColumn="0" w:lastRowFirstColumn="0" w:lastRowLastColumn="0"/>
            <w:tcW w:w="5239" w:type="dxa"/>
            <w:noWrap/>
            <w:hideMark/>
          </w:tcPr>
          <w:p w:rsidR="00C63B2D" w:rsidRDefault="00C63B2D" w:rsidP="00C63B2D">
            <w:pPr>
              <w:ind w:firstLineChars="100" w:firstLine="200"/>
              <w:rPr>
                <w:rFonts w:cs="Arial"/>
                <w:color w:val="000000"/>
                <w:szCs w:val="20"/>
              </w:rPr>
            </w:pPr>
            <w:r>
              <w:rPr>
                <w:rFonts w:cs="Arial"/>
                <w:color w:val="000000"/>
                <w:szCs w:val="20"/>
              </w:rPr>
              <w:t>Trolleys, handcarts</w:t>
            </w:r>
          </w:p>
        </w:tc>
        <w:tc>
          <w:tcPr>
            <w:tcW w:w="1417"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4.1%</w:t>
            </w:r>
          </w:p>
        </w:tc>
        <w:tc>
          <w:tcPr>
            <w:tcW w:w="1559"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12.6%</w:t>
            </w:r>
          </w:p>
        </w:tc>
      </w:tr>
      <w:tr w:rsidR="00C63B2D" w:rsidRPr="007E19AF" w:rsidTr="00070B12">
        <w:trPr>
          <w:trHeight w:val="255"/>
        </w:trPr>
        <w:tc>
          <w:tcPr>
            <w:cnfStyle w:val="001000000000" w:firstRow="0" w:lastRow="0" w:firstColumn="1" w:lastColumn="0" w:oddVBand="0" w:evenVBand="0" w:oddHBand="0" w:evenHBand="0" w:firstRowFirstColumn="0" w:firstRowLastColumn="0" w:lastRowFirstColumn="0" w:lastRowLastColumn="0"/>
            <w:tcW w:w="5239" w:type="dxa"/>
            <w:noWrap/>
            <w:hideMark/>
          </w:tcPr>
          <w:p w:rsidR="00C63B2D" w:rsidRDefault="00C63B2D" w:rsidP="00C63B2D">
            <w:pPr>
              <w:ind w:firstLineChars="100" w:firstLine="200"/>
              <w:rPr>
                <w:rFonts w:cs="Arial"/>
                <w:color w:val="000000"/>
                <w:szCs w:val="20"/>
              </w:rPr>
            </w:pPr>
            <w:r>
              <w:rPr>
                <w:rFonts w:cs="Arial"/>
                <w:color w:val="000000"/>
                <w:szCs w:val="20"/>
              </w:rPr>
              <w:t>All-terrain vehicle (ATV)</w:t>
            </w:r>
          </w:p>
        </w:tc>
        <w:tc>
          <w:tcPr>
            <w:tcW w:w="1417"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3.8%</w:t>
            </w:r>
          </w:p>
        </w:tc>
        <w:tc>
          <w:tcPr>
            <w:tcW w:w="1559"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0.2%</w:t>
            </w:r>
          </w:p>
        </w:tc>
      </w:tr>
      <w:tr w:rsidR="00C63B2D" w:rsidRPr="007E19AF" w:rsidTr="00070B12">
        <w:trPr>
          <w:trHeight w:val="255"/>
        </w:trPr>
        <w:tc>
          <w:tcPr>
            <w:cnfStyle w:val="001000000000" w:firstRow="0" w:lastRow="0" w:firstColumn="1" w:lastColumn="0" w:oddVBand="0" w:evenVBand="0" w:oddHBand="0" w:evenHBand="0" w:firstRowFirstColumn="0" w:firstRowLastColumn="0" w:lastRowFirstColumn="0" w:lastRowLastColumn="0"/>
            <w:tcW w:w="5239" w:type="dxa"/>
            <w:noWrap/>
            <w:hideMark/>
          </w:tcPr>
          <w:p w:rsidR="00C63B2D" w:rsidRDefault="00C63B2D" w:rsidP="00C63B2D">
            <w:pPr>
              <w:rPr>
                <w:rFonts w:cs="Arial"/>
                <w:b/>
                <w:bCs/>
                <w:color w:val="000000"/>
                <w:szCs w:val="20"/>
              </w:rPr>
            </w:pPr>
            <w:r>
              <w:rPr>
                <w:rFonts w:cs="Arial"/>
                <w:b/>
                <w:bCs/>
                <w:color w:val="000000"/>
                <w:szCs w:val="20"/>
              </w:rPr>
              <w:t xml:space="preserve">Non-powered </w:t>
            </w:r>
            <w:proofErr w:type="spellStart"/>
            <w:r>
              <w:rPr>
                <w:rFonts w:cs="Arial"/>
                <w:b/>
                <w:bCs/>
                <w:color w:val="000000"/>
                <w:szCs w:val="20"/>
              </w:rPr>
              <w:t>handtools</w:t>
            </w:r>
            <w:proofErr w:type="spellEnd"/>
            <w:r>
              <w:rPr>
                <w:rFonts w:cs="Arial"/>
                <w:b/>
                <w:bCs/>
                <w:color w:val="000000"/>
                <w:szCs w:val="20"/>
              </w:rPr>
              <w:t>, appliances and equipment</w:t>
            </w:r>
          </w:p>
        </w:tc>
        <w:tc>
          <w:tcPr>
            <w:tcW w:w="1417"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16.0%</w:t>
            </w:r>
          </w:p>
        </w:tc>
        <w:tc>
          <w:tcPr>
            <w:tcW w:w="1559"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24.6%</w:t>
            </w:r>
          </w:p>
        </w:tc>
      </w:tr>
      <w:tr w:rsidR="00C63B2D" w:rsidRPr="007E19AF" w:rsidTr="00070B12">
        <w:trPr>
          <w:trHeight w:val="255"/>
        </w:trPr>
        <w:tc>
          <w:tcPr>
            <w:cnfStyle w:val="001000000000" w:firstRow="0" w:lastRow="0" w:firstColumn="1" w:lastColumn="0" w:oddVBand="0" w:evenVBand="0" w:oddHBand="0" w:evenHBand="0" w:firstRowFirstColumn="0" w:firstRowLastColumn="0" w:lastRowFirstColumn="0" w:lastRowLastColumn="0"/>
            <w:tcW w:w="5239" w:type="dxa"/>
            <w:noWrap/>
            <w:hideMark/>
          </w:tcPr>
          <w:p w:rsidR="00C63B2D" w:rsidRDefault="00C63B2D" w:rsidP="00C63B2D">
            <w:pPr>
              <w:ind w:firstLineChars="100" w:firstLine="200"/>
              <w:rPr>
                <w:rFonts w:cs="Arial"/>
                <w:color w:val="000000"/>
                <w:szCs w:val="20"/>
              </w:rPr>
            </w:pPr>
            <w:r>
              <w:rPr>
                <w:rFonts w:cs="Arial"/>
                <w:color w:val="000000"/>
                <w:szCs w:val="20"/>
              </w:rPr>
              <w:t>Crates, cartons, boxes, cases, drums, kegs, barrels</w:t>
            </w:r>
          </w:p>
        </w:tc>
        <w:tc>
          <w:tcPr>
            <w:tcW w:w="1417"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14.1%</w:t>
            </w:r>
          </w:p>
        </w:tc>
        <w:tc>
          <w:tcPr>
            <w:tcW w:w="1559"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20.5%</w:t>
            </w:r>
          </w:p>
        </w:tc>
      </w:tr>
      <w:tr w:rsidR="00C63B2D" w:rsidRPr="007E19AF" w:rsidTr="00070B12">
        <w:trPr>
          <w:trHeight w:val="255"/>
        </w:trPr>
        <w:tc>
          <w:tcPr>
            <w:cnfStyle w:val="001000000000" w:firstRow="0" w:lastRow="0" w:firstColumn="1" w:lastColumn="0" w:oddVBand="0" w:evenVBand="0" w:oddHBand="0" w:evenHBand="0" w:firstRowFirstColumn="0" w:firstRowLastColumn="0" w:lastRowFirstColumn="0" w:lastRowLastColumn="0"/>
            <w:tcW w:w="5239" w:type="dxa"/>
            <w:noWrap/>
            <w:hideMark/>
          </w:tcPr>
          <w:p w:rsidR="00C63B2D" w:rsidRDefault="00C63B2D" w:rsidP="00C63B2D">
            <w:pPr>
              <w:ind w:firstLineChars="100" w:firstLine="200"/>
              <w:rPr>
                <w:rFonts w:cs="Arial"/>
                <w:color w:val="000000"/>
                <w:szCs w:val="20"/>
              </w:rPr>
            </w:pPr>
            <w:r>
              <w:rPr>
                <w:rFonts w:cs="Arial"/>
                <w:color w:val="000000"/>
                <w:szCs w:val="20"/>
              </w:rPr>
              <w:t>Ladders</w:t>
            </w:r>
          </w:p>
        </w:tc>
        <w:tc>
          <w:tcPr>
            <w:tcW w:w="1417"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10.5%</w:t>
            </w:r>
          </w:p>
        </w:tc>
        <w:tc>
          <w:tcPr>
            <w:tcW w:w="1559"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6.0%</w:t>
            </w:r>
          </w:p>
        </w:tc>
      </w:tr>
      <w:tr w:rsidR="00C63B2D" w:rsidRPr="007E19AF" w:rsidTr="00070B12">
        <w:trPr>
          <w:trHeight w:val="255"/>
        </w:trPr>
        <w:tc>
          <w:tcPr>
            <w:cnfStyle w:val="001000000000" w:firstRow="0" w:lastRow="0" w:firstColumn="1" w:lastColumn="0" w:oddVBand="0" w:evenVBand="0" w:oddHBand="0" w:evenHBand="0" w:firstRowFirstColumn="0" w:firstRowLastColumn="0" w:lastRowFirstColumn="0" w:lastRowLastColumn="0"/>
            <w:tcW w:w="5239" w:type="dxa"/>
            <w:noWrap/>
            <w:hideMark/>
          </w:tcPr>
          <w:p w:rsidR="00C63B2D" w:rsidRDefault="00C63B2D" w:rsidP="00C63B2D">
            <w:pPr>
              <w:ind w:firstLineChars="100" w:firstLine="200"/>
              <w:rPr>
                <w:rFonts w:cs="Arial"/>
                <w:color w:val="000000"/>
                <w:szCs w:val="20"/>
              </w:rPr>
            </w:pPr>
            <w:r>
              <w:rPr>
                <w:rFonts w:cs="Arial"/>
                <w:color w:val="000000"/>
                <w:szCs w:val="20"/>
              </w:rPr>
              <w:t>Knives and cutlery</w:t>
            </w:r>
          </w:p>
        </w:tc>
        <w:tc>
          <w:tcPr>
            <w:tcW w:w="1417"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10.5%</w:t>
            </w:r>
          </w:p>
        </w:tc>
        <w:tc>
          <w:tcPr>
            <w:tcW w:w="1559"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5.2%</w:t>
            </w:r>
          </w:p>
        </w:tc>
      </w:tr>
      <w:tr w:rsidR="00C63B2D" w:rsidRPr="007E19AF" w:rsidTr="00070B12">
        <w:trPr>
          <w:trHeight w:val="255"/>
        </w:trPr>
        <w:tc>
          <w:tcPr>
            <w:cnfStyle w:val="001000000000" w:firstRow="0" w:lastRow="0" w:firstColumn="1" w:lastColumn="0" w:oddVBand="0" w:evenVBand="0" w:oddHBand="0" w:evenHBand="0" w:firstRowFirstColumn="0" w:firstRowLastColumn="0" w:lastRowFirstColumn="0" w:lastRowLastColumn="0"/>
            <w:tcW w:w="5239" w:type="dxa"/>
            <w:noWrap/>
            <w:hideMark/>
          </w:tcPr>
          <w:p w:rsidR="00C63B2D" w:rsidRDefault="00C63B2D" w:rsidP="00C63B2D">
            <w:pPr>
              <w:rPr>
                <w:rFonts w:cs="Arial"/>
                <w:b/>
                <w:bCs/>
                <w:color w:val="000000"/>
                <w:szCs w:val="20"/>
              </w:rPr>
            </w:pPr>
            <w:r>
              <w:rPr>
                <w:rFonts w:cs="Arial"/>
                <w:b/>
                <w:bCs/>
                <w:color w:val="000000"/>
                <w:szCs w:val="20"/>
              </w:rPr>
              <w:t>Environmental agencies</w:t>
            </w:r>
          </w:p>
        </w:tc>
        <w:tc>
          <w:tcPr>
            <w:tcW w:w="1417"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15.5%</w:t>
            </w:r>
          </w:p>
        </w:tc>
        <w:tc>
          <w:tcPr>
            <w:tcW w:w="1559"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15.6%</w:t>
            </w:r>
          </w:p>
        </w:tc>
      </w:tr>
      <w:tr w:rsidR="00C63B2D" w:rsidRPr="007E19AF" w:rsidTr="00070B12">
        <w:trPr>
          <w:trHeight w:val="255"/>
        </w:trPr>
        <w:tc>
          <w:tcPr>
            <w:cnfStyle w:val="001000000000" w:firstRow="0" w:lastRow="0" w:firstColumn="1" w:lastColumn="0" w:oddVBand="0" w:evenVBand="0" w:oddHBand="0" w:evenHBand="0" w:firstRowFirstColumn="0" w:firstRowLastColumn="0" w:lastRowFirstColumn="0" w:lastRowLastColumn="0"/>
            <w:tcW w:w="5239" w:type="dxa"/>
            <w:noWrap/>
            <w:hideMark/>
          </w:tcPr>
          <w:p w:rsidR="00C63B2D" w:rsidRDefault="00C63B2D" w:rsidP="00C63B2D">
            <w:pPr>
              <w:ind w:firstLineChars="100" w:firstLine="200"/>
              <w:rPr>
                <w:rFonts w:cs="Arial"/>
                <w:color w:val="000000"/>
                <w:szCs w:val="20"/>
              </w:rPr>
            </w:pPr>
            <w:r>
              <w:rPr>
                <w:rFonts w:cs="Arial"/>
                <w:color w:val="000000"/>
                <w:szCs w:val="20"/>
              </w:rPr>
              <w:t>Traffic and ground surfaces other</w:t>
            </w:r>
          </w:p>
        </w:tc>
        <w:tc>
          <w:tcPr>
            <w:tcW w:w="1417"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25.9%</w:t>
            </w:r>
          </w:p>
        </w:tc>
        <w:tc>
          <w:tcPr>
            <w:tcW w:w="1559"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26.2%</w:t>
            </w:r>
          </w:p>
        </w:tc>
      </w:tr>
      <w:tr w:rsidR="00C63B2D" w:rsidRPr="007E19AF" w:rsidTr="00070B12">
        <w:trPr>
          <w:trHeight w:val="255"/>
        </w:trPr>
        <w:tc>
          <w:tcPr>
            <w:cnfStyle w:val="001000000000" w:firstRow="0" w:lastRow="0" w:firstColumn="1" w:lastColumn="0" w:oddVBand="0" w:evenVBand="0" w:oddHBand="0" w:evenHBand="0" w:firstRowFirstColumn="0" w:firstRowLastColumn="0" w:lastRowFirstColumn="0" w:lastRowLastColumn="0"/>
            <w:tcW w:w="5239" w:type="dxa"/>
            <w:noWrap/>
            <w:hideMark/>
          </w:tcPr>
          <w:p w:rsidR="00C63B2D" w:rsidRDefault="00C63B2D" w:rsidP="00C63B2D">
            <w:pPr>
              <w:ind w:firstLineChars="100" w:firstLine="200"/>
              <w:rPr>
                <w:rFonts w:cs="Arial"/>
                <w:color w:val="000000"/>
                <w:szCs w:val="20"/>
              </w:rPr>
            </w:pPr>
            <w:r>
              <w:rPr>
                <w:rFonts w:cs="Arial"/>
                <w:color w:val="000000"/>
                <w:szCs w:val="20"/>
              </w:rPr>
              <w:t>Vegetation</w:t>
            </w:r>
          </w:p>
        </w:tc>
        <w:tc>
          <w:tcPr>
            <w:tcW w:w="1417"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17.7%</w:t>
            </w:r>
          </w:p>
        </w:tc>
        <w:tc>
          <w:tcPr>
            <w:tcW w:w="1559"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2.5%</w:t>
            </w:r>
          </w:p>
        </w:tc>
      </w:tr>
      <w:tr w:rsidR="00C63B2D" w:rsidRPr="007E19AF" w:rsidTr="00070B12">
        <w:trPr>
          <w:trHeight w:val="255"/>
        </w:trPr>
        <w:tc>
          <w:tcPr>
            <w:cnfStyle w:val="001000000000" w:firstRow="0" w:lastRow="0" w:firstColumn="1" w:lastColumn="0" w:oddVBand="0" w:evenVBand="0" w:oddHBand="0" w:evenHBand="0" w:firstRowFirstColumn="0" w:firstRowLastColumn="0" w:lastRowFirstColumn="0" w:lastRowLastColumn="0"/>
            <w:tcW w:w="5239" w:type="dxa"/>
            <w:noWrap/>
            <w:hideMark/>
          </w:tcPr>
          <w:p w:rsidR="00C63B2D" w:rsidRDefault="00C63B2D" w:rsidP="00C63B2D">
            <w:pPr>
              <w:ind w:firstLineChars="100" w:firstLine="200"/>
              <w:rPr>
                <w:rFonts w:cs="Arial"/>
                <w:color w:val="000000"/>
                <w:szCs w:val="20"/>
              </w:rPr>
            </w:pPr>
            <w:r>
              <w:rPr>
                <w:rFonts w:cs="Arial"/>
                <w:color w:val="000000"/>
                <w:szCs w:val="20"/>
              </w:rPr>
              <w:t>Fencing</w:t>
            </w:r>
          </w:p>
        </w:tc>
        <w:tc>
          <w:tcPr>
            <w:tcW w:w="1417"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14.5%</w:t>
            </w:r>
          </w:p>
        </w:tc>
        <w:tc>
          <w:tcPr>
            <w:tcW w:w="1559"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2.3%</w:t>
            </w:r>
          </w:p>
        </w:tc>
      </w:tr>
      <w:tr w:rsidR="00C63B2D" w:rsidRPr="007E19AF" w:rsidTr="00070B12">
        <w:trPr>
          <w:trHeight w:val="255"/>
        </w:trPr>
        <w:tc>
          <w:tcPr>
            <w:cnfStyle w:val="001000000000" w:firstRow="0" w:lastRow="0" w:firstColumn="1" w:lastColumn="0" w:oddVBand="0" w:evenVBand="0" w:oddHBand="0" w:evenHBand="0" w:firstRowFirstColumn="0" w:firstRowLastColumn="0" w:lastRowFirstColumn="0" w:lastRowLastColumn="0"/>
            <w:tcW w:w="5239" w:type="dxa"/>
            <w:noWrap/>
            <w:hideMark/>
          </w:tcPr>
          <w:p w:rsidR="00C63B2D" w:rsidRDefault="00C63B2D" w:rsidP="00C63B2D">
            <w:pPr>
              <w:ind w:firstLineChars="100" w:firstLine="200"/>
              <w:rPr>
                <w:rFonts w:cs="Arial"/>
                <w:color w:val="000000"/>
                <w:szCs w:val="20"/>
              </w:rPr>
            </w:pPr>
            <w:r>
              <w:rPr>
                <w:rFonts w:cs="Arial"/>
                <w:color w:val="000000"/>
                <w:szCs w:val="20"/>
              </w:rPr>
              <w:t>Holes in the ground</w:t>
            </w:r>
          </w:p>
        </w:tc>
        <w:tc>
          <w:tcPr>
            <w:tcW w:w="1417"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7.7%</w:t>
            </w:r>
          </w:p>
        </w:tc>
        <w:tc>
          <w:tcPr>
            <w:tcW w:w="1559"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5.3%</w:t>
            </w:r>
          </w:p>
        </w:tc>
      </w:tr>
      <w:tr w:rsidR="00C63B2D" w:rsidRPr="007E19AF" w:rsidTr="00070B12">
        <w:trPr>
          <w:trHeight w:val="255"/>
        </w:trPr>
        <w:tc>
          <w:tcPr>
            <w:cnfStyle w:val="001000000000" w:firstRow="0" w:lastRow="0" w:firstColumn="1" w:lastColumn="0" w:oddVBand="0" w:evenVBand="0" w:oddHBand="0" w:evenHBand="0" w:firstRowFirstColumn="0" w:firstRowLastColumn="0" w:lastRowFirstColumn="0" w:lastRowLastColumn="0"/>
            <w:tcW w:w="5239" w:type="dxa"/>
            <w:noWrap/>
            <w:hideMark/>
          </w:tcPr>
          <w:p w:rsidR="00C63B2D" w:rsidRDefault="00C63B2D" w:rsidP="00C63B2D">
            <w:pPr>
              <w:rPr>
                <w:rFonts w:cs="Arial"/>
                <w:b/>
                <w:bCs/>
                <w:color w:val="000000"/>
                <w:szCs w:val="20"/>
              </w:rPr>
            </w:pPr>
            <w:r>
              <w:rPr>
                <w:rFonts w:cs="Arial"/>
                <w:b/>
                <w:bCs/>
                <w:color w:val="000000"/>
                <w:szCs w:val="20"/>
              </w:rPr>
              <w:t>Materials and substances</w:t>
            </w:r>
          </w:p>
        </w:tc>
        <w:tc>
          <w:tcPr>
            <w:tcW w:w="1417"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9.0%</w:t>
            </w:r>
          </w:p>
        </w:tc>
        <w:tc>
          <w:tcPr>
            <w:tcW w:w="1559"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12.8%</w:t>
            </w:r>
          </w:p>
        </w:tc>
      </w:tr>
      <w:tr w:rsidR="00C63B2D" w:rsidRPr="007E19AF" w:rsidTr="00070B12">
        <w:trPr>
          <w:trHeight w:val="255"/>
        </w:trPr>
        <w:tc>
          <w:tcPr>
            <w:cnfStyle w:val="001000000000" w:firstRow="0" w:lastRow="0" w:firstColumn="1" w:lastColumn="0" w:oddVBand="0" w:evenVBand="0" w:oddHBand="0" w:evenHBand="0" w:firstRowFirstColumn="0" w:firstRowLastColumn="0" w:lastRowFirstColumn="0" w:lastRowLastColumn="0"/>
            <w:tcW w:w="5239" w:type="dxa"/>
            <w:noWrap/>
            <w:hideMark/>
          </w:tcPr>
          <w:p w:rsidR="00C63B2D" w:rsidRDefault="00C63B2D" w:rsidP="00C63B2D">
            <w:pPr>
              <w:ind w:firstLineChars="100" w:firstLine="200"/>
              <w:rPr>
                <w:rFonts w:cs="Arial"/>
                <w:color w:val="000000"/>
                <w:szCs w:val="20"/>
              </w:rPr>
            </w:pPr>
            <w:r>
              <w:rPr>
                <w:rFonts w:cs="Arial"/>
                <w:color w:val="000000"/>
                <w:szCs w:val="20"/>
              </w:rPr>
              <w:t>Ferrous and non-ferrous metal</w:t>
            </w:r>
          </w:p>
        </w:tc>
        <w:tc>
          <w:tcPr>
            <w:tcW w:w="1417"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21.4%</w:t>
            </w:r>
          </w:p>
        </w:tc>
        <w:tc>
          <w:tcPr>
            <w:tcW w:w="1559"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23.3%</w:t>
            </w:r>
          </w:p>
        </w:tc>
      </w:tr>
      <w:tr w:rsidR="00C63B2D" w:rsidRPr="007E19AF" w:rsidTr="00070B12">
        <w:trPr>
          <w:trHeight w:val="255"/>
        </w:trPr>
        <w:tc>
          <w:tcPr>
            <w:cnfStyle w:val="001000000000" w:firstRow="0" w:lastRow="0" w:firstColumn="1" w:lastColumn="0" w:oddVBand="0" w:evenVBand="0" w:oddHBand="0" w:evenHBand="0" w:firstRowFirstColumn="0" w:firstRowLastColumn="0" w:lastRowFirstColumn="0" w:lastRowLastColumn="0"/>
            <w:tcW w:w="5239" w:type="dxa"/>
            <w:noWrap/>
            <w:hideMark/>
          </w:tcPr>
          <w:p w:rsidR="00C63B2D" w:rsidRDefault="00C63B2D" w:rsidP="00C63B2D">
            <w:pPr>
              <w:rPr>
                <w:rFonts w:cs="Arial"/>
                <w:b/>
                <w:bCs/>
                <w:color w:val="000000"/>
                <w:szCs w:val="20"/>
              </w:rPr>
            </w:pPr>
            <w:r>
              <w:rPr>
                <w:rFonts w:cs="Arial"/>
                <w:b/>
                <w:bCs/>
                <w:color w:val="000000"/>
                <w:szCs w:val="20"/>
              </w:rPr>
              <w:t>Machinery and (mainly) fixed plant</w:t>
            </w:r>
          </w:p>
        </w:tc>
        <w:tc>
          <w:tcPr>
            <w:tcW w:w="1417"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6.4%</w:t>
            </w:r>
          </w:p>
        </w:tc>
        <w:tc>
          <w:tcPr>
            <w:tcW w:w="1559"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4.8%</w:t>
            </w:r>
          </w:p>
        </w:tc>
      </w:tr>
      <w:tr w:rsidR="00C63B2D" w:rsidRPr="007E19AF" w:rsidTr="00070B12">
        <w:trPr>
          <w:trHeight w:val="255"/>
        </w:trPr>
        <w:tc>
          <w:tcPr>
            <w:cnfStyle w:val="001000000000" w:firstRow="0" w:lastRow="0" w:firstColumn="1" w:lastColumn="0" w:oddVBand="0" w:evenVBand="0" w:oddHBand="0" w:evenHBand="0" w:firstRowFirstColumn="0" w:firstRowLastColumn="0" w:lastRowFirstColumn="0" w:lastRowLastColumn="0"/>
            <w:tcW w:w="5239" w:type="dxa"/>
            <w:noWrap/>
            <w:hideMark/>
          </w:tcPr>
          <w:p w:rsidR="00C63B2D" w:rsidRDefault="00C63B2D" w:rsidP="00C63B2D">
            <w:pPr>
              <w:ind w:firstLineChars="100" w:firstLine="200"/>
              <w:rPr>
                <w:rFonts w:cs="Arial"/>
                <w:color w:val="000000"/>
                <w:szCs w:val="20"/>
              </w:rPr>
            </w:pPr>
            <w:r>
              <w:rPr>
                <w:rFonts w:cs="Arial"/>
                <w:color w:val="000000"/>
                <w:szCs w:val="20"/>
              </w:rPr>
              <w:t>Sheep shearing plant</w:t>
            </w:r>
          </w:p>
        </w:tc>
        <w:tc>
          <w:tcPr>
            <w:tcW w:w="1417"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22.0%</w:t>
            </w:r>
          </w:p>
        </w:tc>
        <w:tc>
          <w:tcPr>
            <w:tcW w:w="1559"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0.0%</w:t>
            </w:r>
          </w:p>
        </w:tc>
      </w:tr>
      <w:tr w:rsidR="00C63B2D" w:rsidRPr="007E19AF" w:rsidTr="00070B12">
        <w:trPr>
          <w:trHeight w:val="255"/>
        </w:trPr>
        <w:tc>
          <w:tcPr>
            <w:cnfStyle w:val="001000000000" w:firstRow="0" w:lastRow="0" w:firstColumn="1" w:lastColumn="0" w:oddVBand="0" w:evenVBand="0" w:oddHBand="0" w:evenHBand="0" w:firstRowFirstColumn="0" w:firstRowLastColumn="0" w:lastRowFirstColumn="0" w:lastRowLastColumn="0"/>
            <w:tcW w:w="5239" w:type="dxa"/>
            <w:noWrap/>
            <w:hideMark/>
          </w:tcPr>
          <w:p w:rsidR="00C63B2D" w:rsidRDefault="00C63B2D" w:rsidP="00C63B2D">
            <w:pPr>
              <w:ind w:firstLineChars="100" w:firstLine="200"/>
              <w:rPr>
                <w:rFonts w:cs="Arial"/>
                <w:color w:val="000000"/>
                <w:szCs w:val="20"/>
              </w:rPr>
            </w:pPr>
            <w:r>
              <w:rPr>
                <w:rFonts w:cs="Arial"/>
                <w:color w:val="000000"/>
                <w:szCs w:val="20"/>
              </w:rPr>
              <w:t>Forklift trucks</w:t>
            </w:r>
          </w:p>
        </w:tc>
        <w:tc>
          <w:tcPr>
            <w:tcW w:w="1417"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10.8%</w:t>
            </w:r>
          </w:p>
        </w:tc>
        <w:tc>
          <w:tcPr>
            <w:tcW w:w="1559"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16.9%</w:t>
            </w:r>
          </w:p>
        </w:tc>
      </w:tr>
      <w:tr w:rsidR="00C63B2D" w:rsidRPr="007E19AF" w:rsidTr="00070B12">
        <w:trPr>
          <w:trHeight w:val="255"/>
        </w:trPr>
        <w:tc>
          <w:tcPr>
            <w:cnfStyle w:val="001000000000" w:firstRow="0" w:lastRow="0" w:firstColumn="1" w:lastColumn="0" w:oddVBand="0" w:evenVBand="0" w:oddHBand="0" w:evenHBand="0" w:firstRowFirstColumn="0" w:firstRowLastColumn="0" w:lastRowFirstColumn="0" w:lastRowLastColumn="0"/>
            <w:tcW w:w="5239" w:type="dxa"/>
            <w:noWrap/>
            <w:hideMark/>
          </w:tcPr>
          <w:p w:rsidR="00C63B2D" w:rsidRDefault="00C63B2D" w:rsidP="00C63B2D">
            <w:pPr>
              <w:rPr>
                <w:rFonts w:cs="Arial"/>
                <w:b/>
                <w:bCs/>
                <w:color w:val="000000"/>
                <w:szCs w:val="20"/>
              </w:rPr>
            </w:pPr>
            <w:r>
              <w:rPr>
                <w:rFonts w:cs="Arial"/>
                <w:b/>
                <w:bCs/>
                <w:color w:val="000000"/>
                <w:szCs w:val="20"/>
              </w:rPr>
              <w:t>Powered equipment, tools and appliances</w:t>
            </w:r>
          </w:p>
        </w:tc>
        <w:tc>
          <w:tcPr>
            <w:tcW w:w="1417"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2.4%</w:t>
            </w:r>
          </w:p>
        </w:tc>
        <w:tc>
          <w:tcPr>
            <w:tcW w:w="1559"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4.7%</w:t>
            </w:r>
          </w:p>
        </w:tc>
      </w:tr>
      <w:tr w:rsidR="00C63B2D" w:rsidRPr="007E19AF" w:rsidTr="00070B12">
        <w:trPr>
          <w:trHeight w:val="255"/>
        </w:trPr>
        <w:tc>
          <w:tcPr>
            <w:cnfStyle w:val="001000000000" w:firstRow="0" w:lastRow="0" w:firstColumn="1" w:lastColumn="0" w:oddVBand="0" w:evenVBand="0" w:oddHBand="0" w:evenHBand="0" w:firstRowFirstColumn="0" w:firstRowLastColumn="0" w:lastRowFirstColumn="0" w:lastRowLastColumn="0"/>
            <w:tcW w:w="5239" w:type="dxa"/>
            <w:noWrap/>
            <w:hideMark/>
          </w:tcPr>
          <w:p w:rsidR="00C63B2D" w:rsidRDefault="00C63B2D" w:rsidP="00C63B2D">
            <w:pPr>
              <w:rPr>
                <w:rFonts w:cs="Arial"/>
                <w:b/>
                <w:bCs/>
                <w:color w:val="000000"/>
                <w:szCs w:val="20"/>
              </w:rPr>
            </w:pPr>
            <w:r>
              <w:rPr>
                <w:rFonts w:cs="Arial"/>
                <w:b/>
                <w:bCs/>
                <w:color w:val="000000"/>
                <w:szCs w:val="20"/>
              </w:rPr>
              <w:t>Chemicals and chemical products</w:t>
            </w:r>
          </w:p>
        </w:tc>
        <w:tc>
          <w:tcPr>
            <w:tcW w:w="1417"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0.8%</w:t>
            </w:r>
          </w:p>
        </w:tc>
        <w:tc>
          <w:tcPr>
            <w:tcW w:w="1559"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0.7%</w:t>
            </w:r>
          </w:p>
        </w:tc>
      </w:tr>
      <w:tr w:rsidR="00C63B2D" w:rsidRPr="007E19AF" w:rsidTr="00070B12">
        <w:trPr>
          <w:trHeight w:val="255"/>
        </w:trPr>
        <w:tc>
          <w:tcPr>
            <w:cnfStyle w:val="001000000000" w:firstRow="0" w:lastRow="0" w:firstColumn="1" w:lastColumn="0" w:oddVBand="0" w:evenVBand="0" w:oddHBand="0" w:evenHBand="0" w:firstRowFirstColumn="0" w:firstRowLastColumn="0" w:lastRowFirstColumn="0" w:lastRowLastColumn="0"/>
            <w:tcW w:w="5239" w:type="dxa"/>
            <w:noWrap/>
            <w:hideMark/>
          </w:tcPr>
          <w:p w:rsidR="00C63B2D" w:rsidRDefault="00C63B2D" w:rsidP="00C63B2D">
            <w:pPr>
              <w:rPr>
                <w:rFonts w:cs="Arial"/>
                <w:b/>
                <w:bCs/>
                <w:color w:val="000000"/>
                <w:szCs w:val="20"/>
              </w:rPr>
            </w:pPr>
            <w:r>
              <w:rPr>
                <w:rFonts w:cs="Arial"/>
                <w:b/>
                <w:bCs/>
                <w:color w:val="000000"/>
                <w:szCs w:val="20"/>
              </w:rPr>
              <w:t>Total</w:t>
            </w:r>
          </w:p>
        </w:tc>
        <w:tc>
          <w:tcPr>
            <w:tcW w:w="1417"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100.0%</w:t>
            </w:r>
          </w:p>
        </w:tc>
        <w:tc>
          <w:tcPr>
            <w:tcW w:w="1559"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100.0%</w:t>
            </w:r>
          </w:p>
        </w:tc>
      </w:tr>
    </w:tbl>
    <w:p w:rsidR="0075723F" w:rsidRPr="008016F8" w:rsidRDefault="00C234F2" w:rsidP="0075723F">
      <w:pPr>
        <w:pStyle w:val="Footnote"/>
      </w:pPr>
      <w:r w:rsidRPr="00C234F2">
        <w:t>The sum of percentages may not equal 100% due to rounding.</w:t>
      </w:r>
      <w:r>
        <w:br/>
      </w:r>
      <w:r w:rsidR="0075723F" w:rsidRPr="008016F8">
        <w:t>Source: National Data Set for Compensation-Based Statistics.</w:t>
      </w:r>
    </w:p>
    <w:p w:rsidR="0075723F" w:rsidRDefault="0075723F" w:rsidP="0075723F">
      <w:pPr>
        <w:pStyle w:val="Heading2"/>
      </w:pPr>
      <w:bookmarkStart w:id="53" w:name="_Toc453938286"/>
      <w:bookmarkStart w:id="54" w:name="_Toc459720379"/>
      <w:bookmarkEnd w:id="51"/>
      <w:r>
        <w:t>Mechanism of injury or disease</w:t>
      </w:r>
      <w:bookmarkEnd w:id="53"/>
      <w:bookmarkEnd w:id="54"/>
    </w:p>
    <w:p w:rsidR="0075723F" w:rsidRPr="005E6422" w:rsidRDefault="0075723F" w:rsidP="0075723F">
      <w:r>
        <w:t xml:space="preserve">The mechanism identifies the action, exposure or event that led to the most serious injury or disease. </w:t>
      </w:r>
      <w:r w:rsidRPr="005E6422">
        <w:t xml:space="preserve">More than half (54 per cent) of serious claims made by </w:t>
      </w:r>
      <w:r>
        <w:t xml:space="preserve">agricultural employees </w:t>
      </w:r>
      <w:proofErr w:type="gramStart"/>
      <w:r>
        <w:t>between 2009–10</w:t>
      </w:r>
      <w:proofErr w:type="gramEnd"/>
      <w:r>
        <w:t xml:space="preserve"> and 2013−</w:t>
      </w:r>
      <w:r w:rsidRPr="005E6422">
        <w:t xml:space="preserve">14 arose from body stressing </w:t>
      </w:r>
      <w:r>
        <w:t>or</w:t>
      </w:r>
      <w:r w:rsidRPr="005E6422">
        <w:t xml:space="preserve"> being hit by moving objects. Compared with employees in all industries, a substantially higher percentage of serious claims made by </w:t>
      </w:r>
      <w:r>
        <w:t>agricultural employees</w:t>
      </w:r>
      <w:r w:rsidRPr="005E6422">
        <w:t xml:space="preserve"> were due to being hit by moving objects (27 per cent versus 14 per</w:t>
      </w:r>
      <w:r w:rsidR="00A01F5E">
        <w:t xml:space="preserve"> cent) and vehicle i</w:t>
      </w:r>
      <w:r w:rsidR="005A7FC4">
        <w:t>ncidents (11</w:t>
      </w:r>
      <w:r w:rsidRPr="005E6422">
        <w:t xml:space="preserve"> per cent versus 6 per cent).</w:t>
      </w:r>
    </w:p>
    <w:p w:rsidR="0075723F" w:rsidRPr="005E6422" w:rsidRDefault="0075723F" w:rsidP="0075723F">
      <w:pPr>
        <w:pStyle w:val="Heading4"/>
      </w:pPr>
      <w:r>
        <w:t xml:space="preserve">Table </w:t>
      </w:r>
      <w:fldSimple w:instr=" SEQ Table \* ARABIC ">
        <w:r w:rsidR="001A7C10">
          <w:rPr>
            <w:noProof/>
          </w:rPr>
          <w:t>11</w:t>
        </w:r>
      </w:fldSimple>
      <w:r>
        <w:t xml:space="preserve">: </w:t>
      </w:r>
      <w:r w:rsidRPr="005E6422">
        <w:t xml:space="preserve">Percentage of serious claims for the </w:t>
      </w:r>
      <w:r>
        <w:t>agricultural</w:t>
      </w:r>
      <w:r w:rsidRPr="005E6422">
        <w:t xml:space="preserve"> industry and all industries by mechanism of injury or disease, 2009–10 to 2013–</w:t>
      </w:r>
      <w:proofErr w:type="spellStart"/>
      <w:r w:rsidRPr="005E6422">
        <w:t>14</w:t>
      </w:r>
      <w:r>
        <w:t>p</w:t>
      </w:r>
      <w:proofErr w:type="spellEnd"/>
      <w:r>
        <w:t xml:space="preserve"> combined</w:t>
      </w:r>
    </w:p>
    <w:tbl>
      <w:tblPr>
        <w:tblStyle w:val="TableGrid"/>
        <w:tblW w:w="9369" w:type="dxa"/>
        <w:tblInd w:w="108" w:type="dxa"/>
        <w:tblLook w:val="04A0" w:firstRow="1" w:lastRow="0" w:firstColumn="1" w:lastColumn="0" w:noHBand="0" w:noVBand="1"/>
        <w:tblCaption w:val="Table 11"/>
      </w:tblPr>
      <w:tblGrid>
        <w:gridCol w:w="6379"/>
        <w:gridCol w:w="1395"/>
        <w:gridCol w:w="1595"/>
      </w:tblGrid>
      <w:tr w:rsidR="0075723F" w:rsidRPr="00E1683C" w:rsidTr="00C63B2D">
        <w:trPr>
          <w:trHeight w:val="255"/>
          <w:tblHeader/>
        </w:trPr>
        <w:tc>
          <w:tcPr>
            <w:cnfStyle w:val="001000000000" w:firstRow="0" w:lastRow="0" w:firstColumn="1" w:lastColumn="0" w:oddVBand="0" w:evenVBand="0" w:oddHBand="0" w:evenHBand="0" w:firstRowFirstColumn="0" w:firstRowLastColumn="0" w:lastRowFirstColumn="0" w:lastRowLastColumn="0"/>
            <w:tcW w:w="6379" w:type="dxa"/>
            <w:noWrap/>
            <w:hideMark/>
          </w:tcPr>
          <w:p w:rsidR="0075723F" w:rsidRPr="00E1683C" w:rsidRDefault="001158C7" w:rsidP="00C63B2D">
            <w:pPr>
              <w:rPr>
                <w:rFonts w:eastAsia="Times New Roman"/>
                <w:b/>
                <w:bCs/>
                <w:color w:val="000000"/>
                <w:szCs w:val="20"/>
              </w:rPr>
            </w:pPr>
            <w:r w:rsidRPr="00E1683C">
              <w:rPr>
                <w:rFonts w:eastAsia="Times New Roman"/>
                <w:b/>
                <w:bCs/>
                <w:color w:val="000000"/>
                <w:szCs w:val="20"/>
              </w:rPr>
              <w:t>Mechanism of injury or disease</w:t>
            </w:r>
          </w:p>
        </w:tc>
        <w:tc>
          <w:tcPr>
            <w:tcW w:w="1395" w:type="dxa"/>
            <w:noWrap/>
            <w:hideMark/>
          </w:tcPr>
          <w:p w:rsidR="0075723F" w:rsidRPr="00E1683C" w:rsidRDefault="0075723F" w:rsidP="00C63B2D">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Pr>
                <w:rFonts w:eastAsia="Times New Roman"/>
                <w:b/>
                <w:bCs/>
                <w:color w:val="000000"/>
                <w:szCs w:val="20"/>
              </w:rPr>
              <w:t>Agricultural industry</w:t>
            </w:r>
          </w:p>
        </w:tc>
        <w:tc>
          <w:tcPr>
            <w:tcW w:w="1595" w:type="dxa"/>
            <w:noWrap/>
            <w:hideMark/>
          </w:tcPr>
          <w:p w:rsidR="0075723F" w:rsidRPr="00E1683C" w:rsidRDefault="0075723F" w:rsidP="00C63B2D">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E1683C">
              <w:rPr>
                <w:rFonts w:eastAsia="Times New Roman"/>
                <w:b/>
                <w:bCs/>
                <w:color w:val="000000"/>
                <w:szCs w:val="20"/>
              </w:rPr>
              <w:t>All industries</w:t>
            </w:r>
          </w:p>
        </w:tc>
      </w:tr>
      <w:tr w:rsidR="00C63B2D" w:rsidRPr="00E1683C" w:rsidTr="00C63B2D">
        <w:trPr>
          <w:trHeight w:val="255"/>
        </w:trPr>
        <w:tc>
          <w:tcPr>
            <w:cnfStyle w:val="001000000000" w:firstRow="0" w:lastRow="0" w:firstColumn="1" w:lastColumn="0" w:oddVBand="0" w:evenVBand="0" w:oddHBand="0" w:evenHBand="0" w:firstRowFirstColumn="0" w:firstRowLastColumn="0" w:lastRowFirstColumn="0" w:lastRowLastColumn="0"/>
            <w:tcW w:w="6379" w:type="dxa"/>
            <w:noWrap/>
            <w:hideMark/>
          </w:tcPr>
          <w:p w:rsidR="00C63B2D" w:rsidRDefault="001158C7" w:rsidP="00C63B2D">
            <w:pPr>
              <w:rPr>
                <w:rFonts w:cs="Arial"/>
                <w:b/>
                <w:bCs/>
                <w:color w:val="000000"/>
                <w:szCs w:val="20"/>
              </w:rPr>
            </w:pPr>
            <w:r>
              <w:rPr>
                <w:rFonts w:cs="Arial"/>
                <w:b/>
                <w:bCs/>
                <w:color w:val="000000"/>
                <w:szCs w:val="20"/>
              </w:rPr>
              <w:t>Body stressing</w:t>
            </w:r>
          </w:p>
        </w:tc>
        <w:tc>
          <w:tcPr>
            <w:tcW w:w="1395"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27.0%</w:t>
            </w:r>
          </w:p>
        </w:tc>
        <w:tc>
          <w:tcPr>
            <w:tcW w:w="1595"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42.3%</w:t>
            </w:r>
          </w:p>
        </w:tc>
      </w:tr>
      <w:tr w:rsidR="00C63B2D" w:rsidRPr="00E1683C" w:rsidTr="00C63B2D">
        <w:trPr>
          <w:trHeight w:val="255"/>
        </w:trPr>
        <w:tc>
          <w:tcPr>
            <w:cnfStyle w:val="001000000000" w:firstRow="0" w:lastRow="0" w:firstColumn="1" w:lastColumn="0" w:oddVBand="0" w:evenVBand="0" w:oddHBand="0" w:evenHBand="0" w:firstRowFirstColumn="0" w:firstRowLastColumn="0" w:lastRowFirstColumn="0" w:lastRowLastColumn="0"/>
            <w:tcW w:w="6379" w:type="dxa"/>
            <w:noWrap/>
            <w:hideMark/>
          </w:tcPr>
          <w:p w:rsidR="00C63B2D" w:rsidRDefault="001158C7" w:rsidP="00C63B2D">
            <w:pPr>
              <w:ind w:left="176"/>
              <w:rPr>
                <w:rFonts w:cs="Arial"/>
                <w:color w:val="000000"/>
                <w:szCs w:val="20"/>
              </w:rPr>
            </w:pPr>
            <w:r>
              <w:rPr>
                <w:rFonts w:cs="Arial"/>
                <w:color w:val="000000"/>
                <w:szCs w:val="20"/>
              </w:rPr>
              <w:t>Muscular stress while handling objects other than lifting, carrying or putting down objects</w:t>
            </w:r>
          </w:p>
        </w:tc>
        <w:tc>
          <w:tcPr>
            <w:tcW w:w="1395"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48.6%</w:t>
            </w:r>
          </w:p>
        </w:tc>
        <w:tc>
          <w:tcPr>
            <w:tcW w:w="1595"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37.9%</w:t>
            </w:r>
          </w:p>
        </w:tc>
      </w:tr>
      <w:tr w:rsidR="00C63B2D" w:rsidRPr="00E1683C" w:rsidTr="00C63B2D">
        <w:trPr>
          <w:trHeight w:val="255"/>
        </w:trPr>
        <w:tc>
          <w:tcPr>
            <w:cnfStyle w:val="001000000000" w:firstRow="0" w:lastRow="0" w:firstColumn="1" w:lastColumn="0" w:oddVBand="0" w:evenVBand="0" w:oddHBand="0" w:evenHBand="0" w:firstRowFirstColumn="0" w:firstRowLastColumn="0" w:lastRowFirstColumn="0" w:lastRowLastColumn="0"/>
            <w:tcW w:w="6379" w:type="dxa"/>
            <w:noWrap/>
            <w:hideMark/>
          </w:tcPr>
          <w:p w:rsidR="00C63B2D" w:rsidRDefault="001158C7" w:rsidP="00C63B2D">
            <w:pPr>
              <w:ind w:firstLineChars="100" w:firstLine="200"/>
              <w:rPr>
                <w:rFonts w:cs="Arial"/>
                <w:color w:val="000000"/>
                <w:szCs w:val="20"/>
              </w:rPr>
            </w:pPr>
            <w:r>
              <w:rPr>
                <w:rFonts w:cs="Arial"/>
                <w:color w:val="000000"/>
                <w:szCs w:val="20"/>
              </w:rPr>
              <w:t>Muscular stress while lifting, carrying, or putting down objects</w:t>
            </w:r>
          </w:p>
        </w:tc>
        <w:tc>
          <w:tcPr>
            <w:tcW w:w="1395"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34.0%</w:t>
            </w:r>
          </w:p>
        </w:tc>
        <w:tc>
          <w:tcPr>
            <w:tcW w:w="1595"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41.5%</w:t>
            </w:r>
          </w:p>
        </w:tc>
      </w:tr>
      <w:tr w:rsidR="00C63B2D" w:rsidRPr="00E1683C" w:rsidTr="00C63B2D">
        <w:trPr>
          <w:trHeight w:val="255"/>
        </w:trPr>
        <w:tc>
          <w:tcPr>
            <w:cnfStyle w:val="001000000000" w:firstRow="0" w:lastRow="0" w:firstColumn="1" w:lastColumn="0" w:oddVBand="0" w:evenVBand="0" w:oddHBand="0" w:evenHBand="0" w:firstRowFirstColumn="0" w:firstRowLastColumn="0" w:lastRowFirstColumn="0" w:lastRowLastColumn="0"/>
            <w:tcW w:w="6379" w:type="dxa"/>
            <w:noWrap/>
            <w:hideMark/>
          </w:tcPr>
          <w:p w:rsidR="00C63B2D" w:rsidRDefault="001158C7" w:rsidP="00C63B2D">
            <w:pPr>
              <w:rPr>
                <w:rFonts w:cs="Arial"/>
                <w:b/>
                <w:bCs/>
                <w:color w:val="000000"/>
                <w:szCs w:val="20"/>
              </w:rPr>
            </w:pPr>
            <w:r>
              <w:rPr>
                <w:rFonts w:cs="Arial"/>
                <w:b/>
                <w:bCs/>
                <w:color w:val="000000"/>
                <w:szCs w:val="20"/>
              </w:rPr>
              <w:t>Being hit by moving objects</w:t>
            </w:r>
          </w:p>
        </w:tc>
        <w:tc>
          <w:tcPr>
            <w:tcW w:w="1395"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27.0%</w:t>
            </w:r>
          </w:p>
        </w:tc>
        <w:tc>
          <w:tcPr>
            <w:tcW w:w="1595"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14.3%</w:t>
            </w:r>
          </w:p>
        </w:tc>
      </w:tr>
      <w:tr w:rsidR="00C63B2D" w:rsidRPr="00E1683C" w:rsidTr="00C63B2D">
        <w:trPr>
          <w:trHeight w:val="255"/>
        </w:trPr>
        <w:tc>
          <w:tcPr>
            <w:cnfStyle w:val="001000000000" w:firstRow="0" w:lastRow="0" w:firstColumn="1" w:lastColumn="0" w:oddVBand="0" w:evenVBand="0" w:oddHBand="0" w:evenHBand="0" w:firstRowFirstColumn="0" w:firstRowLastColumn="0" w:lastRowFirstColumn="0" w:lastRowLastColumn="0"/>
            <w:tcW w:w="6379" w:type="dxa"/>
            <w:noWrap/>
            <w:hideMark/>
          </w:tcPr>
          <w:p w:rsidR="00C63B2D" w:rsidRDefault="001158C7" w:rsidP="00C63B2D">
            <w:pPr>
              <w:ind w:firstLineChars="100" w:firstLine="200"/>
              <w:rPr>
                <w:rFonts w:cs="Arial"/>
                <w:color w:val="000000"/>
                <w:szCs w:val="20"/>
              </w:rPr>
            </w:pPr>
            <w:r>
              <w:rPr>
                <w:rFonts w:cs="Arial"/>
                <w:color w:val="000000"/>
                <w:szCs w:val="20"/>
              </w:rPr>
              <w:t>Being hit by an animal</w:t>
            </w:r>
          </w:p>
        </w:tc>
        <w:tc>
          <w:tcPr>
            <w:tcW w:w="1395"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37.5%</w:t>
            </w:r>
          </w:p>
        </w:tc>
        <w:tc>
          <w:tcPr>
            <w:tcW w:w="1595"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3.7%</w:t>
            </w:r>
          </w:p>
        </w:tc>
      </w:tr>
      <w:tr w:rsidR="00C63B2D" w:rsidRPr="00E1683C" w:rsidTr="00C63B2D">
        <w:trPr>
          <w:trHeight w:val="255"/>
        </w:trPr>
        <w:tc>
          <w:tcPr>
            <w:cnfStyle w:val="001000000000" w:firstRow="0" w:lastRow="0" w:firstColumn="1" w:lastColumn="0" w:oddVBand="0" w:evenVBand="0" w:oddHBand="0" w:evenHBand="0" w:firstRowFirstColumn="0" w:firstRowLastColumn="0" w:lastRowFirstColumn="0" w:lastRowLastColumn="0"/>
            <w:tcW w:w="6379" w:type="dxa"/>
            <w:noWrap/>
            <w:hideMark/>
          </w:tcPr>
          <w:p w:rsidR="00C63B2D" w:rsidRDefault="001158C7" w:rsidP="00C63B2D">
            <w:pPr>
              <w:ind w:firstLineChars="100" w:firstLine="200"/>
              <w:rPr>
                <w:rFonts w:cs="Arial"/>
                <w:color w:val="000000"/>
                <w:szCs w:val="20"/>
              </w:rPr>
            </w:pPr>
            <w:r>
              <w:rPr>
                <w:rFonts w:cs="Arial"/>
                <w:color w:val="000000"/>
                <w:szCs w:val="20"/>
              </w:rPr>
              <w:lastRenderedPageBreak/>
              <w:t>Being hit by moving objects</w:t>
            </w:r>
          </w:p>
        </w:tc>
        <w:tc>
          <w:tcPr>
            <w:tcW w:w="1395"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27.0%</w:t>
            </w:r>
          </w:p>
        </w:tc>
        <w:tc>
          <w:tcPr>
            <w:tcW w:w="1595"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14.3%</w:t>
            </w:r>
          </w:p>
        </w:tc>
      </w:tr>
      <w:tr w:rsidR="00C63B2D" w:rsidRPr="00E1683C" w:rsidTr="00C63B2D">
        <w:trPr>
          <w:trHeight w:val="255"/>
        </w:trPr>
        <w:tc>
          <w:tcPr>
            <w:cnfStyle w:val="001000000000" w:firstRow="0" w:lastRow="0" w:firstColumn="1" w:lastColumn="0" w:oddVBand="0" w:evenVBand="0" w:oddHBand="0" w:evenHBand="0" w:firstRowFirstColumn="0" w:firstRowLastColumn="0" w:lastRowFirstColumn="0" w:lastRowLastColumn="0"/>
            <w:tcW w:w="6379" w:type="dxa"/>
            <w:noWrap/>
            <w:hideMark/>
          </w:tcPr>
          <w:p w:rsidR="00C63B2D" w:rsidRDefault="001158C7" w:rsidP="00C63B2D">
            <w:pPr>
              <w:rPr>
                <w:rFonts w:cs="Arial"/>
                <w:b/>
                <w:bCs/>
                <w:color w:val="000000"/>
                <w:szCs w:val="20"/>
              </w:rPr>
            </w:pPr>
            <w:r>
              <w:rPr>
                <w:rFonts w:cs="Arial"/>
                <w:b/>
                <w:bCs/>
                <w:color w:val="000000"/>
                <w:szCs w:val="20"/>
              </w:rPr>
              <w:t>Falls, trips and slips of a person</w:t>
            </w:r>
          </w:p>
        </w:tc>
        <w:tc>
          <w:tcPr>
            <w:tcW w:w="1395"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23.1%</w:t>
            </w:r>
          </w:p>
        </w:tc>
        <w:tc>
          <w:tcPr>
            <w:tcW w:w="1595"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22.0%</w:t>
            </w:r>
          </w:p>
        </w:tc>
      </w:tr>
      <w:tr w:rsidR="00C63B2D" w:rsidRPr="00E1683C" w:rsidTr="00C63B2D">
        <w:trPr>
          <w:trHeight w:val="255"/>
        </w:trPr>
        <w:tc>
          <w:tcPr>
            <w:cnfStyle w:val="001000000000" w:firstRow="0" w:lastRow="0" w:firstColumn="1" w:lastColumn="0" w:oddVBand="0" w:evenVBand="0" w:oddHBand="0" w:evenHBand="0" w:firstRowFirstColumn="0" w:firstRowLastColumn="0" w:lastRowFirstColumn="0" w:lastRowLastColumn="0"/>
            <w:tcW w:w="6379" w:type="dxa"/>
            <w:noWrap/>
            <w:hideMark/>
          </w:tcPr>
          <w:p w:rsidR="00C63B2D" w:rsidRDefault="001158C7" w:rsidP="00C63B2D">
            <w:pPr>
              <w:ind w:firstLineChars="100" w:firstLine="200"/>
              <w:rPr>
                <w:rFonts w:cs="Arial"/>
                <w:color w:val="000000"/>
                <w:szCs w:val="20"/>
              </w:rPr>
            </w:pPr>
            <w:r>
              <w:rPr>
                <w:rFonts w:cs="Arial"/>
                <w:color w:val="000000"/>
                <w:szCs w:val="20"/>
              </w:rPr>
              <w:t>Falls from a height</w:t>
            </w:r>
          </w:p>
        </w:tc>
        <w:tc>
          <w:tcPr>
            <w:tcW w:w="1395"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47.1%</w:t>
            </w:r>
          </w:p>
        </w:tc>
        <w:tc>
          <w:tcPr>
            <w:tcW w:w="1595"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27.7%</w:t>
            </w:r>
          </w:p>
        </w:tc>
      </w:tr>
      <w:tr w:rsidR="00C63B2D" w:rsidRPr="00E1683C" w:rsidTr="00C63B2D">
        <w:trPr>
          <w:trHeight w:val="255"/>
        </w:trPr>
        <w:tc>
          <w:tcPr>
            <w:cnfStyle w:val="001000000000" w:firstRow="0" w:lastRow="0" w:firstColumn="1" w:lastColumn="0" w:oddVBand="0" w:evenVBand="0" w:oddHBand="0" w:evenHBand="0" w:firstRowFirstColumn="0" w:firstRowLastColumn="0" w:lastRowFirstColumn="0" w:lastRowLastColumn="0"/>
            <w:tcW w:w="6379" w:type="dxa"/>
            <w:noWrap/>
            <w:hideMark/>
          </w:tcPr>
          <w:p w:rsidR="00C63B2D" w:rsidRDefault="001158C7" w:rsidP="00C63B2D">
            <w:pPr>
              <w:ind w:firstLineChars="100" w:firstLine="200"/>
              <w:rPr>
                <w:rFonts w:cs="Arial"/>
                <w:color w:val="000000"/>
                <w:szCs w:val="20"/>
              </w:rPr>
            </w:pPr>
            <w:r>
              <w:rPr>
                <w:rFonts w:cs="Arial"/>
                <w:color w:val="000000"/>
                <w:szCs w:val="20"/>
              </w:rPr>
              <w:t>Falls on the same level</w:t>
            </w:r>
          </w:p>
        </w:tc>
        <w:tc>
          <w:tcPr>
            <w:tcW w:w="1395"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46.4%</w:t>
            </w:r>
          </w:p>
        </w:tc>
        <w:tc>
          <w:tcPr>
            <w:tcW w:w="1595"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64.1%</w:t>
            </w:r>
          </w:p>
        </w:tc>
      </w:tr>
      <w:tr w:rsidR="00C63B2D" w:rsidRPr="00E1683C" w:rsidTr="00C63B2D">
        <w:trPr>
          <w:trHeight w:val="255"/>
        </w:trPr>
        <w:tc>
          <w:tcPr>
            <w:cnfStyle w:val="001000000000" w:firstRow="0" w:lastRow="0" w:firstColumn="1" w:lastColumn="0" w:oddVBand="0" w:evenVBand="0" w:oddHBand="0" w:evenHBand="0" w:firstRowFirstColumn="0" w:firstRowLastColumn="0" w:lastRowFirstColumn="0" w:lastRowLastColumn="0"/>
            <w:tcW w:w="6379" w:type="dxa"/>
            <w:noWrap/>
            <w:hideMark/>
          </w:tcPr>
          <w:p w:rsidR="00C63B2D" w:rsidRDefault="001158C7" w:rsidP="00C63B2D">
            <w:pPr>
              <w:rPr>
                <w:rFonts w:cs="Arial"/>
                <w:b/>
                <w:bCs/>
                <w:color w:val="000000"/>
                <w:szCs w:val="20"/>
              </w:rPr>
            </w:pPr>
            <w:r>
              <w:rPr>
                <w:rFonts w:cs="Arial"/>
                <w:b/>
                <w:bCs/>
                <w:color w:val="000000"/>
                <w:szCs w:val="20"/>
              </w:rPr>
              <w:t>Vehicle incidents and other</w:t>
            </w:r>
          </w:p>
        </w:tc>
        <w:tc>
          <w:tcPr>
            <w:tcW w:w="1395"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10.8%</w:t>
            </w:r>
          </w:p>
        </w:tc>
        <w:tc>
          <w:tcPr>
            <w:tcW w:w="1595"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6.0%</w:t>
            </w:r>
          </w:p>
        </w:tc>
      </w:tr>
      <w:tr w:rsidR="00C63B2D" w:rsidRPr="00E1683C" w:rsidTr="00C63B2D">
        <w:trPr>
          <w:trHeight w:val="255"/>
        </w:trPr>
        <w:tc>
          <w:tcPr>
            <w:cnfStyle w:val="001000000000" w:firstRow="0" w:lastRow="0" w:firstColumn="1" w:lastColumn="0" w:oddVBand="0" w:evenVBand="0" w:oddHBand="0" w:evenHBand="0" w:firstRowFirstColumn="0" w:firstRowLastColumn="0" w:lastRowFirstColumn="0" w:lastRowLastColumn="0"/>
            <w:tcW w:w="6379" w:type="dxa"/>
            <w:noWrap/>
            <w:hideMark/>
          </w:tcPr>
          <w:p w:rsidR="00C63B2D" w:rsidRDefault="001158C7" w:rsidP="00C63B2D">
            <w:pPr>
              <w:ind w:firstLineChars="100" w:firstLine="200"/>
              <w:rPr>
                <w:rFonts w:cs="Arial"/>
                <w:color w:val="000000"/>
                <w:szCs w:val="20"/>
              </w:rPr>
            </w:pPr>
            <w:r>
              <w:rPr>
                <w:rFonts w:cs="Arial"/>
                <w:color w:val="000000"/>
                <w:szCs w:val="20"/>
              </w:rPr>
              <w:t>Vehicle accident</w:t>
            </w:r>
          </w:p>
        </w:tc>
        <w:tc>
          <w:tcPr>
            <w:tcW w:w="1395"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67.0%</w:t>
            </w:r>
          </w:p>
        </w:tc>
        <w:tc>
          <w:tcPr>
            <w:tcW w:w="1595"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40.7%</w:t>
            </w:r>
          </w:p>
        </w:tc>
      </w:tr>
      <w:tr w:rsidR="00C63B2D" w:rsidRPr="00E1683C" w:rsidTr="00C63B2D">
        <w:trPr>
          <w:trHeight w:val="255"/>
        </w:trPr>
        <w:tc>
          <w:tcPr>
            <w:cnfStyle w:val="001000000000" w:firstRow="0" w:lastRow="0" w:firstColumn="1" w:lastColumn="0" w:oddVBand="0" w:evenVBand="0" w:oddHBand="0" w:evenHBand="0" w:firstRowFirstColumn="0" w:firstRowLastColumn="0" w:lastRowFirstColumn="0" w:lastRowLastColumn="0"/>
            <w:tcW w:w="6379" w:type="dxa"/>
            <w:noWrap/>
            <w:hideMark/>
          </w:tcPr>
          <w:p w:rsidR="00C63B2D" w:rsidRDefault="001158C7" w:rsidP="00C63B2D">
            <w:pPr>
              <w:rPr>
                <w:rFonts w:cs="Arial"/>
                <w:b/>
                <w:bCs/>
                <w:color w:val="000000"/>
                <w:szCs w:val="20"/>
              </w:rPr>
            </w:pPr>
            <w:r>
              <w:rPr>
                <w:rFonts w:cs="Arial"/>
                <w:b/>
                <w:bCs/>
                <w:color w:val="000000"/>
                <w:szCs w:val="20"/>
              </w:rPr>
              <w:t>Hitting objects with a part of the body</w:t>
            </w:r>
          </w:p>
        </w:tc>
        <w:tc>
          <w:tcPr>
            <w:tcW w:w="1395"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8.7%</w:t>
            </w:r>
          </w:p>
        </w:tc>
        <w:tc>
          <w:tcPr>
            <w:tcW w:w="1595"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6.8%</w:t>
            </w:r>
          </w:p>
        </w:tc>
      </w:tr>
      <w:tr w:rsidR="00C63B2D" w:rsidRPr="00E1683C" w:rsidTr="00C63B2D">
        <w:trPr>
          <w:trHeight w:val="255"/>
        </w:trPr>
        <w:tc>
          <w:tcPr>
            <w:cnfStyle w:val="001000000000" w:firstRow="0" w:lastRow="0" w:firstColumn="1" w:lastColumn="0" w:oddVBand="0" w:evenVBand="0" w:oddHBand="0" w:evenHBand="0" w:firstRowFirstColumn="0" w:firstRowLastColumn="0" w:lastRowFirstColumn="0" w:lastRowLastColumn="0"/>
            <w:tcW w:w="6379" w:type="dxa"/>
            <w:noWrap/>
            <w:hideMark/>
          </w:tcPr>
          <w:p w:rsidR="00C63B2D" w:rsidRDefault="001158C7" w:rsidP="00C63B2D">
            <w:pPr>
              <w:ind w:firstLineChars="100" w:firstLine="200"/>
              <w:rPr>
                <w:rFonts w:cs="Arial"/>
                <w:color w:val="000000"/>
                <w:szCs w:val="20"/>
              </w:rPr>
            </w:pPr>
            <w:r>
              <w:rPr>
                <w:rFonts w:cs="Arial"/>
                <w:color w:val="000000"/>
                <w:szCs w:val="20"/>
              </w:rPr>
              <w:t>Hitting moving objects</w:t>
            </w:r>
          </w:p>
        </w:tc>
        <w:tc>
          <w:tcPr>
            <w:tcW w:w="1395"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53.8%</w:t>
            </w:r>
          </w:p>
        </w:tc>
        <w:tc>
          <w:tcPr>
            <w:tcW w:w="1595"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47.2%</w:t>
            </w:r>
          </w:p>
        </w:tc>
      </w:tr>
      <w:tr w:rsidR="00C63B2D" w:rsidRPr="00E1683C" w:rsidTr="00C63B2D">
        <w:trPr>
          <w:trHeight w:val="255"/>
        </w:trPr>
        <w:tc>
          <w:tcPr>
            <w:cnfStyle w:val="001000000000" w:firstRow="0" w:lastRow="0" w:firstColumn="1" w:lastColumn="0" w:oddVBand="0" w:evenVBand="0" w:oddHBand="0" w:evenHBand="0" w:firstRowFirstColumn="0" w:firstRowLastColumn="0" w:lastRowFirstColumn="0" w:lastRowLastColumn="0"/>
            <w:tcW w:w="6379" w:type="dxa"/>
            <w:noWrap/>
            <w:hideMark/>
          </w:tcPr>
          <w:p w:rsidR="00C63B2D" w:rsidRDefault="001158C7" w:rsidP="00C63B2D">
            <w:pPr>
              <w:ind w:firstLineChars="100" w:firstLine="200"/>
              <w:rPr>
                <w:rFonts w:cs="Arial"/>
                <w:color w:val="000000"/>
                <w:szCs w:val="20"/>
              </w:rPr>
            </w:pPr>
            <w:r>
              <w:rPr>
                <w:rFonts w:cs="Arial"/>
                <w:color w:val="000000"/>
                <w:szCs w:val="20"/>
              </w:rPr>
              <w:t>Hitting stationary objects</w:t>
            </w:r>
          </w:p>
        </w:tc>
        <w:tc>
          <w:tcPr>
            <w:tcW w:w="1395"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45.6%</w:t>
            </w:r>
          </w:p>
        </w:tc>
        <w:tc>
          <w:tcPr>
            <w:tcW w:w="1595"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51.9%</w:t>
            </w:r>
          </w:p>
        </w:tc>
      </w:tr>
      <w:tr w:rsidR="00C63B2D" w:rsidRPr="00E1683C" w:rsidTr="00C63B2D">
        <w:trPr>
          <w:trHeight w:val="255"/>
        </w:trPr>
        <w:tc>
          <w:tcPr>
            <w:cnfStyle w:val="001000000000" w:firstRow="0" w:lastRow="0" w:firstColumn="1" w:lastColumn="0" w:oddVBand="0" w:evenVBand="0" w:oddHBand="0" w:evenHBand="0" w:firstRowFirstColumn="0" w:firstRowLastColumn="0" w:lastRowFirstColumn="0" w:lastRowLastColumn="0"/>
            <w:tcW w:w="6379" w:type="dxa"/>
            <w:noWrap/>
            <w:hideMark/>
          </w:tcPr>
          <w:p w:rsidR="00C63B2D" w:rsidRDefault="001158C7" w:rsidP="00C63B2D">
            <w:pPr>
              <w:rPr>
                <w:rFonts w:cs="Arial"/>
                <w:b/>
                <w:bCs/>
                <w:color w:val="000000"/>
                <w:szCs w:val="20"/>
              </w:rPr>
            </w:pPr>
            <w:r>
              <w:rPr>
                <w:rFonts w:cs="Arial"/>
                <w:b/>
                <w:bCs/>
                <w:color w:val="000000"/>
                <w:szCs w:val="20"/>
              </w:rPr>
              <w:t>Other</w:t>
            </w:r>
          </w:p>
        </w:tc>
        <w:tc>
          <w:tcPr>
            <w:tcW w:w="1395"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3.5%</w:t>
            </w:r>
          </w:p>
        </w:tc>
        <w:tc>
          <w:tcPr>
            <w:tcW w:w="1595"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8.7%</w:t>
            </w:r>
          </w:p>
        </w:tc>
      </w:tr>
      <w:tr w:rsidR="00C63B2D" w:rsidRPr="00E1683C" w:rsidTr="00C63B2D">
        <w:trPr>
          <w:trHeight w:val="255"/>
        </w:trPr>
        <w:tc>
          <w:tcPr>
            <w:cnfStyle w:val="001000000000" w:firstRow="0" w:lastRow="0" w:firstColumn="1" w:lastColumn="0" w:oddVBand="0" w:evenVBand="0" w:oddHBand="0" w:evenHBand="0" w:firstRowFirstColumn="0" w:firstRowLastColumn="0" w:lastRowFirstColumn="0" w:lastRowLastColumn="0"/>
            <w:tcW w:w="6379" w:type="dxa"/>
            <w:noWrap/>
            <w:hideMark/>
          </w:tcPr>
          <w:p w:rsidR="00C63B2D" w:rsidRDefault="002618DE" w:rsidP="00C63B2D">
            <w:pPr>
              <w:rPr>
                <w:rFonts w:cs="Arial"/>
                <w:b/>
                <w:bCs/>
                <w:color w:val="000000"/>
                <w:szCs w:val="20"/>
              </w:rPr>
            </w:pPr>
            <w:r>
              <w:rPr>
                <w:rFonts w:cs="Arial"/>
                <w:b/>
                <w:bCs/>
                <w:color w:val="000000"/>
                <w:szCs w:val="20"/>
              </w:rPr>
              <w:t>T</w:t>
            </w:r>
            <w:r w:rsidR="001158C7">
              <w:rPr>
                <w:rFonts w:cs="Arial"/>
                <w:b/>
                <w:bCs/>
                <w:color w:val="000000"/>
                <w:szCs w:val="20"/>
              </w:rPr>
              <w:t>otal</w:t>
            </w:r>
          </w:p>
        </w:tc>
        <w:tc>
          <w:tcPr>
            <w:tcW w:w="1395"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100.0%</w:t>
            </w:r>
          </w:p>
        </w:tc>
        <w:tc>
          <w:tcPr>
            <w:tcW w:w="1595"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100.0%</w:t>
            </w:r>
          </w:p>
        </w:tc>
      </w:tr>
    </w:tbl>
    <w:p w:rsidR="0075723F" w:rsidRPr="008016F8" w:rsidRDefault="00C234F2" w:rsidP="0075723F">
      <w:pPr>
        <w:pStyle w:val="Footnote"/>
      </w:pPr>
      <w:r w:rsidRPr="00C234F2">
        <w:t>The sum of percentages may not equal 100% due to rounding.</w:t>
      </w:r>
      <w:r>
        <w:br/>
      </w:r>
      <w:r w:rsidR="0075723F" w:rsidRPr="008016F8">
        <w:t>Source: National Data Set for Compensation-Based Statistics.</w:t>
      </w:r>
    </w:p>
    <w:p w:rsidR="0075723F" w:rsidRDefault="0075723F" w:rsidP="0075723F">
      <w:pPr>
        <w:pStyle w:val="Heading2"/>
      </w:pPr>
      <w:bookmarkStart w:id="55" w:name="_Toc453938287"/>
      <w:bookmarkStart w:id="56" w:name="_Toc459720380"/>
      <w:r>
        <w:t>Nature of injury or disease</w:t>
      </w:r>
      <w:bookmarkEnd w:id="55"/>
      <w:bookmarkEnd w:id="56"/>
    </w:p>
    <w:p w:rsidR="0075723F" w:rsidRPr="005E6422" w:rsidRDefault="0075723F" w:rsidP="0075723F">
      <w:r w:rsidRPr="005E6422">
        <w:t>Between 2009–10 and 2013–14, the percentage of seri</w:t>
      </w:r>
      <w:r>
        <w:t>ous claims associated with injury and musculoskeletal disorders</w:t>
      </w:r>
      <w:r w:rsidRPr="005E6422">
        <w:t xml:space="preserve"> was higher among </w:t>
      </w:r>
      <w:r>
        <w:t>agricultural employees</w:t>
      </w:r>
      <w:r w:rsidRPr="005E6422">
        <w:t xml:space="preserve"> </w:t>
      </w:r>
      <w:r>
        <w:t xml:space="preserve">than employees in all industries </w:t>
      </w:r>
      <w:r w:rsidR="005A7FC4">
        <w:t>(95 per cent versus 89</w:t>
      </w:r>
      <w:r w:rsidR="00E76FB2">
        <w:t> </w:t>
      </w:r>
      <w:r w:rsidRPr="005E6422">
        <w:t xml:space="preserve">per cent). Diseases </w:t>
      </w:r>
      <w:r>
        <w:t xml:space="preserve">were associated with </w:t>
      </w:r>
      <w:r w:rsidRPr="005E6422">
        <w:t xml:space="preserve">a considerably lower percentage of serious claims among </w:t>
      </w:r>
      <w:r>
        <w:t>agricultural employees</w:t>
      </w:r>
      <w:r w:rsidRPr="005E6422">
        <w:t xml:space="preserve"> (5 per cent versus 11 per cent).</w:t>
      </w:r>
    </w:p>
    <w:p w:rsidR="0075723F" w:rsidRPr="005E6422" w:rsidRDefault="0075723F" w:rsidP="0075723F">
      <w:r>
        <w:t>As shown in table 12</w:t>
      </w:r>
      <w:r w:rsidRPr="005E6422">
        <w:t xml:space="preserve"> below, there are two pronounced differences between </w:t>
      </w:r>
      <w:r>
        <w:t>agricultural employees</w:t>
      </w:r>
      <w:r w:rsidRPr="005E6422">
        <w:t xml:space="preserve"> and employees in all industries—the percentage of serious claims involving fractures was more than twice as high among </w:t>
      </w:r>
      <w:r>
        <w:t>agricultural employees</w:t>
      </w:r>
      <w:r w:rsidRPr="005E6422">
        <w:t xml:space="preserve"> (19 per cent versus 9 per cent) and the percentage of serious claims involving mental disorders was </w:t>
      </w:r>
      <w:r w:rsidR="004A39AC">
        <w:t>eight times lower (0.8 per cent versus 6.4</w:t>
      </w:r>
      <w:r w:rsidRPr="005E6422">
        <w:t xml:space="preserve"> per cent).</w:t>
      </w:r>
    </w:p>
    <w:p w:rsidR="0075723F" w:rsidRPr="005E6422" w:rsidRDefault="0075723F" w:rsidP="0075723F">
      <w:pPr>
        <w:pStyle w:val="Heading4"/>
      </w:pPr>
      <w:r>
        <w:t xml:space="preserve">Table </w:t>
      </w:r>
      <w:fldSimple w:instr=" SEQ Table \* ARABIC ">
        <w:r w:rsidR="001A7C10">
          <w:rPr>
            <w:noProof/>
          </w:rPr>
          <w:t>12</w:t>
        </w:r>
      </w:fldSimple>
      <w:r>
        <w:t xml:space="preserve">: </w:t>
      </w:r>
      <w:r w:rsidRPr="005E6422">
        <w:t xml:space="preserve">Percentage of serious claims for the </w:t>
      </w:r>
      <w:r>
        <w:t>agricultural</w:t>
      </w:r>
      <w:r w:rsidRPr="005E6422">
        <w:t xml:space="preserve"> industry and all industries by nature of injury or disease, 2009–10 to 2013–</w:t>
      </w:r>
      <w:proofErr w:type="spellStart"/>
      <w:r w:rsidRPr="005E6422">
        <w:t>14</w:t>
      </w:r>
      <w:r>
        <w:t>p</w:t>
      </w:r>
      <w:proofErr w:type="spellEnd"/>
      <w:r>
        <w:t xml:space="preserve"> combined</w:t>
      </w:r>
    </w:p>
    <w:tbl>
      <w:tblPr>
        <w:tblStyle w:val="TableGrid"/>
        <w:tblW w:w="8721" w:type="dxa"/>
        <w:tblInd w:w="108" w:type="dxa"/>
        <w:tblLook w:val="04A0" w:firstRow="1" w:lastRow="0" w:firstColumn="1" w:lastColumn="0" w:noHBand="0" w:noVBand="1"/>
        <w:tblCaption w:val="Table 12"/>
      </w:tblPr>
      <w:tblGrid>
        <w:gridCol w:w="5787"/>
        <w:gridCol w:w="1339"/>
        <w:gridCol w:w="1595"/>
      </w:tblGrid>
      <w:tr w:rsidR="0075723F" w:rsidRPr="001A24FE" w:rsidTr="00070B12">
        <w:trPr>
          <w:trHeight w:val="255"/>
          <w:tblHeader/>
        </w:trPr>
        <w:tc>
          <w:tcPr>
            <w:cnfStyle w:val="001000000000" w:firstRow="0" w:lastRow="0" w:firstColumn="1" w:lastColumn="0" w:oddVBand="0" w:evenVBand="0" w:oddHBand="0" w:evenHBand="0" w:firstRowFirstColumn="0" w:firstRowLastColumn="0" w:lastRowFirstColumn="0" w:lastRowLastColumn="0"/>
            <w:tcW w:w="5787" w:type="dxa"/>
            <w:noWrap/>
            <w:hideMark/>
          </w:tcPr>
          <w:p w:rsidR="0075723F" w:rsidRPr="001A24FE" w:rsidRDefault="0075723F" w:rsidP="00D03B61">
            <w:pPr>
              <w:rPr>
                <w:rFonts w:eastAsia="Times New Roman"/>
                <w:b/>
                <w:bCs/>
                <w:color w:val="000000"/>
                <w:szCs w:val="20"/>
              </w:rPr>
            </w:pPr>
            <w:bookmarkStart w:id="57" w:name="_Toc442274038"/>
            <w:bookmarkStart w:id="58" w:name="_Toc442340114"/>
            <w:bookmarkStart w:id="59" w:name="_Toc442351446"/>
            <w:r w:rsidRPr="001A24FE">
              <w:rPr>
                <w:rFonts w:eastAsia="Times New Roman"/>
                <w:b/>
                <w:bCs/>
                <w:color w:val="000000"/>
                <w:szCs w:val="20"/>
              </w:rPr>
              <w:t>Nature of injury or disease</w:t>
            </w:r>
          </w:p>
        </w:tc>
        <w:tc>
          <w:tcPr>
            <w:tcW w:w="1339" w:type="dxa"/>
            <w:noWrap/>
            <w:hideMark/>
          </w:tcPr>
          <w:p w:rsidR="0075723F" w:rsidRPr="001A24FE" w:rsidRDefault="0075723F" w:rsidP="00D03B61">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Pr>
                <w:rFonts w:eastAsia="Times New Roman"/>
                <w:b/>
                <w:bCs/>
                <w:color w:val="000000"/>
                <w:szCs w:val="20"/>
              </w:rPr>
              <w:t>Agricultural industry</w:t>
            </w:r>
          </w:p>
        </w:tc>
        <w:tc>
          <w:tcPr>
            <w:tcW w:w="1595" w:type="dxa"/>
            <w:noWrap/>
            <w:hideMark/>
          </w:tcPr>
          <w:p w:rsidR="0075723F" w:rsidRPr="001A24FE" w:rsidRDefault="0075723F" w:rsidP="00D03B61">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1A24FE">
              <w:rPr>
                <w:rFonts w:eastAsia="Times New Roman"/>
                <w:b/>
                <w:bCs/>
                <w:color w:val="000000"/>
                <w:szCs w:val="20"/>
              </w:rPr>
              <w:t>All industries</w:t>
            </w:r>
          </w:p>
        </w:tc>
      </w:tr>
      <w:tr w:rsidR="0075723F" w:rsidRPr="001A24FE" w:rsidTr="00070B12">
        <w:trPr>
          <w:trHeight w:val="255"/>
        </w:trPr>
        <w:tc>
          <w:tcPr>
            <w:cnfStyle w:val="001000000000" w:firstRow="0" w:lastRow="0" w:firstColumn="1" w:lastColumn="0" w:oddVBand="0" w:evenVBand="0" w:oddHBand="0" w:evenHBand="0" w:firstRowFirstColumn="0" w:firstRowLastColumn="0" w:lastRowFirstColumn="0" w:lastRowLastColumn="0"/>
            <w:tcW w:w="8721" w:type="dxa"/>
            <w:gridSpan w:val="3"/>
            <w:shd w:val="clear" w:color="auto" w:fill="D9D9D9" w:themeFill="background1" w:themeFillShade="D9"/>
            <w:noWrap/>
            <w:hideMark/>
          </w:tcPr>
          <w:p w:rsidR="0075723F" w:rsidRPr="001A24FE" w:rsidRDefault="0075723F" w:rsidP="00D03B61">
            <w:pPr>
              <w:rPr>
                <w:rFonts w:eastAsia="Times New Roman"/>
                <w:bCs/>
                <w:color w:val="000000"/>
                <w:szCs w:val="20"/>
              </w:rPr>
            </w:pPr>
            <w:r w:rsidRPr="001A24FE">
              <w:rPr>
                <w:rFonts w:eastAsia="Times New Roman"/>
                <w:bCs/>
                <w:color w:val="000000"/>
                <w:szCs w:val="20"/>
              </w:rPr>
              <w:t>Injury and musculoskeletal disorders</w:t>
            </w:r>
          </w:p>
        </w:tc>
      </w:tr>
      <w:tr w:rsidR="00C63B2D" w:rsidRPr="001A24FE" w:rsidTr="00070B12">
        <w:trPr>
          <w:trHeight w:val="255"/>
        </w:trPr>
        <w:tc>
          <w:tcPr>
            <w:cnfStyle w:val="001000000000" w:firstRow="0" w:lastRow="0" w:firstColumn="1" w:lastColumn="0" w:oddVBand="0" w:evenVBand="0" w:oddHBand="0" w:evenHBand="0" w:firstRowFirstColumn="0" w:firstRowLastColumn="0" w:lastRowFirstColumn="0" w:lastRowLastColumn="0"/>
            <w:tcW w:w="5787" w:type="dxa"/>
            <w:noWrap/>
            <w:hideMark/>
          </w:tcPr>
          <w:p w:rsidR="00C63B2D" w:rsidRDefault="00C63B2D" w:rsidP="00C63B2D">
            <w:pPr>
              <w:rPr>
                <w:rFonts w:cs="Arial"/>
                <w:color w:val="000000"/>
                <w:szCs w:val="20"/>
              </w:rPr>
            </w:pPr>
            <w:r>
              <w:rPr>
                <w:rFonts w:cs="Arial"/>
                <w:color w:val="000000"/>
                <w:szCs w:val="20"/>
              </w:rPr>
              <w:t>Traumatic joint/ligament and muscle/tendon injury</w:t>
            </w:r>
          </w:p>
        </w:tc>
        <w:tc>
          <w:tcPr>
            <w:tcW w:w="1339"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39.5%</w:t>
            </w:r>
          </w:p>
        </w:tc>
        <w:tc>
          <w:tcPr>
            <w:tcW w:w="1595"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45.7%</w:t>
            </w:r>
          </w:p>
        </w:tc>
      </w:tr>
      <w:tr w:rsidR="00C63B2D" w:rsidRPr="001A24FE" w:rsidTr="00070B12">
        <w:trPr>
          <w:trHeight w:val="255"/>
        </w:trPr>
        <w:tc>
          <w:tcPr>
            <w:cnfStyle w:val="001000000000" w:firstRow="0" w:lastRow="0" w:firstColumn="1" w:lastColumn="0" w:oddVBand="0" w:evenVBand="0" w:oddHBand="0" w:evenHBand="0" w:firstRowFirstColumn="0" w:firstRowLastColumn="0" w:lastRowFirstColumn="0" w:lastRowLastColumn="0"/>
            <w:tcW w:w="5787" w:type="dxa"/>
            <w:noWrap/>
            <w:hideMark/>
          </w:tcPr>
          <w:p w:rsidR="00C63B2D" w:rsidRDefault="00C63B2D" w:rsidP="00C63B2D">
            <w:pPr>
              <w:rPr>
                <w:rFonts w:cs="Arial"/>
                <w:color w:val="000000"/>
                <w:szCs w:val="20"/>
              </w:rPr>
            </w:pPr>
            <w:r>
              <w:rPr>
                <w:rFonts w:cs="Arial"/>
                <w:color w:val="000000"/>
                <w:szCs w:val="20"/>
              </w:rPr>
              <w:t>Wounds, lacerations, amputations and internal organ damage</w:t>
            </w:r>
          </w:p>
        </w:tc>
        <w:tc>
          <w:tcPr>
            <w:tcW w:w="1339"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21.2%</w:t>
            </w:r>
          </w:p>
        </w:tc>
        <w:tc>
          <w:tcPr>
            <w:tcW w:w="1595"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14.8%</w:t>
            </w:r>
          </w:p>
        </w:tc>
      </w:tr>
      <w:tr w:rsidR="00C63B2D" w:rsidRPr="001A24FE" w:rsidTr="00070B12">
        <w:trPr>
          <w:trHeight w:val="255"/>
        </w:trPr>
        <w:tc>
          <w:tcPr>
            <w:cnfStyle w:val="001000000000" w:firstRow="0" w:lastRow="0" w:firstColumn="1" w:lastColumn="0" w:oddVBand="0" w:evenVBand="0" w:oddHBand="0" w:evenHBand="0" w:firstRowFirstColumn="0" w:firstRowLastColumn="0" w:lastRowFirstColumn="0" w:lastRowLastColumn="0"/>
            <w:tcW w:w="5787" w:type="dxa"/>
            <w:noWrap/>
            <w:hideMark/>
          </w:tcPr>
          <w:p w:rsidR="00C63B2D" w:rsidRDefault="00C63B2D" w:rsidP="00C63B2D">
            <w:pPr>
              <w:rPr>
                <w:rFonts w:cs="Arial"/>
                <w:color w:val="000000"/>
                <w:szCs w:val="20"/>
              </w:rPr>
            </w:pPr>
            <w:r>
              <w:rPr>
                <w:rFonts w:cs="Arial"/>
                <w:color w:val="000000"/>
                <w:szCs w:val="20"/>
              </w:rPr>
              <w:t>Fractures</w:t>
            </w:r>
          </w:p>
        </w:tc>
        <w:tc>
          <w:tcPr>
            <w:tcW w:w="1339"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19.3%</w:t>
            </w:r>
          </w:p>
        </w:tc>
        <w:tc>
          <w:tcPr>
            <w:tcW w:w="1595"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9.0%</w:t>
            </w:r>
          </w:p>
        </w:tc>
      </w:tr>
      <w:tr w:rsidR="00C63B2D" w:rsidRPr="001A24FE" w:rsidTr="00070B12">
        <w:trPr>
          <w:trHeight w:val="255"/>
        </w:trPr>
        <w:tc>
          <w:tcPr>
            <w:cnfStyle w:val="001000000000" w:firstRow="0" w:lastRow="0" w:firstColumn="1" w:lastColumn="0" w:oddVBand="0" w:evenVBand="0" w:oddHBand="0" w:evenHBand="0" w:firstRowFirstColumn="0" w:firstRowLastColumn="0" w:lastRowFirstColumn="0" w:lastRowLastColumn="0"/>
            <w:tcW w:w="5787" w:type="dxa"/>
            <w:noWrap/>
            <w:hideMark/>
          </w:tcPr>
          <w:p w:rsidR="00C63B2D" w:rsidRDefault="00C63B2D" w:rsidP="00C63B2D">
            <w:pPr>
              <w:rPr>
                <w:rFonts w:cs="Arial"/>
                <w:color w:val="000000"/>
                <w:szCs w:val="20"/>
              </w:rPr>
            </w:pPr>
            <w:r>
              <w:rPr>
                <w:rFonts w:cs="Arial"/>
                <w:color w:val="000000"/>
                <w:szCs w:val="20"/>
              </w:rPr>
              <w:t>Musculoskeletal and connective tissue diseases</w:t>
            </w:r>
          </w:p>
        </w:tc>
        <w:tc>
          <w:tcPr>
            <w:tcW w:w="1339"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9.3%</w:t>
            </w:r>
          </w:p>
        </w:tc>
        <w:tc>
          <w:tcPr>
            <w:tcW w:w="1595"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14.6%</w:t>
            </w:r>
          </w:p>
        </w:tc>
      </w:tr>
      <w:tr w:rsidR="00C63B2D" w:rsidRPr="001A24FE" w:rsidTr="00070B12">
        <w:trPr>
          <w:trHeight w:val="255"/>
        </w:trPr>
        <w:tc>
          <w:tcPr>
            <w:cnfStyle w:val="001000000000" w:firstRow="0" w:lastRow="0" w:firstColumn="1" w:lastColumn="0" w:oddVBand="0" w:evenVBand="0" w:oddHBand="0" w:evenHBand="0" w:firstRowFirstColumn="0" w:firstRowLastColumn="0" w:lastRowFirstColumn="0" w:lastRowLastColumn="0"/>
            <w:tcW w:w="5787" w:type="dxa"/>
            <w:noWrap/>
            <w:hideMark/>
          </w:tcPr>
          <w:p w:rsidR="00C63B2D" w:rsidRDefault="00C63B2D" w:rsidP="00C63B2D">
            <w:pPr>
              <w:rPr>
                <w:rFonts w:cs="Arial"/>
                <w:color w:val="000000"/>
                <w:szCs w:val="20"/>
              </w:rPr>
            </w:pPr>
            <w:r>
              <w:rPr>
                <w:rFonts w:cs="Arial"/>
                <w:color w:val="000000"/>
                <w:szCs w:val="20"/>
              </w:rPr>
              <w:t>Burn</w:t>
            </w:r>
          </w:p>
        </w:tc>
        <w:tc>
          <w:tcPr>
            <w:tcW w:w="1339"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1.2%</w:t>
            </w:r>
          </w:p>
        </w:tc>
        <w:tc>
          <w:tcPr>
            <w:tcW w:w="1595"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1.5%</w:t>
            </w:r>
          </w:p>
        </w:tc>
      </w:tr>
      <w:tr w:rsidR="00C63B2D" w:rsidRPr="001A24FE" w:rsidTr="00070B12">
        <w:trPr>
          <w:trHeight w:val="255"/>
        </w:trPr>
        <w:tc>
          <w:tcPr>
            <w:cnfStyle w:val="001000000000" w:firstRow="0" w:lastRow="0" w:firstColumn="1" w:lastColumn="0" w:oddVBand="0" w:evenVBand="0" w:oddHBand="0" w:evenHBand="0" w:firstRowFirstColumn="0" w:firstRowLastColumn="0" w:lastRowFirstColumn="0" w:lastRowLastColumn="0"/>
            <w:tcW w:w="5787" w:type="dxa"/>
            <w:noWrap/>
            <w:hideMark/>
          </w:tcPr>
          <w:p w:rsidR="00C63B2D" w:rsidRDefault="00C63B2D" w:rsidP="00C63B2D">
            <w:pPr>
              <w:rPr>
                <w:rFonts w:cs="Arial"/>
                <w:color w:val="000000"/>
                <w:szCs w:val="20"/>
              </w:rPr>
            </w:pPr>
            <w:r>
              <w:rPr>
                <w:rFonts w:cs="Arial"/>
                <w:color w:val="000000"/>
                <w:szCs w:val="20"/>
              </w:rPr>
              <w:t>Intracranial injuries</w:t>
            </w:r>
          </w:p>
        </w:tc>
        <w:tc>
          <w:tcPr>
            <w:tcW w:w="1339"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0.7%</w:t>
            </w:r>
          </w:p>
        </w:tc>
        <w:tc>
          <w:tcPr>
            <w:tcW w:w="1595"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0.4%</w:t>
            </w:r>
          </w:p>
        </w:tc>
      </w:tr>
      <w:tr w:rsidR="00C63B2D" w:rsidRPr="001A24FE" w:rsidTr="00070B12">
        <w:trPr>
          <w:trHeight w:val="255"/>
        </w:trPr>
        <w:tc>
          <w:tcPr>
            <w:cnfStyle w:val="001000000000" w:firstRow="0" w:lastRow="0" w:firstColumn="1" w:lastColumn="0" w:oddVBand="0" w:evenVBand="0" w:oddHBand="0" w:evenHBand="0" w:firstRowFirstColumn="0" w:firstRowLastColumn="0" w:lastRowFirstColumn="0" w:lastRowLastColumn="0"/>
            <w:tcW w:w="5787" w:type="dxa"/>
            <w:noWrap/>
            <w:hideMark/>
          </w:tcPr>
          <w:p w:rsidR="00C63B2D" w:rsidRDefault="00D864EE" w:rsidP="00D864EE">
            <w:pPr>
              <w:rPr>
                <w:rFonts w:cs="Arial"/>
                <w:b/>
                <w:bCs/>
                <w:color w:val="000000"/>
                <w:szCs w:val="20"/>
              </w:rPr>
            </w:pPr>
            <w:r>
              <w:rPr>
                <w:rFonts w:cs="Arial"/>
                <w:b/>
                <w:bCs/>
                <w:color w:val="000000"/>
                <w:szCs w:val="20"/>
              </w:rPr>
              <w:t>Total: i</w:t>
            </w:r>
            <w:r w:rsidR="00C63B2D">
              <w:rPr>
                <w:rFonts w:cs="Arial"/>
                <w:b/>
                <w:bCs/>
                <w:color w:val="000000"/>
                <w:szCs w:val="20"/>
              </w:rPr>
              <w:t>njury and musculoskeletal disorders</w:t>
            </w:r>
          </w:p>
        </w:tc>
        <w:tc>
          <w:tcPr>
            <w:tcW w:w="1339"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95.0%</w:t>
            </w:r>
          </w:p>
        </w:tc>
        <w:tc>
          <w:tcPr>
            <w:tcW w:w="1595"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88.9%</w:t>
            </w:r>
          </w:p>
        </w:tc>
      </w:tr>
      <w:tr w:rsidR="0075723F" w:rsidRPr="001A24FE" w:rsidTr="00070B12">
        <w:trPr>
          <w:trHeight w:val="255"/>
        </w:trPr>
        <w:tc>
          <w:tcPr>
            <w:cnfStyle w:val="001000000000" w:firstRow="0" w:lastRow="0" w:firstColumn="1" w:lastColumn="0" w:oddVBand="0" w:evenVBand="0" w:oddHBand="0" w:evenHBand="0" w:firstRowFirstColumn="0" w:firstRowLastColumn="0" w:lastRowFirstColumn="0" w:lastRowLastColumn="0"/>
            <w:tcW w:w="8721" w:type="dxa"/>
            <w:gridSpan w:val="3"/>
            <w:shd w:val="clear" w:color="auto" w:fill="D9D9D9" w:themeFill="background1" w:themeFillShade="D9"/>
            <w:noWrap/>
            <w:hideMark/>
          </w:tcPr>
          <w:p w:rsidR="0075723F" w:rsidRPr="001A24FE" w:rsidRDefault="0075723F" w:rsidP="00D03B61">
            <w:pPr>
              <w:rPr>
                <w:rFonts w:eastAsia="Times New Roman"/>
                <w:bCs/>
                <w:color w:val="000000"/>
                <w:szCs w:val="20"/>
              </w:rPr>
            </w:pPr>
            <w:r w:rsidRPr="001A24FE">
              <w:rPr>
                <w:rFonts w:eastAsia="Times New Roman"/>
                <w:bCs/>
                <w:color w:val="000000"/>
                <w:szCs w:val="20"/>
              </w:rPr>
              <w:t>Diseases</w:t>
            </w:r>
          </w:p>
        </w:tc>
      </w:tr>
      <w:tr w:rsidR="00C63B2D" w:rsidRPr="001A24FE" w:rsidTr="00070B12">
        <w:trPr>
          <w:trHeight w:val="255"/>
        </w:trPr>
        <w:tc>
          <w:tcPr>
            <w:cnfStyle w:val="001000000000" w:firstRow="0" w:lastRow="0" w:firstColumn="1" w:lastColumn="0" w:oddVBand="0" w:evenVBand="0" w:oddHBand="0" w:evenHBand="0" w:firstRowFirstColumn="0" w:firstRowLastColumn="0" w:lastRowFirstColumn="0" w:lastRowLastColumn="0"/>
            <w:tcW w:w="5787" w:type="dxa"/>
            <w:noWrap/>
            <w:hideMark/>
          </w:tcPr>
          <w:p w:rsidR="00C63B2D" w:rsidRDefault="00C63B2D" w:rsidP="00C63B2D">
            <w:pPr>
              <w:rPr>
                <w:rFonts w:cs="Arial"/>
                <w:color w:val="000000"/>
                <w:szCs w:val="20"/>
              </w:rPr>
            </w:pPr>
            <w:r>
              <w:rPr>
                <w:rFonts w:cs="Arial"/>
                <w:color w:val="000000"/>
                <w:szCs w:val="20"/>
              </w:rPr>
              <w:t>Digestive system diseases</w:t>
            </w:r>
          </w:p>
        </w:tc>
        <w:tc>
          <w:tcPr>
            <w:tcW w:w="1339"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1.5%</w:t>
            </w:r>
          </w:p>
        </w:tc>
        <w:tc>
          <w:tcPr>
            <w:tcW w:w="1595"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2.4%</w:t>
            </w:r>
          </w:p>
        </w:tc>
      </w:tr>
      <w:tr w:rsidR="00C63B2D" w:rsidRPr="001A24FE" w:rsidTr="00070B12">
        <w:trPr>
          <w:trHeight w:val="255"/>
        </w:trPr>
        <w:tc>
          <w:tcPr>
            <w:cnfStyle w:val="001000000000" w:firstRow="0" w:lastRow="0" w:firstColumn="1" w:lastColumn="0" w:oddVBand="0" w:evenVBand="0" w:oddHBand="0" w:evenHBand="0" w:firstRowFirstColumn="0" w:firstRowLastColumn="0" w:lastRowFirstColumn="0" w:lastRowLastColumn="0"/>
            <w:tcW w:w="5787" w:type="dxa"/>
            <w:noWrap/>
            <w:hideMark/>
          </w:tcPr>
          <w:p w:rsidR="00C63B2D" w:rsidRDefault="00C63B2D" w:rsidP="00C63B2D">
            <w:pPr>
              <w:rPr>
                <w:rFonts w:cs="Arial"/>
                <w:color w:val="000000"/>
                <w:szCs w:val="20"/>
              </w:rPr>
            </w:pPr>
            <w:r>
              <w:rPr>
                <w:rFonts w:cs="Arial"/>
                <w:color w:val="000000"/>
                <w:szCs w:val="20"/>
              </w:rPr>
              <w:t>Skin and subcutaneous tissue diseases</w:t>
            </w:r>
          </w:p>
        </w:tc>
        <w:tc>
          <w:tcPr>
            <w:tcW w:w="1339"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1.0%</w:t>
            </w:r>
          </w:p>
        </w:tc>
        <w:tc>
          <w:tcPr>
            <w:tcW w:w="1595"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0.5%</w:t>
            </w:r>
          </w:p>
        </w:tc>
      </w:tr>
      <w:tr w:rsidR="00C63B2D" w:rsidRPr="001A24FE" w:rsidTr="00070B12">
        <w:trPr>
          <w:trHeight w:val="255"/>
        </w:trPr>
        <w:tc>
          <w:tcPr>
            <w:cnfStyle w:val="001000000000" w:firstRow="0" w:lastRow="0" w:firstColumn="1" w:lastColumn="0" w:oddVBand="0" w:evenVBand="0" w:oddHBand="0" w:evenHBand="0" w:firstRowFirstColumn="0" w:firstRowLastColumn="0" w:lastRowFirstColumn="0" w:lastRowLastColumn="0"/>
            <w:tcW w:w="5787" w:type="dxa"/>
            <w:noWrap/>
            <w:hideMark/>
          </w:tcPr>
          <w:p w:rsidR="00C63B2D" w:rsidRDefault="00C63B2D" w:rsidP="00C63B2D">
            <w:pPr>
              <w:rPr>
                <w:rFonts w:cs="Arial"/>
                <w:color w:val="000000"/>
                <w:szCs w:val="20"/>
              </w:rPr>
            </w:pPr>
            <w:r>
              <w:rPr>
                <w:rFonts w:cs="Arial"/>
                <w:color w:val="000000"/>
                <w:szCs w:val="20"/>
              </w:rPr>
              <w:t>Nervous system and sense organ diseases</w:t>
            </w:r>
          </w:p>
        </w:tc>
        <w:tc>
          <w:tcPr>
            <w:tcW w:w="1339"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0.9%</w:t>
            </w:r>
          </w:p>
        </w:tc>
        <w:tc>
          <w:tcPr>
            <w:tcW w:w="1595"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1.1%</w:t>
            </w:r>
          </w:p>
        </w:tc>
      </w:tr>
      <w:tr w:rsidR="00C63B2D" w:rsidRPr="001A24FE" w:rsidTr="00070B12">
        <w:trPr>
          <w:trHeight w:val="255"/>
        </w:trPr>
        <w:tc>
          <w:tcPr>
            <w:cnfStyle w:val="001000000000" w:firstRow="0" w:lastRow="0" w:firstColumn="1" w:lastColumn="0" w:oddVBand="0" w:evenVBand="0" w:oddHBand="0" w:evenHBand="0" w:firstRowFirstColumn="0" w:firstRowLastColumn="0" w:lastRowFirstColumn="0" w:lastRowLastColumn="0"/>
            <w:tcW w:w="5787" w:type="dxa"/>
            <w:noWrap/>
            <w:hideMark/>
          </w:tcPr>
          <w:p w:rsidR="00C63B2D" w:rsidRDefault="00C63B2D" w:rsidP="00C63B2D">
            <w:pPr>
              <w:rPr>
                <w:rFonts w:cs="Arial"/>
                <w:color w:val="000000"/>
                <w:szCs w:val="20"/>
              </w:rPr>
            </w:pPr>
            <w:r>
              <w:rPr>
                <w:rFonts w:cs="Arial"/>
                <w:color w:val="000000"/>
                <w:szCs w:val="20"/>
              </w:rPr>
              <w:t>Mental disorders</w:t>
            </w:r>
          </w:p>
        </w:tc>
        <w:tc>
          <w:tcPr>
            <w:tcW w:w="1339"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0.8%</w:t>
            </w:r>
          </w:p>
        </w:tc>
        <w:tc>
          <w:tcPr>
            <w:tcW w:w="1595"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6.4%</w:t>
            </w:r>
          </w:p>
        </w:tc>
      </w:tr>
      <w:tr w:rsidR="00C63B2D" w:rsidRPr="001A24FE" w:rsidTr="00070B12">
        <w:trPr>
          <w:trHeight w:val="255"/>
        </w:trPr>
        <w:tc>
          <w:tcPr>
            <w:cnfStyle w:val="001000000000" w:firstRow="0" w:lastRow="0" w:firstColumn="1" w:lastColumn="0" w:oddVBand="0" w:evenVBand="0" w:oddHBand="0" w:evenHBand="0" w:firstRowFirstColumn="0" w:firstRowLastColumn="0" w:lastRowFirstColumn="0" w:lastRowLastColumn="0"/>
            <w:tcW w:w="5787" w:type="dxa"/>
            <w:noWrap/>
            <w:hideMark/>
          </w:tcPr>
          <w:p w:rsidR="00C63B2D" w:rsidRDefault="00C63B2D" w:rsidP="00C63B2D">
            <w:pPr>
              <w:rPr>
                <w:rFonts w:cs="Arial"/>
                <w:color w:val="000000"/>
                <w:szCs w:val="20"/>
              </w:rPr>
            </w:pPr>
            <w:r>
              <w:rPr>
                <w:rFonts w:cs="Arial"/>
                <w:color w:val="000000"/>
                <w:szCs w:val="20"/>
              </w:rPr>
              <w:t>Infectious and parasitic diseases</w:t>
            </w:r>
          </w:p>
        </w:tc>
        <w:tc>
          <w:tcPr>
            <w:tcW w:w="1339"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0.5%</w:t>
            </w:r>
          </w:p>
        </w:tc>
        <w:tc>
          <w:tcPr>
            <w:tcW w:w="1595"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0.2%</w:t>
            </w:r>
          </w:p>
        </w:tc>
      </w:tr>
      <w:tr w:rsidR="00C63B2D" w:rsidRPr="001A24FE" w:rsidTr="00070B12">
        <w:trPr>
          <w:trHeight w:val="255"/>
        </w:trPr>
        <w:tc>
          <w:tcPr>
            <w:cnfStyle w:val="001000000000" w:firstRow="0" w:lastRow="0" w:firstColumn="1" w:lastColumn="0" w:oddVBand="0" w:evenVBand="0" w:oddHBand="0" w:evenHBand="0" w:firstRowFirstColumn="0" w:firstRowLastColumn="0" w:lastRowFirstColumn="0" w:lastRowLastColumn="0"/>
            <w:tcW w:w="5787" w:type="dxa"/>
            <w:noWrap/>
            <w:hideMark/>
          </w:tcPr>
          <w:p w:rsidR="00C63B2D" w:rsidRDefault="00D864EE" w:rsidP="00D864EE">
            <w:pPr>
              <w:rPr>
                <w:rFonts w:cs="Arial"/>
                <w:b/>
                <w:bCs/>
                <w:color w:val="000000"/>
                <w:szCs w:val="20"/>
              </w:rPr>
            </w:pPr>
            <w:r>
              <w:rPr>
                <w:rFonts w:cs="Arial"/>
                <w:b/>
                <w:bCs/>
                <w:color w:val="000000"/>
                <w:szCs w:val="20"/>
              </w:rPr>
              <w:t>Total: d</w:t>
            </w:r>
            <w:r w:rsidR="00C63B2D">
              <w:rPr>
                <w:rFonts w:cs="Arial"/>
                <w:b/>
                <w:bCs/>
                <w:color w:val="000000"/>
                <w:szCs w:val="20"/>
              </w:rPr>
              <w:t>iseases</w:t>
            </w:r>
          </w:p>
        </w:tc>
        <w:tc>
          <w:tcPr>
            <w:tcW w:w="1339"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5.0%</w:t>
            </w:r>
          </w:p>
        </w:tc>
        <w:tc>
          <w:tcPr>
            <w:tcW w:w="1595"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11.1%</w:t>
            </w:r>
          </w:p>
        </w:tc>
      </w:tr>
      <w:tr w:rsidR="00C63B2D" w:rsidRPr="001A24FE" w:rsidTr="00070B12">
        <w:trPr>
          <w:trHeight w:val="255"/>
        </w:trPr>
        <w:tc>
          <w:tcPr>
            <w:cnfStyle w:val="001000000000" w:firstRow="0" w:lastRow="0" w:firstColumn="1" w:lastColumn="0" w:oddVBand="0" w:evenVBand="0" w:oddHBand="0" w:evenHBand="0" w:firstRowFirstColumn="0" w:firstRowLastColumn="0" w:lastRowFirstColumn="0" w:lastRowLastColumn="0"/>
            <w:tcW w:w="5787" w:type="dxa"/>
            <w:noWrap/>
            <w:hideMark/>
          </w:tcPr>
          <w:p w:rsidR="00C63B2D" w:rsidRDefault="00C63B2D" w:rsidP="00C63B2D">
            <w:pPr>
              <w:rPr>
                <w:rFonts w:cs="Arial"/>
                <w:b/>
                <w:bCs/>
                <w:color w:val="000000"/>
                <w:szCs w:val="20"/>
              </w:rPr>
            </w:pPr>
            <w:r>
              <w:rPr>
                <w:rFonts w:cs="Arial"/>
                <w:b/>
                <w:bCs/>
                <w:color w:val="000000"/>
                <w:szCs w:val="20"/>
              </w:rPr>
              <w:t>Total</w:t>
            </w:r>
            <w:r w:rsidR="00D864EE">
              <w:rPr>
                <w:rFonts w:cs="Arial"/>
                <w:b/>
                <w:bCs/>
                <w:color w:val="000000"/>
                <w:szCs w:val="20"/>
              </w:rPr>
              <w:t>: serious claims</w:t>
            </w:r>
          </w:p>
        </w:tc>
        <w:tc>
          <w:tcPr>
            <w:tcW w:w="1339"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100.0%</w:t>
            </w:r>
          </w:p>
        </w:tc>
        <w:tc>
          <w:tcPr>
            <w:tcW w:w="1595"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100.0%</w:t>
            </w:r>
          </w:p>
        </w:tc>
      </w:tr>
    </w:tbl>
    <w:p w:rsidR="0075723F" w:rsidRPr="008016F8" w:rsidRDefault="00C234F2" w:rsidP="0075723F">
      <w:pPr>
        <w:pStyle w:val="Footnote"/>
      </w:pPr>
      <w:r w:rsidRPr="00C234F2">
        <w:t>The sum of percentages may not equal 100% due to rounding.</w:t>
      </w:r>
      <w:r>
        <w:br/>
      </w:r>
      <w:r w:rsidR="0075723F" w:rsidRPr="008016F8">
        <w:t>Source: National Data Set for Compensation-Based Statistics.</w:t>
      </w:r>
    </w:p>
    <w:p w:rsidR="0075723F" w:rsidRDefault="0075723F" w:rsidP="0075723F">
      <w:pPr>
        <w:pStyle w:val="Heading2"/>
      </w:pPr>
      <w:bookmarkStart w:id="60" w:name="_Toc453938288"/>
      <w:bookmarkStart w:id="61" w:name="_Toc459720381"/>
      <w:bookmarkEnd w:id="57"/>
      <w:bookmarkEnd w:id="58"/>
      <w:bookmarkEnd w:id="59"/>
      <w:r>
        <w:t>Bodily location of injury or disease</w:t>
      </w:r>
      <w:bookmarkEnd w:id="60"/>
      <w:bookmarkEnd w:id="61"/>
      <w:r>
        <w:t xml:space="preserve"> </w:t>
      </w:r>
    </w:p>
    <w:p w:rsidR="00645297" w:rsidRDefault="0075723F" w:rsidP="0075723F">
      <w:r w:rsidRPr="005E6422">
        <w:t xml:space="preserve">Between 2009–10 and 2013–14, </w:t>
      </w:r>
      <w:r w:rsidR="007141B7">
        <w:t xml:space="preserve">the bodily location that was </w:t>
      </w:r>
      <w:r w:rsidR="00C23011">
        <w:t xml:space="preserve">involved in </w:t>
      </w:r>
      <w:r w:rsidR="007141B7">
        <w:t>the highest percentage of agricultural employees’ serious claims was the hand, fingers and thumb</w:t>
      </w:r>
      <w:r w:rsidR="005A7FC4">
        <w:t xml:space="preserve"> (17</w:t>
      </w:r>
      <w:r w:rsidR="004A39AC">
        <w:t xml:space="preserve"> per cent)</w:t>
      </w:r>
      <w:r w:rsidR="007141B7">
        <w:t xml:space="preserve">. </w:t>
      </w:r>
      <w:r w:rsidR="00645297">
        <w:t xml:space="preserve">Compared with employees in all industries, a </w:t>
      </w:r>
      <w:r w:rsidR="00E56427">
        <w:t>notably</w:t>
      </w:r>
      <w:r w:rsidR="00645297">
        <w:t xml:space="preserve"> lower percentage of agricultural employees’ serious claims </w:t>
      </w:r>
      <w:r w:rsidR="00C23011">
        <w:t xml:space="preserve">involved </w:t>
      </w:r>
      <w:r w:rsidR="00645297">
        <w:t>the back (</w:t>
      </w:r>
      <w:r w:rsidR="005A7FC4">
        <w:t>16</w:t>
      </w:r>
      <w:r w:rsidR="00A01F5E">
        <w:t> per </w:t>
      </w:r>
      <w:r w:rsidR="00C84364">
        <w:t>cent versus 22 per cent).</w:t>
      </w:r>
    </w:p>
    <w:p w:rsidR="0075723F" w:rsidRDefault="0075723F" w:rsidP="0075723F">
      <w:pPr>
        <w:rPr>
          <w:b/>
        </w:rPr>
      </w:pPr>
      <w:r>
        <w:br w:type="page"/>
      </w:r>
    </w:p>
    <w:p w:rsidR="0075723F" w:rsidRPr="005E6422" w:rsidRDefault="0075723F" w:rsidP="0075723F">
      <w:pPr>
        <w:pStyle w:val="Heading4"/>
      </w:pPr>
      <w:r>
        <w:lastRenderedPageBreak/>
        <w:t xml:space="preserve">Table </w:t>
      </w:r>
      <w:fldSimple w:instr=" SEQ Table \* ARABIC ">
        <w:r w:rsidR="001A7C10">
          <w:rPr>
            <w:noProof/>
          </w:rPr>
          <w:t>13</w:t>
        </w:r>
      </w:fldSimple>
      <w:r>
        <w:t xml:space="preserve">: </w:t>
      </w:r>
      <w:r w:rsidRPr="005E6422">
        <w:t xml:space="preserve">Percentage of serious claims for the </w:t>
      </w:r>
      <w:r>
        <w:t>agricultural</w:t>
      </w:r>
      <w:r w:rsidRPr="005E6422">
        <w:t xml:space="preserve"> industry and all industries by bodily location of injury or disease, 2009–10 to 2013–</w:t>
      </w:r>
      <w:proofErr w:type="spellStart"/>
      <w:r w:rsidRPr="005E6422">
        <w:t>14</w:t>
      </w:r>
      <w:r>
        <w:t>p</w:t>
      </w:r>
      <w:proofErr w:type="spellEnd"/>
      <w:r>
        <w:t xml:space="preserve"> combined</w:t>
      </w:r>
    </w:p>
    <w:tbl>
      <w:tblPr>
        <w:tblStyle w:val="TableGrid"/>
        <w:tblW w:w="6533" w:type="dxa"/>
        <w:tblInd w:w="108" w:type="dxa"/>
        <w:tblLook w:val="04A0" w:firstRow="1" w:lastRow="0" w:firstColumn="1" w:lastColumn="0" w:noHBand="0" w:noVBand="1"/>
        <w:tblCaption w:val="Table 13"/>
      </w:tblPr>
      <w:tblGrid>
        <w:gridCol w:w="3543"/>
        <w:gridCol w:w="1395"/>
        <w:gridCol w:w="1595"/>
      </w:tblGrid>
      <w:tr w:rsidR="0075723F" w:rsidRPr="00E1683C" w:rsidTr="00C63B2D">
        <w:trPr>
          <w:trHeight w:val="255"/>
          <w:tblHeader/>
        </w:trPr>
        <w:tc>
          <w:tcPr>
            <w:cnfStyle w:val="001000000000" w:firstRow="0" w:lastRow="0" w:firstColumn="1" w:lastColumn="0" w:oddVBand="0" w:evenVBand="0" w:oddHBand="0" w:evenHBand="0" w:firstRowFirstColumn="0" w:firstRowLastColumn="0" w:lastRowFirstColumn="0" w:lastRowLastColumn="0"/>
            <w:tcW w:w="3543" w:type="dxa"/>
            <w:noWrap/>
            <w:hideMark/>
          </w:tcPr>
          <w:p w:rsidR="0075723F" w:rsidRPr="00E1683C" w:rsidRDefault="00C63B2D" w:rsidP="00C63B2D">
            <w:pPr>
              <w:rPr>
                <w:rFonts w:eastAsia="Times New Roman"/>
                <w:b/>
                <w:color w:val="000000"/>
                <w:szCs w:val="20"/>
              </w:rPr>
            </w:pPr>
            <w:r w:rsidRPr="00E1683C">
              <w:rPr>
                <w:rFonts w:eastAsia="Times New Roman"/>
                <w:b/>
                <w:color w:val="000000"/>
                <w:szCs w:val="20"/>
              </w:rPr>
              <w:t>Bodily location of injury or disease</w:t>
            </w:r>
          </w:p>
        </w:tc>
        <w:tc>
          <w:tcPr>
            <w:tcW w:w="1395" w:type="dxa"/>
            <w:noWrap/>
            <w:hideMark/>
          </w:tcPr>
          <w:p w:rsidR="0075723F" w:rsidRPr="00E1683C" w:rsidRDefault="0075723F" w:rsidP="00C63B2D">
            <w:pPr>
              <w:cnfStyle w:val="000000000000" w:firstRow="0" w:lastRow="0" w:firstColumn="0" w:lastColumn="0" w:oddVBand="0" w:evenVBand="0" w:oddHBand="0" w:evenHBand="0" w:firstRowFirstColumn="0" w:firstRowLastColumn="0" w:lastRowFirstColumn="0" w:lastRowLastColumn="0"/>
              <w:rPr>
                <w:rFonts w:eastAsia="Times New Roman"/>
                <w:b/>
                <w:color w:val="000000"/>
                <w:szCs w:val="20"/>
              </w:rPr>
            </w:pPr>
            <w:r>
              <w:rPr>
                <w:rFonts w:eastAsia="Times New Roman"/>
                <w:b/>
                <w:color w:val="000000"/>
                <w:szCs w:val="20"/>
              </w:rPr>
              <w:t>Agricultural industry</w:t>
            </w:r>
          </w:p>
        </w:tc>
        <w:tc>
          <w:tcPr>
            <w:tcW w:w="1595" w:type="dxa"/>
            <w:noWrap/>
            <w:hideMark/>
          </w:tcPr>
          <w:p w:rsidR="0075723F" w:rsidRPr="00E1683C" w:rsidRDefault="0075723F" w:rsidP="00C63B2D">
            <w:pPr>
              <w:cnfStyle w:val="000000000000" w:firstRow="0" w:lastRow="0" w:firstColumn="0" w:lastColumn="0" w:oddVBand="0" w:evenVBand="0" w:oddHBand="0" w:evenHBand="0" w:firstRowFirstColumn="0" w:firstRowLastColumn="0" w:lastRowFirstColumn="0" w:lastRowLastColumn="0"/>
              <w:rPr>
                <w:rFonts w:eastAsia="Times New Roman"/>
                <w:b/>
                <w:color w:val="000000"/>
                <w:szCs w:val="20"/>
              </w:rPr>
            </w:pPr>
            <w:r w:rsidRPr="00E1683C">
              <w:rPr>
                <w:rFonts w:eastAsia="Times New Roman"/>
                <w:b/>
                <w:color w:val="000000"/>
                <w:szCs w:val="20"/>
              </w:rPr>
              <w:t>All industries</w:t>
            </w:r>
          </w:p>
        </w:tc>
      </w:tr>
      <w:tr w:rsidR="00C63B2D" w:rsidRPr="00E1683C" w:rsidTr="00C63B2D">
        <w:trPr>
          <w:trHeight w:val="255"/>
        </w:trPr>
        <w:tc>
          <w:tcPr>
            <w:cnfStyle w:val="001000000000" w:firstRow="0" w:lastRow="0" w:firstColumn="1" w:lastColumn="0" w:oddVBand="0" w:evenVBand="0" w:oddHBand="0" w:evenHBand="0" w:firstRowFirstColumn="0" w:firstRowLastColumn="0" w:lastRowFirstColumn="0" w:lastRowLastColumn="0"/>
            <w:tcW w:w="3543" w:type="dxa"/>
            <w:noWrap/>
            <w:hideMark/>
          </w:tcPr>
          <w:p w:rsidR="00C63B2D" w:rsidRDefault="00C63B2D" w:rsidP="00C63B2D">
            <w:pPr>
              <w:rPr>
                <w:rFonts w:cs="Arial"/>
                <w:color w:val="000000"/>
                <w:szCs w:val="20"/>
              </w:rPr>
            </w:pPr>
            <w:r>
              <w:rPr>
                <w:rFonts w:cs="Arial"/>
                <w:color w:val="000000"/>
                <w:szCs w:val="20"/>
              </w:rPr>
              <w:t>Hand, fingers and thumb</w:t>
            </w:r>
          </w:p>
        </w:tc>
        <w:tc>
          <w:tcPr>
            <w:tcW w:w="1395"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16.6%</w:t>
            </w:r>
          </w:p>
        </w:tc>
        <w:tc>
          <w:tcPr>
            <w:tcW w:w="1595"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12.4%</w:t>
            </w:r>
          </w:p>
        </w:tc>
      </w:tr>
      <w:tr w:rsidR="00C63B2D" w:rsidRPr="00E1683C" w:rsidTr="00C63B2D">
        <w:trPr>
          <w:trHeight w:val="255"/>
        </w:trPr>
        <w:tc>
          <w:tcPr>
            <w:cnfStyle w:val="001000000000" w:firstRow="0" w:lastRow="0" w:firstColumn="1" w:lastColumn="0" w:oddVBand="0" w:evenVBand="0" w:oddHBand="0" w:evenHBand="0" w:firstRowFirstColumn="0" w:firstRowLastColumn="0" w:lastRowFirstColumn="0" w:lastRowLastColumn="0"/>
            <w:tcW w:w="3543" w:type="dxa"/>
            <w:noWrap/>
            <w:hideMark/>
          </w:tcPr>
          <w:p w:rsidR="00C63B2D" w:rsidRDefault="00C63B2D" w:rsidP="00C63B2D">
            <w:pPr>
              <w:rPr>
                <w:rFonts w:cs="Arial"/>
                <w:color w:val="000000"/>
                <w:szCs w:val="20"/>
              </w:rPr>
            </w:pPr>
            <w:r>
              <w:rPr>
                <w:rFonts w:cs="Arial"/>
                <w:color w:val="000000"/>
                <w:szCs w:val="20"/>
              </w:rPr>
              <w:t>Back</w:t>
            </w:r>
          </w:p>
        </w:tc>
        <w:tc>
          <w:tcPr>
            <w:tcW w:w="1395"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15.6%</w:t>
            </w:r>
          </w:p>
        </w:tc>
        <w:tc>
          <w:tcPr>
            <w:tcW w:w="1595"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22.2%</w:t>
            </w:r>
          </w:p>
        </w:tc>
      </w:tr>
      <w:tr w:rsidR="00C63B2D" w:rsidRPr="00E1683C" w:rsidTr="00C63B2D">
        <w:trPr>
          <w:trHeight w:val="255"/>
        </w:trPr>
        <w:tc>
          <w:tcPr>
            <w:cnfStyle w:val="001000000000" w:firstRow="0" w:lastRow="0" w:firstColumn="1" w:lastColumn="0" w:oddVBand="0" w:evenVBand="0" w:oddHBand="0" w:evenHBand="0" w:firstRowFirstColumn="0" w:firstRowLastColumn="0" w:lastRowFirstColumn="0" w:lastRowLastColumn="0"/>
            <w:tcW w:w="3543" w:type="dxa"/>
            <w:noWrap/>
            <w:hideMark/>
          </w:tcPr>
          <w:p w:rsidR="00C63B2D" w:rsidRDefault="00C63B2D" w:rsidP="00C63B2D">
            <w:pPr>
              <w:rPr>
                <w:rFonts w:cs="Arial"/>
                <w:color w:val="000000"/>
                <w:szCs w:val="20"/>
              </w:rPr>
            </w:pPr>
            <w:r>
              <w:rPr>
                <w:rFonts w:cs="Arial"/>
                <w:color w:val="000000"/>
                <w:szCs w:val="20"/>
              </w:rPr>
              <w:t>Knee</w:t>
            </w:r>
          </w:p>
        </w:tc>
        <w:tc>
          <w:tcPr>
            <w:tcW w:w="1395"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10.3%</w:t>
            </w:r>
          </w:p>
        </w:tc>
        <w:tc>
          <w:tcPr>
            <w:tcW w:w="1595"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9.4%</w:t>
            </w:r>
          </w:p>
        </w:tc>
      </w:tr>
      <w:tr w:rsidR="00C63B2D" w:rsidRPr="00E1683C" w:rsidTr="00C63B2D">
        <w:trPr>
          <w:trHeight w:val="255"/>
        </w:trPr>
        <w:tc>
          <w:tcPr>
            <w:cnfStyle w:val="001000000000" w:firstRow="0" w:lastRow="0" w:firstColumn="1" w:lastColumn="0" w:oddVBand="0" w:evenVBand="0" w:oddHBand="0" w:evenHBand="0" w:firstRowFirstColumn="0" w:firstRowLastColumn="0" w:lastRowFirstColumn="0" w:lastRowLastColumn="0"/>
            <w:tcW w:w="3543" w:type="dxa"/>
            <w:noWrap/>
            <w:hideMark/>
          </w:tcPr>
          <w:p w:rsidR="00C63B2D" w:rsidRDefault="00C63B2D" w:rsidP="00C63B2D">
            <w:pPr>
              <w:rPr>
                <w:rFonts w:cs="Arial"/>
                <w:color w:val="000000"/>
                <w:szCs w:val="20"/>
              </w:rPr>
            </w:pPr>
            <w:r>
              <w:rPr>
                <w:rFonts w:cs="Arial"/>
                <w:color w:val="000000"/>
                <w:szCs w:val="20"/>
              </w:rPr>
              <w:t>Shoulder</w:t>
            </w:r>
          </w:p>
        </w:tc>
        <w:tc>
          <w:tcPr>
            <w:tcW w:w="1395"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10.1%</w:t>
            </w:r>
          </w:p>
        </w:tc>
        <w:tc>
          <w:tcPr>
            <w:tcW w:w="1595"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10.4%</w:t>
            </w:r>
          </w:p>
        </w:tc>
      </w:tr>
      <w:tr w:rsidR="00C63B2D" w:rsidRPr="00E1683C" w:rsidTr="00C63B2D">
        <w:trPr>
          <w:trHeight w:val="255"/>
        </w:trPr>
        <w:tc>
          <w:tcPr>
            <w:cnfStyle w:val="001000000000" w:firstRow="0" w:lastRow="0" w:firstColumn="1" w:lastColumn="0" w:oddVBand="0" w:evenVBand="0" w:oddHBand="0" w:evenHBand="0" w:firstRowFirstColumn="0" w:firstRowLastColumn="0" w:lastRowFirstColumn="0" w:lastRowLastColumn="0"/>
            <w:tcW w:w="3543" w:type="dxa"/>
            <w:noWrap/>
            <w:hideMark/>
          </w:tcPr>
          <w:p w:rsidR="00C63B2D" w:rsidRDefault="00C63B2D" w:rsidP="00C63B2D">
            <w:pPr>
              <w:rPr>
                <w:rFonts w:cs="Arial"/>
                <w:color w:val="000000"/>
                <w:szCs w:val="20"/>
              </w:rPr>
            </w:pPr>
            <w:r>
              <w:rPr>
                <w:rFonts w:cs="Arial"/>
                <w:color w:val="000000"/>
                <w:szCs w:val="20"/>
              </w:rPr>
              <w:t>Ankle</w:t>
            </w:r>
          </w:p>
        </w:tc>
        <w:tc>
          <w:tcPr>
            <w:tcW w:w="1395"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6.7%</w:t>
            </w:r>
          </w:p>
        </w:tc>
        <w:tc>
          <w:tcPr>
            <w:tcW w:w="1595"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4.9%</w:t>
            </w:r>
          </w:p>
        </w:tc>
      </w:tr>
      <w:tr w:rsidR="00C63B2D" w:rsidRPr="00E1683C" w:rsidTr="00C63B2D">
        <w:trPr>
          <w:trHeight w:val="255"/>
        </w:trPr>
        <w:tc>
          <w:tcPr>
            <w:cnfStyle w:val="001000000000" w:firstRow="0" w:lastRow="0" w:firstColumn="1" w:lastColumn="0" w:oddVBand="0" w:evenVBand="0" w:oddHBand="0" w:evenHBand="0" w:firstRowFirstColumn="0" w:firstRowLastColumn="0" w:lastRowFirstColumn="0" w:lastRowLastColumn="0"/>
            <w:tcW w:w="3543" w:type="dxa"/>
            <w:noWrap/>
            <w:hideMark/>
          </w:tcPr>
          <w:p w:rsidR="00C63B2D" w:rsidRDefault="00C63B2D" w:rsidP="00C63B2D">
            <w:pPr>
              <w:rPr>
                <w:rFonts w:cs="Arial"/>
                <w:color w:val="000000"/>
                <w:szCs w:val="20"/>
              </w:rPr>
            </w:pPr>
            <w:r>
              <w:rPr>
                <w:rFonts w:cs="Arial"/>
                <w:color w:val="000000"/>
                <w:szCs w:val="20"/>
              </w:rPr>
              <w:t>Wrist</w:t>
            </w:r>
          </w:p>
        </w:tc>
        <w:tc>
          <w:tcPr>
            <w:tcW w:w="1395"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5.0%</w:t>
            </w:r>
          </w:p>
        </w:tc>
        <w:tc>
          <w:tcPr>
            <w:tcW w:w="1595"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4.7%</w:t>
            </w:r>
          </w:p>
        </w:tc>
      </w:tr>
      <w:tr w:rsidR="00C63B2D" w:rsidRPr="00E1683C" w:rsidTr="00C63B2D">
        <w:trPr>
          <w:trHeight w:val="255"/>
        </w:trPr>
        <w:tc>
          <w:tcPr>
            <w:cnfStyle w:val="001000000000" w:firstRow="0" w:lastRow="0" w:firstColumn="1" w:lastColumn="0" w:oddVBand="0" w:evenVBand="0" w:oddHBand="0" w:evenHBand="0" w:firstRowFirstColumn="0" w:firstRowLastColumn="0" w:lastRowFirstColumn="0" w:lastRowLastColumn="0"/>
            <w:tcW w:w="3543" w:type="dxa"/>
            <w:noWrap/>
            <w:hideMark/>
          </w:tcPr>
          <w:p w:rsidR="00C63B2D" w:rsidRDefault="00C63B2D" w:rsidP="00C63B2D">
            <w:pPr>
              <w:rPr>
                <w:rFonts w:cs="Arial"/>
                <w:color w:val="000000"/>
                <w:szCs w:val="20"/>
              </w:rPr>
            </w:pPr>
            <w:r>
              <w:rPr>
                <w:rFonts w:cs="Arial"/>
                <w:color w:val="000000"/>
                <w:szCs w:val="20"/>
              </w:rPr>
              <w:t>Foot and toes</w:t>
            </w:r>
          </w:p>
        </w:tc>
        <w:tc>
          <w:tcPr>
            <w:tcW w:w="1395"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4.2%</w:t>
            </w:r>
          </w:p>
        </w:tc>
        <w:tc>
          <w:tcPr>
            <w:tcW w:w="1595"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3.4%</w:t>
            </w:r>
          </w:p>
        </w:tc>
      </w:tr>
      <w:tr w:rsidR="00C63B2D" w:rsidRPr="00E1683C" w:rsidTr="00C63B2D">
        <w:trPr>
          <w:trHeight w:val="255"/>
        </w:trPr>
        <w:tc>
          <w:tcPr>
            <w:cnfStyle w:val="001000000000" w:firstRow="0" w:lastRow="0" w:firstColumn="1" w:lastColumn="0" w:oddVBand="0" w:evenVBand="0" w:oddHBand="0" w:evenHBand="0" w:firstRowFirstColumn="0" w:firstRowLastColumn="0" w:lastRowFirstColumn="0" w:lastRowLastColumn="0"/>
            <w:tcW w:w="3543" w:type="dxa"/>
            <w:noWrap/>
            <w:hideMark/>
          </w:tcPr>
          <w:p w:rsidR="00C63B2D" w:rsidRDefault="00C63B2D" w:rsidP="00C63B2D">
            <w:pPr>
              <w:rPr>
                <w:rFonts w:cs="Arial"/>
                <w:color w:val="000000"/>
                <w:szCs w:val="20"/>
              </w:rPr>
            </w:pPr>
            <w:r>
              <w:rPr>
                <w:rFonts w:cs="Arial"/>
                <w:color w:val="000000"/>
                <w:szCs w:val="20"/>
              </w:rPr>
              <w:t>Lower leg</w:t>
            </w:r>
          </w:p>
        </w:tc>
        <w:tc>
          <w:tcPr>
            <w:tcW w:w="1395"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3.9%</w:t>
            </w:r>
          </w:p>
        </w:tc>
        <w:tc>
          <w:tcPr>
            <w:tcW w:w="1595"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2.1%</w:t>
            </w:r>
          </w:p>
        </w:tc>
      </w:tr>
      <w:tr w:rsidR="00C63B2D" w:rsidRPr="00E1683C" w:rsidTr="00C63B2D">
        <w:trPr>
          <w:trHeight w:val="255"/>
        </w:trPr>
        <w:tc>
          <w:tcPr>
            <w:cnfStyle w:val="001000000000" w:firstRow="0" w:lastRow="0" w:firstColumn="1" w:lastColumn="0" w:oddVBand="0" w:evenVBand="0" w:oddHBand="0" w:evenHBand="0" w:firstRowFirstColumn="0" w:firstRowLastColumn="0" w:lastRowFirstColumn="0" w:lastRowLastColumn="0"/>
            <w:tcW w:w="3543" w:type="dxa"/>
            <w:noWrap/>
            <w:hideMark/>
          </w:tcPr>
          <w:p w:rsidR="00C63B2D" w:rsidRDefault="00C63B2D" w:rsidP="00C63B2D">
            <w:pPr>
              <w:rPr>
                <w:rFonts w:cs="Arial"/>
                <w:color w:val="000000"/>
                <w:szCs w:val="20"/>
              </w:rPr>
            </w:pPr>
            <w:r>
              <w:rPr>
                <w:rFonts w:cs="Arial"/>
                <w:color w:val="000000"/>
                <w:szCs w:val="20"/>
              </w:rPr>
              <w:t>Chest (thorax)</w:t>
            </w:r>
          </w:p>
        </w:tc>
        <w:tc>
          <w:tcPr>
            <w:tcW w:w="1395"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3.0%</w:t>
            </w:r>
          </w:p>
        </w:tc>
        <w:tc>
          <w:tcPr>
            <w:tcW w:w="1595"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1.6%</w:t>
            </w:r>
          </w:p>
        </w:tc>
      </w:tr>
      <w:tr w:rsidR="00C63B2D" w:rsidRPr="00E1683C" w:rsidTr="00C63B2D">
        <w:trPr>
          <w:trHeight w:val="255"/>
        </w:trPr>
        <w:tc>
          <w:tcPr>
            <w:cnfStyle w:val="001000000000" w:firstRow="0" w:lastRow="0" w:firstColumn="1" w:lastColumn="0" w:oddVBand="0" w:evenVBand="0" w:oddHBand="0" w:evenHBand="0" w:firstRowFirstColumn="0" w:firstRowLastColumn="0" w:lastRowFirstColumn="0" w:lastRowLastColumn="0"/>
            <w:tcW w:w="3543" w:type="dxa"/>
            <w:noWrap/>
            <w:hideMark/>
          </w:tcPr>
          <w:p w:rsidR="00C63B2D" w:rsidRDefault="00C63B2D" w:rsidP="00C63B2D">
            <w:pPr>
              <w:rPr>
                <w:rFonts w:cs="Arial"/>
                <w:color w:val="000000"/>
                <w:szCs w:val="20"/>
              </w:rPr>
            </w:pPr>
            <w:r>
              <w:rPr>
                <w:rFonts w:cs="Arial"/>
                <w:color w:val="000000"/>
                <w:szCs w:val="20"/>
              </w:rPr>
              <w:t>Forearm</w:t>
            </w:r>
          </w:p>
        </w:tc>
        <w:tc>
          <w:tcPr>
            <w:tcW w:w="1395"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2.8%</w:t>
            </w:r>
          </w:p>
        </w:tc>
        <w:tc>
          <w:tcPr>
            <w:tcW w:w="1595"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1.5%</w:t>
            </w:r>
          </w:p>
        </w:tc>
      </w:tr>
      <w:tr w:rsidR="00C63B2D" w:rsidRPr="00E1683C" w:rsidTr="00C63B2D">
        <w:trPr>
          <w:trHeight w:val="255"/>
        </w:trPr>
        <w:tc>
          <w:tcPr>
            <w:cnfStyle w:val="001000000000" w:firstRow="0" w:lastRow="0" w:firstColumn="1" w:lastColumn="0" w:oddVBand="0" w:evenVBand="0" w:oddHBand="0" w:evenHBand="0" w:firstRowFirstColumn="0" w:firstRowLastColumn="0" w:lastRowFirstColumn="0" w:lastRowLastColumn="0"/>
            <w:tcW w:w="3543" w:type="dxa"/>
            <w:noWrap/>
            <w:hideMark/>
          </w:tcPr>
          <w:p w:rsidR="00C63B2D" w:rsidRDefault="00C63B2D" w:rsidP="00C63B2D">
            <w:pPr>
              <w:rPr>
                <w:rFonts w:cs="Arial"/>
                <w:color w:val="000000"/>
                <w:szCs w:val="20"/>
              </w:rPr>
            </w:pPr>
            <w:r>
              <w:rPr>
                <w:rFonts w:cs="Arial"/>
                <w:color w:val="000000"/>
                <w:szCs w:val="20"/>
              </w:rPr>
              <w:t>Abdomen and pelvic region</w:t>
            </w:r>
          </w:p>
        </w:tc>
        <w:tc>
          <w:tcPr>
            <w:tcW w:w="1395"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2.7%</w:t>
            </w:r>
          </w:p>
        </w:tc>
        <w:tc>
          <w:tcPr>
            <w:tcW w:w="1595"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3.2%</w:t>
            </w:r>
          </w:p>
        </w:tc>
      </w:tr>
      <w:tr w:rsidR="00C63B2D" w:rsidRPr="00E1683C" w:rsidTr="00C63B2D">
        <w:trPr>
          <w:trHeight w:val="255"/>
        </w:trPr>
        <w:tc>
          <w:tcPr>
            <w:cnfStyle w:val="001000000000" w:firstRow="0" w:lastRow="0" w:firstColumn="1" w:lastColumn="0" w:oddVBand="0" w:evenVBand="0" w:oddHBand="0" w:evenHBand="0" w:firstRowFirstColumn="0" w:firstRowLastColumn="0" w:lastRowFirstColumn="0" w:lastRowLastColumn="0"/>
            <w:tcW w:w="3543" w:type="dxa"/>
            <w:noWrap/>
            <w:hideMark/>
          </w:tcPr>
          <w:p w:rsidR="00C63B2D" w:rsidRDefault="00C63B2D" w:rsidP="00C63B2D">
            <w:pPr>
              <w:rPr>
                <w:rFonts w:cs="Arial"/>
                <w:color w:val="000000"/>
                <w:szCs w:val="20"/>
              </w:rPr>
            </w:pPr>
            <w:r>
              <w:rPr>
                <w:rFonts w:cs="Arial"/>
                <w:color w:val="000000"/>
                <w:szCs w:val="20"/>
              </w:rPr>
              <w:t>Elbow</w:t>
            </w:r>
          </w:p>
        </w:tc>
        <w:tc>
          <w:tcPr>
            <w:tcW w:w="1395"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2.2%</w:t>
            </w:r>
          </w:p>
        </w:tc>
        <w:tc>
          <w:tcPr>
            <w:tcW w:w="1595"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2.4%</w:t>
            </w:r>
          </w:p>
        </w:tc>
      </w:tr>
      <w:tr w:rsidR="00C63B2D" w:rsidRPr="00E1683C" w:rsidTr="00C63B2D">
        <w:trPr>
          <w:trHeight w:val="255"/>
        </w:trPr>
        <w:tc>
          <w:tcPr>
            <w:cnfStyle w:val="001000000000" w:firstRow="0" w:lastRow="0" w:firstColumn="1" w:lastColumn="0" w:oddVBand="0" w:evenVBand="0" w:oddHBand="0" w:evenHBand="0" w:firstRowFirstColumn="0" w:firstRowLastColumn="0" w:lastRowFirstColumn="0" w:lastRowLastColumn="0"/>
            <w:tcW w:w="3543" w:type="dxa"/>
            <w:noWrap/>
            <w:hideMark/>
          </w:tcPr>
          <w:p w:rsidR="00C63B2D" w:rsidRDefault="00C63B2D" w:rsidP="00C63B2D">
            <w:pPr>
              <w:rPr>
                <w:rFonts w:cs="Arial"/>
                <w:color w:val="000000"/>
                <w:szCs w:val="20"/>
              </w:rPr>
            </w:pPr>
            <w:r>
              <w:rPr>
                <w:rFonts w:cs="Arial"/>
                <w:color w:val="000000"/>
                <w:szCs w:val="20"/>
              </w:rPr>
              <w:t>Upper leg</w:t>
            </w:r>
          </w:p>
        </w:tc>
        <w:tc>
          <w:tcPr>
            <w:tcW w:w="1395"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1.5%</w:t>
            </w:r>
          </w:p>
        </w:tc>
        <w:tc>
          <w:tcPr>
            <w:tcW w:w="1595"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0.8%</w:t>
            </w:r>
          </w:p>
        </w:tc>
      </w:tr>
      <w:tr w:rsidR="00C63B2D" w:rsidRPr="00E1683C" w:rsidTr="00C63B2D">
        <w:trPr>
          <w:trHeight w:val="255"/>
        </w:trPr>
        <w:tc>
          <w:tcPr>
            <w:cnfStyle w:val="001000000000" w:firstRow="0" w:lastRow="0" w:firstColumn="1" w:lastColumn="0" w:oddVBand="0" w:evenVBand="0" w:oddHBand="0" w:evenHBand="0" w:firstRowFirstColumn="0" w:firstRowLastColumn="0" w:lastRowFirstColumn="0" w:lastRowLastColumn="0"/>
            <w:tcW w:w="3543" w:type="dxa"/>
            <w:noWrap/>
            <w:hideMark/>
          </w:tcPr>
          <w:p w:rsidR="00C63B2D" w:rsidRDefault="00C63B2D" w:rsidP="00C63B2D">
            <w:pPr>
              <w:rPr>
                <w:rFonts w:cs="Arial"/>
                <w:color w:val="000000"/>
                <w:szCs w:val="20"/>
              </w:rPr>
            </w:pPr>
            <w:r>
              <w:rPr>
                <w:rFonts w:cs="Arial"/>
                <w:color w:val="000000"/>
                <w:szCs w:val="20"/>
              </w:rPr>
              <w:t>Other</w:t>
            </w:r>
          </w:p>
        </w:tc>
        <w:tc>
          <w:tcPr>
            <w:tcW w:w="1395"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15.5%</w:t>
            </w:r>
          </w:p>
        </w:tc>
        <w:tc>
          <w:tcPr>
            <w:tcW w:w="1595" w:type="dxa"/>
            <w:noWrap/>
            <w:hideMark/>
          </w:tcPr>
          <w:p w:rsid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20.9%</w:t>
            </w:r>
          </w:p>
        </w:tc>
      </w:tr>
      <w:tr w:rsidR="00C63B2D" w:rsidRPr="00C63B2D" w:rsidTr="00C63B2D">
        <w:trPr>
          <w:trHeight w:val="255"/>
        </w:trPr>
        <w:tc>
          <w:tcPr>
            <w:cnfStyle w:val="001000000000" w:firstRow="0" w:lastRow="0" w:firstColumn="1" w:lastColumn="0" w:oddVBand="0" w:evenVBand="0" w:oddHBand="0" w:evenHBand="0" w:firstRowFirstColumn="0" w:firstRowLastColumn="0" w:lastRowFirstColumn="0" w:lastRowLastColumn="0"/>
            <w:tcW w:w="3543" w:type="dxa"/>
            <w:noWrap/>
            <w:hideMark/>
          </w:tcPr>
          <w:p w:rsidR="00C63B2D" w:rsidRPr="00C63B2D" w:rsidRDefault="00C63B2D" w:rsidP="00C63B2D">
            <w:pPr>
              <w:rPr>
                <w:rFonts w:cs="Arial"/>
                <w:b/>
                <w:color w:val="000000"/>
                <w:szCs w:val="20"/>
              </w:rPr>
            </w:pPr>
            <w:r w:rsidRPr="00C63B2D">
              <w:rPr>
                <w:rFonts w:cs="Arial"/>
                <w:b/>
                <w:color w:val="000000"/>
                <w:szCs w:val="20"/>
              </w:rPr>
              <w:t>Total</w:t>
            </w:r>
          </w:p>
        </w:tc>
        <w:tc>
          <w:tcPr>
            <w:tcW w:w="1395" w:type="dxa"/>
            <w:noWrap/>
            <w:hideMark/>
          </w:tcPr>
          <w:p w:rsidR="00C63B2D" w:rsidRP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b/>
                <w:color w:val="000000"/>
                <w:szCs w:val="20"/>
              </w:rPr>
            </w:pPr>
            <w:r w:rsidRPr="00C63B2D">
              <w:rPr>
                <w:rFonts w:cs="Arial"/>
                <w:b/>
                <w:color w:val="000000"/>
                <w:szCs w:val="20"/>
              </w:rPr>
              <w:t>100.0%</w:t>
            </w:r>
          </w:p>
        </w:tc>
        <w:tc>
          <w:tcPr>
            <w:tcW w:w="1595" w:type="dxa"/>
            <w:noWrap/>
            <w:hideMark/>
          </w:tcPr>
          <w:p w:rsidR="00C63B2D" w:rsidRPr="00C63B2D" w:rsidRDefault="00C63B2D" w:rsidP="00C63B2D">
            <w:pPr>
              <w:cnfStyle w:val="000000000000" w:firstRow="0" w:lastRow="0" w:firstColumn="0" w:lastColumn="0" w:oddVBand="0" w:evenVBand="0" w:oddHBand="0" w:evenHBand="0" w:firstRowFirstColumn="0" w:firstRowLastColumn="0" w:lastRowFirstColumn="0" w:lastRowLastColumn="0"/>
              <w:rPr>
                <w:rFonts w:cs="Arial"/>
                <w:b/>
                <w:color w:val="000000"/>
                <w:szCs w:val="20"/>
              </w:rPr>
            </w:pPr>
            <w:r w:rsidRPr="00C63B2D">
              <w:rPr>
                <w:rFonts w:cs="Arial"/>
                <w:b/>
                <w:color w:val="000000"/>
                <w:szCs w:val="20"/>
              </w:rPr>
              <w:t>100.0%</w:t>
            </w:r>
          </w:p>
        </w:tc>
      </w:tr>
    </w:tbl>
    <w:p w:rsidR="0075723F" w:rsidRDefault="00C234F2" w:rsidP="0075723F">
      <w:pPr>
        <w:pStyle w:val="Footnote"/>
      </w:pPr>
      <w:r w:rsidRPr="00C234F2">
        <w:t>The sum of percentages may not equal 100% due to rounding.</w:t>
      </w:r>
      <w:r>
        <w:br/>
      </w:r>
      <w:r w:rsidR="0075723F" w:rsidRPr="008016F8">
        <w:t>Source: National Data Set for Compensation-Based Statistics.</w:t>
      </w:r>
      <w:bookmarkStart w:id="62" w:name="_Toc453938289"/>
      <w:bookmarkEnd w:id="52"/>
    </w:p>
    <w:p w:rsidR="0075723F" w:rsidRDefault="0075723F" w:rsidP="0075723F">
      <w:pPr>
        <w:pStyle w:val="Caption"/>
        <w:rPr>
          <w:b w:val="0"/>
          <w:sz w:val="40"/>
          <w:szCs w:val="40"/>
        </w:rPr>
      </w:pPr>
      <w:r>
        <w:br w:type="page"/>
      </w:r>
    </w:p>
    <w:p w:rsidR="0075723F" w:rsidRDefault="0075723F" w:rsidP="0075723F">
      <w:pPr>
        <w:pStyle w:val="Heading1"/>
      </w:pPr>
      <w:bookmarkStart w:id="63" w:name="_Toc459720382"/>
      <w:r>
        <w:lastRenderedPageBreak/>
        <w:t>Further information</w:t>
      </w:r>
      <w:bookmarkEnd w:id="62"/>
      <w:bookmarkEnd w:id="63"/>
    </w:p>
    <w:p w:rsidR="0075723F" w:rsidRPr="00A118F6" w:rsidRDefault="0075723F" w:rsidP="0075723F">
      <w:pPr>
        <w:pStyle w:val="Heading2"/>
      </w:pPr>
      <w:bookmarkStart w:id="64" w:name="_Toc453938290"/>
      <w:bookmarkStart w:id="65" w:name="_Toc459720383"/>
      <w:r w:rsidRPr="00A118F6">
        <w:t>Explanatory notes</w:t>
      </w:r>
      <w:bookmarkEnd w:id="64"/>
      <w:bookmarkEnd w:id="65"/>
    </w:p>
    <w:p w:rsidR="0075723F" w:rsidRPr="00E00277" w:rsidRDefault="0075723F" w:rsidP="0075723F">
      <w:r>
        <w:t xml:space="preserve">Explanatory notes for the TIF and the NDS are available on the following website: </w:t>
      </w:r>
      <w:hyperlink r:id="rId18" w:history="1">
        <w:r w:rsidRPr="009E4D38">
          <w:rPr>
            <w:rStyle w:val="Hyperlink"/>
          </w:rPr>
          <w:t>http://www.safeworkaustralia.gov.au/sites/swa/about/publications/pages/explanatory-notes-datasets</w:t>
        </w:r>
      </w:hyperlink>
    </w:p>
    <w:p w:rsidR="0075723F" w:rsidRPr="00A118F6" w:rsidRDefault="0075723F" w:rsidP="0075723F">
      <w:pPr>
        <w:pStyle w:val="Heading2"/>
      </w:pPr>
      <w:bookmarkStart w:id="66" w:name="_Toc453938291"/>
      <w:bookmarkStart w:id="67" w:name="_Toc459720384"/>
      <w:r w:rsidRPr="00A118F6">
        <w:t>References</w:t>
      </w:r>
      <w:bookmarkEnd w:id="31"/>
      <w:bookmarkEnd w:id="66"/>
      <w:bookmarkEnd w:id="67"/>
    </w:p>
    <w:p w:rsidR="0075723F" w:rsidRPr="005E6422" w:rsidRDefault="0075723F" w:rsidP="0075723F">
      <w:proofErr w:type="gramStart"/>
      <w:r w:rsidRPr="005E6422">
        <w:t>Australian Bureau of Statistics (ABS) 2014.</w:t>
      </w:r>
      <w:proofErr w:type="gramEnd"/>
      <w:r w:rsidRPr="005E6422">
        <w:t xml:space="preserve"> Labour Force, Australia. </w:t>
      </w:r>
      <w:proofErr w:type="gramStart"/>
      <w:r w:rsidRPr="005E6422">
        <w:t>ABS catalogue number 6291.0.55.003.</w:t>
      </w:r>
      <w:proofErr w:type="gramEnd"/>
      <w:r w:rsidRPr="005E6422">
        <w:t xml:space="preserve"> Accessed on 13 April 2015: </w:t>
      </w:r>
      <w:hyperlink r:id="rId19" w:history="1">
        <w:r w:rsidRPr="005E6422">
          <w:rPr>
            <w:rStyle w:val="Hyperlink"/>
          </w:rPr>
          <w:t>http://www.abs.gov.au/ausstats/abs@.nsf/mf/6291.0.55.003</w:t>
        </w:r>
      </w:hyperlink>
    </w:p>
    <w:p w:rsidR="0075723F" w:rsidRPr="005E6422" w:rsidRDefault="0075723F" w:rsidP="0075723F">
      <w:proofErr w:type="gramStart"/>
      <w:r w:rsidRPr="005E6422">
        <w:t>Australian Bureau of Statistics (ABS) &amp; Statistics New Zealand 2006.</w:t>
      </w:r>
      <w:proofErr w:type="gramEnd"/>
      <w:r w:rsidRPr="005E6422">
        <w:t xml:space="preserve"> </w:t>
      </w:r>
      <w:proofErr w:type="gramStart"/>
      <w:r w:rsidRPr="005E6422">
        <w:t>Australian and New Zealand Standard Industrial Classification, 2006.</w:t>
      </w:r>
      <w:proofErr w:type="gramEnd"/>
      <w:r w:rsidRPr="005E6422">
        <w:t xml:space="preserve"> </w:t>
      </w:r>
      <w:proofErr w:type="gramStart"/>
      <w:r w:rsidRPr="005E6422">
        <w:t>ABS catalogue number 1292.0.</w:t>
      </w:r>
      <w:proofErr w:type="gramEnd"/>
      <w:r w:rsidRPr="005E6422">
        <w:t xml:space="preserve"> Canberra: ABS. Accessed on 13 April 2015: </w:t>
      </w:r>
      <w:hyperlink r:id="rId20" w:history="1">
        <w:r w:rsidRPr="005E6422">
          <w:rPr>
            <w:rStyle w:val="Hyperlink"/>
          </w:rPr>
          <w:t>http://www.abs.gov.au/ausstats/abs@.nsf/allprimarymainfeatures/a77d93484dc49d63ca25712300056842?opendocument</w:t>
        </w:r>
      </w:hyperlink>
    </w:p>
    <w:p w:rsidR="00196611" w:rsidRPr="00196611" w:rsidRDefault="0075723F" w:rsidP="00196611">
      <w:pPr>
        <w:rPr>
          <w:color w:val="0000FF" w:themeColor="hyperlink"/>
          <w:u w:val="single"/>
        </w:rPr>
      </w:pPr>
      <w:proofErr w:type="gramStart"/>
      <w:r w:rsidRPr="005E6422">
        <w:t>Safe Work Australia (SWA) 2012.</w:t>
      </w:r>
      <w:proofErr w:type="gramEnd"/>
      <w:r w:rsidRPr="005E6422">
        <w:t xml:space="preserve"> Australian Work Health and Safety Strategy 2012–2022. Canberra: SWA. Accessed on 21 September 2015: </w:t>
      </w:r>
      <w:hyperlink r:id="rId21" w:history="1">
        <w:r w:rsidRPr="005E6422">
          <w:rPr>
            <w:rStyle w:val="Hyperlink"/>
          </w:rPr>
          <w:t>http://www.safeworkaustralia.gov.au/sites/swa/about/publications/pages/australian-work-health-and-safety-strategy-2012-2022</w:t>
        </w:r>
      </w:hyperlink>
    </w:p>
    <w:sectPr w:rsidR="00196611" w:rsidRPr="00196611" w:rsidSect="004A37FF">
      <w:footerReference w:type="default" r:id="rId22"/>
      <w:pgSz w:w="11906" w:h="16838"/>
      <w:pgMar w:top="907" w:right="1077" w:bottom="1134" w:left="1077"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184" w:rsidRDefault="00B23184" w:rsidP="00BB4AFD">
      <w:pPr>
        <w:spacing w:after="0" w:line="240" w:lineRule="auto"/>
      </w:pPr>
      <w:r>
        <w:separator/>
      </w:r>
    </w:p>
  </w:endnote>
  <w:endnote w:type="continuationSeparator" w:id="0">
    <w:p w:rsidR="00B23184" w:rsidRDefault="00B23184" w:rsidP="00BB4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63656"/>
      <w:docPartObj>
        <w:docPartGallery w:val="Page Numbers (Bottom of Page)"/>
        <w:docPartUnique/>
      </w:docPartObj>
    </w:sdtPr>
    <w:sdtEndPr>
      <w:rPr>
        <w:noProof/>
      </w:rPr>
    </w:sdtEndPr>
    <w:sdtContent>
      <w:p w:rsidR="00B23184" w:rsidRDefault="00B23184">
        <w:pPr>
          <w:pStyle w:val="Footer"/>
          <w:jc w:val="right"/>
        </w:pPr>
        <w:r>
          <w:fldChar w:fldCharType="begin"/>
        </w:r>
        <w:r>
          <w:instrText xml:space="preserve"> PAGE   \* MERGEFORMAT </w:instrText>
        </w:r>
        <w:r>
          <w:fldChar w:fldCharType="separate"/>
        </w:r>
        <w:r w:rsidR="00FC6C95">
          <w:rPr>
            <w:noProof/>
          </w:rPr>
          <w:t>2</w:t>
        </w:r>
        <w:r>
          <w:rPr>
            <w:noProof/>
          </w:rPr>
          <w:fldChar w:fldCharType="end"/>
        </w:r>
      </w:p>
    </w:sdtContent>
  </w:sdt>
  <w:p w:rsidR="00B23184" w:rsidRDefault="00B231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184" w:rsidRDefault="00B23184" w:rsidP="00BB4AFD">
      <w:pPr>
        <w:spacing w:after="0" w:line="240" w:lineRule="auto"/>
      </w:pPr>
      <w:r>
        <w:separator/>
      </w:r>
    </w:p>
  </w:footnote>
  <w:footnote w:type="continuationSeparator" w:id="0">
    <w:p w:rsidR="00B23184" w:rsidRDefault="00B23184" w:rsidP="00BB4A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61773"/>
    <w:multiLevelType w:val="hybridMultilevel"/>
    <w:tmpl w:val="93548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8A71F7"/>
    <w:multiLevelType w:val="hybridMultilevel"/>
    <w:tmpl w:val="179C1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3E728D5"/>
    <w:multiLevelType w:val="hybridMultilevel"/>
    <w:tmpl w:val="24D2D5F2"/>
    <w:lvl w:ilvl="0" w:tplc="25FEFB4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14047E9B"/>
    <w:multiLevelType w:val="hybridMultilevel"/>
    <w:tmpl w:val="94A03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92821C5"/>
    <w:multiLevelType w:val="hybridMultilevel"/>
    <w:tmpl w:val="54384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B3428AF"/>
    <w:multiLevelType w:val="hybridMultilevel"/>
    <w:tmpl w:val="016A7FC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nsid w:val="2BA064E5"/>
    <w:multiLevelType w:val="hybridMultilevel"/>
    <w:tmpl w:val="062632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A190A59"/>
    <w:multiLevelType w:val="hybridMultilevel"/>
    <w:tmpl w:val="4290ED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F294BB7"/>
    <w:multiLevelType w:val="hybridMultilevel"/>
    <w:tmpl w:val="F60005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3924FE1"/>
    <w:multiLevelType w:val="hybridMultilevel"/>
    <w:tmpl w:val="B5389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FC97A79"/>
    <w:multiLevelType w:val="hybridMultilevel"/>
    <w:tmpl w:val="680CF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1C43C9C"/>
    <w:multiLevelType w:val="hybridMultilevel"/>
    <w:tmpl w:val="B7A6D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9877314"/>
    <w:multiLevelType w:val="hybridMultilevel"/>
    <w:tmpl w:val="A782B60A"/>
    <w:lvl w:ilvl="0" w:tplc="1850055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AC77F25"/>
    <w:multiLevelType w:val="hybridMultilevel"/>
    <w:tmpl w:val="45228754"/>
    <w:lvl w:ilvl="0" w:tplc="14B4C0D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FEF4FA0"/>
    <w:multiLevelType w:val="hybridMultilevel"/>
    <w:tmpl w:val="CA6C2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2"/>
  </w:num>
  <w:num w:numId="4">
    <w:abstractNumId w:val="12"/>
  </w:num>
  <w:num w:numId="5">
    <w:abstractNumId w:val="7"/>
  </w:num>
  <w:num w:numId="6">
    <w:abstractNumId w:val="9"/>
  </w:num>
  <w:num w:numId="7">
    <w:abstractNumId w:val="13"/>
  </w:num>
  <w:num w:numId="8">
    <w:abstractNumId w:val="0"/>
  </w:num>
  <w:num w:numId="9">
    <w:abstractNumId w:val="1"/>
  </w:num>
  <w:num w:numId="10">
    <w:abstractNumId w:val="3"/>
  </w:num>
  <w:num w:numId="11">
    <w:abstractNumId w:val="6"/>
  </w:num>
  <w:num w:numId="12">
    <w:abstractNumId w:val="5"/>
  </w:num>
  <w:num w:numId="13">
    <w:abstractNumId w:val="4"/>
  </w:num>
  <w:num w:numId="14">
    <w:abstractNumId w:val="14"/>
  </w:num>
  <w:num w:numId="15">
    <w:abstractNumId w:val="10"/>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7b3e1667-b0af-4718-8838-a74243839366"/>
  </w:docVars>
  <w:rsids>
    <w:rsidRoot w:val="00FC6CF8"/>
    <w:rsid w:val="0000203D"/>
    <w:rsid w:val="0000257F"/>
    <w:rsid w:val="00002BC1"/>
    <w:rsid w:val="00003F78"/>
    <w:rsid w:val="00007847"/>
    <w:rsid w:val="0000797D"/>
    <w:rsid w:val="0002669E"/>
    <w:rsid w:val="00032BA6"/>
    <w:rsid w:val="00034968"/>
    <w:rsid w:val="000368AC"/>
    <w:rsid w:val="00036A78"/>
    <w:rsid w:val="0003739C"/>
    <w:rsid w:val="00044643"/>
    <w:rsid w:val="00052DB7"/>
    <w:rsid w:val="000632AC"/>
    <w:rsid w:val="000636A1"/>
    <w:rsid w:val="00063FB1"/>
    <w:rsid w:val="00064CBF"/>
    <w:rsid w:val="00070B12"/>
    <w:rsid w:val="0007211F"/>
    <w:rsid w:val="000900B4"/>
    <w:rsid w:val="00090C72"/>
    <w:rsid w:val="00091C38"/>
    <w:rsid w:val="00092012"/>
    <w:rsid w:val="000939D5"/>
    <w:rsid w:val="00097F65"/>
    <w:rsid w:val="000A0556"/>
    <w:rsid w:val="000A1AB4"/>
    <w:rsid w:val="000A2D9A"/>
    <w:rsid w:val="000A2EC3"/>
    <w:rsid w:val="000A3EEA"/>
    <w:rsid w:val="000A5690"/>
    <w:rsid w:val="000A7E27"/>
    <w:rsid w:val="000B085D"/>
    <w:rsid w:val="000B10F7"/>
    <w:rsid w:val="000B56C8"/>
    <w:rsid w:val="000C4B0C"/>
    <w:rsid w:val="000C536E"/>
    <w:rsid w:val="000C6B84"/>
    <w:rsid w:val="000D7311"/>
    <w:rsid w:val="000E4013"/>
    <w:rsid w:val="000E5520"/>
    <w:rsid w:val="000F617A"/>
    <w:rsid w:val="000F6A1E"/>
    <w:rsid w:val="000F7E93"/>
    <w:rsid w:val="00100DCE"/>
    <w:rsid w:val="00111E9B"/>
    <w:rsid w:val="001147C3"/>
    <w:rsid w:val="001158C7"/>
    <w:rsid w:val="0012030D"/>
    <w:rsid w:val="00125AD9"/>
    <w:rsid w:val="001274DD"/>
    <w:rsid w:val="0013315C"/>
    <w:rsid w:val="00136FD6"/>
    <w:rsid w:val="00137A28"/>
    <w:rsid w:val="00144851"/>
    <w:rsid w:val="00145506"/>
    <w:rsid w:val="00146308"/>
    <w:rsid w:val="00150872"/>
    <w:rsid w:val="00152690"/>
    <w:rsid w:val="00156608"/>
    <w:rsid w:val="001621FC"/>
    <w:rsid w:val="00163883"/>
    <w:rsid w:val="00173A15"/>
    <w:rsid w:val="00176BAE"/>
    <w:rsid w:val="00177B77"/>
    <w:rsid w:val="00180E23"/>
    <w:rsid w:val="001902B4"/>
    <w:rsid w:val="0019309A"/>
    <w:rsid w:val="00196611"/>
    <w:rsid w:val="001A24FE"/>
    <w:rsid w:val="001A3F01"/>
    <w:rsid w:val="001A6811"/>
    <w:rsid w:val="001A7C10"/>
    <w:rsid w:val="001B697E"/>
    <w:rsid w:val="001B7E16"/>
    <w:rsid w:val="001C07D5"/>
    <w:rsid w:val="001C0B60"/>
    <w:rsid w:val="001C0EFB"/>
    <w:rsid w:val="001C17E7"/>
    <w:rsid w:val="001C331F"/>
    <w:rsid w:val="001C39D8"/>
    <w:rsid w:val="001C6BBB"/>
    <w:rsid w:val="001C7688"/>
    <w:rsid w:val="001D267A"/>
    <w:rsid w:val="001D6913"/>
    <w:rsid w:val="001E6AE3"/>
    <w:rsid w:val="001F0544"/>
    <w:rsid w:val="001F0AF2"/>
    <w:rsid w:val="001F0E02"/>
    <w:rsid w:val="001F3643"/>
    <w:rsid w:val="001F75F8"/>
    <w:rsid w:val="001F7936"/>
    <w:rsid w:val="002034B8"/>
    <w:rsid w:val="00204381"/>
    <w:rsid w:val="00207853"/>
    <w:rsid w:val="002114B4"/>
    <w:rsid w:val="00211F73"/>
    <w:rsid w:val="00212383"/>
    <w:rsid w:val="00214154"/>
    <w:rsid w:val="00217402"/>
    <w:rsid w:val="002207FD"/>
    <w:rsid w:val="00225ECA"/>
    <w:rsid w:val="00225F22"/>
    <w:rsid w:val="00230CC4"/>
    <w:rsid w:val="0023409D"/>
    <w:rsid w:val="0023580F"/>
    <w:rsid w:val="00241278"/>
    <w:rsid w:val="002414FD"/>
    <w:rsid w:val="00241C3A"/>
    <w:rsid w:val="00243799"/>
    <w:rsid w:val="002518CA"/>
    <w:rsid w:val="002617E0"/>
    <w:rsid w:val="002618DE"/>
    <w:rsid w:val="00261B64"/>
    <w:rsid w:val="00267BE3"/>
    <w:rsid w:val="00272C0B"/>
    <w:rsid w:val="0027465F"/>
    <w:rsid w:val="002834CD"/>
    <w:rsid w:val="002845D9"/>
    <w:rsid w:val="002864B3"/>
    <w:rsid w:val="00296F2D"/>
    <w:rsid w:val="002A0357"/>
    <w:rsid w:val="002A4E27"/>
    <w:rsid w:val="002B0274"/>
    <w:rsid w:val="002C2E42"/>
    <w:rsid w:val="002D155D"/>
    <w:rsid w:val="002D1E03"/>
    <w:rsid w:val="002D3DCD"/>
    <w:rsid w:val="002D3E71"/>
    <w:rsid w:val="002D4D5C"/>
    <w:rsid w:val="002E1049"/>
    <w:rsid w:val="002E1162"/>
    <w:rsid w:val="002E33FF"/>
    <w:rsid w:val="002E3A46"/>
    <w:rsid w:val="002F2E1B"/>
    <w:rsid w:val="002F518E"/>
    <w:rsid w:val="00303FCE"/>
    <w:rsid w:val="003044FE"/>
    <w:rsid w:val="003046CE"/>
    <w:rsid w:val="003059DC"/>
    <w:rsid w:val="00305CC7"/>
    <w:rsid w:val="00305DFD"/>
    <w:rsid w:val="00306AC5"/>
    <w:rsid w:val="00306E41"/>
    <w:rsid w:val="00312329"/>
    <w:rsid w:val="0031256C"/>
    <w:rsid w:val="00314707"/>
    <w:rsid w:val="0031632C"/>
    <w:rsid w:val="00317CCE"/>
    <w:rsid w:val="00320726"/>
    <w:rsid w:val="0033031B"/>
    <w:rsid w:val="003319CF"/>
    <w:rsid w:val="00331B64"/>
    <w:rsid w:val="00332A12"/>
    <w:rsid w:val="00333E1B"/>
    <w:rsid w:val="0033625E"/>
    <w:rsid w:val="00336437"/>
    <w:rsid w:val="003375FA"/>
    <w:rsid w:val="003425F6"/>
    <w:rsid w:val="00342BCD"/>
    <w:rsid w:val="00344D7F"/>
    <w:rsid w:val="00347F71"/>
    <w:rsid w:val="00353593"/>
    <w:rsid w:val="00354906"/>
    <w:rsid w:val="00357A34"/>
    <w:rsid w:val="00361B95"/>
    <w:rsid w:val="0036363A"/>
    <w:rsid w:val="00372ED2"/>
    <w:rsid w:val="00374C6C"/>
    <w:rsid w:val="00382325"/>
    <w:rsid w:val="00385444"/>
    <w:rsid w:val="00390DB4"/>
    <w:rsid w:val="003966E3"/>
    <w:rsid w:val="003A5C20"/>
    <w:rsid w:val="003A7C31"/>
    <w:rsid w:val="003B0F6E"/>
    <w:rsid w:val="003B330F"/>
    <w:rsid w:val="003B46EB"/>
    <w:rsid w:val="003C6B93"/>
    <w:rsid w:val="003D0155"/>
    <w:rsid w:val="003D0A9B"/>
    <w:rsid w:val="003D6DBD"/>
    <w:rsid w:val="003E6214"/>
    <w:rsid w:val="003F268F"/>
    <w:rsid w:val="003F313F"/>
    <w:rsid w:val="003F7E30"/>
    <w:rsid w:val="004018C2"/>
    <w:rsid w:val="00411B97"/>
    <w:rsid w:val="00411E98"/>
    <w:rsid w:val="00412BF7"/>
    <w:rsid w:val="004138C9"/>
    <w:rsid w:val="004166A0"/>
    <w:rsid w:val="004211FF"/>
    <w:rsid w:val="00421816"/>
    <w:rsid w:val="004235BC"/>
    <w:rsid w:val="00425381"/>
    <w:rsid w:val="00427356"/>
    <w:rsid w:val="00437405"/>
    <w:rsid w:val="0044611E"/>
    <w:rsid w:val="0045147C"/>
    <w:rsid w:val="00453A89"/>
    <w:rsid w:val="00453EF7"/>
    <w:rsid w:val="004540DE"/>
    <w:rsid w:val="00455E54"/>
    <w:rsid w:val="004569A9"/>
    <w:rsid w:val="00457842"/>
    <w:rsid w:val="00461F30"/>
    <w:rsid w:val="00474191"/>
    <w:rsid w:val="004744A8"/>
    <w:rsid w:val="0048182C"/>
    <w:rsid w:val="004862D8"/>
    <w:rsid w:val="00490616"/>
    <w:rsid w:val="00491AD0"/>
    <w:rsid w:val="00493829"/>
    <w:rsid w:val="00494200"/>
    <w:rsid w:val="00495B9D"/>
    <w:rsid w:val="00497A6F"/>
    <w:rsid w:val="00497DA8"/>
    <w:rsid w:val="004A193C"/>
    <w:rsid w:val="004A37FF"/>
    <w:rsid w:val="004A39AC"/>
    <w:rsid w:val="004B277E"/>
    <w:rsid w:val="004B6E1C"/>
    <w:rsid w:val="004B7F27"/>
    <w:rsid w:val="004D1306"/>
    <w:rsid w:val="004D1F9A"/>
    <w:rsid w:val="004D7E42"/>
    <w:rsid w:val="004E0AA3"/>
    <w:rsid w:val="004E0E61"/>
    <w:rsid w:val="004E6345"/>
    <w:rsid w:val="004E6AD6"/>
    <w:rsid w:val="004E6B8C"/>
    <w:rsid w:val="004E763B"/>
    <w:rsid w:val="004F40D9"/>
    <w:rsid w:val="004F7496"/>
    <w:rsid w:val="00500A76"/>
    <w:rsid w:val="00502E08"/>
    <w:rsid w:val="0050313D"/>
    <w:rsid w:val="00505BB8"/>
    <w:rsid w:val="005119F9"/>
    <w:rsid w:val="00511C43"/>
    <w:rsid w:val="00512CF3"/>
    <w:rsid w:val="005138CF"/>
    <w:rsid w:val="00515A84"/>
    <w:rsid w:val="00516962"/>
    <w:rsid w:val="00523CD8"/>
    <w:rsid w:val="00531BE8"/>
    <w:rsid w:val="00531CEB"/>
    <w:rsid w:val="00532537"/>
    <w:rsid w:val="005357A9"/>
    <w:rsid w:val="00535C33"/>
    <w:rsid w:val="005373AE"/>
    <w:rsid w:val="00541142"/>
    <w:rsid w:val="005419FB"/>
    <w:rsid w:val="00542507"/>
    <w:rsid w:val="005463E7"/>
    <w:rsid w:val="00546B4F"/>
    <w:rsid w:val="00555FEE"/>
    <w:rsid w:val="0056526D"/>
    <w:rsid w:val="00571218"/>
    <w:rsid w:val="00572792"/>
    <w:rsid w:val="00572EC9"/>
    <w:rsid w:val="005732DC"/>
    <w:rsid w:val="005755D3"/>
    <w:rsid w:val="00592AC9"/>
    <w:rsid w:val="00593BBA"/>
    <w:rsid w:val="0059615F"/>
    <w:rsid w:val="005971AC"/>
    <w:rsid w:val="005A0A68"/>
    <w:rsid w:val="005A1972"/>
    <w:rsid w:val="005A33A9"/>
    <w:rsid w:val="005A62AC"/>
    <w:rsid w:val="005A62E7"/>
    <w:rsid w:val="005A682F"/>
    <w:rsid w:val="005A7FC4"/>
    <w:rsid w:val="005B1049"/>
    <w:rsid w:val="005B4160"/>
    <w:rsid w:val="005B5DB0"/>
    <w:rsid w:val="005C4203"/>
    <w:rsid w:val="005C7657"/>
    <w:rsid w:val="005D0466"/>
    <w:rsid w:val="005D2469"/>
    <w:rsid w:val="005D4635"/>
    <w:rsid w:val="005D5FA3"/>
    <w:rsid w:val="005E6422"/>
    <w:rsid w:val="005F38D5"/>
    <w:rsid w:val="005F7F1C"/>
    <w:rsid w:val="00602297"/>
    <w:rsid w:val="00602512"/>
    <w:rsid w:val="00604490"/>
    <w:rsid w:val="00604787"/>
    <w:rsid w:val="006160E5"/>
    <w:rsid w:val="00616982"/>
    <w:rsid w:val="00634382"/>
    <w:rsid w:val="0063569C"/>
    <w:rsid w:val="00640B2A"/>
    <w:rsid w:val="00641691"/>
    <w:rsid w:val="00645297"/>
    <w:rsid w:val="00647516"/>
    <w:rsid w:val="0064785F"/>
    <w:rsid w:val="0065443B"/>
    <w:rsid w:val="0066277C"/>
    <w:rsid w:val="0066482F"/>
    <w:rsid w:val="00665193"/>
    <w:rsid w:val="0066603A"/>
    <w:rsid w:val="00676C51"/>
    <w:rsid w:val="00677DA8"/>
    <w:rsid w:val="00677FF4"/>
    <w:rsid w:val="0068391A"/>
    <w:rsid w:val="0068666E"/>
    <w:rsid w:val="00686C3F"/>
    <w:rsid w:val="006871C3"/>
    <w:rsid w:val="006879FC"/>
    <w:rsid w:val="006904EF"/>
    <w:rsid w:val="006914E4"/>
    <w:rsid w:val="00694911"/>
    <w:rsid w:val="00695879"/>
    <w:rsid w:val="006973EF"/>
    <w:rsid w:val="006A03C4"/>
    <w:rsid w:val="006A5FAA"/>
    <w:rsid w:val="006B0E8C"/>
    <w:rsid w:val="006B16E6"/>
    <w:rsid w:val="006B298D"/>
    <w:rsid w:val="006B2B5F"/>
    <w:rsid w:val="006B6946"/>
    <w:rsid w:val="006C1F36"/>
    <w:rsid w:val="006D0B78"/>
    <w:rsid w:val="006D5215"/>
    <w:rsid w:val="006D6F33"/>
    <w:rsid w:val="006E4E64"/>
    <w:rsid w:val="006F07DE"/>
    <w:rsid w:val="006F2370"/>
    <w:rsid w:val="006F2463"/>
    <w:rsid w:val="006F341D"/>
    <w:rsid w:val="006F4018"/>
    <w:rsid w:val="006F68BC"/>
    <w:rsid w:val="006F6DBD"/>
    <w:rsid w:val="00701771"/>
    <w:rsid w:val="00703538"/>
    <w:rsid w:val="007049E9"/>
    <w:rsid w:val="00711D2C"/>
    <w:rsid w:val="00713A15"/>
    <w:rsid w:val="007141B7"/>
    <w:rsid w:val="00722658"/>
    <w:rsid w:val="00725A80"/>
    <w:rsid w:val="00730EBE"/>
    <w:rsid w:val="00735181"/>
    <w:rsid w:val="00740E05"/>
    <w:rsid w:val="0074637F"/>
    <w:rsid w:val="007515D7"/>
    <w:rsid w:val="00751B0A"/>
    <w:rsid w:val="0075723F"/>
    <w:rsid w:val="00762097"/>
    <w:rsid w:val="00763239"/>
    <w:rsid w:val="007640D5"/>
    <w:rsid w:val="00766717"/>
    <w:rsid w:val="007811F9"/>
    <w:rsid w:val="00785767"/>
    <w:rsid w:val="00790001"/>
    <w:rsid w:val="00790BB8"/>
    <w:rsid w:val="007A03E6"/>
    <w:rsid w:val="007A0CCE"/>
    <w:rsid w:val="007A2F4F"/>
    <w:rsid w:val="007A3514"/>
    <w:rsid w:val="007A7F7B"/>
    <w:rsid w:val="007B09B7"/>
    <w:rsid w:val="007B193B"/>
    <w:rsid w:val="007C1397"/>
    <w:rsid w:val="007C2530"/>
    <w:rsid w:val="007C30EA"/>
    <w:rsid w:val="007D52B9"/>
    <w:rsid w:val="007E0E08"/>
    <w:rsid w:val="007E19AF"/>
    <w:rsid w:val="007E20FB"/>
    <w:rsid w:val="007E4DE2"/>
    <w:rsid w:val="007F0935"/>
    <w:rsid w:val="007F1CE3"/>
    <w:rsid w:val="007F2E36"/>
    <w:rsid w:val="007F3E88"/>
    <w:rsid w:val="008002AA"/>
    <w:rsid w:val="008016F8"/>
    <w:rsid w:val="00802660"/>
    <w:rsid w:val="00802DE6"/>
    <w:rsid w:val="00805C23"/>
    <w:rsid w:val="008060D3"/>
    <w:rsid w:val="00806307"/>
    <w:rsid w:val="00807FB6"/>
    <w:rsid w:val="008100D2"/>
    <w:rsid w:val="00810396"/>
    <w:rsid w:val="00810397"/>
    <w:rsid w:val="00814A56"/>
    <w:rsid w:val="00815CAB"/>
    <w:rsid w:val="00816CC8"/>
    <w:rsid w:val="00817DF7"/>
    <w:rsid w:val="008274F0"/>
    <w:rsid w:val="0083123A"/>
    <w:rsid w:val="00835E68"/>
    <w:rsid w:val="00846606"/>
    <w:rsid w:val="0084714C"/>
    <w:rsid w:val="00850DA0"/>
    <w:rsid w:val="00852D70"/>
    <w:rsid w:val="008570FA"/>
    <w:rsid w:val="0086033C"/>
    <w:rsid w:val="00862A86"/>
    <w:rsid w:val="00864B78"/>
    <w:rsid w:val="00864BCB"/>
    <w:rsid w:val="00866DAB"/>
    <w:rsid w:val="00870534"/>
    <w:rsid w:val="008729E0"/>
    <w:rsid w:val="00876656"/>
    <w:rsid w:val="00880DAE"/>
    <w:rsid w:val="0088372B"/>
    <w:rsid w:val="00886EEA"/>
    <w:rsid w:val="00890C13"/>
    <w:rsid w:val="00895685"/>
    <w:rsid w:val="00896F39"/>
    <w:rsid w:val="008A12AE"/>
    <w:rsid w:val="008A527C"/>
    <w:rsid w:val="008B5145"/>
    <w:rsid w:val="008B7526"/>
    <w:rsid w:val="008C4A45"/>
    <w:rsid w:val="008C6A3F"/>
    <w:rsid w:val="008C7103"/>
    <w:rsid w:val="008C7949"/>
    <w:rsid w:val="008D18F3"/>
    <w:rsid w:val="008D1EEA"/>
    <w:rsid w:val="008D4160"/>
    <w:rsid w:val="008D7115"/>
    <w:rsid w:val="008E0826"/>
    <w:rsid w:val="008E17DB"/>
    <w:rsid w:val="008E53E5"/>
    <w:rsid w:val="008F0EC5"/>
    <w:rsid w:val="008F2905"/>
    <w:rsid w:val="008F2F39"/>
    <w:rsid w:val="009016DE"/>
    <w:rsid w:val="009054BA"/>
    <w:rsid w:val="009063A5"/>
    <w:rsid w:val="00914894"/>
    <w:rsid w:val="00916916"/>
    <w:rsid w:val="00923219"/>
    <w:rsid w:val="00923C96"/>
    <w:rsid w:val="0094112C"/>
    <w:rsid w:val="009423BF"/>
    <w:rsid w:val="00943370"/>
    <w:rsid w:val="00946C65"/>
    <w:rsid w:val="00952E66"/>
    <w:rsid w:val="00953440"/>
    <w:rsid w:val="00953E7A"/>
    <w:rsid w:val="00956E1A"/>
    <w:rsid w:val="00962FE4"/>
    <w:rsid w:val="00963E92"/>
    <w:rsid w:val="00966843"/>
    <w:rsid w:val="00966CE8"/>
    <w:rsid w:val="00967008"/>
    <w:rsid w:val="00973F61"/>
    <w:rsid w:val="00974972"/>
    <w:rsid w:val="00984880"/>
    <w:rsid w:val="00993A94"/>
    <w:rsid w:val="009B5760"/>
    <w:rsid w:val="009B6951"/>
    <w:rsid w:val="009C02F5"/>
    <w:rsid w:val="009C1A0B"/>
    <w:rsid w:val="009D0573"/>
    <w:rsid w:val="009D62EC"/>
    <w:rsid w:val="009E3518"/>
    <w:rsid w:val="009E36F0"/>
    <w:rsid w:val="009E68F1"/>
    <w:rsid w:val="009F2F7A"/>
    <w:rsid w:val="009F3C38"/>
    <w:rsid w:val="009F6879"/>
    <w:rsid w:val="009F6AFC"/>
    <w:rsid w:val="00A01384"/>
    <w:rsid w:val="00A01F5E"/>
    <w:rsid w:val="00A05003"/>
    <w:rsid w:val="00A07E79"/>
    <w:rsid w:val="00A11453"/>
    <w:rsid w:val="00A12608"/>
    <w:rsid w:val="00A12EAF"/>
    <w:rsid w:val="00A1455A"/>
    <w:rsid w:val="00A17BAC"/>
    <w:rsid w:val="00A312C4"/>
    <w:rsid w:val="00A31C20"/>
    <w:rsid w:val="00A35CD1"/>
    <w:rsid w:val="00A45A9A"/>
    <w:rsid w:val="00A5602E"/>
    <w:rsid w:val="00A62F0C"/>
    <w:rsid w:val="00A638F6"/>
    <w:rsid w:val="00A65C4B"/>
    <w:rsid w:val="00A6693B"/>
    <w:rsid w:val="00A726A3"/>
    <w:rsid w:val="00A86180"/>
    <w:rsid w:val="00A929A7"/>
    <w:rsid w:val="00A92FA7"/>
    <w:rsid w:val="00A94139"/>
    <w:rsid w:val="00A946A8"/>
    <w:rsid w:val="00AA00FA"/>
    <w:rsid w:val="00AA238D"/>
    <w:rsid w:val="00AA2D30"/>
    <w:rsid w:val="00AA5BB3"/>
    <w:rsid w:val="00AA6393"/>
    <w:rsid w:val="00AB21FD"/>
    <w:rsid w:val="00AB2E11"/>
    <w:rsid w:val="00AB3DFE"/>
    <w:rsid w:val="00AC05C3"/>
    <w:rsid w:val="00AC10BD"/>
    <w:rsid w:val="00AC50CA"/>
    <w:rsid w:val="00AC7AAD"/>
    <w:rsid w:val="00AD0B3F"/>
    <w:rsid w:val="00AD1D9C"/>
    <w:rsid w:val="00AD5027"/>
    <w:rsid w:val="00AD5911"/>
    <w:rsid w:val="00AD7E42"/>
    <w:rsid w:val="00AE5EA1"/>
    <w:rsid w:val="00AE6963"/>
    <w:rsid w:val="00AE6B8B"/>
    <w:rsid w:val="00AF653B"/>
    <w:rsid w:val="00AF6CC4"/>
    <w:rsid w:val="00AF6EBC"/>
    <w:rsid w:val="00B010B5"/>
    <w:rsid w:val="00B023AF"/>
    <w:rsid w:val="00B031F9"/>
    <w:rsid w:val="00B1165B"/>
    <w:rsid w:val="00B129E0"/>
    <w:rsid w:val="00B15D04"/>
    <w:rsid w:val="00B16A2A"/>
    <w:rsid w:val="00B16E03"/>
    <w:rsid w:val="00B17E9C"/>
    <w:rsid w:val="00B23184"/>
    <w:rsid w:val="00B249DC"/>
    <w:rsid w:val="00B24FD5"/>
    <w:rsid w:val="00B26B04"/>
    <w:rsid w:val="00B326DF"/>
    <w:rsid w:val="00B37CC8"/>
    <w:rsid w:val="00B407C0"/>
    <w:rsid w:val="00B40D42"/>
    <w:rsid w:val="00B41E38"/>
    <w:rsid w:val="00B42E72"/>
    <w:rsid w:val="00B4392C"/>
    <w:rsid w:val="00B43A8A"/>
    <w:rsid w:val="00B50F68"/>
    <w:rsid w:val="00B53CB0"/>
    <w:rsid w:val="00B54DB9"/>
    <w:rsid w:val="00B57478"/>
    <w:rsid w:val="00B57B8F"/>
    <w:rsid w:val="00B64171"/>
    <w:rsid w:val="00B64376"/>
    <w:rsid w:val="00B66A36"/>
    <w:rsid w:val="00B67CCA"/>
    <w:rsid w:val="00B70D48"/>
    <w:rsid w:val="00B7523B"/>
    <w:rsid w:val="00B761A0"/>
    <w:rsid w:val="00B77AEB"/>
    <w:rsid w:val="00B77E52"/>
    <w:rsid w:val="00B81F27"/>
    <w:rsid w:val="00B867D9"/>
    <w:rsid w:val="00B934BB"/>
    <w:rsid w:val="00B944FB"/>
    <w:rsid w:val="00B9617C"/>
    <w:rsid w:val="00B96CB0"/>
    <w:rsid w:val="00BA24C2"/>
    <w:rsid w:val="00BA70A8"/>
    <w:rsid w:val="00BB07D1"/>
    <w:rsid w:val="00BB109A"/>
    <w:rsid w:val="00BB1676"/>
    <w:rsid w:val="00BB19E6"/>
    <w:rsid w:val="00BB30F0"/>
    <w:rsid w:val="00BB40F3"/>
    <w:rsid w:val="00BB4AFD"/>
    <w:rsid w:val="00BB7B97"/>
    <w:rsid w:val="00BC16B2"/>
    <w:rsid w:val="00BC19E1"/>
    <w:rsid w:val="00BC3362"/>
    <w:rsid w:val="00BC6529"/>
    <w:rsid w:val="00BD448B"/>
    <w:rsid w:val="00BD4715"/>
    <w:rsid w:val="00BE12D0"/>
    <w:rsid w:val="00BE15D2"/>
    <w:rsid w:val="00BE6AD6"/>
    <w:rsid w:val="00BE7385"/>
    <w:rsid w:val="00BF00D9"/>
    <w:rsid w:val="00BF0364"/>
    <w:rsid w:val="00BF614F"/>
    <w:rsid w:val="00C00CE5"/>
    <w:rsid w:val="00C01A85"/>
    <w:rsid w:val="00C04CEC"/>
    <w:rsid w:val="00C0578E"/>
    <w:rsid w:val="00C11A12"/>
    <w:rsid w:val="00C204BD"/>
    <w:rsid w:val="00C21E05"/>
    <w:rsid w:val="00C23011"/>
    <w:rsid w:val="00C234F2"/>
    <w:rsid w:val="00C23886"/>
    <w:rsid w:val="00C23D2A"/>
    <w:rsid w:val="00C24389"/>
    <w:rsid w:val="00C24D19"/>
    <w:rsid w:val="00C26B2B"/>
    <w:rsid w:val="00C31326"/>
    <w:rsid w:val="00C3437F"/>
    <w:rsid w:val="00C3583F"/>
    <w:rsid w:val="00C35A75"/>
    <w:rsid w:val="00C369C2"/>
    <w:rsid w:val="00C36E52"/>
    <w:rsid w:val="00C4610A"/>
    <w:rsid w:val="00C46225"/>
    <w:rsid w:val="00C47B31"/>
    <w:rsid w:val="00C52748"/>
    <w:rsid w:val="00C628DB"/>
    <w:rsid w:val="00C62C58"/>
    <w:rsid w:val="00C63B2D"/>
    <w:rsid w:val="00C6428E"/>
    <w:rsid w:val="00C66810"/>
    <w:rsid w:val="00C759B8"/>
    <w:rsid w:val="00C75F4B"/>
    <w:rsid w:val="00C76822"/>
    <w:rsid w:val="00C84364"/>
    <w:rsid w:val="00C86E4E"/>
    <w:rsid w:val="00C90CBC"/>
    <w:rsid w:val="00C95E1D"/>
    <w:rsid w:val="00CA4C8B"/>
    <w:rsid w:val="00CA59F3"/>
    <w:rsid w:val="00CA6190"/>
    <w:rsid w:val="00CA6FC1"/>
    <w:rsid w:val="00CB08AE"/>
    <w:rsid w:val="00CB2832"/>
    <w:rsid w:val="00CB33C2"/>
    <w:rsid w:val="00CC3052"/>
    <w:rsid w:val="00CC3706"/>
    <w:rsid w:val="00CC6FA6"/>
    <w:rsid w:val="00CC7020"/>
    <w:rsid w:val="00CD5695"/>
    <w:rsid w:val="00CF0DC7"/>
    <w:rsid w:val="00CF49F6"/>
    <w:rsid w:val="00CF5B19"/>
    <w:rsid w:val="00D03B61"/>
    <w:rsid w:val="00D10766"/>
    <w:rsid w:val="00D16B26"/>
    <w:rsid w:val="00D21843"/>
    <w:rsid w:val="00D252EE"/>
    <w:rsid w:val="00D2630A"/>
    <w:rsid w:val="00D27830"/>
    <w:rsid w:val="00D32E82"/>
    <w:rsid w:val="00D3418C"/>
    <w:rsid w:val="00D427A2"/>
    <w:rsid w:val="00D44A11"/>
    <w:rsid w:val="00D44CFC"/>
    <w:rsid w:val="00D45D96"/>
    <w:rsid w:val="00D62CEB"/>
    <w:rsid w:val="00D636FB"/>
    <w:rsid w:val="00D65A11"/>
    <w:rsid w:val="00D674C3"/>
    <w:rsid w:val="00D67D30"/>
    <w:rsid w:val="00D74BB0"/>
    <w:rsid w:val="00D761F9"/>
    <w:rsid w:val="00D76DDF"/>
    <w:rsid w:val="00D77182"/>
    <w:rsid w:val="00D864EE"/>
    <w:rsid w:val="00D91167"/>
    <w:rsid w:val="00D92B4A"/>
    <w:rsid w:val="00D92D6C"/>
    <w:rsid w:val="00D93B5E"/>
    <w:rsid w:val="00D95A2B"/>
    <w:rsid w:val="00DA0E2F"/>
    <w:rsid w:val="00DA2656"/>
    <w:rsid w:val="00DA4052"/>
    <w:rsid w:val="00DA4D7F"/>
    <w:rsid w:val="00DA6319"/>
    <w:rsid w:val="00DA6331"/>
    <w:rsid w:val="00DB522D"/>
    <w:rsid w:val="00DB7BDD"/>
    <w:rsid w:val="00DC602F"/>
    <w:rsid w:val="00DC7D02"/>
    <w:rsid w:val="00DD1044"/>
    <w:rsid w:val="00DD1C0F"/>
    <w:rsid w:val="00DD1FE0"/>
    <w:rsid w:val="00DD3116"/>
    <w:rsid w:val="00DD4421"/>
    <w:rsid w:val="00DD66B7"/>
    <w:rsid w:val="00DE2349"/>
    <w:rsid w:val="00DE25FC"/>
    <w:rsid w:val="00DE6197"/>
    <w:rsid w:val="00DF1E90"/>
    <w:rsid w:val="00DF1F3B"/>
    <w:rsid w:val="00DF24D2"/>
    <w:rsid w:val="00DF269A"/>
    <w:rsid w:val="00DF2C65"/>
    <w:rsid w:val="00DF3E61"/>
    <w:rsid w:val="00DF523D"/>
    <w:rsid w:val="00DF5C34"/>
    <w:rsid w:val="00DF731A"/>
    <w:rsid w:val="00E00277"/>
    <w:rsid w:val="00E0061F"/>
    <w:rsid w:val="00E00EE9"/>
    <w:rsid w:val="00E055C3"/>
    <w:rsid w:val="00E10869"/>
    <w:rsid w:val="00E1683C"/>
    <w:rsid w:val="00E171F5"/>
    <w:rsid w:val="00E21220"/>
    <w:rsid w:val="00E22A1A"/>
    <w:rsid w:val="00E25378"/>
    <w:rsid w:val="00E34175"/>
    <w:rsid w:val="00E508A8"/>
    <w:rsid w:val="00E5290F"/>
    <w:rsid w:val="00E534E4"/>
    <w:rsid w:val="00E56427"/>
    <w:rsid w:val="00E56C7C"/>
    <w:rsid w:val="00E63CA4"/>
    <w:rsid w:val="00E6608C"/>
    <w:rsid w:val="00E66B7D"/>
    <w:rsid w:val="00E7010F"/>
    <w:rsid w:val="00E74488"/>
    <w:rsid w:val="00E76FB2"/>
    <w:rsid w:val="00E858B0"/>
    <w:rsid w:val="00E91205"/>
    <w:rsid w:val="00E914AF"/>
    <w:rsid w:val="00E91F3D"/>
    <w:rsid w:val="00E9341D"/>
    <w:rsid w:val="00E94AE9"/>
    <w:rsid w:val="00E94FC0"/>
    <w:rsid w:val="00E95164"/>
    <w:rsid w:val="00E956D9"/>
    <w:rsid w:val="00E967F3"/>
    <w:rsid w:val="00E97273"/>
    <w:rsid w:val="00EA0614"/>
    <w:rsid w:val="00EA1A8A"/>
    <w:rsid w:val="00EA3519"/>
    <w:rsid w:val="00EB1142"/>
    <w:rsid w:val="00EB53CB"/>
    <w:rsid w:val="00EB6DDE"/>
    <w:rsid w:val="00EC4EAC"/>
    <w:rsid w:val="00EC6718"/>
    <w:rsid w:val="00ED0BB0"/>
    <w:rsid w:val="00ED2624"/>
    <w:rsid w:val="00ED3C5F"/>
    <w:rsid w:val="00ED4964"/>
    <w:rsid w:val="00EE1C53"/>
    <w:rsid w:val="00EE3F0F"/>
    <w:rsid w:val="00EE464F"/>
    <w:rsid w:val="00EE639C"/>
    <w:rsid w:val="00EE63F0"/>
    <w:rsid w:val="00EF0A74"/>
    <w:rsid w:val="00EF72F0"/>
    <w:rsid w:val="00F01C85"/>
    <w:rsid w:val="00F1077C"/>
    <w:rsid w:val="00F11730"/>
    <w:rsid w:val="00F13545"/>
    <w:rsid w:val="00F22127"/>
    <w:rsid w:val="00F23BD3"/>
    <w:rsid w:val="00F26BD5"/>
    <w:rsid w:val="00F307A9"/>
    <w:rsid w:val="00F3098C"/>
    <w:rsid w:val="00F47616"/>
    <w:rsid w:val="00F53CF2"/>
    <w:rsid w:val="00F618B0"/>
    <w:rsid w:val="00F67C22"/>
    <w:rsid w:val="00F73E33"/>
    <w:rsid w:val="00F86906"/>
    <w:rsid w:val="00F933DD"/>
    <w:rsid w:val="00F94244"/>
    <w:rsid w:val="00F94996"/>
    <w:rsid w:val="00FA1D73"/>
    <w:rsid w:val="00FA23B7"/>
    <w:rsid w:val="00FA3BC1"/>
    <w:rsid w:val="00FA543C"/>
    <w:rsid w:val="00FA672A"/>
    <w:rsid w:val="00FB1EE2"/>
    <w:rsid w:val="00FB204D"/>
    <w:rsid w:val="00FB3EE8"/>
    <w:rsid w:val="00FB488A"/>
    <w:rsid w:val="00FB48B1"/>
    <w:rsid w:val="00FB71D3"/>
    <w:rsid w:val="00FC0450"/>
    <w:rsid w:val="00FC33E3"/>
    <w:rsid w:val="00FC3D67"/>
    <w:rsid w:val="00FC5BFA"/>
    <w:rsid w:val="00FC6C95"/>
    <w:rsid w:val="00FC6CF8"/>
    <w:rsid w:val="00FC6EA7"/>
    <w:rsid w:val="00FD0911"/>
    <w:rsid w:val="00FD4821"/>
    <w:rsid w:val="00FE4929"/>
    <w:rsid w:val="00FF0418"/>
    <w:rsid w:val="00FF627D"/>
    <w:rsid w:val="00FF78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kern w:val="22"/>
        <w:sz w:val="22"/>
        <w:szCs w:val="22"/>
        <w:lang w:val="en-AU" w:eastAsia="en-US" w:bidi="ar-SA"/>
      </w:rPr>
    </w:rPrDefault>
    <w:pPrDefault>
      <w:pPr>
        <w:spacing w:after="12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1" w:unhideWhenUsed="0" w:qFormat="1"/>
    <w:lsdException w:name="heading 2" w:locked="0" w:uiPriority="9" w:qFormat="1"/>
    <w:lsdException w:name="heading 3" w:locked="0"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locked="0" w:uiPriority="1"/>
    <w:lsdException w:name="Subtitle" w:uiPriority="11" w:qFormat="1"/>
    <w:lsdException w:name="Strong" w:uiPriority="22" w:qFormat="1"/>
    <w:lsdException w:name="Emphasis" w:uiPriority="20" w:qFormat="1"/>
    <w:lsdException w:name="HTML Top of Form" w:locked="0"/>
    <w:lsdException w:name="HTML Bottom of Form" w:locked="0"/>
    <w:lsdException w:name="Normal Table" w:locked="0"/>
    <w:lsdException w:name="No List" w:locked="0"/>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75723F"/>
    <w:rPr>
      <w:rFonts w:eastAsia="SimSun"/>
      <w:sz w:val="20"/>
      <w:lang w:eastAsia="en-AU"/>
    </w:rPr>
  </w:style>
  <w:style w:type="paragraph" w:styleId="Heading1">
    <w:name w:val="heading 1"/>
    <w:basedOn w:val="Normal"/>
    <w:next w:val="Normal"/>
    <w:link w:val="Heading1Char"/>
    <w:autoRedefine/>
    <w:uiPriority w:val="1"/>
    <w:unhideWhenUsed/>
    <w:qFormat/>
    <w:rsid w:val="00BB19E6"/>
    <w:pPr>
      <w:spacing w:before="120"/>
      <w:outlineLvl w:val="0"/>
    </w:pPr>
    <w:rPr>
      <w:b/>
      <w:sz w:val="40"/>
      <w:szCs w:val="40"/>
    </w:rPr>
  </w:style>
  <w:style w:type="paragraph" w:styleId="Heading2">
    <w:name w:val="heading 2"/>
    <w:basedOn w:val="Normal"/>
    <w:next w:val="Normal"/>
    <w:link w:val="Heading2Char"/>
    <w:autoRedefine/>
    <w:uiPriority w:val="9"/>
    <w:unhideWhenUsed/>
    <w:qFormat/>
    <w:rsid w:val="00542507"/>
    <w:pPr>
      <w:spacing w:before="60" w:after="60"/>
      <w:outlineLvl w:val="1"/>
    </w:pPr>
    <w:rPr>
      <w:b/>
      <w:sz w:val="28"/>
      <w:szCs w:val="28"/>
    </w:rPr>
  </w:style>
  <w:style w:type="paragraph" w:styleId="Heading3">
    <w:name w:val="heading 3"/>
    <w:basedOn w:val="Normal"/>
    <w:next w:val="Normal"/>
    <w:link w:val="Heading3Char"/>
    <w:autoRedefine/>
    <w:uiPriority w:val="9"/>
    <w:unhideWhenUsed/>
    <w:qFormat/>
    <w:rsid w:val="00BB19E6"/>
    <w:pPr>
      <w:spacing w:before="120" w:after="40"/>
      <w:outlineLvl w:val="2"/>
    </w:pPr>
    <w:rPr>
      <w:b/>
      <w:sz w:val="24"/>
    </w:rPr>
  </w:style>
  <w:style w:type="paragraph" w:styleId="Heading4">
    <w:name w:val="heading 4"/>
    <w:aliases w:val="Tables and figures"/>
    <w:basedOn w:val="Normal"/>
    <w:next w:val="Normal"/>
    <w:link w:val="Heading4Char"/>
    <w:autoRedefine/>
    <w:uiPriority w:val="9"/>
    <w:unhideWhenUsed/>
    <w:locked/>
    <w:rsid w:val="00AF6EBC"/>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B19E6"/>
    <w:rPr>
      <w:rFonts w:eastAsia="SimSun"/>
      <w:b/>
      <w:sz w:val="40"/>
      <w:szCs w:val="40"/>
      <w:lang w:eastAsia="en-AU"/>
    </w:rPr>
  </w:style>
  <w:style w:type="character" w:customStyle="1" w:styleId="Heading2Char">
    <w:name w:val="Heading 2 Char"/>
    <w:basedOn w:val="DefaultParagraphFont"/>
    <w:link w:val="Heading2"/>
    <w:uiPriority w:val="9"/>
    <w:rsid w:val="00542507"/>
    <w:rPr>
      <w:rFonts w:eastAsia="SimSun"/>
      <w:b/>
      <w:sz w:val="28"/>
      <w:szCs w:val="28"/>
      <w:lang w:eastAsia="en-AU"/>
    </w:rPr>
  </w:style>
  <w:style w:type="character" w:customStyle="1" w:styleId="Heading3Char">
    <w:name w:val="Heading 3 Char"/>
    <w:basedOn w:val="DefaultParagraphFont"/>
    <w:link w:val="Heading3"/>
    <w:uiPriority w:val="9"/>
    <w:rsid w:val="00BB19E6"/>
    <w:rPr>
      <w:rFonts w:eastAsia="SimSun"/>
      <w:b/>
      <w:sz w:val="24"/>
      <w:lang w:eastAsia="en-AU"/>
    </w:rPr>
  </w:style>
  <w:style w:type="character" w:customStyle="1" w:styleId="Heading4Char">
    <w:name w:val="Heading 4 Char"/>
    <w:aliases w:val="Tables and figures Char"/>
    <w:basedOn w:val="DefaultParagraphFont"/>
    <w:link w:val="Heading4"/>
    <w:uiPriority w:val="9"/>
    <w:rsid w:val="00AF6EBC"/>
    <w:rPr>
      <w:rFonts w:eastAsia="SimSun"/>
      <w:b/>
      <w:sz w:val="20"/>
      <w:lang w:eastAsia="en-AU"/>
    </w:rPr>
  </w:style>
  <w:style w:type="paragraph" w:styleId="ListParagraph">
    <w:name w:val="List Paragraph"/>
    <w:basedOn w:val="Normal"/>
    <w:uiPriority w:val="34"/>
    <w:unhideWhenUsed/>
    <w:qFormat/>
    <w:locked/>
    <w:rsid w:val="008C7103"/>
    <w:pPr>
      <w:ind w:left="720"/>
      <w:contextualSpacing/>
    </w:pPr>
  </w:style>
  <w:style w:type="paragraph" w:styleId="BalloonText">
    <w:name w:val="Balloon Text"/>
    <w:basedOn w:val="Normal"/>
    <w:link w:val="BalloonTextChar"/>
    <w:uiPriority w:val="99"/>
    <w:semiHidden/>
    <w:unhideWhenUsed/>
    <w:locked/>
    <w:rsid w:val="00AC50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0CA"/>
    <w:rPr>
      <w:rFonts w:ascii="Tahoma" w:eastAsia="SimSun" w:hAnsi="Tahoma" w:cs="Tahoma"/>
      <w:sz w:val="16"/>
      <w:szCs w:val="16"/>
      <w:lang w:eastAsia="en-AU"/>
    </w:rPr>
  </w:style>
  <w:style w:type="character" w:styleId="Hyperlink">
    <w:name w:val="Hyperlink"/>
    <w:basedOn w:val="DefaultParagraphFont"/>
    <w:uiPriority w:val="99"/>
    <w:unhideWhenUsed/>
    <w:locked/>
    <w:rsid w:val="00DA4D7F"/>
    <w:rPr>
      <w:color w:val="0000FF" w:themeColor="hyperlink"/>
      <w:u w:val="single"/>
    </w:rPr>
  </w:style>
  <w:style w:type="character" w:styleId="FollowedHyperlink">
    <w:name w:val="FollowedHyperlink"/>
    <w:basedOn w:val="DefaultParagraphFont"/>
    <w:uiPriority w:val="99"/>
    <w:semiHidden/>
    <w:unhideWhenUsed/>
    <w:locked/>
    <w:rsid w:val="0056526D"/>
    <w:rPr>
      <w:color w:val="800080" w:themeColor="followedHyperlink"/>
      <w:u w:val="single"/>
    </w:rPr>
  </w:style>
  <w:style w:type="table" w:styleId="TableGrid">
    <w:name w:val="Table Grid"/>
    <w:basedOn w:val="TableNormal"/>
    <w:uiPriority w:val="59"/>
    <w:locked/>
    <w:rsid w:val="00E10869"/>
    <w:pPr>
      <w:spacing w:after="0" w:line="240" w:lineRule="auto"/>
      <w:jc w:val="center"/>
    </w:pPr>
    <w:rPr>
      <w:rFonts w:eastAsia="Times New Roman" w:cstheme="minorBidi"/>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Col">
      <w:pPr>
        <w:jc w:val="left"/>
      </w:pPr>
    </w:tblStylePr>
  </w:style>
  <w:style w:type="character" w:customStyle="1" w:styleId="BoldBody">
    <w:name w:val="Bold (Body)"/>
    <w:uiPriority w:val="99"/>
    <w:rsid w:val="001C17E7"/>
    <w:rPr>
      <w:b/>
      <w:bCs/>
      <w:lang w:val="en-GB"/>
    </w:rPr>
  </w:style>
  <w:style w:type="paragraph" w:styleId="TOCHeading">
    <w:name w:val="TOC Heading"/>
    <w:basedOn w:val="Heading1"/>
    <w:next w:val="Normal"/>
    <w:uiPriority w:val="39"/>
    <w:unhideWhenUsed/>
    <w:qFormat/>
    <w:locked/>
    <w:rsid w:val="00984880"/>
    <w:pPr>
      <w:keepNext/>
      <w:keepLines/>
      <w:spacing w:before="480" w:after="0"/>
      <w:outlineLvl w:val="9"/>
    </w:pPr>
    <w:rPr>
      <w:rFonts w:asciiTheme="majorHAnsi" w:eastAsiaTheme="majorEastAsia" w:hAnsiTheme="majorHAnsi" w:cstheme="majorBidi"/>
      <w:bCs/>
      <w:color w:val="365F91" w:themeColor="accent1" w:themeShade="BF"/>
      <w:kern w:val="0"/>
      <w:sz w:val="28"/>
      <w:szCs w:val="28"/>
      <w:lang w:val="en-US" w:eastAsia="ja-JP"/>
    </w:rPr>
  </w:style>
  <w:style w:type="paragraph" w:styleId="TOC1">
    <w:name w:val="toc 1"/>
    <w:basedOn w:val="Normal"/>
    <w:next w:val="Normal"/>
    <w:autoRedefine/>
    <w:uiPriority w:val="39"/>
    <w:unhideWhenUsed/>
    <w:locked/>
    <w:rsid w:val="00A12608"/>
    <w:pPr>
      <w:tabs>
        <w:tab w:val="right" w:leader="dot" w:pos="9742"/>
      </w:tabs>
      <w:spacing w:after="100"/>
    </w:pPr>
    <w:rPr>
      <w:noProof/>
    </w:rPr>
  </w:style>
  <w:style w:type="paragraph" w:styleId="TOC2">
    <w:name w:val="toc 2"/>
    <w:basedOn w:val="Normal"/>
    <w:next w:val="Normal"/>
    <w:autoRedefine/>
    <w:uiPriority w:val="39"/>
    <w:unhideWhenUsed/>
    <w:locked/>
    <w:rsid w:val="00984880"/>
    <w:pPr>
      <w:spacing w:after="100"/>
      <w:ind w:left="200"/>
    </w:pPr>
  </w:style>
  <w:style w:type="paragraph" w:styleId="TOC3">
    <w:name w:val="toc 3"/>
    <w:basedOn w:val="Normal"/>
    <w:next w:val="Normal"/>
    <w:autoRedefine/>
    <w:uiPriority w:val="39"/>
    <w:unhideWhenUsed/>
    <w:locked/>
    <w:rsid w:val="00984880"/>
    <w:pPr>
      <w:spacing w:after="100"/>
      <w:ind w:left="400"/>
    </w:pPr>
  </w:style>
  <w:style w:type="paragraph" w:styleId="Caption">
    <w:name w:val="caption"/>
    <w:basedOn w:val="Normal"/>
    <w:next w:val="Normal"/>
    <w:uiPriority w:val="35"/>
    <w:unhideWhenUsed/>
    <w:qFormat/>
    <w:locked/>
    <w:rsid w:val="005E6422"/>
    <w:pPr>
      <w:spacing w:after="200" w:line="240" w:lineRule="auto"/>
    </w:pPr>
    <w:rPr>
      <w:b/>
      <w:bCs/>
      <w:color w:val="4F81BD" w:themeColor="accent1"/>
      <w:sz w:val="18"/>
      <w:szCs w:val="18"/>
    </w:rPr>
  </w:style>
  <w:style w:type="paragraph" w:customStyle="1" w:styleId="Footnote">
    <w:name w:val="Footnote"/>
    <w:basedOn w:val="Normal"/>
    <w:qFormat/>
    <w:rsid w:val="00332A12"/>
    <w:pPr>
      <w:spacing w:before="40"/>
    </w:pPr>
    <w:rPr>
      <w:sz w:val="16"/>
      <w:szCs w:val="16"/>
    </w:rPr>
  </w:style>
  <w:style w:type="paragraph" w:styleId="Header">
    <w:name w:val="header"/>
    <w:basedOn w:val="Normal"/>
    <w:link w:val="HeaderChar"/>
    <w:uiPriority w:val="99"/>
    <w:unhideWhenUsed/>
    <w:locked/>
    <w:rsid w:val="00BB4A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4AFD"/>
    <w:rPr>
      <w:rFonts w:eastAsia="SimSun"/>
      <w:sz w:val="20"/>
      <w:lang w:eastAsia="en-AU"/>
    </w:rPr>
  </w:style>
  <w:style w:type="paragraph" w:styleId="Footer">
    <w:name w:val="footer"/>
    <w:basedOn w:val="Normal"/>
    <w:link w:val="FooterChar"/>
    <w:uiPriority w:val="99"/>
    <w:unhideWhenUsed/>
    <w:locked/>
    <w:rsid w:val="00BB4A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4AFD"/>
    <w:rPr>
      <w:rFonts w:eastAsia="SimSun"/>
      <w:sz w:val="20"/>
      <w:lang w:eastAsia="en-AU"/>
    </w:rPr>
  </w:style>
  <w:style w:type="character" w:styleId="CommentReference">
    <w:name w:val="annotation reference"/>
    <w:basedOn w:val="DefaultParagraphFont"/>
    <w:uiPriority w:val="99"/>
    <w:semiHidden/>
    <w:unhideWhenUsed/>
    <w:locked/>
    <w:rsid w:val="008A12AE"/>
    <w:rPr>
      <w:sz w:val="16"/>
      <w:szCs w:val="16"/>
    </w:rPr>
  </w:style>
  <w:style w:type="paragraph" w:styleId="CommentText">
    <w:name w:val="annotation text"/>
    <w:basedOn w:val="Normal"/>
    <w:link w:val="CommentTextChar"/>
    <w:uiPriority w:val="99"/>
    <w:semiHidden/>
    <w:unhideWhenUsed/>
    <w:locked/>
    <w:rsid w:val="008A12AE"/>
    <w:pPr>
      <w:spacing w:line="240" w:lineRule="auto"/>
    </w:pPr>
    <w:rPr>
      <w:szCs w:val="20"/>
    </w:rPr>
  </w:style>
  <w:style w:type="character" w:customStyle="1" w:styleId="CommentTextChar">
    <w:name w:val="Comment Text Char"/>
    <w:basedOn w:val="DefaultParagraphFont"/>
    <w:link w:val="CommentText"/>
    <w:uiPriority w:val="99"/>
    <w:semiHidden/>
    <w:rsid w:val="008A12AE"/>
    <w:rPr>
      <w:rFonts w:eastAsia="SimSun"/>
      <w:sz w:val="20"/>
      <w:szCs w:val="20"/>
      <w:lang w:eastAsia="en-AU"/>
    </w:rPr>
  </w:style>
  <w:style w:type="paragraph" w:styleId="CommentSubject">
    <w:name w:val="annotation subject"/>
    <w:basedOn w:val="CommentText"/>
    <w:next w:val="CommentText"/>
    <w:link w:val="CommentSubjectChar"/>
    <w:uiPriority w:val="99"/>
    <w:semiHidden/>
    <w:unhideWhenUsed/>
    <w:locked/>
    <w:rsid w:val="008A12AE"/>
    <w:rPr>
      <w:b/>
      <w:bCs/>
    </w:rPr>
  </w:style>
  <w:style w:type="character" w:customStyle="1" w:styleId="CommentSubjectChar">
    <w:name w:val="Comment Subject Char"/>
    <w:basedOn w:val="CommentTextChar"/>
    <w:link w:val="CommentSubject"/>
    <w:uiPriority w:val="99"/>
    <w:semiHidden/>
    <w:rsid w:val="008A12AE"/>
    <w:rPr>
      <w:rFonts w:eastAsia="SimSun"/>
      <w:b/>
      <w:bCs/>
      <w:sz w:val="20"/>
      <w:szCs w:val="20"/>
      <w:lang w:eastAsia="en-AU"/>
    </w:rPr>
  </w:style>
  <w:style w:type="paragraph" w:styleId="Revision">
    <w:name w:val="Revision"/>
    <w:hidden/>
    <w:uiPriority w:val="99"/>
    <w:semiHidden/>
    <w:rsid w:val="00686C3F"/>
    <w:pPr>
      <w:spacing w:after="0" w:line="240" w:lineRule="auto"/>
    </w:pPr>
    <w:rPr>
      <w:rFonts w:eastAsia="SimSun"/>
      <w:sz w:val="20"/>
      <w:lang w:eastAsia="en-AU"/>
    </w:rPr>
  </w:style>
  <w:style w:type="paragraph" w:customStyle="1" w:styleId="TextBody">
    <w:name w:val="Text (Body)"/>
    <w:basedOn w:val="Normal"/>
    <w:uiPriority w:val="99"/>
    <w:rsid w:val="00703538"/>
    <w:pPr>
      <w:suppressAutoHyphens/>
      <w:autoSpaceDE w:val="0"/>
      <w:autoSpaceDN w:val="0"/>
      <w:adjustRightInd w:val="0"/>
      <w:spacing w:before="57" w:after="57" w:line="288" w:lineRule="auto"/>
    </w:pPr>
    <w:rPr>
      <w:rFonts w:eastAsiaTheme="minorHAnsi"/>
      <w:color w:val="000000"/>
      <w:kern w:val="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kern w:val="22"/>
        <w:sz w:val="22"/>
        <w:szCs w:val="22"/>
        <w:lang w:val="en-AU" w:eastAsia="en-US" w:bidi="ar-SA"/>
      </w:rPr>
    </w:rPrDefault>
    <w:pPrDefault>
      <w:pPr>
        <w:spacing w:after="12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1" w:unhideWhenUsed="0" w:qFormat="1"/>
    <w:lsdException w:name="heading 2" w:locked="0" w:uiPriority="9" w:qFormat="1"/>
    <w:lsdException w:name="heading 3" w:locked="0"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locked="0" w:uiPriority="1"/>
    <w:lsdException w:name="Subtitle" w:uiPriority="11" w:qFormat="1"/>
    <w:lsdException w:name="Strong" w:uiPriority="22" w:qFormat="1"/>
    <w:lsdException w:name="Emphasis" w:uiPriority="20" w:qFormat="1"/>
    <w:lsdException w:name="HTML Top of Form" w:locked="0"/>
    <w:lsdException w:name="HTML Bottom of Form" w:locked="0"/>
    <w:lsdException w:name="Normal Table" w:locked="0"/>
    <w:lsdException w:name="No List" w:locked="0"/>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75723F"/>
    <w:rPr>
      <w:rFonts w:eastAsia="SimSun"/>
      <w:sz w:val="20"/>
      <w:lang w:eastAsia="en-AU"/>
    </w:rPr>
  </w:style>
  <w:style w:type="paragraph" w:styleId="Heading1">
    <w:name w:val="heading 1"/>
    <w:basedOn w:val="Normal"/>
    <w:next w:val="Normal"/>
    <w:link w:val="Heading1Char"/>
    <w:autoRedefine/>
    <w:uiPriority w:val="1"/>
    <w:unhideWhenUsed/>
    <w:qFormat/>
    <w:rsid w:val="00BB19E6"/>
    <w:pPr>
      <w:spacing w:before="120"/>
      <w:outlineLvl w:val="0"/>
    </w:pPr>
    <w:rPr>
      <w:b/>
      <w:sz w:val="40"/>
      <w:szCs w:val="40"/>
    </w:rPr>
  </w:style>
  <w:style w:type="paragraph" w:styleId="Heading2">
    <w:name w:val="heading 2"/>
    <w:basedOn w:val="Normal"/>
    <w:next w:val="Normal"/>
    <w:link w:val="Heading2Char"/>
    <w:autoRedefine/>
    <w:uiPriority w:val="9"/>
    <w:unhideWhenUsed/>
    <w:qFormat/>
    <w:rsid w:val="00542507"/>
    <w:pPr>
      <w:spacing w:before="60" w:after="60"/>
      <w:outlineLvl w:val="1"/>
    </w:pPr>
    <w:rPr>
      <w:b/>
      <w:sz w:val="28"/>
      <w:szCs w:val="28"/>
    </w:rPr>
  </w:style>
  <w:style w:type="paragraph" w:styleId="Heading3">
    <w:name w:val="heading 3"/>
    <w:basedOn w:val="Normal"/>
    <w:next w:val="Normal"/>
    <w:link w:val="Heading3Char"/>
    <w:autoRedefine/>
    <w:uiPriority w:val="9"/>
    <w:unhideWhenUsed/>
    <w:qFormat/>
    <w:rsid w:val="00BB19E6"/>
    <w:pPr>
      <w:spacing w:before="120" w:after="40"/>
      <w:outlineLvl w:val="2"/>
    </w:pPr>
    <w:rPr>
      <w:b/>
      <w:sz w:val="24"/>
    </w:rPr>
  </w:style>
  <w:style w:type="paragraph" w:styleId="Heading4">
    <w:name w:val="heading 4"/>
    <w:aliases w:val="Tables and figures"/>
    <w:basedOn w:val="Normal"/>
    <w:next w:val="Normal"/>
    <w:link w:val="Heading4Char"/>
    <w:autoRedefine/>
    <w:uiPriority w:val="9"/>
    <w:unhideWhenUsed/>
    <w:locked/>
    <w:rsid w:val="00AF6EBC"/>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B19E6"/>
    <w:rPr>
      <w:rFonts w:eastAsia="SimSun"/>
      <w:b/>
      <w:sz w:val="40"/>
      <w:szCs w:val="40"/>
      <w:lang w:eastAsia="en-AU"/>
    </w:rPr>
  </w:style>
  <w:style w:type="character" w:customStyle="1" w:styleId="Heading2Char">
    <w:name w:val="Heading 2 Char"/>
    <w:basedOn w:val="DefaultParagraphFont"/>
    <w:link w:val="Heading2"/>
    <w:uiPriority w:val="9"/>
    <w:rsid w:val="00542507"/>
    <w:rPr>
      <w:rFonts w:eastAsia="SimSun"/>
      <w:b/>
      <w:sz w:val="28"/>
      <w:szCs w:val="28"/>
      <w:lang w:eastAsia="en-AU"/>
    </w:rPr>
  </w:style>
  <w:style w:type="character" w:customStyle="1" w:styleId="Heading3Char">
    <w:name w:val="Heading 3 Char"/>
    <w:basedOn w:val="DefaultParagraphFont"/>
    <w:link w:val="Heading3"/>
    <w:uiPriority w:val="9"/>
    <w:rsid w:val="00BB19E6"/>
    <w:rPr>
      <w:rFonts w:eastAsia="SimSun"/>
      <w:b/>
      <w:sz w:val="24"/>
      <w:lang w:eastAsia="en-AU"/>
    </w:rPr>
  </w:style>
  <w:style w:type="character" w:customStyle="1" w:styleId="Heading4Char">
    <w:name w:val="Heading 4 Char"/>
    <w:aliases w:val="Tables and figures Char"/>
    <w:basedOn w:val="DefaultParagraphFont"/>
    <w:link w:val="Heading4"/>
    <w:uiPriority w:val="9"/>
    <w:rsid w:val="00AF6EBC"/>
    <w:rPr>
      <w:rFonts w:eastAsia="SimSun"/>
      <w:b/>
      <w:sz w:val="20"/>
      <w:lang w:eastAsia="en-AU"/>
    </w:rPr>
  </w:style>
  <w:style w:type="paragraph" w:styleId="ListParagraph">
    <w:name w:val="List Paragraph"/>
    <w:basedOn w:val="Normal"/>
    <w:uiPriority w:val="34"/>
    <w:unhideWhenUsed/>
    <w:qFormat/>
    <w:locked/>
    <w:rsid w:val="008C7103"/>
    <w:pPr>
      <w:ind w:left="720"/>
      <w:contextualSpacing/>
    </w:pPr>
  </w:style>
  <w:style w:type="paragraph" w:styleId="BalloonText">
    <w:name w:val="Balloon Text"/>
    <w:basedOn w:val="Normal"/>
    <w:link w:val="BalloonTextChar"/>
    <w:uiPriority w:val="99"/>
    <w:semiHidden/>
    <w:unhideWhenUsed/>
    <w:locked/>
    <w:rsid w:val="00AC50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0CA"/>
    <w:rPr>
      <w:rFonts w:ascii="Tahoma" w:eastAsia="SimSun" w:hAnsi="Tahoma" w:cs="Tahoma"/>
      <w:sz w:val="16"/>
      <w:szCs w:val="16"/>
      <w:lang w:eastAsia="en-AU"/>
    </w:rPr>
  </w:style>
  <w:style w:type="character" w:styleId="Hyperlink">
    <w:name w:val="Hyperlink"/>
    <w:basedOn w:val="DefaultParagraphFont"/>
    <w:uiPriority w:val="99"/>
    <w:unhideWhenUsed/>
    <w:locked/>
    <w:rsid w:val="00DA4D7F"/>
    <w:rPr>
      <w:color w:val="0000FF" w:themeColor="hyperlink"/>
      <w:u w:val="single"/>
    </w:rPr>
  </w:style>
  <w:style w:type="character" w:styleId="FollowedHyperlink">
    <w:name w:val="FollowedHyperlink"/>
    <w:basedOn w:val="DefaultParagraphFont"/>
    <w:uiPriority w:val="99"/>
    <w:semiHidden/>
    <w:unhideWhenUsed/>
    <w:locked/>
    <w:rsid w:val="0056526D"/>
    <w:rPr>
      <w:color w:val="800080" w:themeColor="followedHyperlink"/>
      <w:u w:val="single"/>
    </w:rPr>
  </w:style>
  <w:style w:type="table" w:styleId="TableGrid">
    <w:name w:val="Table Grid"/>
    <w:basedOn w:val="TableNormal"/>
    <w:uiPriority w:val="59"/>
    <w:locked/>
    <w:rsid w:val="00E10869"/>
    <w:pPr>
      <w:spacing w:after="0" w:line="240" w:lineRule="auto"/>
      <w:jc w:val="center"/>
    </w:pPr>
    <w:rPr>
      <w:rFonts w:eastAsia="Times New Roman" w:cstheme="minorBidi"/>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Col">
      <w:pPr>
        <w:jc w:val="left"/>
      </w:pPr>
    </w:tblStylePr>
  </w:style>
  <w:style w:type="character" w:customStyle="1" w:styleId="BoldBody">
    <w:name w:val="Bold (Body)"/>
    <w:uiPriority w:val="99"/>
    <w:rsid w:val="001C17E7"/>
    <w:rPr>
      <w:b/>
      <w:bCs/>
      <w:lang w:val="en-GB"/>
    </w:rPr>
  </w:style>
  <w:style w:type="paragraph" w:styleId="TOCHeading">
    <w:name w:val="TOC Heading"/>
    <w:basedOn w:val="Heading1"/>
    <w:next w:val="Normal"/>
    <w:uiPriority w:val="39"/>
    <w:unhideWhenUsed/>
    <w:qFormat/>
    <w:locked/>
    <w:rsid w:val="00984880"/>
    <w:pPr>
      <w:keepNext/>
      <w:keepLines/>
      <w:spacing w:before="480" w:after="0"/>
      <w:outlineLvl w:val="9"/>
    </w:pPr>
    <w:rPr>
      <w:rFonts w:asciiTheme="majorHAnsi" w:eastAsiaTheme="majorEastAsia" w:hAnsiTheme="majorHAnsi" w:cstheme="majorBidi"/>
      <w:bCs/>
      <w:color w:val="365F91" w:themeColor="accent1" w:themeShade="BF"/>
      <w:kern w:val="0"/>
      <w:sz w:val="28"/>
      <w:szCs w:val="28"/>
      <w:lang w:val="en-US" w:eastAsia="ja-JP"/>
    </w:rPr>
  </w:style>
  <w:style w:type="paragraph" w:styleId="TOC1">
    <w:name w:val="toc 1"/>
    <w:basedOn w:val="Normal"/>
    <w:next w:val="Normal"/>
    <w:autoRedefine/>
    <w:uiPriority w:val="39"/>
    <w:unhideWhenUsed/>
    <w:locked/>
    <w:rsid w:val="00A12608"/>
    <w:pPr>
      <w:tabs>
        <w:tab w:val="right" w:leader="dot" w:pos="9742"/>
      </w:tabs>
      <w:spacing w:after="100"/>
    </w:pPr>
    <w:rPr>
      <w:noProof/>
    </w:rPr>
  </w:style>
  <w:style w:type="paragraph" w:styleId="TOC2">
    <w:name w:val="toc 2"/>
    <w:basedOn w:val="Normal"/>
    <w:next w:val="Normal"/>
    <w:autoRedefine/>
    <w:uiPriority w:val="39"/>
    <w:unhideWhenUsed/>
    <w:locked/>
    <w:rsid w:val="00984880"/>
    <w:pPr>
      <w:spacing w:after="100"/>
      <w:ind w:left="200"/>
    </w:pPr>
  </w:style>
  <w:style w:type="paragraph" w:styleId="TOC3">
    <w:name w:val="toc 3"/>
    <w:basedOn w:val="Normal"/>
    <w:next w:val="Normal"/>
    <w:autoRedefine/>
    <w:uiPriority w:val="39"/>
    <w:unhideWhenUsed/>
    <w:locked/>
    <w:rsid w:val="00984880"/>
    <w:pPr>
      <w:spacing w:after="100"/>
      <w:ind w:left="400"/>
    </w:pPr>
  </w:style>
  <w:style w:type="paragraph" w:styleId="Caption">
    <w:name w:val="caption"/>
    <w:basedOn w:val="Normal"/>
    <w:next w:val="Normal"/>
    <w:uiPriority w:val="35"/>
    <w:unhideWhenUsed/>
    <w:qFormat/>
    <w:locked/>
    <w:rsid w:val="005E6422"/>
    <w:pPr>
      <w:spacing w:after="200" w:line="240" w:lineRule="auto"/>
    </w:pPr>
    <w:rPr>
      <w:b/>
      <w:bCs/>
      <w:color w:val="4F81BD" w:themeColor="accent1"/>
      <w:sz w:val="18"/>
      <w:szCs w:val="18"/>
    </w:rPr>
  </w:style>
  <w:style w:type="paragraph" w:customStyle="1" w:styleId="Footnote">
    <w:name w:val="Footnote"/>
    <w:basedOn w:val="Normal"/>
    <w:qFormat/>
    <w:rsid w:val="00332A12"/>
    <w:pPr>
      <w:spacing w:before="40"/>
    </w:pPr>
    <w:rPr>
      <w:sz w:val="16"/>
      <w:szCs w:val="16"/>
    </w:rPr>
  </w:style>
  <w:style w:type="paragraph" w:styleId="Header">
    <w:name w:val="header"/>
    <w:basedOn w:val="Normal"/>
    <w:link w:val="HeaderChar"/>
    <w:uiPriority w:val="99"/>
    <w:unhideWhenUsed/>
    <w:locked/>
    <w:rsid w:val="00BB4A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4AFD"/>
    <w:rPr>
      <w:rFonts w:eastAsia="SimSun"/>
      <w:sz w:val="20"/>
      <w:lang w:eastAsia="en-AU"/>
    </w:rPr>
  </w:style>
  <w:style w:type="paragraph" w:styleId="Footer">
    <w:name w:val="footer"/>
    <w:basedOn w:val="Normal"/>
    <w:link w:val="FooterChar"/>
    <w:uiPriority w:val="99"/>
    <w:unhideWhenUsed/>
    <w:locked/>
    <w:rsid w:val="00BB4A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4AFD"/>
    <w:rPr>
      <w:rFonts w:eastAsia="SimSun"/>
      <w:sz w:val="20"/>
      <w:lang w:eastAsia="en-AU"/>
    </w:rPr>
  </w:style>
  <w:style w:type="character" w:styleId="CommentReference">
    <w:name w:val="annotation reference"/>
    <w:basedOn w:val="DefaultParagraphFont"/>
    <w:uiPriority w:val="99"/>
    <w:semiHidden/>
    <w:unhideWhenUsed/>
    <w:locked/>
    <w:rsid w:val="008A12AE"/>
    <w:rPr>
      <w:sz w:val="16"/>
      <w:szCs w:val="16"/>
    </w:rPr>
  </w:style>
  <w:style w:type="paragraph" w:styleId="CommentText">
    <w:name w:val="annotation text"/>
    <w:basedOn w:val="Normal"/>
    <w:link w:val="CommentTextChar"/>
    <w:uiPriority w:val="99"/>
    <w:semiHidden/>
    <w:unhideWhenUsed/>
    <w:locked/>
    <w:rsid w:val="008A12AE"/>
    <w:pPr>
      <w:spacing w:line="240" w:lineRule="auto"/>
    </w:pPr>
    <w:rPr>
      <w:szCs w:val="20"/>
    </w:rPr>
  </w:style>
  <w:style w:type="character" w:customStyle="1" w:styleId="CommentTextChar">
    <w:name w:val="Comment Text Char"/>
    <w:basedOn w:val="DefaultParagraphFont"/>
    <w:link w:val="CommentText"/>
    <w:uiPriority w:val="99"/>
    <w:semiHidden/>
    <w:rsid w:val="008A12AE"/>
    <w:rPr>
      <w:rFonts w:eastAsia="SimSun"/>
      <w:sz w:val="20"/>
      <w:szCs w:val="20"/>
      <w:lang w:eastAsia="en-AU"/>
    </w:rPr>
  </w:style>
  <w:style w:type="paragraph" w:styleId="CommentSubject">
    <w:name w:val="annotation subject"/>
    <w:basedOn w:val="CommentText"/>
    <w:next w:val="CommentText"/>
    <w:link w:val="CommentSubjectChar"/>
    <w:uiPriority w:val="99"/>
    <w:semiHidden/>
    <w:unhideWhenUsed/>
    <w:locked/>
    <w:rsid w:val="008A12AE"/>
    <w:rPr>
      <w:b/>
      <w:bCs/>
    </w:rPr>
  </w:style>
  <w:style w:type="character" w:customStyle="1" w:styleId="CommentSubjectChar">
    <w:name w:val="Comment Subject Char"/>
    <w:basedOn w:val="CommentTextChar"/>
    <w:link w:val="CommentSubject"/>
    <w:uiPriority w:val="99"/>
    <w:semiHidden/>
    <w:rsid w:val="008A12AE"/>
    <w:rPr>
      <w:rFonts w:eastAsia="SimSun"/>
      <w:b/>
      <w:bCs/>
      <w:sz w:val="20"/>
      <w:szCs w:val="20"/>
      <w:lang w:eastAsia="en-AU"/>
    </w:rPr>
  </w:style>
  <w:style w:type="paragraph" w:styleId="Revision">
    <w:name w:val="Revision"/>
    <w:hidden/>
    <w:uiPriority w:val="99"/>
    <w:semiHidden/>
    <w:rsid w:val="00686C3F"/>
    <w:pPr>
      <w:spacing w:after="0" w:line="240" w:lineRule="auto"/>
    </w:pPr>
    <w:rPr>
      <w:rFonts w:eastAsia="SimSun"/>
      <w:sz w:val="20"/>
      <w:lang w:eastAsia="en-AU"/>
    </w:rPr>
  </w:style>
  <w:style w:type="paragraph" w:customStyle="1" w:styleId="TextBody">
    <w:name w:val="Text (Body)"/>
    <w:basedOn w:val="Normal"/>
    <w:uiPriority w:val="99"/>
    <w:rsid w:val="00703538"/>
    <w:pPr>
      <w:suppressAutoHyphens/>
      <w:autoSpaceDE w:val="0"/>
      <w:autoSpaceDN w:val="0"/>
      <w:adjustRightInd w:val="0"/>
      <w:spacing w:before="57" w:after="57" w:line="288" w:lineRule="auto"/>
    </w:pPr>
    <w:rPr>
      <w:rFonts w:eastAsiaTheme="minorHAnsi"/>
      <w:color w:val="000000"/>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1859">
      <w:bodyDiv w:val="1"/>
      <w:marLeft w:val="0"/>
      <w:marRight w:val="0"/>
      <w:marTop w:val="0"/>
      <w:marBottom w:val="0"/>
      <w:divBdr>
        <w:top w:val="none" w:sz="0" w:space="0" w:color="auto"/>
        <w:left w:val="none" w:sz="0" w:space="0" w:color="auto"/>
        <w:bottom w:val="none" w:sz="0" w:space="0" w:color="auto"/>
        <w:right w:val="none" w:sz="0" w:space="0" w:color="auto"/>
      </w:divBdr>
    </w:div>
    <w:div w:id="23679270">
      <w:bodyDiv w:val="1"/>
      <w:marLeft w:val="0"/>
      <w:marRight w:val="0"/>
      <w:marTop w:val="0"/>
      <w:marBottom w:val="0"/>
      <w:divBdr>
        <w:top w:val="none" w:sz="0" w:space="0" w:color="auto"/>
        <w:left w:val="none" w:sz="0" w:space="0" w:color="auto"/>
        <w:bottom w:val="none" w:sz="0" w:space="0" w:color="auto"/>
        <w:right w:val="none" w:sz="0" w:space="0" w:color="auto"/>
      </w:divBdr>
    </w:div>
    <w:div w:id="28916532">
      <w:bodyDiv w:val="1"/>
      <w:marLeft w:val="0"/>
      <w:marRight w:val="0"/>
      <w:marTop w:val="0"/>
      <w:marBottom w:val="0"/>
      <w:divBdr>
        <w:top w:val="none" w:sz="0" w:space="0" w:color="auto"/>
        <w:left w:val="none" w:sz="0" w:space="0" w:color="auto"/>
        <w:bottom w:val="none" w:sz="0" w:space="0" w:color="auto"/>
        <w:right w:val="none" w:sz="0" w:space="0" w:color="auto"/>
      </w:divBdr>
    </w:div>
    <w:div w:id="104664149">
      <w:bodyDiv w:val="1"/>
      <w:marLeft w:val="0"/>
      <w:marRight w:val="0"/>
      <w:marTop w:val="0"/>
      <w:marBottom w:val="0"/>
      <w:divBdr>
        <w:top w:val="none" w:sz="0" w:space="0" w:color="auto"/>
        <w:left w:val="none" w:sz="0" w:space="0" w:color="auto"/>
        <w:bottom w:val="none" w:sz="0" w:space="0" w:color="auto"/>
        <w:right w:val="none" w:sz="0" w:space="0" w:color="auto"/>
      </w:divBdr>
    </w:div>
    <w:div w:id="127600848">
      <w:bodyDiv w:val="1"/>
      <w:marLeft w:val="0"/>
      <w:marRight w:val="0"/>
      <w:marTop w:val="0"/>
      <w:marBottom w:val="0"/>
      <w:divBdr>
        <w:top w:val="none" w:sz="0" w:space="0" w:color="auto"/>
        <w:left w:val="none" w:sz="0" w:space="0" w:color="auto"/>
        <w:bottom w:val="none" w:sz="0" w:space="0" w:color="auto"/>
        <w:right w:val="none" w:sz="0" w:space="0" w:color="auto"/>
      </w:divBdr>
    </w:div>
    <w:div w:id="138041966">
      <w:bodyDiv w:val="1"/>
      <w:marLeft w:val="0"/>
      <w:marRight w:val="0"/>
      <w:marTop w:val="0"/>
      <w:marBottom w:val="0"/>
      <w:divBdr>
        <w:top w:val="none" w:sz="0" w:space="0" w:color="auto"/>
        <w:left w:val="none" w:sz="0" w:space="0" w:color="auto"/>
        <w:bottom w:val="none" w:sz="0" w:space="0" w:color="auto"/>
        <w:right w:val="none" w:sz="0" w:space="0" w:color="auto"/>
      </w:divBdr>
    </w:div>
    <w:div w:id="231088077">
      <w:bodyDiv w:val="1"/>
      <w:marLeft w:val="0"/>
      <w:marRight w:val="0"/>
      <w:marTop w:val="0"/>
      <w:marBottom w:val="0"/>
      <w:divBdr>
        <w:top w:val="none" w:sz="0" w:space="0" w:color="auto"/>
        <w:left w:val="none" w:sz="0" w:space="0" w:color="auto"/>
        <w:bottom w:val="none" w:sz="0" w:space="0" w:color="auto"/>
        <w:right w:val="none" w:sz="0" w:space="0" w:color="auto"/>
      </w:divBdr>
    </w:div>
    <w:div w:id="253442414">
      <w:bodyDiv w:val="1"/>
      <w:marLeft w:val="0"/>
      <w:marRight w:val="0"/>
      <w:marTop w:val="0"/>
      <w:marBottom w:val="0"/>
      <w:divBdr>
        <w:top w:val="none" w:sz="0" w:space="0" w:color="auto"/>
        <w:left w:val="none" w:sz="0" w:space="0" w:color="auto"/>
        <w:bottom w:val="none" w:sz="0" w:space="0" w:color="auto"/>
        <w:right w:val="none" w:sz="0" w:space="0" w:color="auto"/>
      </w:divBdr>
    </w:div>
    <w:div w:id="338123667">
      <w:bodyDiv w:val="1"/>
      <w:marLeft w:val="0"/>
      <w:marRight w:val="0"/>
      <w:marTop w:val="0"/>
      <w:marBottom w:val="0"/>
      <w:divBdr>
        <w:top w:val="none" w:sz="0" w:space="0" w:color="auto"/>
        <w:left w:val="none" w:sz="0" w:space="0" w:color="auto"/>
        <w:bottom w:val="none" w:sz="0" w:space="0" w:color="auto"/>
        <w:right w:val="none" w:sz="0" w:space="0" w:color="auto"/>
      </w:divBdr>
    </w:div>
    <w:div w:id="347757569">
      <w:bodyDiv w:val="1"/>
      <w:marLeft w:val="0"/>
      <w:marRight w:val="0"/>
      <w:marTop w:val="0"/>
      <w:marBottom w:val="0"/>
      <w:divBdr>
        <w:top w:val="none" w:sz="0" w:space="0" w:color="auto"/>
        <w:left w:val="none" w:sz="0" w:space="0" w:color="auto"/>
        <w:bottom w:val="none" w:sz="0" w:space="0" w:color="auto"/>
        <w:right w:val="none" w:sz="0" w:space="0" w:color="auto"/>
      </w:divBdr>
    </w:div>
    <w:div w:id="350306951">
      <w:bodyDiv w:val="1"/>
      <w:marLeft w:val="0"/>
      <w:marRight w:val="0"/>
      <w:marTop w:val="0"/>
      <w:marBottom w:val="0"/>
      <w:divBdr>
        <w:top w:val="none" w:sz="0" w:space="0" w:color="auto"/>
        <w:left w:val="none" w:sz="0" w:space="0" w:color="auto"/>
        <w:bottom w:val="none" w:sz="0" w:space="0" w:color="auto"/>
        <w:right w:val="none" w:sz="0" w:space="0" w:color="auto"/>
      </w:divBdr>
    </w:div>
    <w:div w:id="398406538">
      <w:bodyDiv w:val="1"/>
      <w:marLeft w:val="0"/>
      <w:marRight w:val="0"/>
      <w:marTop w:val="0"/>
      <w:marBottom w:val="0"/>
      <w:divBdr>
        <w:top w:val="none" w:sz="0" w:space="0" w:color="auto"/>
        <w:left w:val="none" w:sz="0" w:space="0" w:color="auto"/>
        <w:bottom w:val="none" w:sz="0" w:space="0" w:color="auto"/>
        <w:right w:val="none" w:sz="0" w:space="0" w:color="auto"/>
      </w:divBdr>
    </w:div>
    <w:div w:id="404501121">
      <w:bodyDiv w:val="1"/>
      <w:marLeft w:val="0"/>
      <w:marRight w:val="0"/>
      <w:marTop w:val="0"/>
      <w:marBottom w:val="0"/>
      <w:divBdr>
        <w:top w:val="none" w:sz="0" w:space="0" w:color="auto"/>
        <w:left w:val="none" w:sz="0" w:space="0" w:color="auto"/>
        <w:bottom w:val="none" w:sz="0" w:space="0" w:color="auto"/>
        <w:right w:val="none" w:sz="0" w:space="0" w:color="auto"/>
      </w:divBdr>
    </w:div>
    <w:div w:id="405536943">
      <w:bodyDiv w:val="1"/>
      <w:marLeft w:val="0"/>
      <w:marRight w:val="0"/>
      <w:marTop w:val="0"/>
      <w:marBottom w:val="0"/>
      <w:divBdr>
        <w:top w:val="none" w:sz="0" w:space="0" w:color="auto"/>
        <w:left w:val="none" w:sz="0" w:space="0" w:color="auto"/>
        <w:bottom w:val="none" w:sz="0" w:space="0" w:color="auto"/>
        <w:right w:val="none" w:sz="0" w:space="0" w:color="auto"/>
      </w:divBdr>
    </w:div>
    <w:div w:id="439842552">
      <w:bodyDiv w:val="1"/>
      <w:marLeft w:val="0"/>
      <w:marRight w:val="0"/>
      <w:marTop w:val="0"/>
      <w:marBottom w:val="0"/>
      <w:divBdr>
        <w:top w:val="none" w:sz="0" w:space="0" w:color="auto"/>
        <w:left w:val="none" w:sz="0" w:space="0" w:color="auto"/>
        <w:bottom w:val="none" w:sz="0" w:space="0" w:color="auto"/>
        <w:right w:val="none" w:sz="0" w:space="0" w:color="auto"/>
      </w:divBdr>
    </w:div>
    <w:div w:id="466900725">
      <w:bodyDiv w:val="1"/>
      <w:marLeft w:val="0"/>
      <w:marRight w:val="0"/>
      <w:marTop w:val="0"/>
      <w:marBottom w:val="0"/>
      <w:divBdr>
        <w:top w:val="none" w:sz="0" w:space="0" w:color="auto"/>
        <w:left w:val="none" w:sz="0" w:space="0" w:color="auto"/>
        <w:bottom w:val="none" w:sz="0" w:space="0" w:color="auto"/>
        <w:right w:val="none" w:sz="0" w:space="0" w:color="auto"/>
      </w:divBdr>
    </w:div>
    <w:div w:id="522014455">
      <w:bodyDiv w:val="1"/>
      <w:marLeft w:val="0"/>
      <w:marRight w:val="0"/>
      <w:marTop w:val="0"/>
      <w:marBottom w:val="0"/>
      <w:divBdr>
        <w:top w:val="none" w:sz="0" w:space="0" w:color="auto"/>
        <w:left w:val="none" w:sz="0" w:space="0" w:color="auto"/>
        <w:bottom w:val="none" w:sz="0" w:space="0" w:color="auto"/>
        <w:right w:val="none" w:sz="0" w:space="0" w:color="auto"/>
      </w:divBdr>
    </w:div>
    <w:div w:id="602417687">
      <w:bodyDiv w:val="1"/>
      <w:marLeft w:val="0"/>
      <w:marRight w:val="0"/>
      <w:marTop w:val="0"/>
      <w:marBottom w:val="0"/>
      <w:divBdr>
        <w:top w:val="none" w:sz="0" w:space="0" w:color="auto"/>
        <w:left w:val="none" w:sz="0" w:space="0" w:color="auto"/>
        <w:bottom w:val="none" w:sz="0" w:space="0" w:color="auto"/>
        <w:right w:val="none" w:sz="0" w:space="0" w:color="auto"/>
      </w:divBdr>
    </w:div>
    <w:div w:id="641154096">
      <w:bodyDiv w:val="1"/>
      <w:marLeft w:val="0"/>
      <w:marRight w:val="0"/>
      <w:marTop w:val="0"/>
      <w:marBottom w:val="0"/>
      <w:divBdr>
        <w:top w:val="none" w:sz="0" w:space="0" w:color="auto"/>
        <w:left w:val="none" w:sz="0" w:space="0" w:color="auto"/>
        <w:bottom w:val="none" w:sz="0" w:space="0" w:color="auto"/>
        <w:right w:val="none" w:sz="0" w:space="0" w:color="auto"/>
      </w:divBdr>
    </w:div>
    <w:div w:id="697899661">
      <w:bodyDiv w:val="1"/>
      <w:marLeft w:val="0"/>
      <w:marRight w:val="0"/>
      <w:marTop w:val="0"/>
      <w:marBottom w:val="0"/>
      <w:divBdr>
        <w:top w:val="none" w:sz="0" w:space="0" w:color="auto"/>
        <w:left w:val="none" w:sz="0" w:space="0" w:color="auto"/>
        <w:bottom w:val="none" w:sz="0" w:space="0" w:color="auto"/>
        <w:right w:val="none" w:sz="0" w:space="0" w:color="auto"/>
      </w:divBdr>
    </w:div>
    <w:div w:id="711609771">
      <w:bodyDiv w:val="1"/>
      <w:marLeft w:val="0"/>
      <w:marRight w:val="0"/>
      <w:marTop w:val="0"/>
      <w:marBottom w:val="0"/>
      <w:divBdr>
        <w:top w:val="none" w:sz="0" w:space="0" w:color="auto"/>
        <w:left w:val="none" w:sz="0" w:space="0" w:color="auto"/>
        <w:bottom w:val="none" w:sz="0" w:space="0" w:color="auto"/>
        <w:right w:val="none" w:sz="0" w:space="0" w:color="auto"/>
      </w:divBdr>
    </w:div>
    <w:div w:id="711852209">
      <w:bodyDiv w:val="1"/>
      <w:marLeft w:val="0"/>
      <w:marRight w:val="0"/>
      <w:marTop w:val="0"/>
      <w:marBottom w:val="0"/>
      <w:divBdr>
        <w:top w:val="none" w:sz="0" w:space="0" w:color="auto"/>
        <w:left w:val="none" w:sz="0" w:space="0" w:color="auto"/>
        <w:bottom w:val="none" w:sz="0" w:space="0" w:color="auto"/>
        <w:right w:val="none" w:sz="0" w:space="0" w:color="auto"/>
      </w:divBdr>
    </w:div>
    <w:div w:id="714891986">
      <w:bodyDiv w:val="1"/>
      <w:marLeft w:val="0"/>
      <w:marRight w:val="0"/>
      <w:marTop w:val="0"/>
      <w:marBottom w:val="0"/>
      <w:divBdr>
        <w:top w:val="none" w:sz="0" w:space="0" w:color="auto"/>
        <w:left w:val="none" w:sz="0" w:space="0" w:color="auto"/>
        <w:bottom w:val="none" w:sz="0" w:space="0" w:color="auto"/>
        <w:right w:val="none" w:sz="0" w:space="0" w:color="auto"/>
      </w:divBdr>
    </w:div>
    <w:div w:id="741679957">
      <w:bodyDiv w:val="1"/>
      <w:marLeft w:val="0"/>
      <w:marRight w:val="0"/>
      <w:marTop w:val="0"/>
      <w:marBottom w:val="0"/>
      <w:divBdr>
        <w:top w:val="none" w:sz="0" w:space="0" w:color="auto"/>
        <w:left w:val="none" w:sz="0" w:space="0" w:color="auto"/>
        <w:bottom w:val="none" w:sz="0" w:space="0" w:color="auto"/>
        <w:right w:val="none" w:sz="0" w:space="0" w:color="auto"/>
      </w:divBdr>
    </w:div>
    <w:div w:id="798379813">
      <w:bodyDiv w:val="1"/>
      <w:marLeft w:val="0"/>
      <w:marRight w:val="0"/>
      <w:marTop w:val="0"/>
      <w:marBottom w:val="0"/>
      <w:divBdr>
        <w:top w:val="none" w:sz="0" w:space="0" w:color="auto"/>
        <w:left w:val="none" w:sz="0" w:space="0" w:color="auto"/>
        <w:bottom w:val="none" w:sz="0" w:space="0" w:color="auto"/>
        <w:right w:val="none" w:sz="0" w:space="0" w:color="auto"/>
      </w:divBdr>
    </w:div>
    <w:div w:id="822893964">
      <w:bodyDiv w:val="1"/>
      <w:marLeft w:val="0"/>
      <w:marRight w:val="0"/>
      <w:marTop w:val="0"/>
      <w:marBottom w:val="0"/>
      <w:divBdr>
        <w:top w:val="none" w:sz="0" w:space="0" w:color="auto"/>
        <w:left w:val="none" w:sz="0" w:space="0" w:color="auto"/>
        <w:bottom w:val="none" w:sz="0" w:space="0" w:color="auto"/>
        <w:right w:val="none" w:sz="0" w:space="0" w:color="auto"/>
      </w:divBdr>
    </w:div>
    <w:div w:id="839350765">
      <w:bodyDiv w:val="1"/>
      <w:marLeft w:val="0"/>
      <w:marRight w:val="0"/>
      <w:marTop w:val="0"/>
      <w:marBottom w:val="0"/>
      <w:divBdr>
        <w:top w:val="none" w:sz="0" w:space="0" w:color="auto"/>
        <w:left w:val="none" w:sz="0" w:space="0" w:color="auto"/>
        <w:bottom w:val="none" w:sz="0" w:space="0" w:color="auto"/>
        <w:right w:val="none" w:sz="0" w:space="0" w:color="auto"/>
      </w:divBdr>
    </w:div>
    <w:div w:id="897546405">
      <w:bodyDiv w:val="1"/>
      <w:marLeft w:val="0"/>
      <w:marRight w:val="0"/>
      <w:marTop w:val="0"/>
      <w:marBottom w:val="0"/>
      <w:divBdr>
        <w:top w:val="none" w:sz="0" w:space="0" w:color="auto"/>
        <w:left w:val="none" w:sz="0" w:space="0" w:color="auto"/>
        <w:bottom w:val="none" w:sz="0" w:space="0" w:color="auto"/>
        <w:right w:val="none" w:sz="0" w:space="0" w:color="auto"/>
      </w:divBdr>
    </w:div>
    <w:div w:id="950011770">
      <w:bodyDiv w:val="1"/>
      <w:marLeft w:val="0"/>
      <w:marRight w:val="0"/>
      <w:marTop w:val="0"/>
      <w:marBottom w:val="0"/>
      <w:divBdr>
        <w:top w:val="none" w:sz="0" w:space="0" w:color="auto"/>
        <w:left w:val="none" w:sz="0" w:space="0" w:color="auto"/>
        <w:bottom w:val="none" w:sz="0" w:space="0" w:color="auto"/>
        <w:right w:val="none" w:sz="0" w:space="0" w:color="auto"/>
      </w:divBdr>
    </w:div>
    <w:div w:id="957495770">
      <w:bodyDiv w:val="1"/>
      <w:marLeft w:val="0"/>
      <w:marRight w:val="0"/>
      <w:marTop w:val="0"/>
      <w:marBottom w:val="0"/>
      <w:divBdr>
        <w:top w:val="none" w:sz="0" w:space="0" w:color="auto"/>
        <w:left w:val="none" w:sz="0" w:space="0" w:color="auto"/>
        <w:bottom w:val="none" w:sz="0" w:space="0" w:color="auto"/>
        <w:right w:val="none" w:sz="0" w:space="0" w:color="auto"/>
      </w:divBdr>
    </w:div>
    <w:div w:id="971909765">
      <w:bodyDiv w:val="1"/>
      <w:marLeft w:val="0"/>
      <w:marRight w:val="0"/>
      <w:marTop w:val="0"/>
      <w:marBottom w:val="0"/>
      <w:divBdr>
        <w:top w:val="none" w:sz="0" w:space="0" w:color="auto"/>
        <w:left w:val="none" w:sz="0" w:space="0" w:color="auto"/>
        <w:bottom w:val="none" w:sz="0" w:space="0" w:color="auto"/>
        <w:right w:val="none" w:sz="0" w:space="0" w:color="auto"/>
      </w:divBdr>
    </w:div>
    <w:div w:id="1014838783">
      <w:bodyDiv w:val="1"/>
      <w:marLeft w:val="0"/>
      <w:marRight w:val="0"/>
      <w:marTop w:val="0"/>
      <w:marBottom w:val="0"/>
      <w:divBdr>
        <w:top w:val="none" w:sz="0" w:space="0" w:color="auto"/>
        <w:left w:val="none" w:sz="0" w:space="0" w:color="auto"/>
        <w:bottom w:val="none" w:sz="0" w:space="0" w:color="auto"/>
        <w:right w:val="none" w:sz="0" w:space="0" w:color="auto"/>
      </w:divBdr>
    </w:div>
    <w:div w:id="1071122971">
      <w:bodyDiv w:val="1"/>
      <w:marLeft w:val="0"/>
      <w:marRight w:val="0"/>
      <w:marTop w:val="0"/>
      <w:marBottom w:val="0"/>
      <w:divBdr>
        <w:top w:val="none" w:sz="0" w:space="0" w:color="auto"/>
        <w:left w:val="none" w:sz="0" w:space="0" w:color="auto"/>
        <w:bottom w:val="none" w:sz="0" w:space="0" w:color="auto"/>
        <w:right w:val="none" w:sz="0" w:space="0" w:color="auto"/>
      </w:divBdr>
    </w:div>
    <w:div w:id="1080641472">
      <w:bodyDiv w:val="1"/>
      <w:marLeft w:val="0"/>
      <w:marRight w:val="0"/>
      <w:marTop w:val="0"/>
      <w:marBottom w:val="0"/>
      <w:divBdr>
        <w:top w:val="none" w:sz="0" w:space="0" w:color="auto"/>
        <w:left w:val="none" w:sz="0" w:space="0" w:color="auto"/>
        <w:bottom w:val="none" w:sz="0" w:space="0" w:color="auto"/>
        <w:right w:val="none" w:sz="0" w:space="0" w:color="auto"/>
      </w:divBdr>
    </w:div>
    <w:div w:id="1107385231">
      <w:bodyDiv w:val="1"/>
      <w:marLeft w:val="0"/>
      <w:marRight w:val="0"/>
      <w:marTop w:val="0"/>
      <w:marBottom w:val="0"/>
      <w:divBdr>
        <w:top w:val="none" w:sz="0" w:space="0" w:color="auto"/>
        <w:left w:val="none" w:sz="0" w:space="0" w:color="auto"/>
        <w:bottom w:val="none" w:sz="0" w:space="0" w:color="auto"/>
        <w:right w:val="none" w:sz="0" w:space="0" w:color="auto"/>
      </w:divBdr>
    </w:div>
    <w:div w:id="1356006403">
      <w:bodyDiv w:val="1"/>
      <w:marLeft w:val="0"/>
      <w:marRight w:val="0"/>
      <w:marTop w:val="0"/>
      <w:marBottom w:val="0"/>
      <w:divBdr>
        <w:top w:val="none" w:sz="0" w:space="0" w:color="auto"/>
        <w:left w:val="none" w:sz="0" w:space="0" w:color="auto"/>
        <w:bottom w:val="none" w:sz="0" w:space="0" w:color="auto"/>
        <w:right w:val="none" w:sz="0" w:space="0" w:color="auto"/>
      </w:divBdr>
    </w:div>
    <w:div w:id="1377244566">
      <w:bodyDiv w:val="1"/>
      <w:marLeft w:val="0"/>
      <w:marRight w:val="0"/>
      <w:marTop w:val="0"/>
      <w:marBottom w:val="0"/>
      <w:divBdr>
        <w:top w:val="none" w:sz="0" w:space="0" w:color="auto"/>
        <w:left w:val="none" w:sz="0" w:space="0" w:color="auto"/>
        <w:bottom w:val="none" w:sz="0" w:space="0" w:color="auto"/>
        <w:right w:val="none" w:sz="0" w:space="0" w:color="auto"/>
      </w:divBdr>
    </w:div>
    <w:div w:id="1411149574">
      <w:bodyDiv w:val="1"/>
      <w:marLeft w:val="0"/>
      <w:marRight w:val="0"/>
      <w:marTop w:val="0"/>
      <w:marBottom w:val="0"/>
      <w:divBdr>
        <w:top w:val="none" w:sz="0" w:space="0" w:color="auto"/>
        <w:left w:val="none" w:sz="0" w:space="0" w:color="auto"/>
        <w:bottom w:val="none" w:sz="0" w:space="0" w:color="auto"/>
        <w:right w:val="none" w:sz="0" w:space="0" w:color="auto"/>
      </w:divBdr>
    </w:div>
    <w:div w:id="1461651175">
      <w:bodyDiv w:val="1"/>
      <w:marLeft w:val="0"/>
      <w:marRight w:val="0"/>
      <w:marTop w:val="0"/>
      <w:marBottom w:val="0"/>
      <w:divBdr>
        <w:top w:val="none" w:sz="0" w:space="0" w:color="auto"/>
        <w:left w:val="none" w:sz="0" w:space="0" w:color="auto"/>
        <w:bottom w:val="none" w:sz="0" w:space="0" w:color="auto"/>
        <w:right w:val="none" w:sz="0" w:space="0" w:color="auto"/>
      </w:divBdr>
    </w:div>
    <w:div w:id="1469085263">
      <w:bodyDiv w:val="1"/>
      <w:marLeft w:val="0"/>
      <w:marRight w:val="0"/>
      <w:marTop w:val="0"/>
      <w:marBottom w:val="0"/>
      <w:divBdr>
        <w:top w:val="none" w:sz="0" w:space="0" w:color="auto"/>
        <w:left w:val="none" w:sz="0" w:space="0" w:color="auto"/>
        <w:bottom w:val="none" w:sz="0" w:space="0" w:color="auto"/>
        <w:right w:val="none" w:sz="0" w:space="0" w:color="auto"/>
      </w:divBdr>
    </w:div>
    <w:div w:id="1527644453">
      <w:bodyDiv w:val="1"/>
      <w:marLeft w:val="0"/>
      <w:marRight w:val="0"/>
      <w:marTop w:val="0"/>
      <w:marBottom w:val="0"/>
      <w:divBdr>
        <w:top w:val="none" w:sz="0" w:space="0" w:color="auto"/>
        <w:left w:val="none" w:sz="0" w:space="0" w:color="auto"/>
        <w:bottom w:val="none" w:sz="0" w:space="0" w:color="auto"/>
        <w:right w:val="none" w:sz="0" w:space="0" w:color="auto"/>
      </w:divBdr>
    </w:div>
    <w:div w:id="1531919003">
      <w:bodyDiv w:val="1"/>
      <w:marLeft w:val="0"/>
      <w:marRight w:val="0"/>
      <w:marTop w:val="0"/>
      <w:marBottom w:val="0"/>
      <w:divBdr>
        <w:top w:val="none" w:sz="0" w:space="0" w:color="auto"/>
        <w:left w:val="none" w:sz="0" w:space="0" w:color="auto"/>
        <w:bottom w:val="none" w:sz="0" w:space="0" w:color="auto"/>
        <w:right w:val="none" w:sz="0" w:space="0" w:color="auto"/>
      </w:divBdr>
    </w:div>
    <w:div w:id="1559125373">
      <w:bodyDiv w:val="1"/>
      <w:marLeft w:val="0"/>
      <w:marRight w:val="0"/>
      <w:marTop w:val="0"/>
      <w:marBottom w:val="0"/>
      <w:divBdr>
        <w:top w:val="none" w:sz="0" w:space="0" w:color="auto"/>
        <w:left w:val="none" w:sz="0" w:space="0" w:color="auto"/>
        <w:bottom w:val="none" w:sz="0" w:space="0" w:color="auto"/>
        <w:right w:val="none" w:sz="0" w:space="0" w:color="auto"/>
      </w:divBdr>
    </w:div>
    <w:div w:id="1587301398">
      <w:bodyDiv w:val="1"/>
      <w:marLeft w:val="0"/>
      <w:marRight w:val="0"/>
      <w:marTop w:val="0"/>
      <w:marBottom w:val="0"/>
      <w:divBdr>
        <w:top w:val="none" w:sz="0" w:space="0" w:color="auto"/>
        <w:left w:val="none" w:sz="0" w:space="0" w:color="auto"/>
        <w:bottom w:val="none" w:sz="0" w:space="0" w:color="auto"/>
        <w:right w:val="none" w:sz="0" w:space="0" w:color="auto"/>
      </w:divBdr>
    </w:div>
    <w:div w:id="1667971499">
      <w:bodyDiv w:val="1"/>
      <w:marLeft w:val="0"/>
      <w:marRight w:val="0"/>
      <w:marTop w:val="0"/>
      <w:marBottom w:val="0"/>
      <w:divBdr>
        <w:top w:val="none" w:sz="0" w:space="0" w:color="auto"/>
        <w:left w:val="none" w:sz="0" w:space="0" w:color="auto"/>
        <w:bottom w:val="none" w:sz="0" w:space="0" w:color="auto"/>
        <w:right w:val="none" w:sz="0" w:space="0" w:color="auto"/>
      </w:divBdr>
    </w:div>
    <w:div w:id="1668628722">
      <w:bodyDiv w:val="1"/>
      <w:marLeft w:val="0"/>
      <w:marRight w:val="0"/>
      <w:marTop w:val="0"/>
      <w:marBottom w:val="0"/>
      <w:divBdr>
        <w:top w:val="none" w:sz="0" w:space="0" w:color="auto"/>
        <w:left w:val="none" w:sz="0" w:space="0" w:color="auto"/>
        <w:bottom w:val="none" w:sz="0" w:space="0" w:color="auto"/>
        <w:right w:val="none" w:sz="0" w:space="0" w:color="auto"/>
      </w:divBdr>
    </w:div>
    <w:div w:id="1676883865">
      <w:bodyDiv w:val="1"/>
      <w:marLeft w:val="0"/>
      <w:marRight w:val="0"/>
      <w:marTop w:val="0"/>
      <w:marBottom w:val="0"/>
      <w:divBdr>
        <w:top w:val="none" w:sz="0" w:space="0" w:color="auto"/>
        <w:left w:val="none" w:sz="0" w:space="0" w:color="auto"/>
        <w:bottom w:val="none" w:sz="0" w:space="0" w:color="auto"/>
        <w:right w:val="none" w:sz="0" w:space="0" w:color="auto"/>
      </w:divBdr>
    </w:div>
    <w:div w:id="1679576879">
      <w:bodyDiv w:val="1"/>
      <w:marLeft w:val="0"/>
      <w:marRight w:val="0"/>
      <w:marTop w:val="0"/>
      <w:marBottom w:val="0"/>
      <w:divBdr>
        <w:top w:val="none" w:sz="0" w:space="0" w:color="auto"/>
        <w:left w:val="none" w:sz="0" w:space="0" w:color="auto"/>
        <w:bottom w:val="none" w:sz="0" w:space="0" w:color="auto"/>
        <w:right w:val="none" w:sz="0" w:space="0" w:color="auto"/>
      </w:divBdr>
    </w:div>
    <w:div w:id="1690911935">
      <w:bodyDiv w:val="1"/>
      <w:marLeft w:val="0"/>
      <w:marRight w:val="0"/>
      <w:marTop w:val="0"/>
      <w:marBottom w:val="0"/>
      <w:divBdr>
        <w:top w:val="none" w:sz="0" w:space="0" w:color="auto"/>
        <w:left w:val="none" w:sz="0" w:space="0" w:color="auto"/>
        <w:bottom w:val="none" w:sz="0" w:space="0" w:color="auto"/>
        <w:right w:val="none" w:sz="0" w:space="0" w:color="auto"/>
      </w:divBdr>
    </w:div>
    <w:div w:id="1708987250">
      <w:bodyDiv w:val="1"/>
      <w:marLeft w:val="0"/>
      <w:marRight w:val="0"/>
      <w:marTop w:val="0"/>
      <w:marBottom w:val="0"/>
      <w:divBdr>
        <w:top w:val="none" w:sz="0" w:space="0" w:color="auto"/>
        <w:left w:val="none" w:sz="0" w:space="0" w:color="auto"/>
        <w:bottom w:val="none" w:sz="0" w:space="0" w:color="auto"/>
        <w:right w:val="none" w:sz="0" w:space="0" w:color="auto"/>
      </w:divBdr>
    </w:div>
    <w:div w:id="1716081254">
      <w:bodyDiv w:val="1"/>
      <w:marLeft w:val="0"/>
      <w:marRight w:val="0"/>
      <w:marTop w:val="0"/>
      <w:marBottom w:val="0"/>
      <w:divBdr>
        <w:top w:val="none" w:sz="0" w:space="0" w:color="auto"/>
        <w:left w:val="none" w:sz="0" w:space="0" w:color="auto"/>
        <w:bottom w:val="none" w:sz="0" w:space="0" w:color="auto"/>
        <w:right w:val="none" w:sz="0" w:space="0" w:color="auto"/>
      </w:divBdr>
    </w:div>
    <w:div w:id="1775595262">
      <w:bodyDiv w:val="1"/>
      <w:marLeft w:val="0"/>
      <w:marRight w:val="0"/>
      <w:marTop w:val="0"/>
      <w:marBottom w:val="0"/>
      <w:divBdr>
        <w:top w:val="none" w:sz="0" w:space="0" w:color="auto"/>
        <w:left w:val="none" w:sz="0" w:space="0" w:color="auto"/>
        <w:bottom w:val="none" w:sz="0" w:space="0" w:color="auto"/>
        <w:right w:val="none" w:sz="0" w:space="0" w:color="auto"/>
      </w:divBdr>
    </w:div>
    <w:div w:id="1796563017">
      <w:bodyDiv w:val="1"/>
      <w:marLeft w:val="0"/>
      <w:marRight w:val="0"/>
      <w:marTop w:val="0"/>
      <w:marBottom w:val="0"/>
      <w:divBdr>
        <w:top w:val="none" w:sz="0" w:space="0" w:color="auto"/>
        <w:left w:val="none" w:sz="0" w:space="0" w:color="auto"/>
        <w:bottom w:val="none" w:sz="0" w:space="0" w:color="auto"/>
        <w:right w:val="none" w:sz="0" w:space="0" w:color="auto"/>
      </w:divBdr>
    </w:div>
    <w:div w:id="1803420129">
      <w:bodyDiv w:val="1"/>
      <w:marLeft w:val="0"/>
      <w:marRight w:val="0"/>
      <w:marTop w:val="0"/>
      <w:marBottom w:val="0"/>
      <w:divBdr>
        <w:top w:val="none" w:sz="0" w:space="0" w:color="auto"/>
        <w:left w:val="none" w:sz="0" w:space="0" w:color="auto"/>
        <w:bottom w:val="none" w:sz="0" w:space="0" w:color="auto"/>
        <w:right w:val="none" w:sz="0" w:space="0" w:color="auto"/>
      </w:divBdr>
    </w:div>
    <w:div w:id="1853031856">
      <w:bodyDiv w:val="1"/>
      <w:marLeft w:val="0"/>
      <w:marRight w:val="0"/>
      <w:marTop w:val="0"/>
      <w:marBottom w:val="0"/>
      <w:divBdr>
        <w:top w:val="none" w:sz="0" w:space="0" w:color="auto"/>
        <w:left w:val="none" w:sz="0" w:space="0" w:color="auto"/>
        <w:bottom w:val="none" w:sz="0" w:space="0" w:color="auto"/>
        <w:right w:val="none" w:sz="0" w:space="0" w:color="auto"/>
      </w:divBdr>
    </w:div>
    <w:div w:id="1884440650">
      <w:bodyDiv w:val="1"/>
      <w:marLeft w:val="0"/>
      <w:marRight w:val="0"/>
      <w:marTop w:val="0"/>
      <w:marBottom w:val="0"/>
      <w:divBdr>
        <w:top w:val="none" w:sz="0" w:space="0" w:color="auto"/>
        <w:left w:val="none" w:sz="0" w:space="0" w:color="auto"/>
        <w:bottom w:val="none" w:sz="0" w:space="0" w:color="auto"/>
        <w:right w:val="none" w:sz="0" w:space="0" w:color="auto"/>
      </w:divBdr>
    </w:div>
    <w:div w:id="1949002003">
      <w:bodyDiv w:val="1"/>
      <w:marLeft w:val="0"/>
      <w:marRight w:val="0"/>
      <w:marTop w:val="0"/>
      <w:marBottom w:val="0"/>
      <w:divBdr>
        <w:top w:val="none" w:sz="0" w:space="0" w:color="auto"/>
        <w:left w:val="none" w:sz="0" w:space="0" w:color="auto"/>
        <w:bottom w:val="none" w:sz="0" w:space="0" w:color="auto"/>
        <w:right w:val="none" w:sz="0" w:space="0" w:color="auto"/>
      </w:divBdr>
    </w:div>
    <w:div w:id="2039156739">
      <w:bodyDiv w:val="1"/>
      <w:marLeft w:val="0"/>
      <w:marRight w:val="0"/>
      <w:marTop w:val="0"/>
      <w:marBottom w:val="0"/>
      <w:divBdr>
        <w:top w:val="none" w:sz="0" w:space="0" w:color="auto"/>
        <w:left w:val="none" w:sz="0" w:space="0" w:color="auto"/>
        <w:bottom w:val="none" w:sz="0" w:space="0" w:color="auto"/>
        <w:right w:val="none" w:sz="0" w:space="0" w:color="auto"/>
      </w:divBdr>
    </w:div>
    <w:div w:id="210182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hyperlink" Target="http://www.safeworkaustralia.gov.au/sites/swa/about/publications/pages/explanatory-notes-datasets"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http://www.safeworkaustralia.gov.au/sites/swa/about/publications/pages/australian-work-health-and-safety-strategy-2012-2022" TargetMode="External"/><Relationship Id="rId7" Type="http://schemas.openxmlformats.org/officeDocument/2006/relationships/footnotes" Target="footnotes.xml"/><Relationship Id="rId12" Type="http://schemas.openxmlformats.org/officeDocument/2006/relationships/hyperlink" Target="mailto:copyrightrequests@swa.gov.au" TargetMode="External"/><Relationship Id="rId17" Type="http://schemas.openxmlformats.org/officeDocument/2006/relationships/chart" Target="charts/chart5.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hyperlink" Target="http://www.abs.gov.au/ausstats/abs@.nsf/allprimarymainfeatures/a77d93484dc49d63ca25712300056842?opendocume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3.0/au/deed.en"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hyperlink" Target="http://www.abs.gov.au/ausstats/abs@.nsf/mf/6291.0.55.00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2.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PNAS002\KT2799$\My%20Documents\D16-9854%20Figures%20and%20alternate%20text%20for%20agricultural%20report.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prodapp\stats_data\Data%20and%20Analysis\Publications\Australian%20Strategy%20Publications\Priority%20industries\Agriculture\data\tif,%202010%20to%202014.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prodapp\stats_data\Data%20and%20Analysis\Publications\Australian%20Strategy%20Publications\Priority%20industries\Agriculture\data\nds,%20industry%20subdivisions,%202000-01%20to%202013-14.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prodapp\stats_data\Data%20and%20Analysis\Publications\Australian%20Strategy%20Publications\Priority%20industries\Agriculture\data\nds,%20industry%20groups,%202000-01%20to%202013-1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prodapp\stats_data\Data%20and%20Analysis\Publications\Australian%20Strategy%20Publications\Priority%20industries\Agriculture\data\nds,%20jurisdiction,%202009-10%20to%202013-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2722779548626055"/>
          <c:y val="3.8596480564586109E-2"/>
          <c:w val="0.51861967672994125"/>
          <c:h val="0.82879950818545434"/>
        </c:manualLayout>
      </c:layout>
      <c:barChart>
        <c:barDir val="bar"/>
        <c:grouping val="clustered"/>
        <c:varyColors val="0"/>
        <c:ser>
          <c:idx val="0"/>
          <c:order val="0"/>
          <c:spPr>
            <a:solidFill>
              <a:schemeClr val="tx1">
                <a:lumMod val="65000"/>
                <a:lumOff val="35000"/>
              </a:schemeClr>
            </a:solidFill>
          </c:spPr>
          <c:invertIfNegative val="0"/>
          <c:dPt>
            <c:idx val="4"/>
            <c:invertIfNegative val="0"/>
            <c:bubble3D val="0"/>
          </c:dPt>
          <c:dPt>
            <c:idx val="18"/>
            <c:invertIfNegative val="0"/>
            <c:bubble3D val="0"/>
            <c:spPr>
              <a:solidFill>
                <a:srgbClr val="00B050"/>
              </a:solidFill>
            </c:spPr>
          </c:dPt>
          <c:dPt>
            <c:idx val="19"/>
            <c:invertIfNegative val="0"/>
            <c:bubble3D val="0"/>
            <c:spPr>
              <a:solidFill>
                <a:srgbClr val="00B050"/>
              </a:solidFill>
            </c:spPr>
          </c:dPt>
          <c:dPt>
            <c:idx val="20"/>
            <c:invertIfNegative val="0"/>
            <c:bubble3D val="0"/>
            <c:spPr>
              <a:solidFill>
                <a:srgbClr val="00B050"/>
              </a:solidFill>
            </c:spPr>
          </c:dPt>
          <c:dLbls>
            <c:delete val="1"/>
          </c:dLbls>
          <c:cat>
            <c:strRef>
              <c:f>'Figure 1'!$A$2:$A$20</c:f>
              <c:strCache>
                <c:ptCount val="19"/>
                <c:pt idx="0">
                  <c:v>All industries</c:v>
                </c:pt>
                <c:pt idx="1">
                  <c:v>Education and training</c:v>
                </c:pt>
                <c:pt idx="2">
                  <c:v>Health care and social assistance</c:v>
                </c:pt>
                <c:pt idx="3">
                  <c:v>Accommodation and food services</c:v>
                </c:pt>
                <c:pt idx="4">
                  <c:v>Professional, scientific and technical services</c:v>
                </c:pt>
                <c:pt idx="5">
                  <c:v>Retail trade</c:v>
                </c:pt>
                <c:pt idx="6">
                  <c:v>Information media and telecommunications</c:v>
                </c:pt>
                <c:pt idx="7">
                  <c:v>Other services</c:v>
                </c:pt>
                <c:pt idx="8">
                  <c:v>Public administration and safety</c:v>
                </c:pt>
                <c:pt idx="9">
                  <c:v>Rental, hiring and real estate services</c:v>
                </c:pt>
                <c:pt idx="10">
                  <c:v>Wholesale trade</c:v>
                </c:pt>
                <c:pt idx="11">
                  <c:v>Administrative and support services</c:v>
                </c:pt>
                <c:pt idx="12">
                  <c:v>Manufacturing</c:v>
                </c:pt>
                <c:pt idx="13">
                  <c:v>Electricity, gas, water and waste services</c:v>
                </c:pt>
                <c:pt idx="14">
                  <c:v>Mining</c:v>
                </c:pt>
                <c:pt idx="15">
                  <c:v>Arts and recreation services</c:v>
                </c:pt>
                <c:pt idx="16">
                  <c:v>Construction</c:v>
                </c:pt>
                <c:pt idx="17">
                  <c:v>Transport, postal and warehousing</c:v>
                </c:pt>
                <c:pt idx="18">
                  <c:v>Agricultural industry</c:v>
                </c:pt>
              </c:strCache>
            </c:strRef>
          </c:cat>
          <c:val>
            <c:numRef>
              <c:f>'Figure 1'!$B$2:$B$20</c:f>
              <c:numCache>
                <c:formatCode>#,##0.0</c:formatCode>
                <c:ptCount val="19"/>
                <c:pt idx="0">
                  <c:v>1.8778005111228544</c:v>
                </c:pt>
                <c:pt idx="1">
                  <c:v>0.20630017822043173</c:v>
                </c:pt>
                <c:pt idx="2">
                  <c:v>0.21044324608707091</c:v>
                </c:pt>
                <c:pt idx="3">
                  <c:v>0.28833929671424269</c:v>
                </c:pt>
                <c:pt idx="4">
                  <c:v>0.36154923848691645</c:v>
                </c:pt>
                <c:pt idx="5">
                  <c:v>0.3647245086580625</c:v>
                </c:pt>
                <c:pt idx="6">
                  <c:v>0.75693064622953921</c:v>
                </c:pt>
                <c:pt idx="7">
                  <c:v>0.8272198881076257</c:v>
                </c:pt>
                <c:pt idx="8">
                  <c:v>1.0869442851769138</c:v>
                </c:pt>
                <c:pt idx="9">
                  <c:v>1.2933393025916529</c:v>
                </c:pt>
                <c:pt idx="10">
                  <c:v>1.7162751924680038</c:v>
                </c:pt>
                <c:pt idx="11">
                  <c:v>1.8003652169440085</c:v>
                </c:pt>
                <c:pt idx="12">
                  <c:v>1.8648809019242181</c:v>
                </c:pt>
                <c:pt idx="13">
                  <c:v>2.0519134092541296</c:v>
                </c:pt>
                <c:pt idx="14">
                  <c:v>3.1182184017023786</c:v>
                </c:pt>
                <c:pt idx="15">
                  <c:v>3.2211620586153882</c:v>
                </c:pt>
                <c:pt idx="16">
                  <c:v>3.273192552991004</c:v>
                </c:pt>
                <c:pt idx="17">
                  <c:v>8.4517002578631004</c:v>
                </c:pt>
                <c:pt idx="18">
                  <c:v>14.778901613307697</c:v>
                </c:pt>
              </c:numCache>
            </c:numRef>
          </c:val>
        </c:ser>
        <c:dLbls>
          <c:dLblPos val="outEnd"/>
          <c:showLegendKey val="0"/>
          <c:showVal val="1"/>
          <c:showCatName val="0"/>
          <c:showSerName val="0"/>
          <c:showPercent val="0"/>
          <c:showBubbleSize val="0"/>
        </c:dLbls>
        <c:gapWidth val="150"/>
        <c:axId val="184796288"/>
        <c:axId val="185431552"/>
      </c:barChart>
      <c:catAx>
        <c:axId val="184796288"/>
        <c:scaling>
          <c:orientation val="minMax"/>
        </c:scaling>
        <c:delete val="0"/>
        <c:axPos val="l"/>
        <c:numFmt formatCode="General" sourceLinked="1"/>
        <c:majorTickMark val="none"/>
        <c:minorTickMark val="out"/>
        <c:tickLblPos val="nextTo"/>
        <c:txPr>
          <a:bodyPr rot="0" vert="horz"/>
          <a:lstStyle/>
          <a:p>
            <a:pPr>
              <a:defRPr sz="800" b="0" i="0" u="none" strike="noStrike" baseline="0">
                <a:solidFill>
                  <a:srgbClr val="000000"/>
                </a:solidFill>
                <a:latin typeface="Arial"/>
                <a:ea typeface="Arial"/>
                <a:cs typeface="Arial"/>
              </a:defRPr>
            </a:pPr>
            <a:endParaRPr lang="en-US"/>
          </a:p>
        </c:txPr>
        <c:crossAx val="185431552"/>
        <c:crosses val="autoZero"/>
        <c:auto val="1"/>
        <c:lblAlgn val="ctr"/>
        <c:lblOffset val="100"/>
        <c:noMultiLvlLbl val="0"/>
      </c:catAx>
      <c:valAx>
        <c:axId val="185431552"/>
        <c:scaling>
          <c:orientation val="minMax"/>
          <c:max val="17"/>
          <c:min val="0"/>
        </c:scaling>
        <c:delete val="0"/>
        <c:axPos val="b"/>
        <c:majorGridlines/>
        <c:numFmt formatCode="0" sourceLinked="0"/>
        <c:majorTickMark val="out"/>
        <c:minorTickMark val="none"/>
        <c:tickLblPos val="nextTo"/>
        <c:txPr>
          <a:bodyPr rot="0" vert="horz"/>
          <a:lstStyle/>
          <a:p>
            <a:pPr>
              <a:defRPr sz="800" b="0" i="0" u="none" strike="noStrike" baseline="0">
                <a:solidFill>
                  <a:srgbClr val="000000"/>
                </a:solidFill>
                <a:latin typeface="Arial"/>
                <a:ea typeface="Arial"/>
                <a:cs typeface="Arial"/>
              </a:defRPr>
            </a:pPr>
            <a:endParaRPr lang="en-US"/>
          </a:p>
        </c:txPr>
        <c:crossAx val="184796288"/>
        <c:crosses val="autoZero"/>
        <c:crossBetween val="between"/>
      </c:valAx>
    </c:plotArea>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'2003-2014'!$O$11</c:f>
              <c:strCache>
                <c:ptCount val="1"/>
                <c:pt idx="0">
                  <c:v>Total</c:v>
                </c:pt>
              </c:strCache>
            </c:strRef>
          </c:tx>
          <c:spPr>
            <a:ln>
              <a:solidFill>
                <a:srgbClr val="00B050"/>
              </a:solidFill>
            </a:ln>
          </c:spPr>
          <c:marker>
            <c:symbol val="none"/>
          </c:marker>
          <c:dPt>
            <c:idx val="12"/>
            <c:bubble3D val="0"/>
            <c:spPr>
              <a:ln>
                <a:solidFill>
                  <a:srgbClr val="00B050"/>
                </a:solidFill>
                <a:prstDash val="sysDot"/>
              </a:ln>
            </c:spPr>
          </c:dPt>
          <c:cat>
            <c:numRef>
              <c:f>'2003-2014'!$P$1:$AA$1</c:f>
              <c:numCache>
                <c:formatCode>General</c:formatCode>
                <c:ptCount val="12"/>
                <c:pt idx="0">
                  <c:v>2003</c:v>
                </c:pt>
                <c:pt idx="1">
                  <c:v>2004</c:v>
                </c:pt>
                <c:pt idx="2">
                  <c:v>2005</c:v>
                </c:pt>
                <c:pt idx="3">
                  <c:v>2006</c:v>
                </c:pt>
                <c:pt idx="4">
                  <c:v>2007</c:v>
                </c:pt>
                <c:pt idx="5">
                  <c:v>2008</c:v>
                </c:pt>
                <c:pt idx="6">
                  <c:v>2009</c:v>
                </c:pt>
                <c:pt idx="7">
                  <c:v>2010</c:v>
                </c:pt>
                <c:pt idx="8">
                  <c:v>2011</c:v>
                </c:pt>
                <c:pt idx="9">
                  <c:v>2012</c:v>
                </c:pt>
                <c:pt idx="10">
                  <c:v>2013</c:v>
                </c:pt>
                <c:pt idx="11">
                  <c:v>2014</c:v>
                </c:pt>
              </c:numCache>
            </c:numRef>
          </c:cat>
          <c:val>
            <c:numRef>
              <c:f>'2003-2014'!$P$11:$AA$11</c:f>
              <c:numCache>
                <c:formatCode>0.0</c:formatCode>
                <c:ptCount val="12"/>
                <c:pt idx="0">
                  <c:v>16.569272875212661</c:v>
                </c:pt>
                <c:pt idx="1">
                  <c:v>18.262060569167552</c:v>
                </c:pt>
                <c:pt idx="2">
                  <c:v>15.036440352896049</c:v>
                </c:pt>
                <c:pt idx="3">
                  <c:v>12.146694697500584</c:v>
                </c:pt>
                <c:pt idx="4">
                  <c:v>13.634955066625347</c:v>
                </c:pt>
                <c:pt idx="5">
                  <c:v>16.600109623365437</c:v>
                </c:pt>
                <c:pt idx="6">
                  <c:v>15.885138231250959</c:v>
                </c:pt>
                <c:pt idx="7">
                  <c:v>15.798268266747684</c:v>
                </c:pt>
                <c:pt idx="8">
                  <c:v>17.092556191778481</c:v>
                </c:pt>
                <c:pt idx="9">
                  <c:v>14.240908705603117</c:v>
                </c:pt>
                <c:pt idx="10">
                  <c:v>14.031300593631949</c:v>
                </c:pt>
                <c:pt idx="11">
                  <c:v>12.630879175668937</c:v>
                </c:pt>
              </c:numCache>
            </c:numRef>
          </c:val>
          <c:smooth val="0"/>
        </c:ser>
        <c:ser>
          <c:idx val="1"/>
          <c:order val="1"/>
          <c:tx>
            <c:strRef>
              <c:f>'2003-2014'!$O$34</c:f>
              <c:strCache>
                <c:ptCount val="1"/>
                <c:pt idx="0">
                  <c:v>Total</c:v>
                </c:pt>
              </c:strCache>
            </c:strRef>
          </c:tx>
          <c:spPr>
            <a:ln>
              <a:solidFill>
                <a:schemeClr val="tx1">
                  <a:lumMod val="65000"/>
                  <a:lumOff val="35000"/>
                </a:schemeClr>
              </a:solidFill>
            </a:ln>
          </c:spPr>
          <c:marker>
            <c:symbol val="none"/>
          </c:marker>
          <c:dPt>
            <c:idx val="12"/>
            <c:bubble3D val="0"/>
            <c:spPr>
              <a:ln>
                <a:solidFill>
                  <a:schemeClr val="tx1">
                    <a:lumMod val="65000"/>
                    <a:lumOff val="35000"/>
                  </a:schemeClr>
                </a:solidFill>
                <a:prstDash val="sysDot"/>
              </a:ln>
            </c:spPr>
          </c:dPt>
          <c:cat>
            <c:numRef>
              <c:f>'2003-2014'!$P$1:$AA$1</c:f>
              <c:numCache>
                <c:formatCode>General</c:formatCode>
                <c:ptCount val="12"/>
                <c:pt idx="0">
                  <c:v>2003</c:v>
                </c:pt>
                <c:pt idx="1">
                  <c:v>2004</c:v>
                </c:pt>
                <c:pt idx="2">
                  <c:v>2005</c:v>
                </c:pt>
                <c:pt idx="3">
                  <c:v>2006</c:v>
                </c:pt>
                <c:pt idx="4">
                  <c:v>2007</c:v>
                </c:pt>
                <c:pt idx="5">
                  <c:v>2008</c:v>
                </c:pt>
                <c:pt idx="6">
                  <c:v>2009</c:v>
                </c:pt>
                <c:pt idx="7">
                  <c:v>2010</c:v>
                </c:pt>
                <c:pt idx="8">
                  <c:v>2011</c:v>
                </c:pt>
                <c:pt idx="9">
                  <c:v>2012</c:v>
                </c:pt>
                <c:pt idx="10">
                  <c:v>2013</c:v>
                </c:pt>
                <c:pt idx="11">
                  <c:v>2014</c:v>
                </c:pt>
              </c:numCache>
            </c:numRef>
          </c:cat>
          <c:val>
            <c:numRef>
              <c:f>'2003-2014'!$P$34:$AA$34</c:f>
              <c:numCache>
                <c:formatCode>0.0</c:formatCode>
                <c:ptCount val="12"/>
                <c:pt idx="0">
                  <c:v>2.7472998100173234</c:v>
                </c:pt>
                <c:pt idx="1">
                  <c:v>2.9671329688513461</c:v>
                </c:pt>
                <c:pt idx="2">
                  <c:v>2.5950798900897838</c:v>
                </c:pt>
                <c:pt idx="3">
                  <c:v>2.8013416256333414</c:v>
                </c:pt>
                <c:pt idx="4">
                  <c:v>2.9641146826488542</c:v>
                </c:pt>
                <c:pt idx="5">
                  <c:v>2.6238423342445758</c:v>
                </c:pt>
                <c:pt idx="6">
                  <c:v>2.3823737034329335</c:v>
                </c:pt>
                <c:pt idx="7">
                  <c:v>2.0636839283418342</c:v>
                </c:pt>
                <c:pt idx="8">
                  <c:v>1.9935266451968001</c:v>
                </c:pt>
                <c:pt idx="9">
                  <c:v>2.0136558401009537</c:v>
                </c:pt>
                <c:pt idx="10">
                  <c:v>1.7145333331824775</c:v>
                </c:pt>
                <c:pt idx="11">
                  <c:v>1.6176754794988029</c:v>
                </c:pt>
              </c:numCache>
            </c:numRef>
          </c:val>
          <c:smooth val="0"/>
        </c:ser>
        <c:dLbls>
          <c:showLegendKey val="0"/>
          <c:showVal val="0"/>
          <c:showCatName val="0"/>
          <c:showSerName val="0"/>
          <c:showPercent val="0"/>
          <c:showBubbleSize val="0"/>
        </c:dLbls>
        <c:marker val="1"/>
        <c:smooth val="0"/>
        <c:axId val="212004864"/>
        <c:axId val="212006400"/>
      </c:lineChart>
      <c:catAx>
        <c:axId val="212004864"/>
        <c:scaling>
          <c:orientation val="minMax"/>
        </c:scaling>
        <c:delete val="0"/>
        <c:axPos val="b"/>
        <c:numFmt formatCode="General" sourceLinked="1"/>
        <c:majorTickMark val="none"/>
        <c:minorTickMark val="out"/>
        <c:tickLblPos val="nextTo"/>
        <c:txPr>
          <a:bodyPr/>
          <a:lstStyle/>
          <a:p>
            <a:pPr algn="ctr" rtl="0">
              <a:defRPr/>
            </a:pPr>
            <a:endParaRPr lang="en-US"/>
          </a:p>
        </c:txPr>
        <c:crossAx val="212006400"/>
        <c:crosses val="autoZero"/>
        <c:auto val="1"/>
        <c:lblAlgn val="ctr"/>
        <c:lblOffset val="100"/>
        <c:noMultiLvlLbl val="0"/>
      </c:catAx>
      <c:valAx>
        <c:axId val="212006400"/>
        <c:scaling>
          <c:orientation val="minMax"/>
        </c:scaling>
        <c:delete val="0"/>
        <c:axPos val="l"/>
        <c:majorGridlines/>
        <c:title>
          <c:tx>
            <c:rich>
              <a:bodyPr rot="-5400000" vert="horz"/>
              <a:lstStyle/>
              <a:p>
                <a:pPr>
                  <a:defRPr/>
                </a:pPr>
                <a:r>
                  <a:rPr lang="en-AU" sz="800" b="0" i="0" u="none" strike="noStrike" baseline="0">
                    <a:effectLst/>
                  </a:rPr>
                  <a:t>Fatalities per 100 000 workers</a:t>
                </a:r>
                <a:endParaRPr lang="en-AU"/>
              </a:p>
            </c:rich>
          </c:tx>
          <c:layout>
            <c:manualLayout>
              <c:xMode val="edge"/>
              <c:yMode val="edge"/>
              <c:x val="1.0038189670735602E-2"/>
              <c:y val="0.25708645984128509"/>
            </c:manualLayout>
          </c:layout>
          <c:overlay val="0"/>
        </c:title>
        <c:numFmt formatCode="0" sourceLinked="0"/>
        <c:majorTickMark val="out"/>
        <c:minorTickMark val="none"/>
        <c:tickLblPos val="nextTo"/>
        <c:crossAx val="212004864"/>
        <c:crosses val="autoZero"/>
        <c:crossBetween val="between"/>
      </c:valAx>
    </c:plotArea>
    <c:plotVisOnly val="1"/>
    <c:dispBlanksAs val="gap"/>
    <c:showDLblsOverMax val="0"/>
  </c:chart>
  <c:txPr>
    <a:bodyPr/>
    <a:lstStyle/>
    <a:p>
      <a:pPr algn="ctr" rtl="0">
        <a:defRPr lang="en-AU"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2722779548626055"/>
          <c:y val="3.8596480564586109E-2"/>
          <c:w val="0.51861967672994125"/>
          <c:h val="0.82879950818545434"/>
        </c:manualLayout>
      </c:layout>
      <c:barChart>
        <c:barDir val="bar"/>
        <c:grouping val="clustered"/>
        <c:varyColors val="0"/>
        <c:ser>
          <c:idx val="0"/>
          <c:order val="0"/>
          <c:spPr>
            <a:solidFill>
              <a:schemeClr val="tx1">
                <a:lumMod val="65000"/>
                <a:lumOff val="35000"/>
              </a:schemeClr>
            </a:solidFill>
          </c:spPr>
          <c:invertIfNegative val="0"/>
          <c:dPt>
            <c:idx val="4"/>
            <c:invertIfNegative val="0"/>
            <c:bubble3D val="0"/>
          </c:dPt>
          <c:dPt>
            <c:idx val="19"/>
            <c:invertIfNegative val="0"/>
            <c:bubble3D val="0"/>
            <c:spPr>
              <a:solidFill>
                <a:srgbClr val="00B050"/>
              </a:solidFill>
              <a:ln>
                <a:solidFill>
                  <a:srgbClr val="00B050"/>
                </a:solidFill>
              </a:ln>
            </c:spPr>
          </c:dPt>
          <c:dPt>
            <c:idx val="20"/>
            <c:invertIfNegative val="0"/>
            <c:bubble3D val="0"/>
            <c:spPr>
              <a:solidFill>
                <a:srgbClr val="00B050"/>
              </a:solidFill>
            </c:spPr>
          </c:dPt>
          <c:dLbls>
            <c:delete val="1"/>
          </c:dLbls>
          <c:cat>
            <c:strRef>
              <c:f>Output!$A$7:$A$26</c:f>
              <c:strCache>
                <c:ptCount val="20"/>
                <c:pt idx="0">
                  <c:v>All industries</c:v>
                </c:pt>
                <c:pt idx="1">
                  <c:v>Financial and insurance services</c:v>
                </c:pt>
                <c:pt idx="2">
                  <c:v>Professional, scientific and technical services</c:v>
                </c:pt>
                <c:pt idx="3">
                  <c:v>Information media and telecommunications</c:v>
                </c:pt>
                <c:pt idx="4">
                  <c:v>Rental, hiring and real estate services</c:v>
                </c:pt>
                <c:pt idx="5">
                  <c:v>Electricity, gas, water and waste services</c:v>
                </c:pt>
                <c:pt idx="6">
                  <c:v>Education and training</c:v>
                </c:pt>
                <c:pt idx="7">
                  <c:v>Mining</c:v>
                </c:pt>
                <c:pt idx="8">
                  <c:v>Other services</c:v>
                </c:pt>
                <c:pt idx="9">
                  <c:v>Retail trade</c:v>
                </c:pt>
                <c:pt idx="10">
                  <c:v>Accommodation and food services</c:v>
                </c:pt>
                <c:pt idx="11">
                  <c:v>Wholesale trade</c:v>
                </c:pt>
                <c:pt idx="12">
                  <c:v>Arts and recreation services</c:v>
                </c:pt>
                <c:pt idx="13">
                  <c:v>Administrative and support services</c:v>
                </c:pt>
                <c:pt idx="14">
                  <c:v>Public administration and safety</c:v>
                </c:pt>
                <c:pt idx="15">
                  <c:v>Construction</c:v>
                </c:pt>
                <c:pt idx="16">
                  <c:v>Manufacturing</c:v>
                </c:pt>
                <c:pt idx="17">
                  <c:v>Health care and social assistance</c:v>
                </c:pt>
                <c:pt idx="18">
                  <c:v>Transport, postal and warehousing</c:v>
                </c:pt>
                <c:pt idx="19">
                  <c:v>Agricultural industry</c:v>
                </c:pt>
              </c:strCache>
            </c:strRef>
          </c:cat>
          <c:val>
            <c:numRef>
              <c:f>Output!$B$7:$B$26</c:f>
              <c:numCache>
                <c:formatCode>0.0</c:formatCode>
                <c:ptCount val="20"/>
                <c:pt idx="0">
                  <c:v>6.8788915656707799</c:v>
                </c:pt>
                <c:pt idx="1">
                  <c:v>1.3010321656268922</c:v>
                </c:pt>
                <c:pt idx="2">
                  <c:v>1.4643239833989827</c:v>
                </c:pt>
                <c:pt idx="3">
                  <c:v>1.8815891352633771</c:v>
                </c:pt>
                <c:pt idx="4">
                  <c:v>3.8404161772129699</c:v>
                </c:pt>
                <c:pt idx="5">
                  <c:v>4.7726674058996528</c:v>
                </c:pt>
                <c:pt idx="6">
                  <c:v>4.9649962000876489</c:v>
                </c:pt>
                <c:pt idx="7">
                  <c:v>5.2041121631078964</c:v>
                </c:pt>
                <c:pt idx="8">
                  <c:v>5.6615084491760772</c:v>
                </c:pt>
                <c:pt idx="9">
                  <c:v>5.9334167003780482</c:v>
                </c:pt>
                <c:pt idx="10">
                  <c:v>6.685161673957178</c:v>
                </c:pt>
                <c:pt idx="11">
                  <c:v>7.3764831422715673</c:v>
                </c:pt>
                <c:pt idx="12">
                  <c:v>7.8904804868160561</c:v>
                </c:pt>
                <c:pt idx="13">
                  <c:v>8.0141683828563348</c:v>
                </c:pt>
                <c:pt idx="14">
                  <c:v>8.0303502602359558</c:v>
                </c:pt>
                <c:pt idx="15">
                  <c:v>8.4692652242270583</c:v>
                </c:pt>
                <c:pt idx="16">
                  <c:v>9.6717935583372974</c:v>
                </c:pt>
                <c:pt idx="17">
                  <c:v>9.9484043877573622</c:v>
                </c:pt>
                <c:pt idx="18">
                  <c:v>10.801591140285074</c:v>
                </c:pt>
                <c:pt idx="19">
                  <c:v>11.03294753471706</c:v>
                </c:pt>
              </c:numCache>
            </c:numRef>
          </c:val>
        </c:ser>
        <c:dLbls>
          <c:dLblPos val="outEnd"/>
          <c:showLegendKey val="0"/>
          <c:showVal val="1"/>
          <c:showCatName val="0"/>
          <c:showSerName val="0"/>
          <c:showPercent val="0"/>
          <c:showBubbleSize val="0"/>
        </c:dLbls>
        <c:gapWidth val="150"/>
        <c:axId val="214125568"/>
        <c:axId val="214131456"/>
      </c:barChart>
      <c:catAx>
        <c:axId val="214125568"/>
        <c:scaling>
          <c:orientation val="minMax"/>
        </c:scaling>
        <c:delete val="0"/>
        <c:axPos val="l"/>
        <c:numFmt formatCode="General" sourceLinked="1"/>
        <c:majorTickMark val="none"/>
        <c:minorTickMark val="out"/>
        <c:tickLblPos val="nextTo"/>
        <c:txPr>
          <a:bodyPr rot="0" vert="horz"/>
          <a:lstStyle/>
          <a:p>
            <a:pPr>
              <a:defRPr sz="800" b="0" i="0" u="none" strike="noStrike" baseline="0">
                <a:solidFill>
                  <a:srgbClr val="000000"/>
                </a:solidFill>
                <a:latin typeface="Arial"/>
                <a:ea typeface="Arial"/>
                <a:cs typeface="Arial"/>
              </a:defRPr>
            </a:pPr>
            <a:endParaRPr lang="en-US"/>
          </a:p>
        </c:txPr>
        <c:crossAx val="214131456"/>
        <c:crosses val="autoZero"/>
        <c:auto val="1"/>
        <c:lblAlgn val="ctr"/>
        <c:lblOffset val="100"/>
        <c:noMultiLvlLbl val="0"/>
      </c:catAx>
      <c:valAx>
        <c:axId val="214131456"/>
        <c:scaling>
          <c:orientation val="minMax"/>
        </c:scaling>
        <c:delete val="0"/>
        <c:axPos val="b"/>
        <c:majorGridlines/>
        <c:numFmt formatCode="0" sourceLinked="0"/>
        <c:majorTickMark val="out"/>
        <c:minorTickMark val="none"/>
        <c:tickLblPos val="nextTo"/>
        <c:txPr>
          <a:bodyPr rot="0" vert="horz"/>
          <a:lstStyle/>
          <a:p>
            <a:pPr>
              <a:defRPr sz="800" b="0" i="0" u="none" strike="noStrike" baseline="0">
                <a:solidFill>
                  <a:srgbClr val="000000"/>
                </a:solidFill>
                <a:latin typeface="Arial"/>
                <a:ea typeface="Arial"/>
                <a:cs typeface="Arial"/>
              </a:defRPr>
            </a:pPr>
            <a:endParaRPr lang="en-US"/>
          </a:p>
        </c:txPr>
        <c:crossAx val="214125568"/>
        <c:crosses val="autoZero"/>
        <c:crossBetween val="between"/>
      </c:valAx>
    </c:plotArea>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Industry!$A$2</c:f>
              <c:strCache>
                <c:ptCount val="1"/>
                <c:pt idx="0">
                  <c:v>Agriculture</c:v>
                </c:pt>
              </c:strCache>
            </c:strRef>
          </c:tx>
          <c:spPr>
            <a:ln>
              <a:solidFill>
                <a:srgbClr val="00B050"/>
              </a:solidFill>
            </a:ln>
          </c:spPr>
          <c:marker>
            <c:symbol val="none"/>
          </c:marker>
          <c:dPt>
            <c:idx val="12"/>
            <c:bubble3D val="0"/>
            <c:spPr>
              <a:ln>
                <a:solidFill>
                  <a:srgbClr val="00B050"/>
                </a:solidFill>
                <a:prstDash val="solid"/>
              </a:ln>
            </c:spPr>
          </c:dPt>
          <c:dPt>
            <c:idx val="13"/>
            <c:bubble3D val="0"/>
            <c:spPr>
              <a:ln>
                <a:solidFill>
                  <a:srgbClr val="00B050"/>
                </a:solidFill>
                <a:prstDash val="sysDot"/>
              </a:ln>
            </c:spPr>
          </c:dPt>
          <c:cat>
            <c:strRef>
              <c:f>Industry!$B$1:$O$1</c:f>
              <c:strCache>
                <c:ptCount val="14"/>
                <c:pt idx="0">
                  <c:v>2000-01</c:v>
                </c:pt>
                <c:pt idx="1">
                  <c:v>2001-02</c:v>
                </c:pt>
                <c:pt idx="2">
                  <c:v>2002-03</c:v>
                </c:pt>
                <c:pt idx="3">
                  <c:v>2003-04</c:v>
                </c:pt>
                <c:pt idx="4">
                  <c:v>2004-05</c:v>
                </c:pt>
                <c:pt idx="5">
                  <c:v>2005-06</c:v>
                </c:pt>
                <c:pt idx="6">
                  <c:v>2006-07</c:v>
                </c:pt>
                <c:pt idx="7">
                  <c:v>2007-08</c:v>
                </c:pt>
                <c:pt idx="8">
                  <c:v>2008-09</c:v>
                </c:pt>
                <c:pt idx="9">
                  <c:v>2009-10</c:v>
                </c:pt>
                <c:pt idx="10">
                  <c:v>2010-11</c:v>
                </c:pt>
                <c:pt idx="11">
                  <c:v>2011-12</c:v>
                </c:pt>
                <c:pt idx="12">
                  <c:v>2012-13</c:v>
                </c:pt>
                <c:pt idx="13">
                  <c:v>2013-14p</c:v>
                </c:pt>
              </c:strCache>
            </c:strRef>
          </c:cat>
          <c:val>
            <c:numRef>
              <c:f>Industry!$B$2:$O$2</c:f>
              <c:numCache>
                <c:formatCode>0.0</c:formatCode>
                <c:ptCount val="14"/>
                <c:pt idx="0">
                  <c:v>13.997006797264056</c:v>
                </c:pt>
                <c:pt idx="1">
                  <c:v>12.247881634425008</c:v>
                </c:pt>
                <c:pt idx="2">
                  <c:v>14.135748933726276</c:v>
                </c:pt>
                <c:pt idx="3">
                  <c:v>13.69238274043459</c:v>
                </c:pt>
                <c:pt idx="4">
                  <c:v>13.492875114852037</c:v>
                </c:pt>
                <c:pt idx="5">
                  <c:v>13.237693832695831</c:v>
                </c:pt>
                <c:pt idx="6">
                  <c:v>12.540020709359917</c:v>
                </c:pt>
                <c:pt idx="7">
                  <c:v>12.42413541859951</c:v>
                </c:pt>
                <c:pt idx="8">
                  <c:v>11.745903752060334</c:v>
                </c:pt>
                <c:pt idx="9">
                  <c:v>10.859402668014999</c:v>
                </c:pt>
                <c:pt idx="10">
                  <c:v>9.8845366717014258</c:v>
                </c:pt>
                <c:pt idx="11">
                  <c:v>11.897336878566481</c:v>
                </c:pt>
                <c:pt idx="12">
                  <c:v>12.071581033696962</c:v>
                </c:pt>
                <c:pt idx="13">
                  <c:v>10.644267551054538</c:v>
                </c:pt>
              </c:numCache>
            </c:numRef>
          </c:val>
          <c:smooth val="0"/>
        </c:ser>
        <c:ser>
          <c:idx val="1"/>
          <c:order val="1"/>
          <c:tx>
            <c:strRef>
              <c:f>Industry!$A$3</c:f>
              <c:strCache>
                <c:ptCount val="1"/>
                <c:pt idx="0">
                  <c:v>All industries</c:v>
                </c:pt>
              </c:strCache>
            </c:strRef>
          </c:tx>
          <c:spPr>
            <a:ln>
              <a:solidFill>
                <a:schemeClr val="tx1">
                  <a:lumMod val="65000"/>
                  <a:lumOff val="35000"/>
                </a:schemeClr>
              </a:solidFill>
            </a:ln>
          </c:spPr>
          <c:marker>
            <c:symbol val="none"/>
          </c:marker>
          <c:dPt>
            <c:idx val="12"/>
            <c:bubble3D val="0"/>
            <c:spPr>
              <a:ln>
                <a:solidFill>
                  <a:schemeClr val="tx1">
                    <a:lumMod val="65000"/>
                    <a:lumOff val="35000"/>
                  </a:schemeClr>
                </a:solidFill>
                <a:prstDash val="solid"/>
              </a:ln>
            </c:spPr>
          </c:dPt>
          <c:dPt>
            <c:idx val="13"/>
            <c:bubble3D val="0"/>
            <c:spPr>
              <a:ln>
                <a:solidFill>
                  <a:schemeClr val="tx1">
                    <a:lumMod val="65000"/>
                    <a:lumOff val="35000"/>
                  </a:schemeClr>
                </a:solidFill>
                <a:prstDash val="sysDot"/>
              </a:ln>
            </c:spPr>
          </c:dPt>
          <c:cat>
            <c:strRef>
              <c:f>Industry!$B$1:$O$1</c:f>
              <c:strCache>
                <c:ptCount val="14"/>
                <c:pt idx="0">
                  <c:v>2000-01</c:v>
                </c:pt>
                <c:pt idx="1">
                  <c:v>2001-02</c:v>
                </c:pt>
                <c:pt idx="2">
                  <c:v>2002-03</c:v>
                </c:pt>
                <c:pt idx="3">
                  <c:v>2003-04</c:v>
                </c:pt>
                <c:pt idx="4">
                  <c:v>2004-05</c:v>
                </c:pt>
                <c:pt idx="5">
                  <c:v>2005-06</c:v>
                </c:pt>
                <c:pt idx="6">
                  <c:v>2006-07</c:v>
                </c:pt>
                <c:pt idx="7">
                  <c:v>2007-08</c:v>
                </c:pt>
                <c:pt idx="8">
                  <c:v>2008-09</c:v>
                </c:pt>
                <c:pt idx="9">
                  <c:v>2009-10</c:v>
                </c:pt>
                <c:pt idx="10">
                  <c:v>2010-11</c:v>
                </c:pt>
                <c:pt idx="11">
                  <c:v>2011-12</c:v>
                </c:pt>
                <c:pt idx="12">
                  <c:v>2012-13</c:v>
                </c:pt>
                <c:pt idx="13">
                  <c:v>2013-14p</c:v>
                </c:pt>
              </c:strCache>
            </c:strRef>
          </c:cat>
          <c:val>
            <c:numRef>
              <c:f>Industry!$B$3:$O$3</c:f>
              <c:numCache>
                <c:formatCode>0.0</c:formatCode>
                <c:ptCount val="14"/>
                <c:pt idx="0">
                  <c:v>9.4694683326936406</c:v>
                </c:pt>
                <c:pt idx="1">
                  <c:v>9.238867526796092</c:v>
                </c:pt>
                <c:pt idx="2">
                  <c:v>9.1901947119693208</c:v>
                </c:pt>
                <c:pt idx="3">
                  <c:v>9.1948842247460671</c:v>
                </c:pt>
                <c:pt idx="4">
                  <c:v>8.9356283311669991</c:v>
                </c:pt>
                <c:pt idx="5">
                  <c:v>8.5001394288010079</c:v>
                </c:pt>
                <c:pt idx="6">
                  <c:v>8.1067119649061699</c:v>
                </c:pt>
                <c:pt idx="7">
                  <c:v>7.9150977506351836</c:v>
                </c:pt>
                <c:pt idx="8">
                  <c:v>7.6493926839621942</c:v>
                </c:pt>
                <c:pt idx="9">
                  <c:v>7.4621982589604645</c:v>
                </c:pt>
                <c:pt idx="10">
                  <c:v>7.3755905741864218</c:v>
                </c:pt>
                <c:pt idx="11">
                  <c:v>7.1868440298696488</c:v>
                </c:pt>
                <c:pt idx="12">
                  <c:v>6.577835963991828</c:v>
                </c:pt>
                <c:pt idx="13">
                  <c:v>5.8788653577378556</c:v>
                </c:pt>
              </c:numCache>
            </c:numRef>
          </c:val>
          <c:smooth val="0"/>
        </c:ser>
        <c:dLbls>
          <c:showLegendKey val="0"/>
          <c:showVal val="0"/>
          <c:showCatName val="0"/>
          <c:showSerName val="0"/>
          <c:showPercent val="0"/>
          <c:showBubbleSize val="0"/>
        </c:dLbls>
        <c:marker val="1"/>
        <c:smooth val="0"/>
        <c:axId val="214155264"/>
        <c:axId val="214156800"/>
      </c:lineChart>
      <c:catAx>
        <c:axId val="214155264"/>
        <c:scaling>
          <c:orientation val="minMax"/>
        </c:scaling>
        <c:delete val="0"/>
        <c:axPos val="b"/>
        <c:majorTickMark val="none"/>
        <c:minorTickMark val="out"/>
        <c:tickLblPos val="nextTo"/>
        <c:txPr>
          <a:bodyPr/>
          <a:lstStyle/>
          <a:p>
            <a:pPr algn="ctr" rtl="0">
              <a:defRPr/>
            </a:pPr>
            <a:endParaRPr lang="en-US"/>
          </a:p>
        </c:txPr>
        <c:crossAx val="214156800"/>
        <c:crosses val="autoZero"/>
        <c:auto val="1"/>
        <c:lblAlgn val="ctr"/>
        <c:lblOffset val="100"/>
        <c:noMultiLvlLbl val="0"/>
      </c:catAx>
      <c:valAx>
        <c:axId val="214156800"/>
        <c:scaling>
          <c:orientation val="minMax"/>
        </c:scaling>
        <c:delete val="0"/>
        <c:axPos val="l"/>
        <c:majorGridlines/>
        <c:title>
          <c:tx>
            <c:rich>
              <a:bodyPr rot="-5400000" vert="horz"/>
              <a:lstStyle/>
              <a:p>
                <a:pPr>
                  <a:defRPr/>
                </a:pPr>
                <a:r>
                  <a:rPr lang="en-AU"/>
                  <a:t>Serious claims per million hours worked</a:t>
                </a:r>
              </a:p>
            </c:rich>
          </c:tx>
          <c:layout>
            <c:manualLayout>
              <c:xMode val="edge"/>
              <c:yMode val="edge"/>
              <c:x val="1.7092592592592593E-2"/>
              <c:y val="0.1400645061728395"/>
            </c:manualLayout>
          </c:layout>
          <c:overlay val="0"/>
        </c:title>
        <c:numFmt formatCode="0" sourceLinked="0"/>
        <c:majorTickMark val="out"/>
        <c:minorTickMark val="none"/>
        <c:tickLblPos val="nextTo"/>
        <c:crossAx val="214155264"/>
        <c:crosses val="autoZero"/>
        <c:crossBetween val="between"/>
      </c:valAx>
    </c:plotArea>
    <c:plotVisOnly val="1"/>
    <c:dispBlanksAs val="gap"/>
    <c:showDLblsOverMax val="0"/>
  </c:chart>
  <c:txPr>
    <a:bodyPr/>
    <a:lstStyle/>
    <a:p>
      <a:pPr algn="ctr" rtl="0">
        <a:defRPr lang="en-AU"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809951881014873"/>
          <c:y val="5.1400554097404488E-2"/>
          <c:w val="0.86134492563429577"/>
          <c:h val="0.8326195683872849"/>
        </c:manualLayout>
      </c:layout>
      <c:barChart>
        <c:barDir val="col"/>
        <c:grouping val="clustered"/>
        <c:varyColors val="0"/>
        <c:ser>
          <c:idx val="0"/>
          <c:order val="0"/>
          <c:tx>
            <c:strRef>
              <c:f>Jurisdiction!$B$1</c:f>
              <c:strCache>
                <c:ptCount val="1"/>
                <c:pt idx="0">
                  <c:v>2009-10 to 2013-14</c:v>
                </c:pt>
              </c:strCache>
            </c:strRef>
          </c:tx>
          <c:spPr>
            <a:solidFill>
              <a:srgbClr val="00B050"/>
            </a:solidFill>
          </c:spPr>
          <c:invertIfNegative val="0"/>
          <c:dLbls>
            <c:delete val="1"/>
          </c:dLbls>
          <c:cat>
            <c:strRef>
              <c:f>Jurisdiction!$A$2:$A$10</c:f>
              <c:strCache>
                <c:ptCount val="9"/>
                <c:pt idx="0">
                  <c:v>NT</c:v>
                </c:pt>
                <c:pt idx="1">
                  <c:v>Qld</c:v>
                </c:pt>
                <c:pt idx="2">
                  <c:v>Tas</c:v>
                </c:pt>
                <c:pt idx="3">
                  <c:v>NSW</c:v>
                </c:pt>
                <c:pt idx="4">
                  <c:v>WA</c:v>
                </c:pt>
                <c:pt idx="5">
                  <c:v>ACT</c:v>
                </c:pt>
                <c:pt idx="6">
                  <c:v>SA</c:v>
                </c:pt>
                <c:pt idx="7">
                  <c:v>Vic</c:v>
                </c:pt>
                <c:pt idx="8">
                  <c:v>Australia</c:v>
                </c:pt>
              </c:strCache>
            </c:strRef>
          </c:cat>
          <c:val>
            <c:numRef>
              <c:f>Jurisdiction!$B$2:$B$10</c:f>
              <c:numCache>
                <c:formatCode>0.0</c:formatCode>
                <c:ptCount val="9"/>
                <c:pt idx="0">
                  <c:v>18.970795948213553</c:v>
                </c:pt>
                <c:pt idx="1">
                  <c:v>15.750238826956993</c:v>
                </c:pt>
                <c:pt idx="2">
                  <c:v>13.925222487432539</c:v>
                </c:pt>
                <c:pt idx="3">
                  <c:v>13.057096117203901</c:v>
                </c:pt>
                <c:pt idx="4">
                  <c:v>9.8324031313297446</c:v>
                </c:pt>
                <c:pt idx="5">
                  <c:v>9.472902761641798</c:v>
                </c:pt>
                <c:pt idx="6">
                  <c:v>8.3922833485949084</c:v>
                </c:pt>
                <c:pt idx="7">
                  <c:v>5.8706648522675238</c:v>
                </c:pt>
                <c:pt idx="8">
                  <c:v>11.032947534741986</c:v>
                </c:pt>
              </c:numCache>
            </c:numRef>
          </c:val>
        </c:ser>
        <c:dLbls>
          <c:dLblPos val="outEnd"/>
          <c:showLegendKey val="0"/>
          <c:showVal val="1"/>
          <c:showCatName val="0"/>
          <c:showSerName val="0"/>
          <c:showPercent val="0"/>
          <c:showBubbleSize val="0"/>
        </c:dLbls>
        <c:gapWidth val="150"/>
        <c:axId val="237492864"/>
        <c:axId val="244887936"/>
      </c:barChart>
      <c:catAx>
        <c:axId val="237492864"/>
        <c:scaling>
          <c:orientation val="minMax"/>
        </c:scaling>
        <c:delete val="0"/>
        <c:axPos val="b"/>
        <c:majorTickMark val="none"/>
        <c:minorTickMark val="out"/>
        <c:tickLblPos val="nextTo"/>
        <c:txPr>
          <a:bodyPr/>
          <a:lstStyle/>
          <a:p>
            <a:pPr>
              <a:defRPr sz="800">
                <a:latin typeface="Arial" panose="020B0604020202020204" pitchFamily="34" charset="0"/>
                <a:cs typeface="Arial" panose="020B0604020202020204" pitchFamily="34" charset="0"/>
              </a:defRPr>
            </a:pPr>
            <a:endParaRPr lang="en-US"/>
          </a:p>
        </c:txPr>
        <c:crossAx val="244887936"/>
        <c:crosses val="autoZero"/>
        <c:auto val="1"/>
        <c:lblAlgn val="ctr"/>
        <c:lblOffset val="100"/>
        <c:noMultiLvlLbl val="0"/>
      </c:catAx>
      <c:valAx>
        <c:axId val="244887936"/>
        <c:scaling>
          <c:orientation val="minMax"/>
        </c:scaling>
        <c:delete val="0"/>
        <c:axPos val="l"/>
        <c:majorGridlines/>
        <c:title>
          <c:tx>
            <c:rich>
              <a:bodyPr rot="-5400000" vert="horz"/>
              <a:lstStyle/>
              <a:p>
                <a:pPr>
                  <a:defRPr sz="800" b="0">
                    <a:latin typeface="Arial" panose="020B0604020202020204" pitchFamily="34" charset="0"/>
                    <a:cs typeface="Arial" panose="020B0604020202020204" pitchFamily="34" charset="0"/>
                  </a:defRPr>
                </a:pPr>
                <a:r>
                  <a:rPr lang="en-AU" sz="800" b="0">
                    <a:latin typeface="Arial" panose="020B0604020202020204" pitchFamily="34" charset="0"/>
                    <a:cs typeface="Arial" panose="020B0604020202020204" pitchFamily="34" charset="0"/>
                  </a:rPr>
                  <a:t>Serious</a:t>
                </a:r>
                <a:r>
                  <a:rPr lang="en-AU" sz="800" b="0" baseline="0">
                    <a:latin typeface="Arial" panose="020B0604020202020204" pitchFamily="34" charset="0"/>
                    <a:cs typeface="Arial" panose="020B0604020202020204" pitchFamily="34" charset="0"/>
                  </a:rPr>
                  <a:t> claims per million hours worked</a:t>
                </a:r>
                <a:endParaRPr lang="en-AU" sz="800" b="0">
                  <a:latin typeface="Arial" panose="020B0604020202020204" pitchFamily="34" charset="0"/>
                  <a:cs typeface="Arial" panose="020B0604020202020204" pitchFamily="34" charset="0"/>
                </a:endParaRPr>
              </a:p>
            </c:rich>
          </c:tx>
          <c:layout>
            <c:manualLayout>
              <c:xMode val="edge"/>
              <c:yMode val="edge"/>
              <c:x val="1.7009259259259259E-2"/>
              <c:y val="0.15864753086419753"/>
            </c:manualLayout>
          </c:layout>
          <c:overlay val="0"/>
        </c:title>
        <c:numFmt formatCode="0" sourceLinked="0"/>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en-US"/>
          </a:p>
        </c:txPr>
        <c:crossAx val="237492864"/>
        <c:crosses val="autoZero"/>
        <c:crossBetween val="between"/>
      </c:valAx>
    </c:plotArea>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0.00683</cdr:x>
      <cdr:y>0.3534</cdr:y>
    </cdr:from>
    <cdr:to>
      <cdr:x>0.03628</cdr:x>
      <cdr:y>0.5772</cdr:y>
    </cdr:to>
    <cdr:sp macro="" textlink="">
      <cdr:nvSpPr>
        <cdr:cNvPr id="2" name="TextBox 1"/>
        <cdr:cNvSpPr txBox="1"/>
      </cdr:nvSpPr>
      <cdr:spPr>
        <a:xfrm xmlns:a="http://schemas.openxmlformats.org/drawingml/2006/main" rot="-5400000">
          <a:off x="-276978" y="1604126"/>
          <a:ext cx="814304" cy="17780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Arial" panose="020B0604020202020204" pitchFamily="34" charset="0"/>
              <a:cs typeface="Arial" panose="020B0604020202020204" pitchFamily="34" charset="0"/>
            </a:rPr>
            <a:t>Industry</a:t>
          </a:r>
        </a:p>
      </cdr:txBody>
    </cdr:sp>
  </cdr:relSizeAnchor>
  <cdr:relSizeAnchor xmlns:cdr="http://schemas.openxmlformats.org/drawingml/2006/chartDrawing">
    <cdr:from>
      <cdr:x>0.508</cdr:x>
      <cdr:y>0.9351</cdr:y>
    </cdr:from>
    <cdr:to>
      <cdr:x>0.85725</cdr:x>
      <cdr:y>0.98425</cdr:y>
    </cdr:to>
    <cdr:sp macro="" textlink="">
      <cdr:nvSpPr>
        <cdr:cNvPr id="4" name="TextBox 1"/>
        <cdr:cNvSpPr txBox="1"/>
      </cdr:nvSpPr>
      <cdr:spPr>
        <a:xfrm xmlns:a="http://schemas.openxmlformats.org/drawingml/2006/main">
          <a:off x="2743218" y="3366366"/>
          <a:ext cx="1885950" cy="17694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Arial" panose="020B0604020202020204" pitchFamily="34" charset="0"/>
              <a:cs typeface="Arial" panose="020B0604020202020204" pitchFamily="34" charset="0"/>
            </a:rPr>
            <a:t>Fatalities per 100 000 workers</a:t>
          </a:r>
        </a:p>
      </cdr:txBody>
    </cdr:sp>
  </cdr:relSizeAnchor>
</c:userShapes>
</file>

<file path=word/drawings/drawing2.xml><?xml version="1.0" encoding="utf-8"?>
<c:userShapes xmlns:c="http://schemas.openxmlformats.org/drawingml/2006/chart">
  <cdr:relSizeAnchor xmlns:cdr="http://schemas.openxmlformats.org/drawingml/2006/chartDrawing">
    <cdr:from>
      <cdr:x>0.27501</cdr:x>
      <cdr:y>0.14063</cdr:y>
    </cdr:from>
    <cdr:to>
      <cdr:x>0.51667</cdr:x>
      <cdr:y>0.21355</cdr:y>
    </cdr:to>
    <cdr:sp macro="" textlink="">
      <cdr:nvSpPr>
        <cdr:cNvPr id="2" name="TextBox 1"/>
        <cdr:cNvSpPr txBox="1"/>
      </cdr:nvSpPr>
      <cdr:spPr>
        <a:xfrm xmlns:a="http://schemas.openxmlformats.org/drawingml/2006/main">
          <a:off x="1257330" y="385770"/>
          <a:ext cx="1104870" cy="20003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800">
              <a:latin typeface="Arial" panose="020B0604020202020204" pitchFamily="34" charset="0"/>
              <a:cs typeface="Arial" panose="020B0604020202020204" pitchFamily="34" charset="0"/>
            </a:rPr>
            <a:t>Agricultural industry</a:t>
          </a:r>
        </a:p>
      </cdr:txBody>
    </cdr:sp>
  </cdr:relSizeAnchor>
  <cdr:relSizeAnchor xmlns:cdr="http://schemas.openxmlformats.org/drawingml/2006/chartDrawing">
    <cdr:from>
      <cdr:x>0.2757</cdr:x>
      <cdr:y>0.65394</cdr:y>
    </cdr:from>
    <cdr:to>
      <cdr:x>0.45833</cdr:x>
      <cdr:y>0.73264</cdr:y>
    </cdr:to>
    <cdr:sp macro="" textlink="">
      <cdr:nvSpPr>
        <cdr:cNvPr id="3" name="TextBox 1"/>
        <cdr:cNvSpPr txBox="1"/>
      </cdr:nvSpPr>
      <cdr:spPr>
        <a:xfrm xmlns:a="http://schemas.openxmlformats.org/drawingml/2006/main">
          <a:off x="1260485" y="1793882"/>
          <a:ext cx="835015" cy="21589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Arial" panose="020B0604020202020204" pitchFamily="34" charset="0"/>
              <a:cs typeface="Arial" panose="020B0604020202020204" pitchFamily="34" charset="0"/>
            </a:rPr>
            <a:t>All industries</a:t>
          </a:r>
        </a:p>
      </cdr:txBody>
    </cdr:sp>
  </cdr:relSizeAnchor>
</c:userShapes>
</file>

<file path=word/drawings/drawing3.xml><?xml version="1.0" encoding="utf-8"?>
<c:userShapes xmlns:c="http://schemas.openxmlformats.org/drawingml/2006/chart">
  <cdr:relSizeAnchor xmlns:cdr="http://schemas.openxmlformats.org/drawingml/2006/chartDrawing">
    <cdr:from>
      <cdr:x>0.00683</cdr:x>
      <cdr:y>0.3534</cdr:y>
    </cdr:from>
    <cdr:to>
      <cdr:x>0.03628</cdr:x>
      <cdr:y>0.5772</cdr:y>
    </cdr:to>
    <cdr:sp macro="" textlink="">
      <cdr:nvSpPr>
        <cdr:cNvPr id="2" name="TextBox 1"/>
        <cdr:cNvSpPr txBox="1"/>
      </cdr:nvSpPr>
      <cdr:spPr>
        <a:xfrm xmlns:a="http://schemas.openxmlformats.org/drawingml/2006/main" rot="-5400000">
          <a:off x="-276978" y="1604126"/>
          <a:ext cx="814304" cy="17780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Arial" panose="020B0604020202020204" pitchFamily="34" charset="0"/>
              <a:cs typeface="Arial" panose="020B0604020202020204" pitchFamily="34" charset="0"/>
            </a:rPr>
            <a:t>Industry</a:t>
          </a:r>
        </a:p>
      </cdr:txBody>
    </cdr:sp>
  </cdr:relSizeAnchor>
  <cdr:relSizeAnchor xmlns:cdr="http://schemas.openxmlformats.org/drawingml/2006/chartDrawing">
    <cdr:from>
      <cdr:x>0.49742</cdr:x>
      <cdr:y>0.9351</cdr:y>
    </cdr:from>
    <cdr:to>
      <cdr:x>0.88018</cdr:x>
      <cdr:y>0.9869</cdr:y>
    </cdr:to>
    <cdr:sp macro="" textlink="">
      <cdr:nvSpPr>
        <cdr:cNvPr id="4" name="TextBox 1"/>
        <cdr:cNvSpPr txBox="1"/>
      </cdr:nvSpPr>
      <cdr:spPr>
        <a:xfrm xmlns:a="http://schemas.openxmlformats.org/drawingml/2006/main">
          <a:off x="2686067" y="3366365"/>
          <a:ext cx="2066907" cy="18645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Arial" panose="020B0604020202020204" pitchFamily="34" charset="0"/>
              <a:cs typeface="Arial" panose="020B0604020202020204" pitchFamily="34" charset="0"/>
            </a:rPr>
            <a:t>Serious claims per million hours worked</a:t>
          </a:r>
        </a:p>
      </cdr:txBody>
    </cdr:sp>
  </cdr:relSizeAnchor>
</c:userShapes>
</file>

<file path=word/drawings/drawing4.xml><?xml version="1.0" encoding="utf-8"?>
<c:userShapes xmlns:c="http://schemas.openxmlformats.org/drawingml/2006/chart">
  <cdr:relSizeAnchor xmlns:cdr="http://schemas.openxmlformats.org/drawingml/2006/chartDrawing">
    <cdr:from>
      <cdr:x>0.51042</cdr:x>
      <cdr:y>0.13368</cdr:y>
    </cdr:from>
    <cdr:to>
      <cdr:x>0.75208</cdr:x>
      <cdr:y>0.2066</cdr:y>
    </cdr:to>
    <cdr:sp macro="" textlink="">
      <cdr:nvSpPr>
        <cdr:cNvPr id="2" name="TextBox 1"/>
        <cdr:cNvSpPr txBox="1"/>
      </cdr:nvSpPr>
      <cdr:spPr>
        <a:xfrm xmlns:a="http://schemas.openxmlformats.org/drawingml/2006/main">
          <a:off x="2756268" y="481248"/>
          <a:ext cx="1304964" cy="26251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800">
              <a:latin typeface="Arial" panose="020B0604020202020204" pitchFamily="34" charset="0"/>
              <a:cs typeface="Arial" panose="020B0604020202020204" pitchFamily="34" charset="0"/>
            </a:rPr>
            <a:t>Agricultural industry</a:t>
          </a:r>
        </a:p>
      </cdr:txBody>
    </cdr:sp>
  </cdr:relSizeAnchor>
  <cdr:relSizeAnchor xmlns:cdr="http://schemas.openxmlformats.org/drawingml/2006/chartDrawing">
    <cdr:from>
      <cdr:x>0.50903</cdr:x>
      <cdr:y>0.32755</cdr:y>
    </cdr:from>
    <cdr:to>
      <cdr:x>0.68542</cdr:x>
      <cdr:y>0.40451</cdr:y>
    </cdr:to>
    <cdr:sp macro="" textlink="">
      <cdr:nvSpPr>
        <cdr:cNvPr id="3" name="TextBox 1"/>
        <cdr:cNvSpPr txBox="1"/>
      </cdr:nvSpPr>
      <cdr:spPr>
        <a:xfrm xmlns:a="http://schemas.openxmlformats.org/drawingml/2006/main">
          <a:off x="2748762" y="1179180"/>
          <a:ext cx="952506" cy="27705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Arial" panose="020B0604020202020204" pitchFamily="34" charset="0"/>
              <a:cs typeface="Arial" panose="020B0604020202020204" pitchFamily="34" charset="0"/>
            </a:rPr>
            <a:t>All industries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SP.Publications.Document" ma:contentTypeID="0x010100A3147459CEFB4138ACF45C1B93E95121001AC9209C673FD1488F9C0FD06E69F9BE" ma:contentTypeVersion="2" ma:contentTypeDescription="" ma:contentTypeScope="" ma:versionID="fe9dee28fb54ce06478c702ac7ad6af8">
  <xsd:schema xmlns:xsd="http://www.w3.org/2001/XMLSchema" xmlns:xs="http://www.w3.org/2001/XMLSchema" xmlns:p="http://schemas.microsoft.com/office/2006/metadata/properties" xmlns:ns1="http://schemas.microsoft.com/sharepoint/v3/fields" targetNamespace="http://schemas.microsoft.com/office/2006/metadata/properties" ma:root="true" ma:fieldsID="fa9bcd44d86d477eeb58161562f8ff1c" ns1:_="">
    <xsd:import namespace="http://schemas.microsoft.com/sharepoint/v3/fields"/>
    <xsd:element name="properties">
      <xsd:complexType>
        <xsd:sequence>
          <xsd:element name="documentManagement">
            <xsd:complexType>
              <xsd:all>
                <xsd:element ref="ns1:ParentFolderID" minOccurs="0"/>
                <xsd:element ref="ns1:PublicationIdentif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ParentFolderID" ma:index="0" nillable="true" ma:displayName="Parent Folder ID" ma:internalName="ParentFolderID">
      <xsd:simpleType>
        <xsd:restriction base="dms:Text"/>
      </xsd:simpleType>
    </xsd:element>
    <xsd:element name="PublicationIdentifier" ma:index="1" nillable="true" ma:displayName="Publication Identifier" ma:internalName="PublicationIdentifi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cationIdentifier xmlns="http://schemas.microsoft.com/sharepoint/v3/fields">978-1-76028-838-9</PublicationIdentifier>
    <ParentFolderID xmlns="http://schemas.microsoft.com/sharepoint/v3/fields">976</ParentFolderID>
  </documentManagement>
</p:properties>
</file>

<file path=customXml/itemProps1.xml><?xml version="1.0" encoding="utf-8"?>
<ds:datastoreItem xmlns:ds="http://schemas.openxmlformats.org/officeDocument/2006/customXml" ds:itemID="{34B43F29-9679-47E8-A557-783188EB39A3}"/>
</file>

<file path=customXml/itemProps2.xml><?xml version="1.0" encoding="utf-8"?>
<ds:datastoreItem xmlns:ds="http://schemas.openxmlformats.org/officeDocument/2006/customXml" ds:itemID="{A6DC7FE3-5131-4798-BE76-6EB8A5CEE301}"/>
</file>

<file path=customXml/itemProps3.xml><?xml version="1.0" encoding="utf-8"?>
<ds:datastoreItem xmlns:ds="http://schemas.openxmlformats.org/officeDocument/2006/customXml" ds:itemID="{68900D2D-AED9-419C-A8AD-FE4E73C268BF}"/>
</file>

<file path=docProps/app.xml><?xml version="1.0" encoding="utf-8"?>
<Properties xmlns="http://schemas.openxmlformats.org/officeDocument/2006/extended-properties" xmlns:vt="http://schemas.openxmlformats.org/officeDocument/2006/docPropsVTypes">
  <Template>1E6D614D.dotm</Template>
  <TotalTime>0</TotalTime>
  <Pages>17</Pages>
  <Words>4927</Words>
  <Characters>28533</Characters>
  <Application>Microsoft Office Word</Application>
  <DocSecurity>0</DocSecurity>
  <Lines>594</Lines>
  <Paragraphs>389</Paragraphs>
  <ScaleCrop>false</ScaleCrop>
  <Company/>
  <LinksUpToDate>false</LinksUpToDate>
  <CharactersWithSpaces>33071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Health and Safety in the Agricultural Industry</dc:title>
  <cp:lastModifiedBy/>
  <cp:revision>1</cp:revision>
  <dcterms:created xsi:type="dcterms:W3CDTF">2016-08-24T03:50:00Z</dcterms:created>
  <dcterms:modified xsi:type="dcterms:W3CDTF">2016-08-24T03:51:00Z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0x010100A3147459CEFB4138ACF45C1B93E95121001AC9209C673FD1488F9C0FD06E69F9BE</vt:lpwstr>
  </property>
</Properties>
</file>