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29" w:rsidRDefault="00F6503E" w:rsidP="001C516D">
      <w:r>
        <w:rPr>
          <w:noProof/>
        </w:rPr>
        <mc:AlternateContent>
          <mc:Choice Requires="wps">
            <w:drawing>
              <wp:anchor distT="0" distB="0" distL="114300" distR="114300" simplePos="0" relativeHeight="251659264" behindDoc="0" locked="0" layoutInCell="1" allowOverlap="1" wp14:anchorId="35C64275" wp14:editId="11F043D8">
                <wp:simplePos x="0" y="0"/>
                <wp:positionH relativeFrom="column">
                  <wp:posOffset>-95250</wp:posOffset>
                </wp:positionH>
                <wp:positionV relativeFrom="paragraph">
                  <wp:posOffset>-461010</wp:posOffset>
                </wp:positionV>
                <wp:extent cx="6486525" cy="1000125"/>
                <wp:effectExtent l="0" t="0" r="28575" b="28575"/>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1000125"/>
                        </a:xfrm>
                        <a:prstGeom prst="roundRect">
                          <a:avLst>
                            <a:gd name="adj" fmla="val 16667"/>
                          </a:avLst>
                        </a:prstGeom>
                        <a:solidFill>
                          <a:srgbClr val="365F91"/>
                        </a:solidFill>
                        <a:ln w="9525">
                          <a:solidFill>
                            <a:srgbClr val="365F91"/>
                          </a:solidFill>
                          <a:round/>
                          <a:headEnd/>
                          <a:tailEnd/>
                        </a:ln>
                      </wps:spPr>
                      <wps:txbx>
                        <w:txbxContent>
                          <w:p w:rsidR="00F6503E" w:rsidRPr="0095191B" w:rsidRDefault="00F6503E" w:rsidP="001C516D">
                            <w:pPr>
                              <w:rPr>
                                <w:b/>
                                <w:color w:val="FFFFFF" w:themeColor="background1"/>
                                <w:sz w:val="40"/>
                                <w:szCs w:val="40"/>
                              </w:rPr>
                            </w:pPr>
                            <w:r w:rsidRPr="0095191B">
                              <w:rPr>
                                <w:b/>
                                <w:color w:val="FFFFFF" w:themeColor="background1"/>
                                <w:sz w:val="40"/>
                                <w:szCs w:val="40"/>
                              </w:rPr>
                              <w:t>FACT SHEET—WORKERS’ COMPENSATION LEGISLATION AND PSYCHOLOGICAL INJURY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26" style="position:absolute;margin-left:-7.5pt;margin-top:-36.3pt;width:510.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" fillcolor="#365f91" strokecolor="#365f91">
                <v:textbox>
                  <w:txbxContent>
                    <w:p w:rsidR="00F6503E" w:rsidRPr="0095191B" w:rsidRDefault="00F6503E" w:rsidP="001C516D">
                      <w:pPr>
                        <w:rPr>
                          <w:b/>
                          <w:color w:val="FFFFFF" w:themeColor="background1"/>
                          <w:sz w:val="40"/>
                          <w:szCs w:val="40"/>
                        </w:rPr>
                      </w:pPr>
                      <w:r w:rsidRPr="0095191B">
                        <w:rPr>
                          <w:b/>
                          <w:color w:val="FFFFFF" w:themeColor="background1"/>
                          <w:sz w:val="40"/>
                          <w:szCs w:val="40"/>
                        </w:rPr>
                        <w:t>FACT SHEET—WORKERS’ COMPENSATION LEGISLATION AND PSYCHOLOGICAL INJURY</w:t>
                      </w:r>
                    </w:p>
                  </w:txbxContent>
                </v:textbox>
                <w10:wrap type="square"/>
              </v:roundrect>
            </w:pict>
          </mc:Fallback>
        </mc:AlternateContent>
      </w:r>
      <w:r>
        <w:t>This fact sheet provides a</w:t>
      </w:r>
      <w:r w:rsidR="00C712BD">
        <w:t xml:space="preserve"> general</w:t>
      </w:r>
      <w:r>
        <w:t xml:space="preserve"> overview of </w:t>
      </w:r>
      <w:r w:rsidR="00BA4C2D">
        <w:t xml:space="preserve">the </w:t>
      </w:r>
      <w:r>
        <w:t>employer</w:t>
      </w:r>
      <w:r w:rsidR="00BA4C2D">
        <w:t>’s</w:t>
      </w:r>
      <w:r>
        <w:t xml:space="preserve"> </w:t>
      </w:r>
      <w:r w:rsidR="00B22EEA">
        <w:t xml:space="preserve">role </w:t>
      </w:r>
      <w:r>
        <w:t>under workers’ compensation legislation in relation to psychological injuries.</w:t>
      </w:r>
    </w:p>
    <w:p w:rsidR="00F6503E" w:rsidRDefault="00F6503E" w:rsidP="001C516D">
      <w:pPr>
        <w:rPr>
          <w:rFonts w:ascii="Tahoma" w:hAnsi="Tahoma" w:cs="Tahoma"/>
          <w:color w:val="4C4C4C"/>
          <w:sz w:val="17"/>
          <w:szCs w:val="17"/>
          <w:lang w:val="en"/>
        </w:rPr>
      </w:pPr>
      <w:r>
        <w:t xml:space="preserve">All jurisdictions have separate </w:t>
      </w:r>
      <w:r w:rsidR="00C740DA">
        <w:t>w</w:t>
      </w:r>
      <w:r>
        <w:t xml:space="preserve">orkers’ </w:t>
      </w:r>
      <w:r w:rsidR="00C740DA">
        <w:t>c</w:t>
      </w:r>
      <w:r>
        <w:t xml:space="preserve">ompensation </w:t>
      </w:r>
      <w:r w:rsidR="00C740DA">
        <w:t>a</w:t>
      </w:r>
      <w:r>
        <w:t xml:space="preserve">cts and </w:t>
      </w:r>
      <w:r w:rsidR="00C740DA">
        <w:t>r</w:t>
      </w:r>
      <w:r>
        <w:t xml:space="preserve">egulations. </w:t>
      </w:r>
      <w:r w:rsidR="00157129">
        <w:t>R</w:t>
      </w:r>
      <w:r>
        <w:t xml:space="preserve">efer to the regulator information in your jurisdiction </w:t>
      </w:r>
      <w:r w:rsidR="001409A7">
        <w:t xml:space="preserve">listed </w:t>
      </w:r>
      <w:r w:rsidR="00152886">
        <w:t>in Appendix A</w:t>
      </w:r>
      <w:r w:rsidR="001409A7">
        <w:t>.</w:t>
      </w:r>
      <w:r w:rsidR="00B469CA">
        <w:t xml:space="preserve"> </w:t>
      </w:r>
    </w:p>
    <w:p w:rsidR="00F6503E" w:rsidRPr="001C516D" w:rsidRDefault="00F6503E" w:rsidP="001C516D">
      <w:pPr>
        <w:pStyle w:val="Heading1"/>
      </w:pPr>
      <w:r w:rsidRPr="001C516D">
        <w:t xml:space="preserve">Introduction </w:t>
      </w:r>
    </w:p>
    <w:p w:rsidR="00F6503E" w:rsidRDefault="00F6503E" w:rsidP="001C516D">
      <w:pPr>
        <w:rPr>
          <w:lang w:val="en"/>
        </w:rPr>
      </w:pPr>
      <w:r>
        <w:t xml:space="preserve">The </w:t>
      </w:r>
      <w:r w:rsidR="00C740DA">
        <w:t>w</w:t>
      </w:r>
      <w:r>
        <w:t xml:space="preserve">orkers’ </w:t>
      </w:r>
      <w:r w:rsidR="00C740DA">
        <w:t>c</w:t>
      </w:r>
      <w:r>
        <w:t xml:space="preserve">ompensation </w:t>
      </w:r>
      <w:r w:rsidR="00C740DA">
        <w:t>a</w:t>
      </w:r>
      <w:r>
        <w:t xml:space="preserve">cts and supporting </w:t>
      </w:r>
      <w:r w:rsidR="00C740DA">
        <w:t>r</w:t>
      </w:r>
      <w:r>
        <w:t>egulations (</w:t>
      </w:r>
      <w:r w:rsidR="00C740DA">
        <w:t>w</w:t>
      </w:r>
      <w:r>
        <w:t xml:space="preserve">orkers’ </w:t>
      </w:r>
      <w:r w:rsidR="00C740DA">
        <w:t>c</w:t>
      </w:r>
      <w:r>
        <w:t xml:space="preserve">ompensation laws) in each jurisdiction </w:t>
      </w:r>
      <w:r w:rsidR="00AE5620">
        <w:t>support</w:t>
      </w:r>
      <w:r>
        <w:t xml:space="preserve"> workers in the event of a work-related injury.</w:t>
      </w:r>
      <w:r>
        <w:rPr>
          <w:rFonts w:ascii="GillSans" w:hAnsi="GillSans" w:cs="GillSans"/>
          <w:sz w:val="21"/>
          <w:szCs w:val="21"/>
        </w:rPr>
        <w:t xml:space="preserve"> </w:t>
      </w:r>
    </w:p>
    <w:p w:rsidR="00F6503E" w:rsidRDefault="00F6503E" w:rsidP="001C516D">
      <w:r>
        <w:t xml:space="preserve">To assist employers </w:t>
      </w:r>
      <w:r w:rsidR="0028444C">
        <w:t xml:space="preserve">to </w:t>
      </w:r>
      <w:r>
        <w:t>create a healthy workplace, identify the early signs of psychological distress and provide</w:t>
      </w:r>
      <w:r w:rsidR="007C6184">
        <w:t xml:space="preserve"> suitable </w:t>
      </w:r>
      <w:r>
        <w:t>support, several jurisdictions have published guidance on early intervention, workers’ compensation duties, claims management and return to work programs</w:t>
      </w:r>
      <w:r w:rsidR="00B638F8">
        <w:t xml:space="preserve">. </w:t>
      </w:r>
      <w:r w:rsidR="00B335DC">
        <w:t>Links to some of this material can be found at the end of this fact sheet.</w:t>
      </w:r>
    </w:p>
    <w:p w:rsidR="00F6503E" w:rsidRPr="00734C6D" w:rsidRDefault="009651BC" w:rsidP="001C516D">
      <w:pPr>
        <w:pStyle w:val="Heading1"/>
      </w:pPr>
      <w:r>
        <w:t>What is a p</w:t>
      </w:r>
      <w:r w:rsidR="00F6503E" w:rsidRPr="00734C6D">
        <w:t xml:space="preserve">sychological </w:t>
      </w:r>
      <w:r w:rsidR="00C740DA">
        <w:t>i</w:t>
      </w:r>
      <w:r w:rsidR="00F6503E" w:rsidRPr="00734C6D">
        <w:t>njury</w:t>
      </w:r>
      <w:r>
        <w:t>?</w:t>
      </w:r>
      <w:r w:rsidR="00F6503E" w:rsidRPr="00734C6D">
        <w:t xml:space="preserve"> </w:t>
      </w:r>
    </w:p>
    <w:p w:rsidR="00F6503E" w:rsidRDefault="00F6503E" w:rsidP="001C516D">
      <w:r>
        <w:rPr>
          <w:lang w:val="en"/>
        </w:rPr>
        <w:t xml:space="preserve">Psychological injury or mental injury includes a range of cognitive, emotional and behavioural symptoms that interfere with </w:t>
      </w:r>
      <w:r w:rsidR="001C516D">
        <w:rPr>
          <w:lang w:val="en"/>
        </w:rPr>
        <w:t xml:space="preserve">a </w:t>
      </w:r>
      <w:r>
        <w:rPr>
          <w:lang w:val="en"/>
        </w:rPr>
        <w:t xml:space="preserve">worker’s </w:t>
      </w:r>
      <w:r w:rsidR="001C516D">
        <w:rPr>
          <w:lang w:val="en"/>
        </w:rPr>
        <w:t xml:space="preserve">life </w:t>
      </w:r>
      <w:r>
        <w:rPr>
          <w:lang w:val="en"/>
        </w:rPr>
        <w:t xml:space="preserve">and can </w:t>
      </w:r>
      <w:r>
        <w:t xml:space="preserve">significantly affect how they feel, think, behave and interact with others. </w:t>
      </w:r>
    </w:p>
    <w:p w:rsidR="0051690B" w:rsidRDefault="0051690B" w:rsidP="001C516D">
      <w:r>
        <w:t>Psychological injury may include such disorders as depression, anxiety or post-traumatic stress disorder.</w:t>
      </w:r>
    </w:p>
    <w:p w:rsidR="00F6503E" w:rsidRDefault="00F6503E" w:rsidP="001C516D">
      <w:pPr>
        <w:rPr>
          <w:lang w:val="en-GB"/>
        </w:rPr>
      </w:pPr>
      <w:r>
        <w:t>Job stress is commonly used to describe physical and emotional symptoms which arise in response to work situations but it is not in itself a disorder or a psychological injury</w:t>
      </w:r>
    </w:p>
    <w:p w:rsidR="00F6503E" w:rsidRDefault="00F6503E" w:rsidP="001C516D">
      <w:pPr>
        <w:pStyle w:val="Heading1"/>
      </w:pPr>
      <w:r>
        <w:t xml:space="preserve">Early </w:t>
      </w:r>
      <w:r w:rsidR="00C740DA">
        <w:t>i</w:t>
      </w:r>
      <w:r>
        <w:t xml:space="preserve">ntervention </w:t>
      </w:r>
    </w:p>
    <w:p w:rsidR="00F6503E" w:rsidRDefault="00F6503E" w:rsidP="001C516D">
      <w:pPr>
        <w:rPr>
          <w:lang w:val="en"/>
        </w:rPr>
      </w:pPr>
      <w:r>
        <w:rPr>
          <w:lang w:val="en"/>
        </w:rPr>
        <w:t xml:space="preserve">Employers or their delegates can intervene to manage a work situation whenever signs of job stress or distress are first noticed. </w:t>
      </w:r>
      <w:r w:rsidR="00BA4C2D">
        <w:rPr>
          <w:lang w:val="en"/>
        </w:rPr>
        <w:t xml:space="preserve">Early signs may include </w:t>
      </w:r>
      <w:r w:rsidR="00152886">
        <w:rPr>
          <w:lang w:val="en"/>
        </w:rPr>
        <w:t xml:space="preserve">increased unplanned absences, </w:t>
      </w:r>
      <w:r w:rsidR="00BA4C2D">
        <w:rPr>
          <w:lang w:val="en"/>
        </w:rPr>
        <w:t>withdrawal or deteriorating work performance. I</w:t>
      </w:r>
      <w:r>
        <w:rPr>
          <w:lang w:val="en"/>
        </w:rPr>
        <w:t>ntervention at this early stage</w:t>
      </w:r>
      <w:r w:rsidR="00BA4C2D">
        <w:rPr>
          <w:lang w:val="en"/>
        </w:rPr>
        <w:t xml:space="preserve"> such as providing appropriate support and identifying and addressing workplace issues that may be causing or contributing </w:t>
      </w:r>
      <w:r w:rsidR="00A43700">
        <w:rPr>
          <w:lang w:val="en"/>
        </w:rPr>
        <w:t>to psychological distress</w:t>
      </w:r>
      <w:r>
        <w:rPr>
          <w:lang w:val="en"/>
        </w:rPr>
        <w:t xml:space="preserve"> can often prevent a situation deteriorating and a worker </w:t>
      </w:r>
      <w:r>
        <w:rPr>
          <w:color w:val="111111"/>
        </w:rPr>
        <w:t>developing</w:t>
      </w:r>
      <w:r>
        <w:rPr>
          <w:lang w:val="en"/>
        </w:rPr>
        <w:t xml:space="preserve"> a psychological injury</w:t>
      </w:r>
      <w:r w:rsidR="007C6184">
        <w:rPr>
          <w:lang w:val="en"/>
        </w:rPr>
        <w:t xml:space="preserve">. </w:t>
      </w:r>
    </w:p>
    <w:p w:rsidR="00F6503E" w:rsidRDefault="00152886" w:rsidP="001C516D">
      <w:pPr>
        <w:rPr>
          <w:color w:val="111111"/>
        </w:rPr>
      </w:pPr>
      <w:r>
        <w:rPr>
          <w:lang w:val="en"/>
        </w:rPr>
        <w:t>Further</w:t>
      </w:r>
      <w:r w:rsidR="00F6503E">
        <w:rPr>
          <w:lang w:val="en"/>
        </w:rPr>
        <w:t xml:space="preserve"> information on </w:t>
      </w:r>
      <w:r>
        <w:rPr>
          <w:lang w:val="en"/>
        </w:rPr>
        <w:t xml:space="preserve">prevention and </w:t>
      </w:r>
      <w:r w:rsidR="00F6503E">
        <w:rPr>
          <w:lang w:val="en"/>
        </w:rPr>
        <w:t xml:space="preserve">early intervention </w:t>
      </w:r>
      <w:r>
        <w:rPr>
          <w:lang w:val="en"/>
        </w:rPr>
        <w:t>can be found in the guidance material listed at the end of this fact sheet.</w:t>
      </w:r>
    </w:p>
    <w:p w:rsidR="00F6503E" w:rsidRDefault="00F6503E" w:rsidP="001C516D">
      <w:pPr>
        <w:pStyle w:val="Heading1"/>
      </w:pPr>
      <w:r>
        <w:t xml:space="preserve">Workers’ </w:t>
      </w:r>
      <w:r w:rsidR="00C740DA">
        <w:t>c</w:t>
      </w:r>
      <w:r>
        <w:t xml:space="preserve">ompensation laws </w:t>
      </w:r>
    </w:p>
    <w:p w:rsidR="00F6503E" w:rsidRDefault="00F6503E" w:rsidP="001C516D">
      <w:pPr>
        <w:rPr>
          <w:lang w:val="en"/>
        </w:rPr>
      </w:pPr>
      <w:r>
        <w:t xml:space="preserve">All jurisdictions have </w:t>
      </w:r>
      <w:r w:rsidR="00C740DA">
        <w:t>w</w:t>
      </w:r>
      <w:r>
        <w:t xml:space="preserve">orkers’ </w:t>
      </w:r>
      <w:r w:rsidR="00C740DA">
        <w:t>c</w:t>
      </w:r>
      <w:r>
        <w:t xml:space="preserve">ompensation laws which establish a no-fault scheme for the compensation and management of work-related injuries. Workers’ </w:t>
      </w:r>
      <w:r w:rsidR="00C740DA">
        <w:t>c</w:t>
      </w:r>
      <w:r>
        <w:t>ompensation laws impose a levy or premium on employers to fund potential liability for workers injured at work. The levy or premium payments can vary in amounts payable or rules for calculation in each jurisdiction.</w:t>
      </w:r>
    </w:p>
    <w:p w:rsidR="00F6503E" w:rsidRDefault="00F6503E" w:rsidP="001C516D">
      <w:r>
        <w:rPr>
          <w:lang w:val="en"/>
        </w:rPr>
        <w:t>These laws, although similar in all jurisdictions</w:t>
      </w:r>
      <w:r w:rsidR="00C740DA">
        <w:rPr>
          <w:lang w:val="en"/>
        </w:rPr>
        <w:t>,</w:t>
      </w:r>
      <w:r w:rsidR="007C6184">
        <w:rPr>
          <w:lang w:val="en"/>
        </w:rPr>
        <w:t xml:space="preserve"> </w:t>
      </w:r>
      <w:r>
        <w:rPr>
          <w:lang w:val="en"/>
        </w:rPr>
        <w:t xml:space="preserve">have some variations so it is important you </w:t>
      </w:r>
      <w:r>
        <w:t>refer to your jurisdiction to ensure you are compliant with the laws applying to you (see Appendix A).</w:t>
      </w:r>
    </w:p>
    <w:p w:rsidR="00A30697" w:rsidRPr="00A30697" w:rsidRDefault="00A30697" w:rsidP="001C516D">
      <w:r w:rsidRPr="00A30697">
        <w:t xml:space="preserve">The </w:t>
      </w:r>
      <w:hyperlink r:id="rId6" w:history="1">
        <w:r w:rsidRPr="00A30697">
          <w:rPr>
            <w:rStyle w:val="Hyperlink"/>
            <w:i/>
          </w:rPr>
          <w:t>Comparison of Workers’ Compensation Arrangements in Australia and New Zealand</w:t>
        </w:r>
      </w:hyperlink>
      <w:r w:rsidR="009651BC">
        <w:rPr>
          <w:rStyle w:val="Hyperlink"/>
          <w:i/>
        </w:rPr>
        <w:t xml:space="preserve"> </w:t>
      </w:r>
      <w:r w:rsidR="009651BC">
        <w:t>document p</w:t>
      </w:r>
      <w:r w:rsidRPr="00734C6D">
        <w:t>rovides an ou</w:t>
      </w:r>
      <w:r w:rsidRPr="00A30697">
        <w:t xml:space="preserve">tline of the different legal requirements in each jurisdiction in relation to workers’ compensation. The </w:t>
      </w:r>
      <w:r w:rsidR="009651BC">
        <w:t xml:space="preserve">document </w:t>
      </w:r>
      <w:r w:rsidRPr="00A30697">
        <w:t xml:space="preserve">includes links to the relevant legislation and contact details for each jurisdiction. </w:t>
      </w:r>
    </w:p>
    <w:p w:rsidR="00F6503E" w:rsidRPr="00551500" w:rsidRDefault="00F6503E" w:rsidP="00551500">
      <w:pPr>
        <w:pStyle w:val="Heading2"/>
        <w:rPr>
          <w:i/>
        </w:rPr>
      </w:pPr>
      <w:r w:rsidRPr="00551500">
        <w:rPr>
          <w:i/>
        </w:rPr>
        <w:lastRenderedPageBreak/>
        <w:t>When is a psychological injury compensable</w:t>
      </w:r>
      <w:r w:rsidR="009651BC" w:rsidRPr="00551500">
        <w:rPr>
          <w:i/>
        </w:rPr>
        <w:t>?</w:t>
      </w:r>
    </w:p>
    <w:p w:rsidR="00F6503E" w:rsidRPr="001C516D" w:rsidRDefault="00F6503E" w:rsidP="001C516D">
      <w:r w:rsidRPr="001C516D">
        <w:t>In all jurisdictions an injury is only compensable if it arose out of or in the course of employment. Workers’ compensation l</w:t>
      </w:r>
      <w:r w:rsidR="00C740DA">
        <w:t>aws</w:t>
      </w:r>
      <w:r w:rsidRPr="001C516D">
        <w:t xml:space="preserve"> qualify this further by stating that the employment must have </w:t>
      </w:r>
      <w:r w:rsidR="006960EB">
        <w:t xml:space="preserve">been a significant, material, </w:t>
      </w:r>
      <w:r w:rsidRPr="001C516D">
        <w:t xml:space="preserve">substantial </w:t>
      </w:r>
      <w:r w:rsidR="006960EB">
        <w:t xml:space="preserve">or the major </w:t>
      </w:r>
      <w:r w:rsidRPr="001C516D">
        <w:t xml:space="preserve">contributing factor to the injury. </w:t>
      </w:r>
      <w:r w:rsidR="00A43700">
        <w:t xml:space="preserve">Claims for psychological injury are generally not accepted if they are related to </w:t>
      </w:r>
      <w:r w:rsidR="00397D4F">
        <w:t>reasonable action taken by the</w:t>
      </w:r>
      <w:r w:rsidR="00A43700">
        <w:t xml:space="preserve"> employer in relation to dismissal, retrenchment, transfer, performance appraisal, disciplinary action or deployment.</w:t>
      </w:r>
    </w:p>
    <w:p w:rsidR="00F6503E" w:rsidRDefault="00F6503E" w:rsidP="001C516D">
      <w:r>
        <w:t xml:space="preserve">A summary of the jurisdictions’ definition of injury and relationship to employment </w:t>
      </w:r>
      <w:r w:rsidR="00D978B1">
        <w:t>is</w:t>
      </w:r>
      <w:r>
        <w:t xml:space="preserve"> in the </w:t>
      </w:r>
      <w:hyperlink r:id="rId7" w:history="1">
        <w:r>
          <w:rPr>
            <w:rStyle w:val="Hyperlink"/>
            <w:i/>
          </w:rPr>
          <w:t>Comparison of Workers’ Compensation Arrangements in Australia and New Zealand</w:t>
        </w:r>
      </w:hyperlink>
      <w:r>
        <w:rPr>
          <w:i/>
        </w:rPr>
        <w:t>.</w:t>
      </w:r>
      <w:r>
        <w:t xml:space="preserve"> </w:t>
      </w:r>
    </w:p>
    <w:p w:rsidR="00F6503E" w:rsidRPr="00551500" w:rsidRDefault="00F6503E" w:rsidP="00551500">
      <w:pPr>
        <w:pStyle w:val="Heading2"/>
        <w:rPr>
          <w:i/>
        </w:rPr>
      </w:pPr>
      <w:r w:rsidRPr="00551500">
        <w:rPr>
          <w:i/>
        </w:rPr>
        <w:t xml:space="preserve">What </w:t>
      </w:r>
      <w:r w:rsidR="00A724DC">
        <w:rPr>
          <w:i/>
        </w:rPr>
        <w:t>benefits</w:t>
      </w:r>
      <w:r w:rsidR="00A724DC" w:rsidRPr="00551500">
        <w:rPr>
          <w:i/>
        </w:rPr>
        <w:t xml:space="preserve"> </w:t>
      </w:r>
      <w:r w:rsidRPr="00551500">
        <w:rPr>
          <w:i/>
        </w:rPr>
        <w:t xml:space="preserve">are covered by workers’ compensation? </w:t>
      </w:r>
    </w:p>
    <w:p w:rsidR="00F6503E" w:rsidRDefault="00F6503E" w:rsidP="001C516D">
      <w:pPr>
        <w:spacing w:after="0"/>
      </w:pPr>
      <w:r>
        <w:t xml:space="preserve">Workers’ compensation payments can include: </w:t>
      </w:r>
    </w:p>
    <w:p w:rsidR="00F6503E" w:rsidRPr="001C516D" w:rsidRDefault="00F6503E" w:rsidP="001C516D">
      <w:pPr>
        <w:pStyle w:val="ListParagraph"/>
        <w:numPr>
          <w:ilvl w:val="0"/>
          <w:numId w:val="1"/>
        </w:numPr>
        <w:spacing w:before="0"/>
        <w:ind w:left="714" w:hanging="357"/>
        <w:rPr>
          <w:lang w:val="en"/>
        </w:rPr>
      </w:pPr>
      <w:r w:rsidRPr="001C516D">
        <w:rPr>
          <w:lang w:val="en"/>
        </w:rPr>
        <w:t>medical expenses - doctors, psychiatrists, psychologists</w:t>
      </w:r>
      <w:r w:rsidR="00A43700">
        <w:rPr>
          <w:lang w:val="en"/>
        </w:rPr>
        <w:t xml:space="preserve"> </w:t>
      </w:r>
      <w:r w:rsidR="00487066">
        <w:rPr>
          <w:lang w:val="en"/>
        </w:rPr>
        <w:t>or</w:t>
      </w:r>
      <w:r w:rsidRPr="001C516D">
        <w:rPr>
          <w:lang w:val="en"/>
        </w:rPr>
        <w:t xml:space="preserve"> </w:t>
      </w:r>
      <w:r>
        <w:t>counsellors</w:t>
      </w:r>
      <w:r w:rsidRPr="001C516D">
        <w:rPr>
          <w:lang w:val="en"/>
        </w:rPr>
        <w:t xml:space="preserve"> </w:t>
      </w:r>
    </w:p>
    <w:p w:rsidR="00F6503E" w:rsidRPr="001C516D" w:rsidRDefault="00F6503E" w:rsidP="001C516D">
      <w:pPr>
        <w:pStyle w:val="ListParagraph"/>
        <w:numPr>
          <w:ilvl w:val="0"/>
          <w:numId w:val="1"/>
        </w:numPr>
        <w:rPr>
          <w:lang w:val="en"/>
        </w:rPr>
      </w:pPr>
      <w:r w:rsidRPr="001C516D">
        <w:rPr>
          <w:lang w:val="en"/>
        </w:rPr>
        <w:t>income replacement payments to injured workers</w:t>
      </w:r>
      <w:r w:rsidR="00A43700">
        <w:rPr>
          <w:lang w:val="en"/>
        </w:rPr>
        <w:t xml:space="preserve"> </w:t>
      </w:r>
    </w:p>
    <w:p w:rsidR="007C6184" w:rsidRPr="001C516D" w:rsidRDefault="00F6503E" w:rsidP="001C516D">
      <w:pPr>
        <w:pStyle w:val="ListParagraph"/>
        <w:numPr>
          <w:ilvl w:val="0"/>
          <w:numId w:val="1"/>
        </w:numPr>
        <w:rPr>
          <w:lang w:val="en"/>
        </w:rPr>
      </w:pPr>
      <w:r w:rsidRPr="001C516D">
        <w:rPr>
          <w:lang w:val="en"/>
        </w:rPr>
        <w:t xml:space="preserve">costs associated with rehabilitation </w:t>
      </w:r>
    </w:p>
    <w:p w:rsidR="00F6503E" w:rsidRPr="001C516D" w:rsidRDefault="007C6184" w:rsidP="001C516D">
      <w:pPr>
        <w:pStyle w:val="ListParagraph"/>
        <w:numPr>
          <w:ilvl w:val="0"/>
          <w:numId w:val="1"/>
        </w:numPr>
        <w:rPr>
          <w:lang w:val="en"/>
        </w:rPr>
      </w:pPr>
      <w:r w:rsidRPr="001C516D">
        <w:rPr>
          <w:lang w:val="en"/>
        </w:rPr>
        <w:t xml:space="preserve">costs associated with </w:t>
      </w:r>
      <w:r w:rsidR="00F6503E" w:rsidRPr="001C516D">
        <w:rPr>
          <w:lang w:val="en"/>
        </w:rPr>
        <w:t>retraining</w:t>
      </w:r>
      <w:r w:rsidRPr="001C516D">
        <w:rPr>
          <w:lang w:val="en"/>
        </w:rPr>
        <w:t xml:space="preserve"> for other employment or duties</w:t>
      </w:r>
      <w:r w:rsidR="00487066">
        <w:rPr>
          <w:lang w:val="en"/>
        </w:rPr>
        <w:t>, or</w:t>
      </w:r>
    </w:p>
    <w:p w:rsidR="00F6503E" w:rsidRPr="001C516D" w:rsidRDefault="00F6503E" w:rsidP="001C516D">
      <w:pPr>
        <w:pStyle w:val="ListParagraph"/>
        <w:numPr>
          <w:ilvl w:val="0"/>
          <w:numId w:val="1"/>
        </w:numPr>
        <w:rPr>
          <w:lang w:val="en"/>
        </w:rPr>
      </w:pPr>
      <w:proofErr w:type="gramStart"/>
      <w:r w:rsidRPr="001C516D">
        <w:rPr>
          <w:lang w:val="en"/>
        </w:rPr>
        <w:t>lump</w:t>
      </w:r>
      <w:proofErr w:type="gramEnd"/>
      <w:r w:rsidRPr="001C516D">
        <w:rPr>
          <w:lang w:val="en"/>
        </w:rPr>
        <w:t xml:space="preserve"> sum payment for any per</w:t>
      </w:r>
      <w:r w:rsidR="00487066">
        <w:rPr>
          <w:lang w:val="en"/>
        </w:rPr>
        <w:t>manent injury or disability.</w:t>
      </w:r>
    </w:p>
    <w:p w:rsidR="00F6503E" w:rsidRDefault="00F6503E" w:rsidP="001C516D">
      <w:pPr>
        <w:pStyle w:val="Heading1"/>
      </w:pPr>
      <w:r>
        <w:t xml:space="preserve">Workers’ </w:t>
      </w:r>
      <w:r w:rsidR="00C740DA">
        <w:t>c</w:t>
      </w:r>
      <w:r>
        <w:t xml:space="preserve">ompensation claims management </w:t>
      </w:r>
    </w:p>
    <w:p w:rsidR="00F6503E" w:rsidRDefault="00F6503E" w:rsidP="001C516D">
      <w:r>
        <w:t xml:space="preserve">Workers’ compensation claims management is a co-ordinated program supporting </w:t>
      </w:r>
      <w:r w:rsidR="00D978B1">
        <w:t xml:space="preserve">an </w:t>
      </w:r>
      <w:r>
        <w:t xml:space="preserve">injured worker </w:t>
      </w:r>
      <w:r w:rsidR="00791C3A">
        <w:t>commencing at t</w:t>
      </w:r>
      <w:r>
        <w:t>he initial report or notification</w:t>
      </w:r>
      <w:r w:rsidR="00D978B1">
        <w:t xml:space="preserve"> of the injury</w:t>
      </w:r>
      <w:r>
        <w:t xml:space="preserve"> </w:t>
      </w:r>
      <w:r w:rsidR="00152886">
        <w:t xml:space="preserve">to the workplace </w:t>
      </w:r>
      <w:r>
        <w:t xml:space="preserve">through to return to work, </w:t>
      </w:r>
      <w:r w:rsidR="00D978B1">
        <w:t>where</w:t>
      </w:r>
      <w:r>
        <w:t xml:space="preserve"> possible. </w:t>
      </w:r>
    </w:p>
    <w:p w:rsidR="00F6503E" w:rsidRPr="00551500" w:rsidRDefault="00F6503E" w:rsidP="00551500">
      <w:pPr>
        <w:pStyle w:val="Heading2"/>
        <w:rPr>
          <w:i/>
        </w:rPr>
      </w:pPr>
      <w:r w:rsidRPr="00551500">
        <w:rPr>
          <w:i/>
        </w:rPr>
        <w:t>Notification</w:t>
      </w:r>
    </w:p>
    <w:p w:rsidR="00F6503E" w:rsidRDefault="00F6503E" w:rsidP="001C516D">
      <w:r>
        <w:t xml:space="preserve">Workers who have incurred an injury at work and are intending to make a workers’ compensation claim must provide the employer </w:t>
      </w:r>
      <w:r w:rsidR="0051690B">
        <w:t xml:space="preserve">or insurer </w:t>
      </w:r>
      <w:r>
        <w:t>with information about their injury</w:t>
      </w:r>
      <w:r w:rsidR="00791C3A">
        <w:t xml:space="preserve">. </w:t>
      </w:r>
    </w:p>
    <w:p w:rsidR="00F6503E" w:rsidRDefault="0051690B" w:rsidP="001C516D">
      <w:r>
        <w:t>In most jurisdictions, the employer must then notify the insurer of the claim within a specified time.</w:t>
      </w:r>
      <w:r w:rsidR="00B335DC">
        <w:t xml:space="preserve"> Refer to your regulator to find out what </w:t>
      </w:r>
      <w:r w:rsidR="00CE770F">
        <w:t>rules apply to you.</w:t>
      </w:r>
    </w:p>
    <w:p w:rsidR="00F6503E" w:rsidRDefault="00F6503E" w:rsidP="001C516D">
      <w:r>
        <w:t xml:space="preserve">Prompt notification of a claim initiates the management of the claim and early intervention practices that </w:t>
      </w:r>
      <w:r w:rsidR="00A43700">
        <w:t xml:space="preserve">may assist a worker </w:t>
      </w:r>
      <w:r w:rsidR="00397D4F">
        <w:t>with a</w:t>
      </w:r>
      <w:r w:rsidR="00A43700">
        <w:t xml:space="preserve"> </w:t>
      </w:r>
      <w:r>
        <w:t xml:space="preserve">psychological injury. </w:t>
      </w:r>
    </w:p>
    <w:p w:rsidR="00F6503E" w:rsidRPr="00551500" w:rsidRDefault="00F6503E" w:rsidP="00551500">
      <w:pPr>
        <w:pStyle w:val="Heading2"/>
        <w:rPr>
          <w:i/>
        </w:rPr>
      </w:pPr>
      <w:r w:rsidRPr="00551500">
        <w:rPr>
          <w:i/>
        </w:rPr>
        <w:t>Rehabilitation and return to work</w:t>
      </w:r>
    </w:p>
    <w:p w:rsidR="00F6503E" w:rsidRDefault="00F6503E" w:rsidP="001C516D">
      <w:r>
        <w:t xml:space="preserve">Return to work </w:t>
      </w:r>
      <w:r w:rsidR="00791C3A">
        <w:t xml:space="preserve">means </w:t>
      </w:r>
      <w:r>
        <w:t>assisting injured workers in staying at or getting back to work. The aim of the return to work</w:t>
      </w:r>
      <w:r w:rsidR="00791C3A">
        <w:t xml:space="preserve"> and </w:t>
      </w:r>
      <w:r>
        <w:t xml:space="preserve">rehabilitation provisions in </w:t>
      </w:r>
      <w:r w:rsidR="00C740DA">
        <w:t>w</w:t>
      </w:r>
      <w:r w:rsidR="00791C3A">
        <w:t xml:space="preserve">orkers’ </w:t>
      </w:r>
      <w:r w:rsidR="00C740DA">
        <w:t>c</w:t>
      </w:r>
      <w:r w:rsidR="00791C3A">
        <w:t xml:space="preserve">ompensation </w:t>
      </w:r>
      <w:r>
        <w:t>legislation is to provide for the safe</w:t>
      </w:r>
      <w:r w:rsidR="00406B16">
        <w:t>, timely</w:t>
      </w:r>
      <w:r>
        <w:t xml:space="preserve"> and durable return to work of the injured worker having regard to the worker’s injury.</w:t>
      </w:r>
    </w:p>
    <w:p w:rsidR="00F6503E" w:rsidRDefault="002F1121" w:rsidP="001C516D">
      <w:r w:rsidRPr="00406B16">
        <w:t xml:space="preserve">The return to work plan </w:t>
      </w:r>
      <w:r w:rsidR="00F6503E" w:rsidRPr="00406B16">
        <w:t>involves the employer</w:t>
      </w:r>
      <w:r w:rsidRPr="00406B16">
        <w:t xml:space="preserve">, the </w:t>
      </w:r>
      <w:r w:rsidR="00F6503E" w:rsidRPr="00406B16">
        <w:t xml:space="preserve">worker </w:t>
      </w:r>
      <w:r w:rsidRPr="00406B16">
        <w:t>and the insurer an</w:t>
      </w:r>
      <w:r w:rsidR="00406B16">
        <w:t>d may</w:t>
      </w:r>
      <w:r w:rsidR="00152886">
        <w:t xml:space="preserve"> also</w:t>
      </w:r>
      <w:r w:rsidR="00406B16">
        <w:t xml:space="preserve"> involve</w:t>
      </w:r>
      <w:r w:rsidR="00A724DC" w:rsidRPr="00406B16">
        <w:t xml:space="preserve"> </w:t>
      </w:r>
      <w:r w:rsidR="00F6503E" w:rsidRPr="00406B16">
        <w:t>workplace rehabilitation coordinators, rehabilitation providers,</w:t>
      </w:r>
      <w:r w:rsidRPr="00406B16">
        <w:t xml:space="preserve"> medical and other health professionals. This will depend on the </w:t>
      </w:r>
      <w:r w:rsidR="00C740DA" w:rsidRPr="00406B16">
        <w:t>w</w:t>
      </w:r>
      <w:r w:rsidRPr="00406B16">
        <w:t xml:space="preserve">orkers’ </w:t>
      </w:r>
      <w:r w:rsidR="00C740DA" w:rsidRPr="00406B16">
        <w:t>c</w:t>
      </w:r>
      <w:r w:rsidRPr="00406B16">
        <w:t>ompensation legislation in each jurisdiction and the severity of the worker’s injury.</w:t>
      </w:r>
      <w:r>
        <w:t xml:space="preserve"> </w:t>
      </w:r>
    </w:p>
    <w:p w:rsidR="00F6503E" w:rsidRDefault="00F6503E" w:rsidP="001C516D">
      <w:pPr>
        <w:keepNext/>
      </w:pPr>
      <w:r>
        <w:t xml:space="preserve">A successful return to work </w:t>
      </w:r>
      <w:r w:rsidR="00406B16">
        <w:t xml:space="preserve">can be assisted by the following </w:t>
      </w:r>
      <w:r>
        <w:t xml:space="preserve">factors: </w:t>
      </w:r>
    </w:p>
    <w:p w:rsidR="00406B16" w:rsidRDefault="00FB43DA" w:rsidP="001C516D">
      <w:pPr>
        <w:pStyle w:val="ListParagraph"/>
        <w:keepNext/>
        <w:numPr>
          <w:ilvl w:val="0"/>
          <w:numId w:val="4"/>
        </w:numPr>
      </w:pPr>
      <w:r>
        <w:t>e</w:t>
      </w:r>
      <w:r w:rsidR="00406B16">
        <w:t>nsuring that workplace psychological hazards are addressed appropriately</w:t>
      </w:r>
    </w:p>
    <w:p w:rsidR="00F6503E" w:rsidRDefault="00FB43DA" w:rsidP="001C516D">
      <w:pPr>
        <w:pStyle w:val="ListParagraph"/>
        <w:keepNext/>
        <w:numPr>
          <w:ilvl w:val="0"/>
          <w:numId w:val="4"/>
        </w:numPr>
      </w:pPr>
      <w:r>
        <w:t>e</w:t>
      </w:r>
      <w:r w:rsidR="00FF563D">
        <w:t xml:space="preserve">arly </w:t>
      </w:r>
      <w:r w:rsidR="00F6503E">
        <w:t>intervention</w:t>
      </w:r>
      <w:r w:rsidR="00FF563D">
        <w:t xml:space="preserve"> </w:t>
      </w:r>
    </w:p>
    <w:p w:rsidR="00F6503E" w:rsidRDefault="00FB43DA" w:rsidP="001C516D">
      <w:pPr>
        <w:pStyle w:val="ListParagraph"/>
        <w:numPr>
          <w:ilvl w:val="0"/>
          <w:numId w:val="4"/>
        </w:numPr>
      </w:pPr>
      <w:r>
        <w:t>a</w:t>
      </w:r>
      <w:r w:rsidR="00FF563D">
        <w:t xml:space="preserve">n </w:t>
      </w:r>
      <w:r w:rsidR="00F6503E">
        <w:t xml:space="preserve">effective workplace-based rehabilitation </w:t>
      </w:r>
      <w:r w:rsidR="002F1121">
        <w:t>program and return to work plan</w:t>
      </w:r>
    </w:p>
    <w:p w:rsidR="00F6503E" w:rsidRDefault="00FB43DA" w:rsidP="001C516D">
      <w:pPr>
        <w:pStyle w:val="ListParagraph"/>
        <w:numPr>
          <w:ilvl w:val="0"/>
          <w:numId w:val="4"/>
        </w:numPr>
      </w:pPr>
      <w:r>
        <w:t>e</w:t>
      </w:r>
      <w:r w:rsidR="00FF563D">
        <w:t xml:space="preserve">ffective </w:t>
      </w:r>
      <w:r w:rsidR="00F6503E">
        <w:t>claims management</w:t>
      </w:r>
      <w:r w:rsidR="00406B16">
        <w:t>, and</w:t>
      </w:r>
      <w:r w:rsidR="00F6503E">
        <w:t xml:space="preserve"> </w:t>
      </w:r>
    </w:p>
    <w:p w:rsidR="00F6503E" w:rsidRDefault="00FB43DA" w:rsidP="001C516D">
      <w:pPr>
        <w:pStyle w:val="ListParagraph"/>
        <w:numPr>
          <w:ilvl w:val="0"/>
          <w:numId w:val="4"/>
        </w:numPr>
      </w:pPr>
      <w:proofErr w:type="gramStart"/>
      <w:r>
        <w:t>c</w:t>
      </w:r>
      <w:r w:rsidR="00FF563D">
        <w:t>o-operation</w:t>
      </w:r>
      <w:proofErr w:type="gramEnd"/>
      <w:r w:rsidR="00F6503E">
        <w:t>, collaboration and consultation between all parties involved.</w:t>
      </w:r>
    </w:p>
    <w:p w:rsidR="00F6503E" w:rsidRDefault="00F6503E" w:rsidP="001C516D">
      <w:r>
        <w:lastRenderedPageBreak/>
        <w:t xml:space="preserve">Each jurisdiction has a process for returning an injured worker to work. If you are unsure of your obligations and to ensure you are complying with the </w:t>
      </w:r>
      <w:r w:rsidR="00C740DA">
        <w:t>w</w:t>
      </w:r>
      <w:r w:rsidR="00791C3A">
        <w:t xml:space="preserve">orkers’ </w:t>
      </w:r>
      <w:r w:rsidR="00C740DA">
        <w:t>c</w:t>
      </w:r>
      <w:r w:rsidR="00791C3A">
        <w:t xml:space="preserve">ompensation </w:t>
      </w:r>
      <w:r>
        <w:t>laws in your jurisdiction, refer to your regulator for information.</w:t>
      </w:r>
    </w:p>
    <w:p w:rsidR="00F6503E" w:rsidRDefault="00F6503E" w:rsidP="001C516D">
      <w:r>
        <w:t xml:space="preserve">Further information on the process in each jurisdiction and links to jurisdictional guidance material is in </w:t>
      </w:r>
      <w:r w:rsidR="00072FBB">
        <w:t xml:space="preserve">Chapter 5 of </w:t>
      </w:r>
      <w:r>
        <w:t xml:space="preserve">the </w:t>
      </w:r>
      <w:hyperlink r:id="rId8" w:history="1">
        <w:r>
          <w:rPr>
            <w:rStyle w:val="Hyperlink"/>
            <w:i/>
          </w:rPr>
          <w:t>Comparison of Workers’ Compensation Arrangements in Australia and New Zealand</w:t>
        </w:r>
      </w:hyperlink>
      <w:r w:rsidR="00C712BD">
        <w:rPr>
          <w:rStyle w:val="Hyperlink"/>
          <w:i/>
        </w:rPr>
        <w:t>.</w:t>
      </w:r>
      <w:r w:rsidR="00072FBB">
        <w:t xml:space="preserve"> </w:t>
      </w:r>
    </w:p>
    <w:p w:rsidR="00F6503E" w:rsidRDefault="00F6503E" w:rsidP="001C516D">
      <w:r>
        <w:t xml:space="preserve">While </w:t>
      </w:r>
      <w:r w:rsidR="00406B16">
        <w:t xml:space="preserve">workers’ compensation </w:t>
      </w:r>
      <w:r>
        <w:t>legal requirement</w:t>
      </w:r>
      <w:r w:rsidR="00072FBB">
        <w:t>s</w:t>
      </w:r>
      <w:r>
        <w:t xml:space="preserve"> differ between jurisdictions</w:t>
      </w:r>
      <w:r w:rsidR="00072FBB">
        <w:t>,</w:t>
      </w:r>
      <w:r>
        <w:t xml:space="preserve"> </w:t>
      </w:r>
      <w:r w:rsidR="00072FBB">
        <w:t>generally</w:t>
      </w:r>
      <w:r>
        <w:t xml:space="preserve"> the employer has a duty to:</w:t>
      </w:r>
    </w:p>
    <w:p w:rsidR="00F6503E" w:rsidRDefault="00F6503E" w:rsidP="001C516D">
      <w:pPr>
        <w:pStyle w:val="ListParagraph"/>
        <w:numPr>
          <w:ilvl w:val="0"/>
          <w:numId w:val="5"/>
        </w:numPr>
      </w:pPr>
      <w:r>
        <w:t>consult with the worker and other involved parties</w:t>
      </w:r>
    </w:p>
    <w:p w:rsidR="00F6503E" w:rsidRDefault="00F6503E" w:rsidP="001C516D">
      <w:pPr>
        <w:pStyle w:val="ListParagraph"/>
        <w:numPr>
          <w:ilvl w:val="0"/>
          <w:numId w:val="5"/>
        </w:numPr>
      </w:pPr>
      <w:r>
        <w:t>develop or be involved in the development of a return to work plan, and</w:t>
      </w:r>
    </w:p>
    <w:p w:rsidR="002B710E" w:rsidRDefault="002B710E" w:rsidP="001C516D">
      <w:pPr>
        <w:pStyle w:val="ListParagraph"/>
        <w:numPr>
          <w:ilvl w:val="0"/>
          <w:numId w:val="5"/>
        </w:numPr>
      </w:pPr>
      <w:proofErr w:type="gramStart"/>
      <w:r>
        <w:t>provide</w:t>
      </w:r>
      <w:proofErr w:type="gramEnd"/>
      <w:r>
        <w:t xml:space="preserve"> suitable duties.</w:t>
      </w:r>
    </w:p>
    <w:p w:rsidR="009A2341" w:rsidRDefault="009A2341" w:rsidP="009A2341">
      <w:r>
        <w:t xml:space="preserve">Employers also have duties under work health and safety laws to ensure the health and safety of workers as far as is reasonably practicable. </w:t>
      </w:r>
    </w:p>
    <w:p w:rsidR="00F6503E" w:rsidRPr="00734C6D" w:rsidRDefault="00F6503E" w:rsidP="001C516D">
      <w:r w:rsidRPr="00734C6D">
        <w:rPr>
          <w:rStyle w:val="Heading2Char"/>
          <w:i/>
        </w:rPr>
        <w:t xml:space="preserve">What is a </w:t>
      </w:r>
      <w:r w:rsidRPr="00734C6D">
        <w:rPr>
          <w:rStyle w:val="Heading2Char"/>
          <w:rFonts w:ascii="Arial" w:hAnsi="Arial" w:cs="Arial"/>
          <w:i/>
          <w:sz w:val="22"/>
          <w:szCs w:val="22"/>
        </w:rPr>
        <w:t>return</w:t>
      </w:r>
      <w:r w:rsidRPr="00734C6D">
        <w:rPr>
          <w:rStyle w:val="Heading2Char"/>
          <w:i/>
        </w:rPr>
        <w:t xml:space="preserve"> to work plan?</w:t>
      </w:r>
    </w:p>
    <w:p w:rsidR="00F6503E" w:rsidRDefault="00F6503E" w:rsidP="001C516D">
      <w:r>
        <w:t>A return to work plan is developed in consultation with the employer, worker and other relevant parties such as rehabilitation providers aimed at achieving the timely, safe and durable return to work of the injured worker. It usually includes clear objectives</w:t>
      </w:r>
      <w:r w:rsidR="006A5DCC">
        <w:t>,</w:t>
      </w:r>
      <w:r>
        <w:t xml:space="preserve"> a list of actions to be taken to enable return to work,</w:t>
      </w:r>
      <w:r w:rsidR="006A5DCC">
        <w:t xml:space="preserve"> and the person responsible</w:t>
      </w:r>
      <w:r>
        <w:t xml:space="preserve"> </w:t>
      </w:r>
      <w:r w:rsidR="006A5DCC">
        <w:t xml:space="preserve">for </w:t>
      </w:r>
      <w:r>
        <w:t>each action. It may include:</w:t>
      </w:r>
    </w:p>
    <w:p w:rsidR="00F6503E" w:rsidRPr="001C516D" w:rsidRDefault="00F6503E" w:rsidP="001C516D">
      <w:pPr>
        <w:pStyle w:val="ListParagraph"/>
        <w:numPr>
          <w:ilvl w:val="0"/>
          <w:numId w:val="6"/>
        </w:numPr>
        <w:rPr>
          <w:lang w:val="en"/>
        </w:rPr>
      </w:pPr>
      <w:r w:rsidRPr="001C516D">
        <w:rPr>
          <w:lang w:val="en"/>
        </w:rPr>
        <w:t xml:space="preserve">suitable </w:t>
      </w:r>
      <w:r w:rsidR="00A30697" w:rsidRPr="001C516D">
        <w:rPr>
          <w:lang w:val="en"/>
        </w:rPr>
        <w:t xml:space="preserve">duties </w:t>
      </w:r>
      <w:r w:rsidRPr="001C516D">
        <w:rPr>
          <w:lang w:val="en"/>
        </w:rPr>
        <w:t>being offered including modified or alternative duties</w:t>
      </w:r>
    </w:p>
    <w:p w:rsidR="00F6503E" w:rsidRPr="001C516D" w:rsidRDefault="00F6503E" w:rsidP="001C516D">
      <w:pPr>
        <w:pStyle w:val="ListParagraph"/>
        <w:numPr>
          <w:ilvl w:val="0"/>
          <w:numId w:val="6"/>
        </w:numPr>
        <w:rPr>
          <w:lang w:val="en"/>
        </w:rPr>
      </w:pPr>
      <w:r w:rsidRPr="001C516D">
        <w:rPr>
          <w:lang w:val="en"/>
        </w:rPr>
        <w:t>hours of work including work breaks</w:t>
      </w:r>
    </w:p>
    <w:p w:rsidR="00F6503E" w:rsidRPr="001C516D" w:rsidRDefault="00F6503E" w:rsidP="001C516D">
      <w:pPr>
        <w:pStyle w:val="ListParagraph"/>
        <w:numPr>
          <w:ilvl w:val="0"/>
          <w:numId w:val="6"/>
        </w:numPr>
        <w:rPr>
          <w:lang w:val="en"/>
        </w:rPr>
      </w:pPr>
      <w:r w:rsidRPr="001C516D">
        <w:rPr>
          <w:lang w:val="en"/>
        </w:rPr>
        <w:t>support, aids or modifications to the workplace</w:t>
      </w:r>
    </w:p>
    <w:p w:rsidR="00F6503E" w:rsidRPr="001C516D" w:rsidRDefault="00F6503E" w:rsidP="001C516D">
      <w:pPr>
        <w:pStyle w:val="ListParagraph"/>
        <w:numPr>
          <w:ilvl w:val="0"/>
          <w:numId w:val="6"/>
        </w:numPr>
        <w:rPr>
          <w:lang w:val="en"/>
        </w:rPr>
      </w:pPr>
      <w:r w:rsidRPr="001C516D">
        <w:rPr>
          <w:lang w:val="en"/>
        </w:rPr>
        <w:t>relevant contact details</w:t>
      </w:r>
    </w:p>
    <w:p w:rsidR="00F6503E" w:rsidRPr="001C516D" w:rsidRDefault="00F6503E" w:rsidP="001C516D">
      <w:pPr>
        <w:pStyle w:val="ListParagraph"/>
        <w:numPr>
          <w:ilvl w:val="0"/>
          <w:numId w:val="6"/>
        </w:numPr>
        <w:rPr>
          <w:lang w:val="en"/>
        </w:rPr>
      </w:pPr>
      <w:r w:rsidRPr="001C516D">
        <w:rPr>
          <w:lang w:val="en"/>
        </w:rPr>
        <w:t>time frames, and</w:t>
      </w:r>
    </w:p>
    <w:p w:rsidR="00F6503E" w:rsidRPr="001C516D" w:rsidRDefault="00F6503E" w:rsidP="001C516D">
      <w:pPr>
        <w:pStyle w:val="ListParagraph"/>
        <w:numPr>
          <w:ilvl w:val="0"/>
          <w:numId w:val="6"/>
        </w:numPr>
        <w:rPr>
          <w:lang w:val="en"/>
        </w:rPr>
      </w:pPr>
      <w:proofErr w:type="gramStart"/>
      <w:r w:rsidRPr="001C516D">
        <w:rPr>
          <w:lang w:val="en"/>
        </w:rPr>
        <w:t>processes</w:t>
      </w:r>
      <w:proofErr w:type="gramEnd"/>
      <w:r w:rsidRPr="001C516D">
        <w:rPr>
          <w:lang w:val="en"/>
        </w:rPr>
        <w:t xml:space="preserve"> to monitor progress.</w:t>
      </w:r>
    </w:p>
    <w:p w:rsidR="00F6503E" w:rsidRPr="00551500" w:rsidRDefault="00F6503E" w:rsidP="00551500">
      <w:pPr>
        <w:pStyle w:val="Heading2"/>
        <w:rPr>
          <w:i/>
        </w:rPr>
      </w:pPr>
      <w:r w:rsidRPr="00551500">
        <w:rPr>
          <w:i/>
        </w:rPr>
        <w:t xml:space="preserve">What are suitable </w:t>
      </w:r>
      <w:r w:rsidR="00A30697" w:rsidRPr="00551500">
        <w:rPr>
          <w:i/>
        </w:rPr>
        <w:t xml:space="preserve">or alternative </w:t>
      </w:r>
      <w:r w:rsidRPr="00551500">
        <w:rPr>
          <w:i/>
        </w:rPr>
        <w:t xml:space="preserve">duties? </w:t>
      </w:r>
    </w:p>
    <w:p w:rsidR="00F6503E" w:rsidRDefault="00F6503E" w:rsidP="001C516D">
      <w:r>
        <w:t xml:space="preserve">Suitable </w:t>
      </w:r>
      <w:r w:rsidR="00A30697">
        <w:t xml:space="preserve">duties </w:t>
      </w:r>
      <w:r>
        <w:t>refer to work that is suited to the worker’s current capacity</w:t>
      </w:r>
      <w:r w:rsidR="002C06D0">
        <w:t xml:space="preserve"> taking account of</w:t>
      </w:r>
      <w:r>
        <w:t xml:space="preserve"> their medical condition, age, skills, work experience and pre-injury employment. Suitable duties may involve reasonable adjustment</w:t>
      </w:r>
      <w:r w:rsidR="006A5DCC">
        <w:t>, for example</w:t>
      </w:r>
      <w:r w:rsidR="00A30697">
        <w:t>:</w:t>
      </w:r>
    </w:p>
    <w:p w:rsidR="00F6503E" w:rsidRDefault="00FB43DA" w:rsidP="001C516D">
      <w:pPr>
        <w:pStyle w:val="ListParagraph"/>
        <w:numPr>
          <w:ilvl w:val="0"/>
          <w:numId w:val="7"/>
        </w:numPr>
      </w:pPr>
      <w:r>
        <w:rPr>
          <w:rFonts w:eastAsiaTheme="minorEastAsia"/>
        </w:rPr>
        <w:t>f</w:t>
      </w:r>
      <w:r w:rsidRPr="001C516D">
        <w:rPr>
          <w:rFonts w:eastAsiaTheme="minorEastAsia"/>
        </w:rPr>
        <w:t xml:space="preserve">lexible </w:t>
      </w:r>
      <w:r w:rsidR="00F6503E" w:rsidRPr="001C516D">
        <w:rPr>
          <w:rFonts w:eastAsiaTheme="minorEastAsia"/>
        </w:rPr>
        <w:t xml:space="preserve">working arrangements - </w:t>
      </w:r>
      <w:r w:rsidR="00F6503E">
        <w:t>varying start and finish times or allowing extra or longer work breaks</w:t>
      </w:r>
    </w:p>
    <w:p w:rsidR="00F6503E" w:rsidRDefault="00FB43DA" w:rsidP="001C516D">
      <w:pPr>
        <w:pStyle w:val="ListParagraph"/>
        <w:numPr>
          <w:ilvl w:val="0"/>
          <w:numId w:val="7"/>
        </w:numPr>
      </w:pPr>
      <w:r>
        <w:rPr>
          <w:rFonts w:eastAsiaTheme="minorEastAsia"/>
        </w:rPr>
        <w:t>m</w:t>
      </w:r>
      <w:r w:rsidRPr="001C516D">
        <w:rPr>
          <w:rFonts w:eastAsiaTheme="minorEastAsia"/>
        </w:rPr>
        <w:t xml:space="preserve">odifying </w:t>
      </w:r>
      <w:r w:rsidR="00F6503E" w:rsidRPr="001C516D">
        <w:rPr>
          <w:rFonts w:eastAsiaTheme="minorEastAsia"/>
        </w:rPr>
        <w:t xml:space="preserve">some aspect of the job or work tasks - </w:t>
      </w:r>
      <w:r w:rsidR="00F6503E">
        <w:t>simplifying tasks, providing greater support -</w:t>
      </w:r>
      <w:r>
        <w:t xml:space="preserve"> </w:t>
      </w:r>
      <w:r w:rsidR="00F6503E">
        <w:t>writing down instructions, developing standard operating procedures, using diagrams</w:t>
      </w:r>
    </w:p>
    <w:p w:rsidR="00F6503E" w:rsidRPr="003C1396" w:rsidRDefault="00FB43DA" w:rsidP="001C516D">
      <w:pPr>
        <w:pStyle w:val="ListParagraph"/>
        <w:numPr>
          <w:ilvl w:val="0"/>
          <w:numId w:val="7"/>
        </w:numPr>
        <w:rPr>
          <w:b/>
        </w:rPr>
      </w:pPr>
      <w:proofErr w:type="gramStart"/>
      <w:r>
        <w:rPr>
          <w:rFonts w:eastAsiaTheme="minorEastAsia"/>
        </w:rPr>
        <w:t>m</w:t>
      </w:r>
      <w:r w:rsidRPr="001C516D">
        <w:rPr>
          <w:rFonts w:eastAsiaTheme="minorEastAsia"/>
        </w:rPr>
        <w:t>odifying</w:t>
      </w:r>
      <w:proofErr w:type="gramEnd"/>
      <w:r w:rsidRPr="001C516D">
        <w:rPr>
          <w:rFonts w:eastAsiaTheme="minorEastAsia"/>
        </w:rPr>
        <w:t xml:space="preserve"> </w:t>
      </w:r>
      <w:r w:rsidR="00F6503E" w:rsidRPr="001C516D">
        <w:rPr>
          <w:rFonts w:eastAsiaTheme="minorEastAsia"/>
        </w:rPr>
        <w:t xml:space="preserve">the workstation or work area </w:t>
      </w:r>
      <w:r w:rsidR="008B5CD3" w:rsidRPr="001C516D">
        <w:rPr>
          <w:rFonts w:eastAsiaTheme="minorEastAsia"/>
        </w:rPr>
        <w:t>–</w:t>
      </w:r>
      <w:r w:rsidR="00F6503E" w:rsidRPr="001C516D">
        <w:rPr>
          <w:rFonts w:eastAsiaTheme="minorEastAsia"/>
        </w:rPr>
        <w:t xml:space="preserve"> </w:t>
      </w:r>
      <w:r w:rsidR="00F6503E">
        <w:t>relocating</w:t>
      </w:r>
      <w:r w:rsidR="008B5CD3">
        <w:t xml:space="preserve"> the</w:t>
      </w:r>
      <w:r w:rsidR="00F6503E">
        <w:t xml:space="preserve"> workstation to a quieter location or using privacy screens.</w:t>
      </w:r>
    </w:p>
    <w:p w:rsidR="00A724DC" w:rsidRPr="003C1396" w:rsidRDefault="00A724DC" w:rsidP="003C1396">
      <w:pPr>
        <w:widowControl w:val="0"/>
        <w:autoSpaceDE w:val="0"/>
        <w:autoSpaceDN w:val="0"/>
        <w:adjustRightInd w:val="0"/>
        <w:rPr>
          <w:bCs/>
          <w:lang w:val="en"/>
        </w:rPr>
      </w:pPr>
      <w:r w:rsidRPr="00A724DC">
        <w:rPr>
          <w:bCs/>
          <w:lang w:val="en"/>
        </w:rPr>
        <w:t>Suitable duties must be meaningful. An injured worker should not be discriminated against because of their injury</w:t>
      </w:r>
      <w:r w:rsidR="002C06D0">
        <w:rPr>
          <w:bCs/>
          <w:lang w:val="en"/>
        </w:rPr>
        <w:t>, including when being</w:t>
      </w:r>
      <w:r w:rsidRPr="00B22EEA">
        <w:rPr>
          <w:bCs/>
          <w:lang w:val="en"/>
        </w:rPr>
        <w:t xml:space="preserve"> offered suitable duties.</w:t>
      </w:r>
    </w:p>
    <w:p w:rsidR="00F6503E" w:rsidRDefault="00F6503E" w:rsidP="00551500">
      <w:pPr>
        <w:pStyle w:val="Heading1"/>
        <w:rPr>
          <w:rFonts w:eastAsiaTheme="minorEastAsia"/>
        </w:rPr>
      </w:pPr>
      <w:r w:rsidRPr="00734C6D">
        <w:rPr>
          <w:rFonts w:eastAsiaTheme="minorEastAsia"/>
        </w:rPr>
        <w:t xml:space="preserve">Further information </w:t>
      </w:r>
    </w:p>
    <w:p w:rsidR="00487066" w:rsidRDefault="00487066" w:rsidP="00F74D07">
      <w:pPr>
        <w:pStyle w:val="ListParagraph"/>
        <w:numPr>
          <w:ilvl w:val="0"/>
          <w:numId w:val="8"/>
        </w:numPr>
        <w:rPr>
          <w:lang w:val="en-US"/>
        </w:rPr>
      </w:pPr>
      <w:r>
        <w:rPr>
          <w:lang w:val="en-US"/>
        </w:rPr>
        <w:t xml:space="preserve">Fact Sheet – </w:t>
      </w:r>
      <w:r w:rsidRPr="00487066">
        <w:rPr>
          <w:i/>
          <w:lang w:val="en-US"/>
        </w:rPr>
        <w:t>Preventing psychological injury under work health and safety laws</w:t>
      </w:r>
      <w:r>
        <w:rPr>
          <w:i/>
          <w:lang w:val="en-US"/>
        </w:rPr>
        <w:t xml:space="preserve"> </w:t>
      </w:r>
    </w:p>
    <w:p w:rsidR="00F74D07" w:rsidRPr="00F74D07" w:rsidRDefault="00F74D07" w:rsidP="00F74D07">
      <w:pPr>
        <w:pStyle w:val="ListParagraph"/>
        <w:numPr>
          <w:ilvl w:val="0"/>
          <w:numId w:val="8"/>
        </w:numPr>
        <w:rPr>
          <w:lang w:val="en-US"/>
        </w:rPr>
      </w:pPr>
      <w:r>
        <w:rPr>
          <w:lang w:val="en-US"/>
        </w:rPr>
        <w:t>Your jurisdictional work</w:t>
      </w:r>
      <w:r w:rsidR="00C712BD">
        <w:rPr>
          <w:lang w:val="en-US"/>
        </w:rPr>
        <w:t>ers’ compensation</w:t>
      </w:r>
      <w:r>
        <w:rPr>
          <w:lang w:val="en-US"/>
        </w:rPr>
        <w:t xml:space="preserve"> </w:t>
      </w:r>
      <w:r w:rsidR="00C712BD">
        <w:rPr>
          <w:lang w:val="en-US"/>
        </w:rPr>
        <w:t>or work health and safety authority</w:t>
      </w:r>
    </w:p>
    <w:p w:rsidR="00195FB0" w:rsidRPr="00195FB0" w:rsidRDefault="00195FB0" w:rsidP="001C516D">
      <w:pPr>
        <w:pStyle w:val="ListParagraph"/>
        <w:numPr>
          <w:ilvl w:val="0"/>
          <w:numId w:val="8"/>
        </w:numPr>
        <w:rPr>
          <w:i/>
          <w:lang w:val="en"/>
        </w:rPr>
      </w:pPr>
      <w:r>
        <w:t xml:space="preserve">Queensland: </w:t>
      </w:r>
      <w:hyperlink r:id="rId9" w:history="1">
        <w:r w:rsidRPr="00566F90">
          <w:rPr>
            <w:rStyle w:val="Hyperlink"/>
            <w:i/>
          </w:rPr>
          <w:t>Work-related stress tip sheets</w:t>
        </w:r>
      </w:hyperlink>
    </w:p>
    <w:p w:rsidR="00F6503E" w:rsidRDefault="00F6503E" w:rsidP="001C516D">
      <w:pPr>
        <w:pStyle w:val="ListParagraph"/>
        <w:numPr>
          <w:ilvl w:val="0"/>
          <w:numId w:val="8"/>
        </w:numPr>
        <w:rPr>
          <w:i/>
          <w:lang w:val="en"/>
        </w:rPr>
      </w:pPr>
      <w:r>
        <w:t xml:space="preserve">Comcare: </w:t>
      </w:r>
      <w:hyperlink r:id="rId10" w:history="1">
        <w:r>
          <w:rPr>
            <w:rStyle w:val="Hyperlink"/>
            <w:rFonts w:eastAsiaTheme="majorEastAsia"/>
            <w:i/>
            <w:lang w:val="en"/>
          </w:rPr>
          <w:t>Early Intervention to support psychological health and wellbeing</w:t>
        </w:r>
      </w:hyperlink>
    </w:p>
    <w:p w:rsidR="00F6503E" w:rsidRDefault="00F6503E" w:rsidP="001C516D">
      <w:pPr>
        <w:pStyle w:val="ListParagraph"/>
        <w:numPr>
          <w:ilvl w:val="0"/>
          <w:numId w:val="8"/>
        </w:numPr>
        <w:rPr>
          <w:lang w:val="en"/>
        </w:rPr>
      </w:pPr>
      <w:r>
        <w:rPr>
          <w:lang w:val="en"/>
        </w:rPr>
        <w:t xml:space="preserve">WorkCover South Australia. </w:t>
      </w:r>
      <w:hyperlink r:id="rId11" w:history="1">
        <w:r>
          <w:rPr>
            <w:rStyle w:val="Hyperlink"/>
            <w:rFonts w:eastAsiaTheme="majorEastAsia"/>
            <w:i/>
          </w:rPr>
          <w:t>Managing Psychological Injuries: a Guide for Rehabilitation and Return to Work Coordinators</w:t>
        </w:r>
      </w:hyperlink>
    </w:p>
    <w:p w:rsidR="00F6503E" w:rsidRPr="003C1396" w:rsidRDefault="00F6503E" w:rsidP="001C516D">
      <w:pPr>
        <w:pStyle w:val="ListParagraph"/>
        <w:numPr>
          <w:ilvl w:val="0"/>
          <w:numId w:val="8"/>
        </w:numPr>
        <w:rPr>
          <w:rStyle w:val="Hyperlink"/>
          <w:color w:val="000000"/>
          <w:u w:val="none"/>
        </w:rPr>
      </w:pPr>
      <w:r>
        <w:rPr>
          <w:lang w:val="en"/>
        </w:rPr>
        <w:lastRenderedPageBreak/>
        <w:t>Australian Services Union</w:t>
      </w:r>
      <w:r>
        <w:rPr>
          <w:i/>
          <w:lang w:val="en"/>
        </w:rPr>
        <w:t xml:space="preserve">. </w:t>
      </w:r>
      <w:hyperlink r:id="rId12" w:history="1">
        <w:r>
          <w:rPr>
            <w:rStyle w:val="Hyperlink"/>
            <w:rFonts w:eastAsiaTheme="majorEastAsia"/>
            <w:i/>
            <w:lang w:val="en"/>
          </w:rPr>
          <w:t>Employers Guide to Best Practice Return to Work for a Stress Injury</w:t>
        </w:r>
      </w:hyperlink>
    </w:p>
    <w:p w:rsidR="00795D0C" w:rsidRPr="00C358BF" w:rsidRDefault="00795D0C" w:rsidP="00AF5ED9">
      <w:pPr>
        <w:pStyle w:val="ListParagraph"/>
        <w:numPr>
          <w:ilvl w:val="0"/>
          <w:numId w:val="8"/>
        </w:numPr>
      </w:pPr>
      <w:r>
        <w:t xml:space="preserve">Australian Human Rights Commission: </w:t>
      </w:r>
      <w:hyperlink r:id="rId13" w:history="1">
        <w:r w:rsidR="003C1396" w:rsidRPr="00487066">
          <w:rPr>
            <w:rStyle w:val="Hyperlink"/>
            <w:i/>
          </w:rPr>
          <w:t xml:space="preserve">Workers with a mental illness: </w:t>
        </w:r>
        <w:r w:rsidRPr="00487066">
          <w:rPr>
            <w:rStyle w:val="Hyperlink"/>
            <w:i/>
          </w:rPr>
          <w:t>a practical guide for managers</w:t>
        </w:r>
      </w:hyperlink>
    </w:p>
    <w:p w:rsidR="00795D0C" w:rsidRPr="00C358BF" w:rsidRDefault="00795D0C" w:rsidP="00AF5ED9">
      <w:pPr>
        <w:pStyle w:val="ListParagraph"/>
        <w:numPr>
          <w:ilvl w:val="0"/>
          <w:numId w:val="8"/>
        </w:numPr>
      </w:pPr>
      <w:r>
        <w:rPr>
          <w:rFonts w:ascii="Helv" w:eastAsiaTheme="minorHAnsi" w:hAnsi="Helv" w:cs="Helv"/>
          <w:iCs/>
          <w:lang w:eastAsia="en-US"/>
        </w:rPr>
        <w:t xml:space="preserve">Beyond Blue: </w:t>
      </w:r>
      <w:hyperlink r:id="rId14" w:history="1">
        <w:r w:rsidRPr="00487066">
          <w:rPr>
            <w:rStyle w:val="Hyperlink"/>
            <w:rFonts w:ascii="Helv" w:eastAsiaTheme="minorHAnsi" w:hAnsi="Helv" w:cs="Helv"/>
            <w:i/>
            <w:iCs/>
            <w:lang w:eastAsia="en-US"/>
          </w:rPr>
          <w:t>Supporting the return to work of workers with a mental illness</w:t>
        </w:r>
      </w:hyperlink>
      <w:r w:rsidRPr="003B0F5C">
        <w:rPr>
          <w:rFonts w:ascii="Helv" w:eastAsiaTheme="minorHAnsi" w:hAnsi="Helv" w:cs="Helv"/>
          <w:iCs/>
          <w:lang w:eastAsia="en-US"/>
        </w:rPr>
        <w:t xml:space="preserve"> </w:t>
      </w:r>
    </w:p>
    <w:p w:rsidR="00795D0C" w:rsidRPr="00C358BF" w:rsidRDefault="003C1396" w:rsidP="00AF5ED9">
      <w:pPr>
        <w:pStyle w:val="ListParagraph"/>
        <w:numPr>
          <w:ilvl w:val="0"/>
          <w:numId w:val="8"/>
        </w:numPr>
      </w:pPr>
      <w:r>
        <w:rPr>
          <w:rFonts w:ascii="Helv" w:eastAsiaTheme="minorHAnsi" w:hAnsi="Helv" w:cs="Helv"/>
          <w:iCs/>
          <w:lang w:eastAsia="en-US"/>
        </w:rPr>
        <w:t xml:space="preserve">Beyond Blue: </w:t>
      </w:r>
      <w:hyperlink r:id="rId15" w:history="1">
        <w:r w:rsidR="00795D0C" w:rsidRPr="00566F90">
          <w:rPr>
            <w:rStyle w:val="Hyperlink"/>
            <w:rFonts w:ascii="Helv" w:eastAsiaTheme="minorHAnsi" w:hAnsi="Helv" w:cs="Helv"/>
            <w:i/>
            <w:iCs/>
            <w:lang w:eastAsia="en-US"/>
          </w:rPr>
          <w:t>Resources – In the Workplace</w:t>
        </w:r>
      </w:hyperlink>
    </w:p>
    <w:p w:rsidR="0085059D" w:rsidRDefault="0085059D">
      <w:pPr>
        <w:spacing w:before="0" w:after="200" w:line="276" w:lineRule="auto"/>
        <w:rPr>
          <w:rFonts w:asciiTheme="majorHAnsi" w:eastAsiaTheme="majorEastAsia" w:hAnsiTheme="majorHAnsi" w:cstheme="majorBidi"/>
          <w:b/>
          <w:bCs/>
          <w:color w:val="365F91" w:themeColor="accent1" w:themeShade="BF"/>
          <w:sz w:val="28"/>
          <w:szCs w:val="28"/>
          <w:lang w:val="en-US"/>
        </w:rPr>
      </w:pPr>
      <w:r>
        <w:br w:type="page"/>
      </w:r>
    </w:p>
    <w:p w:rsidR="00F6503E" w:rsidRDefault="00F6503E" w:rsidP="00551500">
      <w:pPr>
        <w:pStyle w:val="Heading1"/>
      </w:pPr>
      <w:r>
        <w:lastRenderedPageBreak/>
        <w:t xml:space="preserve">Appendix A </w:t>
      </w:r>
    </w:p>
    <w:p w:rsidR="00F6503E" w:rsidRPr="00551500" w:rsidRDefault="00F6503E" w:rsidP="001C516D">
      <w:pPr>
        <w:pStyle w:val="EndnoteText"/>
        <w:rPr>
          <w:sz w:val="22"/>
          <w:szCs w:val="22"/>
        </w:rPr>
      </w:pPr>
      <w:r w:rsidRPr="00551500">
        <w:rPr>
          <w:sz w:val="22"/>
          <w:szCs w:val="22"/>
        </w:rPr>
        <w:t>Workers</w:t>
      </w:r>
      <w:r w:rsidR="00C740DA">
        <w:rPr>
          <w:sz w:val="22"/>
          <w:szCs w:val="22"/>
        </w:rPr>
        <w:t>’</w:t>
      </w:r>
      <w:r w:rsidRPr="00551500">
        <w:rPr>
          <w:sz w:val="22"/>
          <w:szCs w:val="22"/>
        </w:rPr>
        <w:t xml:space="preserve"> Compensation </w:t>
      </w:r>
      <w:r w:rsidR="0085059D">
        <w:rPr>
          <w:sz w:val="22"/>
          <w:szCs w:val="22"/>
        </w:rPr>
        <w:t>Authorities</w:t>
      </w:r>
      <w:r w:rsidR="008474A4">
        <w:rPr>
          <w:sz w:val="22"/>
          <w:szCs w:val="22"/>
        </w:rPr>
        <w:t xml:space="preserve"> and </w:t>
      </w:r>
      <w:r w:rsidRPr="00551500">
        <w:rPr>
          <w:sz w:val="22"/>
          <w:szCs w:val="22"/>
        </w:rPr>
        <w:t xml:space="preserve">Legislation </w:t>
      </w:r>
    </w:p>
    <w:p w:rsidR="00F6503E" w:rsidRDefault="00F6503E" w:rsidP="001C516D">
      <w:pPr>
        <w:pStyle w:val="EndnoteText"/>
      </w:pPr>
    </w:p>
    <w:tbl>
      <w:tblPr>
        <w:tblStyle w:val="TableGrid"/>
        <w:tblW w:w="9478" w:type="dxa"/>
        <w:shd w:val="clear" w:color="auto" w:fill="FFFFFF" w:themeFill="background1"/>
        <w:tblLayout w:type="fixed"/>
        <w:tblLook w:val="04A0" w:firstRow="1" w:lastRow="0" w:firstColumn="1" w:lastColumn="0" w:noHBand="0" w:noVBand="1"/>
        <w:tblCaption w:val="Workers’ Compensation Authorities and Legislation "/>
      </w:tblPr>
      <w:tblGrid>
        <w:gridCol w:w="1985"/>
        <w:gridCol w:w="3119"/>
        <w:gridCol w:w="4374"/>
      </w:tblGrid>
      <w:tr w:rsidR="002C06D0" w:rsidRPr="00487066"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2C06D0" w:rsidRPr="00487066" w:rsidRDefault="002C06D0" w:rsidP="001C516D">
            <w:pPr>
              <w:rPr>
                <w:sz w:val="24"/>
                <w:szCs w:val="24"/>
              </w:rPr>
            </w:pPr>
            <w:bookmarkStart w:id="0" w:name="_GoBack"/>
            <w:r w:rsidRPr="00487066">
              <w:rPr>
                <w:sz w:val="24"/>
                <w:szCs w:val="24"/>
              </w:rPr>
              <w:t>Jurisdiction</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2C06D0" w:rsidRPr="00487066" w:rsidRDefault="002C06D0" w:rsidP="001C516D">
            <w:pPr>
              <w:rPr>
                <w:sz w:val="24"/>
                <w:szCs w:val="24"/>
              </w:rPr>
            </w:pPr>
            <w:r w:rsidRPr="00487066">
              <w:rPr>
                <w:sz w:val="24"/>
                <w:szCs w:val="24"/>
              </w:rPr>
              <w:t>Workers’ Compensation Authority</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tcPr>
          <w:p w:rsidR="002C06D0" w:rsidRPr="00487066" w:rsidRDefault="002C06D0" w:rsidP="001C516D">
            <w:pPr>
              <w:rPr>
                <w:sz w:val="24"/>
                <w:szCs w:val="24"/>
              </w:rPr>
            </w:pPr>
            <w:r w:rsidRPr="00487066">
              <w:rPr>
                <w:sz w:val="24"/>
                <w:szCs w:val="24"/>
              </w:rPr>
              <w:t>Legislation</w:t>
            </w:r>
          </w:p>
        </w:tc>
      </w:tr>
      <w:tr w:rsidR="0085059D"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New South Wales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16" w:history="1">
              <w:r w:rsidR="008474A4" w:rsidRPr="00E91A2A">
                <w:rPr>
                  <w:rStyle w:val="Hyperlink"/>
                </w:rPr>
                <w:t>www.workcover.nsw.gov.au</w:t>
              </w:r>
            </w:hyperlink>
          </w:p>
          <w:p w:rsidR="008474A4" w:rsidRDefault="009A0F6C" w:rsidP="001C516D">
            <w:r>
              <w:t>Phone: 13 10 50</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17" w:history="1">
              <w:r w:rsidR="0085059D" w:rsidRPr="00566F90">
                <w:rPr>
                  <w:rStyle w:val="Hyperlink"/>
                  <w:rFonts w:eastAsiaTheme="majorEastAsia"/>
                  <w:i/>
                  <w:sz w:val="22"/>
                  <w:szCs w:val="22"/>
                </w:rPr>
                <w:t>Workplace Injury Management and Workers Compensation Act 1998</w:t>
              </w:r>
            </w:hyperlink>
          </w:p>
          <w:p w:rsidR="0085059D" w:rsidRPr="00566F90" w:rsidRDefault="00B910A9" w:rsidP="001C516D">
            <w:pPr>
              <w:rPr>
                <w:i/>
                <w:sz w:val="22"/>
                <w:szCs w:val="22"/>
              </w:rPr>
            </w:pPr>
            <w:hyperlink r:id="rId18" w:history="1">
              <w:r w:rsidR="0085059D" w:rsidRPr="00566F90">
                <w:rPr>
                  <w:rStyle w:val="Hyperlink"/>
                  <w:rFonts w:eastAsiaTheme="majorEastAsia"/>
                  <w:i/>
                  <w:sz w:val="22"/>
                  <w:szCs w:val="22"/>
                </w:rPr>
                <w:t>Workers Compensation Act 1987</w:t>
              </w:r>
            </w:hyperlink>
          </w:p>
        </w:tc>
      </w:tr>
      <w:tr w:rsidR="0085059D"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Victoria</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19" w:history="1">
              <w:r w:rsidR="00795D0C" w:rsidRPr="00795D0C">
                <w:rPr>
                  <w:rStyle w:val="Hyperlink"/>
                </w:rPr>
                <w:t>www.worksafe.vic.gov</w:t>
              </w:r>
              <w:r w:rsidR="00795D0C" w:rsidRPr="00967C74">
                <w:rPr>
                  <w:rStyle w:val="Hyperlink"/>
                </w:rPr>
                <w:t>.au</w:t>
              </w:r>
            </w:hyperlink>
            <w:r w:rsidR="00795D0C">
              <w:t xml:space="preserve"> </w:t>
            </w:r>
          </w:p>
          <w:p w:rsidR="008474A4" w:rsidRDefault="009A0F6C" w:rsidP="001C516D">
            <w:r>
              <w:t>Phone: (03) 9641 1444</w:t>
            </w:r>
          </w:p>
          <w:p w:rsidR="009A0F6C" w:rsidRDefault="009A0F6C" w:rsidP="001C516D">
            <w:r>
              <w:t>1800 136 089</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20" w:history="1">
              <w:r w:rsidR="0085059D" w:rsidRPr="00566F90">
                <w:rPr>
                  <w:rStyle w:val="Hyperlink"/>
                  <w:rFonts w:eastAsiaTheme="majorEastAsia"/>
                  <w:i/>
                  <w:sz w:val="22"/>
                  <w:szCs w:val="22"/>
                </w:rPr>
                <w:t>Accident Compensation Act 1985</w:t>
              </w:r>
            </w:hyperlink>
          </w:p>
          <w:p w:rsidR="0085059D" w:rsidRPr="00566F90" w:rsidRDefault="00B910A9" w:rsidP="001C516D">
            <w:pPr>
              <w:rPr>
                <w:rStyle w:val="Hyperlink"/>
                <w:rFonts w:eastAsiaTheme="majorEastAsia"/>
                <w:i/>
              </w:rPr>
            </w:pPr>
            <w:hyperlink r:id="rId21" w:history="1">
              <w:r w:rsidR="0085059D" w:rsidRPr="00566F90">
                <w:rPr>
                  <w:rStyle w:val="Hyperlink"/>
                  <w:rFonts w:eastAsiaTheme="majorEastAsia"/>
                  <w:i/>
                  <w:sz w:val="22"/>
                  <w:szCs w:val="22"/>
                </w:rPr>
                <w:t>Accident Compensation (WorkCover Insurance) Act 1993</w:t>
              </w:r>
            </w:hyperlink>
          </w:p>
          <w:p w:rsidR="00795D0C" w:rsidRPr="00551500" w:rsidRDefault="00795D0C" w:rsidP="002C06D0">
            <w:pPr>
              <w:rPr>
                <w:sz w:val="22"/>
                <w:szCs w:val="22"/>
              </w:rPr>
            </w:pPr>
            <w:r>
              <w:rPr>
                <w:rFonts w:ascii="Helv" w:eastAsiaTheme="minorHAnsi" w:hAnsi="Helv" w:cs="Helv"/>
                <w:lang w:eastAsia="en-US"/>
              </w:rPr>
              <w:t xml:space="preserve">From 1 July 2014 the </w:t>
            </w:r>
            <w:hyperlink r:id="rId22" w:history="1">
              <w:r w:rsidRPr="00577D0D">
                <w:rPr>
                  <w:rStyle w:val="Hyperlink"/>
                  <w:rFonts w:eastAsiaTheme="minorHAnsi"/>
                  <w:i/>
                  <w:iCs/>
                  <w:lang w:eastAsia="en-US"/>
                </w:rPr>
                <w:t>Workplace Injury Rehabilitation and Compensation Act 2013</w:t>
              </w:r>
            </w:hyperlink>
            <w:r>
              <w:rPr>
                <w:rFonts w:eastAsiaTheme="minorHAnsi"/>
                <w:lang w:eastAsia="en-US"/>
              </w:rPr>
              <w:t xml:space="preserve"> </w:t>
            </w:r>
          </w:p>
        </w:tc>
      </w:tr>
      <w:tr w:rsidR="0085059D" w:rsidTr="00B910A9">
        <w:trPr>
          <w:trHeight w:val="39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Queensland</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23" w:history="1">
              <w:r w:rsidR="009A0F6C" w:rsidRPr="00E91A2A">
                <w:rPr>
                  <w:rStyle w:val="Hyperlink"/>
                </w:rPr>
                <w:t>www.workcoverqld.com.au</w:t>
              </w:r>
            </w:hyperlink>
          </w:p>
          <w:p w:rsidR="008474A4" w:rsidRDefault="009A0F6C" w:rsidP="001C516D">
            <w:r>
              <w:t>Phone: 1300 362 128</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24" w:history="1">
              <w:r w:rsidR="0085059D" w:rsidRPr="00566F90">
                <w:rPr>
                  <w:rStyle w:val="Hyperlink"/>
                  <w:rFonts w:eastAsiaTheme="majorEastAsia"/>
                  <w:i/>
                  <w:sz w:val="22"/>
                  <w:szCs w:val="22"/>
                </w:rPr>
                <w:t>Workers’ Compensation and Rehabilitation Act 2003</w:t>
              </w:r>
            </w:hyperlink>
          </w:p>
        </w:tc>
      </w:tr>
      <w:tr w:rsidR="0085059D" w:rsidTr="00B910A9">
        <w:trPr>
          <w:trHeight w:val="39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Western Australia</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25" w:history="1">
              <w:r w:rsidR="008474A4" w:rsidRPr="00E91A2A">
                <w:rPr>
                  <w:rStyle w:val="Hyperlink"/>
                </w:rPr>
                <w:t>www.workcover.wa.gov.au</w:t>
              </w:r>
            </w:hyperlink>
          </w:p>
          <w:p w:rsidR="008474A4" w:rsidRDefault="009A0F6C" w:rsidP="001C516D">
            <w:r>
              <w:t>Phone: 1300 794 744</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26" w:history="1">
              <w:r w:rsidR="0085059D" w:rsidRPr="00566F90">
                <w:rPr>
                  <w:rStyle w:val="Hyperlink"/>
                  <w:rFonts w:eastAsiaTheme="majorEastAsia"/>
                  <w:i/>
                  <w:sz w:val="22"/>
                  <w:szCs w:val="22"/>
                </w:rPr>
                <w:t>Workers’ Compensation and Injury Management Act 1981</w:t>
              </w:r>
            </w:hyperlink>
          </w:p>
        </w:tc>
      </w:tr>
      <w:tr w:rsidR="0085059D"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South Australia</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27" w:history="1">
              <w:r w:rsidR="008474A4" w:rsidRPr="00E91A2A">
                <w:rPr>
                  <w:rStyle w:val="Hyperlink"/>
                </w:rPr>
                <w:t>www.workcover.com</w:t>
              </w:r>
            </w:hyperlink>
          </w:p>
          <w:p w:rsidR="008474A4" w:rsidRDefault="009A0F6C" w:rsidP="001C516D">
            <w:r>
              <w:t>Phone: 13 18 55</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28" w:history="1">
              <w:r w:rsidR="0085059D" w:rsidRPr="00566F90">
                <w:rPr>
                  <w:rStyle w:val="Hyperlink"/>
                  <w:rFonts w:eastAsiaTheme="majorEastAsia"/>
                  <w:i/>
                  <w:sz w:val="22"/>
                  <w:szCs w:val="22"/>
                </w:rPr>
                <w:t>Workers Rehabilitation and Compensation Act 1986</w:t>
              </w:r>
            </w:hyperlink>
            <w:r w:rsidR="0085059D" w:rsidRPr="00566F90">
              <w:rPr>
                <w:i/>
                <w:sz w:val="22"/>
                <w:szCs w:val="22"/>
              </w:rPr>
              <w:t xml:space="preserve"> </w:t>
            </w:r>
          </w:p>
          <w:p w:rsidR="0085059D" w:rsidRPr="00566F90" w:rsidRDefault="00B910A9" w:rsidP="001C516D">
            <w:pPr>
              <w:rPr>
                <w:i/>
                <w:sz w:val="22"/>
                <w:szCs w:val="22"/>
              </w:rPr>
            </w:pPr>
            <w:hyperlink r:id="rId29" w:history="1">
              <w:r w:rsidR="0085059D" w:rsidRPr="00566F90">
                <w:rPr>
                  <w:rStyle w:val="Hyperlink"/>
                  <w:rFonts w:eastAsiaTheme="majorEastAsia"/>
                  <w:i/>
                  <w:sz w:val="22"/>
                  <w:szCs w:val="22"/>
                </w:rPr>
                <w:t>WorkCover Corporation Act 1994</w:t>
              </w:r>
            </w:hyperlink>
          </w:p>
        </w:tc>
      </w:tr>
      <w:tr w:rsidR="0085059D" w:rsidTr="00B910A9">
        <w:trPr>
          <w:trHeight w:val="39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Tasmania</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30" w:history="1">
              <w:r w:rsidR="008474A4" w:rsidRPr="00E91A2A">
                <w:rPr>
                  <w:rStyle w:val="Hyperlink"/>
                </w:rPr>
                <w:t>www.workcover.tas.gov.au</w:t>
              </w:r>
            </w:hyperlink>
          </w:p>
          <w:p w:rsidR="008474A4" w:rsidRDefault="009A0F6C" w:rsidP="000F29E2">
            <w:r>
              <w:t xml:space="preserve">Phone: 1300 </w:t>
            </w:r>
            <w:r w:rsidR="000F29E2">
              <w:t>366 327</w:t>
            </w:r>
          </w:p>
          <w:p w:rsidR="000F29E2" w:rsidRDefault="002C06D0" w:rsidP="002C06D0">
            <w:r>
              <w:t xml:space="preserve">From outside Tasmania: </w:t>
            </w:r>
            <w:r w:rsidR="000F29E2">
              <w:t>(03)</w:t>
            </w:r>
            <w:r>
              <w:t> </w:t>
            </w:r>
            <w:r w:rsidR="000F29E2">
              <w:t xml:space="preserve">6166 4600 </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566F90">
            <w:pPr>
              <w:rPr>
                <w:i/>
                <w:sz w:val="22"/>
                <w:szCs w:val="22"/>
              </w:rPr>
            </w:pPr>
            <w:hyperlink r:id="rId31" w:history="1">
              <w:r w:rsidR="0085059D" w:rsidRPr="00566F90">
                <w:rPr>
                  <w:rStyle w:val="Hyperlink"/>
                  <w:rFonts w:eastAsiaTheme="majorEastAsia"/>
                  <w:i/>
                  <w:sz w:val="22"/>
                  <w:szCs w:val="22"/>
                </w:rPr>
                <w:t>Workers Rehabilitation and Compensation Act 1988</w:t>
              </w:r>
            </w:hyperlink>
          </w:p>
        </w:tc>
      </w:tr>
      <w:tr w:rsidR="0085059D" w:rsidTr="00B910A9">
        <w:trPr>
          <w:trHeight w:val="39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Northern Territory</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32" w:history="1">
              <w:r w:rsidR="008474A4" w:rsidRPr="00E91A2A">
                <w:rPr>
                  <w:rStyle w:val="Hyperlink"/>
                </w:rPr>
                <w:t>www.worksafe.nt.gov.au</w:t>
              </w:r>
            </w:hyperlink>
          </w:p>
          <w:p w:rsidR="008474A4" w:rsidRDefault="009A0F6C" w:rsidP="001C516D">
            <w:r>
              <w:t>Phone: 1800 250 713</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33" w:history="1">
              <w:r w:rsidR="0085059D" w:rsidRPr="00566F90">
                <w:rPr>
                  <w:rStyle w:val="Hyperlink"/>
                  <w:rFonts w:eastAsiaTheme="majorEastAsia"/>
                  <w:i/>
                  <w:sz w:val="22"/>
                  <w:szCs w:val="22"/>
                </w:rPr>
                <w:t>Workers Rehabilitation and Compensation Act</w:t>
              </w:r>
            </w:hyperlink>
            <w:r w:rsidR="00566F90" w:rsidRPr="00566F90">
              <w:rPr>
                <w:rStyle w:val="Hyperlink"/>
                <w:rFonts w:eastAsiaTheme="majorEastAsia"/>
                <w:i/>
              </w:rPr>
              <w:t xml:space="preserve"> 2013</w:t>
            </w:r>
          </w:p>
        </w:tc>
      </w:tr>
      <w:tr w:rsidR="0085059D" w:rsidTr="00B910A9">
        <w:trPr>
          <w:trHeight w:val="39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51500" w:rsidRDefault="0085059D" w:rsidP="001C516D">
            <w:pPr>
              <w:rPr>
                <w:sz w:val="22"/>
                <w:szCs w:val="22"/>
              </w:rPr>
            </w:pPr>
            <w:r w:rsidRPr="00551500">
              <w:rPr>
                <w:sz w:val="22"/>
                <w:szCs w:val="22"/>
              </w:rPr>
              <w:t xml:space="preserve">ACT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Default="00B910A9" w:rsidP="001C516D">
            <w:hyperlink r:id="rId34" w:history="1">
              <w:r w:rsidR="008474A4" w:rsidRPr="00E91A2A">
                <w:rPr>
                  <w:rStyle w:val="Hyperlink"/>
                </w:rPr>
                <w:t>www.worksafe.act.gov.au</w:t>
              </w:r>
            </w:hyperlink>
          </w:p>
          <w:p w:rsidR="008474A4" w:rsidRDefault="009A0F6C" w:rsidP="001C516D">
            <w:r>
              <w:t>Phone: (02) 6207 3000</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35" w:history="1">
              <w:r w:rsidR="0085059D" w:rsidRPr="00566F90">
                <w:rPr>
                  <w:rStyle w:val="Hyperlink"/>
                  <w:rFonts w:eastAsiaTheme="majorEastAsia"/>
                  <w:i/>
                  <w:sz w:val="22"/>
                  <w:szCs w:val="22"/>
                </w:rPr>
                <w:t>Workers Compensation Act 1951</w:t>
              </w:r>
            </w:hyperlink>
            <w:r w:rsidR="0085059D" w:rsidRPr="00566F90">
              <w:rPr>
                <w:i/>
                <w:sz w:val="22"/>
                <w:szCs w:val="22"/>
              </w:rPr>
              <w:t xml:space="preserve"> </w:t>
            </w:r>
          </w:p>
        </w:tc>
      </w:tr>
      <w:tr w:rsidR="0085059D"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85059D" w:rsidRPr="00551500" w:rsidRDefault="0085059D" w:rsidP="001C516D">
            <w:pPr>
              <w:rPr>
                <w:sz w:val="22"/>
                <w:szCs w:val="22"/>
              </w:rPr>
            </w:pPr>
            <w:r w:rsidRPr="00551500">
              <w:rPr>
                <w:sz w:val="22"/>
                <w:szCs w:val="22"/>
              </w:rPr>
              <w:t>C</w:t>
            </w:r>
            <w:r>
              <w:rPr>
                <w:sz w:val="22"/>
                <w:szCs w:val="22"/>
              </w:rPr>
              <w:t>ommonwealth</w:t>
            </w:r>
            <w:r w:rsidRPr="00551500">
              <w:rPr>
                <w:sz w:val="22"/>
                <w:szCs w:val="22"/>
              </w:rPr>
              <w:t xml:space="preserve"> </w:t>
            </w:r>
          </w:p>
          <w:p w:rsidR="0085059D" w:rsidRPr="00551500" w:rsidRDefault="0085059D" w:rsidP="001C516D">
            <w:pPr>
              <w:rPr>
                <w:sz w:val="22"/>
                <w:szCs w:val="22"/>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6960EB" w:rsidRDefault="00B910A9" w:rsidP="001C516D">
            <w:hyperlink r:id="rId36" w:history="1">
              <w:r w:rsidR="006960EB" w:rsidRPr="00E91A2A">
                <w:rPr>
                  <w:rStyle w:val="Hyperlink"/>
                </w:rPr>
                <w:t>www.comcare.gov.au</w:t>
              </w:r>
            </w:hyperlink>
          </w:p>
          <w:p w:rsidR="0085059D" w:rsidRDefault="00B910A9" w:rsidP="001C516D">
            <w:hyperlink r:id="rId37" w:history="1">
              <w:r w:rsidR="009A0F6C" w:rsidRPr="006D5A0D">
                <w:t>Phone:</w:t>
              </w:r>
            </w:hyperlink>
            <w:r w:rsidR="009A0F6C">
              <w:t xml:space="preserve"> 1300 366 979</w:t>
            </w:r>
          </w:p>
          <w:p w:rsidR="008474A4" w:rsidRDefault="008474A4" w:rsidP="001C516D"/>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5059D" w:rsidRPr="00566F90" w:rsidRDefault="00B910A9" w:rsidP="001C516D">
            <w:pPr>
              <w:rPr>
                <w:i/>
                <w:sz w:val="22"/>
                <w:szCs w:val="22"/>
              </w:rPr>
            </w:pPr>
            <w:hyperlink r:id="rId38" w:history="1">
              <w:r w:rsidR="0085059D" w:rsidRPr="00566F90">
                <w:rPr>
                  <w:rStyle w:val="Hyperlink"/>
                  <w:rFonts w:eastAsiaTheme="majorEastAsia"/>
                  <w:i/>
                  <w:sz w:val="22"/>
                  <w:szCs w:val="22"/>
                </w:rPr>
                <w:t>Safety, Rehabilitation and Compensation Act 1988</w:t>
              </w:r>
            </w:hyperlink>
            <w:r w:rsidR="0085059D" w:rsidRPr="00566F90">
              <w:rPr>
                <w:i/>
                <w:sz w:val="22"/>
                <w:szCs w:val="22"/>
              </w:rPr>
              <w:t xml:space="preserve"> </w:t>
            </w:r>
          </w:p>
          <w:p w:rsidR="0085059D" w:rsidRPr="00551500" w:rsidRDefault="0085059D" w:rsidP="001C516D">
            <w:pPr>
              <w:rPr>
                <w:sz w:val="22"/>
                <w:szCs w:val="22"/>
              </w:rPr>
            </w:pPr>
          </w:p>
        </w:tc>
      </w:tr>
      <w:tr w:rsidR="00195FB0" w:rsidTr="00B910A9">
        <w:trPr>
          <w:trHeight w:val="567"/>
          <w:tblHeader/>
        </w:trPr>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195FB0" w:rsidRPr="00551500" w:rsidRDefault="00195FB0" w:rsidP="001C516D">
            <w:proofErr w:type="spellStart"/>
            <w:r>
              <w:t>Se</w:t>
            </w:r>
            <w:r w:rsidR="0009366C">
              <w:t>a</w:t>
            </w:r>
            <w:r>
              <w:t>care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195FB0" w:rsidRDefault="00B910A9" w:rsidP="001C516D">
            <w:hyperlink r:id="rId39" w:history="1">
              <w:r w:rsidR="00195FB0" w:rsidRPr="00E91A2A">
                <w:rPr>
                  <w:rStyle w:val="Hyperlink"/>
                </w:rPr>
                <w:t>www.seacare.gov.au/</w:t>
              </w:r>
            </w:hyperlink>
          </w:p>
          <w:p w:rsidR="00195FB0" w:rsidRDefault="00195FB0" w:rsidP="001C516D">
            <w:r>
              <w:t>Phone: (02) 6275 0070</w:t>
            </w:r>
          </w:p>
        </w:tc>
        <w:tc>
          <w:tcPr>
            <w:tcW w:w="4374" w:type="dxa"/>
            <w:tcBorders>
              <w:top w:val="single" w:sz="4" w:space="0" w:color="auto"/>
              <w:left w:val="single" w:sz="4" w:space="0" w:color="auto"/>
              <w:bottom w:val="single" w:sz="4" w:space="0" w:color="auto"/>
              <w:right w:val="single" w:sz="4" w:space="0" w:color="auto"/>
            </w:tcBorders>
            <w:shd w:val="clear" w:color="auto" w:fill="FFFFFF" w:themeFill="background1"/>
          </w:tcPr>
          <w:p w:rsidR="00195FB0" w:rsidRPr="00566F90" w:rsidRDefault="00B910A9" w:rsidP="001C516D">
            <w:pPr>
              <w:rPr>
                <w:i/>
              </w:rPr>
            </w:pPr>
            <w:hyperlink r:id="rId40" w:history="1">
              <w:r w:rsidR="00195FB0" w:rsidRPr="00566F90">
                <w:rPr>
                  <w:rStyle w:val="Hyperlink"/>
                  <w:rFonts w:eastAsiaTheme="majorEastAsia"/>
                  <w:i/>
                  <w:sz w:val="22"/>
                  <w:szCs w:val="22"/>
                </w:rPr>
                <w:t>Seafarers Rehabilitation and Compensation Act 1992</w:t>
              </w:r>
            </w:hyperlink>
          </w:p>
        </w:tc>
      </w:tr>
      <w:bookmarkEnd w:id="0"/>
    </w:tbl>
    <w:p w:rsidR="00F6503E" w:rsidRDefault="00F6503E" w:rsidP="001C516D"/>
    <w:p w:rsidR="00F6503E" w:rsidRDefault="00F6503E" w:rsidP="001C516D"/>
    <w:p w:rsidR="002303DB" w:rsidRDefault="00B910A9" w:rsidP="001C516D"/>
    <w:sectPr w:rsidR="002303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cher-Book">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20B"/>
    <w:multiLevelType w:val="hybridMultilevel"/>
    <w:tmpl w:val="0D2241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78D3E4D"/>
    <w:multiLevelType w:val="hybridMultilevel"/>
    <w:tmpl w:val="629EA7FC"/>
    <w:lvl w:ilvl="0" w:tplc="0C09000F">
      <w:start w:val="2"/>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244D5B1C"/>
    <w:multiLevelType w:val="hybridMultilevel"/>
    <w:tmpl w:val="FAA4EF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AAA0856"/>
    <w:multiLevelType w:val="hybridMultilevel"/>
    <w:tmpl w:val="C854CDBC"/>
    <w:lvl w:ilvl="0" w:tplc="0409000F">
      <w:start w:val="1"/>
      <w:numFmt w:val="decimal"/>
      <w:lvlText w:val="%1."/>
      <w:lvlJc w:val="left"/>
      <w:pPr>
        <w:ind w:left="360" w:hanging="360"/>
      </w:pPr>
    </w:lvl>
    <w:lvl w:ilvl="1" w:tplc="552AAADC">
      <w:numFmt w:val="bullet"/>
      <w:lvlText w:val="-"/>
      <w:lvlJc w:val="left"/>
      <w:pPr>
        <w:ind w:left="1080" w:hanging="360"/>
      </w:pPr>
      <w:rPr>
        <w:rFonts w:ascii="Calibri" w:eastAsia="Calibri" w:hAnsi="Calibri" w:cs="Calibri"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8F3520"/>
    <w:multiLevelType w:val="hybridMultilevel"/>
    <w:tmpl w:val="A132A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E354FDC"/>
    <w:multiLevelType w:val="hybridMultilevel"/>
    <w:tmpl w:val="EC0AC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5E6F0CF5"/>
    <w:multiLevelType w:val="hybridMultilevel"/>
    <w:tmpl w:val="7AEE5DEE"/>
    <w:lvl w:ilvl="0" w:tplc="0882D11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6AB90D9C"/>
    <w:multiLevelType w:val="hybridMultilevel"/>
    <w:tmpl w:val="A80A2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E931CF7"/>
    <w:multiLevelType w:val="hybridMultilevel"/>
    <w:tmpl w:val="12CC6C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8"/>
  </w:num>
  <w:num w:numId="7">
    <w:abstractNumId w:val="6"/>
  </w:num>
  <w:num w:numId="8">
    <w:abstractNumId w:val="4"/>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3E"/>
    <w:rsid w:val="00072FBB"/>
    <w:rsid w:val="0009366C"/>
    <w:rsid w:val="000F29E2"/>
    <w:rsid w:val="00115B3A"/>
    <w:rsid w:val="001409A7"/>
    <w:rsid w:val="00152886"/>
    <w:rsid w:val="00157129"/>
    <w:rsid w:val="00166C33"/>
    <w:rsid w:val="00195FB0"/>
    <w:rsid w:val="001C516D"/>
    <w:rsid w:val="001C7BB2"/>
    <w:rsid w:val="00224773"/>
    <w:rsid w:val="00275355"/>
    <w:rsid w:val="0028444C"/>
    <w:rsid w:val="002B710E"/>
    <w:rsid w:val="002C06D0"/>
    <w:rsid w:val="002F1121"/>
    <w:rsid w:val="00315306"/>
    <w:rsid w:val="00397D4F"/>
    <w:rsid w:val="003C1396"/>
    <w:rsid w:val="00406B16"/>
    <w:rsid w:val="00426648"/>
    <w:rsid w:val="00487066"/>
    <w:rsid w:val="004E582A"/>
    <w:rsid w:val="0051690B"/>
    <w:rsid w:val="00523D28"/>
    <w:rsid w:val="00550DA9"/>
    <w:rsid w:val="00551500"/>
    <w:rsid w:val="00566F90"/>
    <w:rsid w:val="005747AE"/>
    <w:rsid w:val="00692067"/>
    <w:rsid w:val="006960EB"/>
    <w:rsid w:val="006A5DCC"/>
    <w:rsid w:val="006D5A0D"/>
    <w:rsid w:val="006F46A9"/>
    <w:rsid w:val="00734C6D"/>
    <w:rsid w:val="00791C3A"/>
    <w:rsid w:val="00795D0C"/>
    <w:rsid w:val="007C6184"/>
    <w:rsid w:val="008474A4"/>
    <w:rsid w:val="0085059D"/>
    <w:rsid w:val="00880028"/>
    <w:rsid w:val="0088324A"/>
    <w:rsid w:val="008B2CB7"/>
    <w:rsid w:val="008B5CD3"/>
    <w:rsid w:val="0095191B"/>
    <w:rsid w:val="009651BC"/>
    <w:rsid w:val="00981338"/>
    <w:rsid w:val="009A0F6C"/>
    <w:rsid w:val="009A2341"/>
    <w:rsid w:val="009C77A7"/>
    <w:rsid w:val="00A30697"/>
    <w:rsid w:val="00A43700"/>
    <w:rsid w:val="00A724DC"/>
    <w:rsid w:val="00AE5620"/>
    <w:rsid w:val="00AF5ED9"/>
    <w:rsid w:val="00B22EEA"/>
    <w:rsid w:val="00B335DC"/>
    <w:rsid w:val="00B469CA"/>
    <w:rsid w:val="00B638F8"/>
    <w:rsid w:val="00B910A9"/>
    <w:rsid w:val="00BA4C2D"/>
    <w:rsid w:val="00C712BD"/>
    <w:rsid w:val="00C740DA"/>
    <w:rsid w:val="00CE4202"/>
    <w:rsid w:val="00CE770F"/>
    <w:rsid w:val="00D50F91"/>
    <w:rsid w:val="00D978B1"/>
    <w:rsid w:val="00E0377B"/>
    <w:rsid w:val="00E1355C"/>
    <w:rsid w:val="00E50FA5"/>
    <w:rsid w:val="00EA169B"/>
    <w:rsid w:val="00F04FCD"/>
    <w:rsid w:val="00F6503E"/>
    <w:rsid w:val="00F74D07"/>
    <w:rsid w:val="00F95BD8"/>
    <w:rsid w:val="00FB43DA"/>
    <w:rsid w:val="00FF56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D"/>
    <w:pPr>
      <w:spacing w:before="120" w:after="120" w:line="240" w:lineRule="auto"/>
    </w:pPr>
    <w:rPr>
      <w:rFonts w:ascii="Arial" w:eastAsia="Archer-Book" w:hAnsi="Arial" w:cs="Arial"/>
      <w:color w:val="000000"/>
      <w:lang w:eastAsia="en-AU"/>
    </w:rPr>
  </w:style>
  <w:style w:type="paragraph" w:styleId="Heading1">
    <w:name w:val="heading 1"/>
    <w:basedOn w:val="Normal"/>
    <w:next w:val="Normal"/>
    <w:link w:val="Heading1Char"/>
    <w:qFormat/>
    <w:rsid w:val="001C516D"/>
    <w:pPr>
      <w:keepNext/>
      <w:keepLines/>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306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16D"/>
    <w:rPr>
      <w:rFonts w:asciiTheme="majorHAnsi" w:eastAsiaTheme="majorEastAsia" w:hAnsiTheme="majorHAnsi" w:cstheme="majorBidi"/>
      <w:b/>
      <w:bCs/>
      <w:color w:val="365F91" w:themeColor="accent1" w:themeShade="BF"/>
      <w:sz w:val="28"/>
      <w:szCs w:val="28"/>
      <w:lang w:val="en-US" w:eastAsia="en-AU"/>
    </w:rPr>
  </w:style>
  <w:style w:type="character" w:styleId="Hyperlink">
    <w:name w:val="Hyperlink"/>
    <w:basedOn w:val="DefaultParagraphFont"/>
    <w:uiPriority w:val="99"/>
    <w:unhideWhenUsed/>
    <w:rsid w:val="00F6503E"/>
    <w:rPr>
      <w:color w:val="0000FF" w:themeColor="hyperlink"/>
      <w:u w:val="single"/>
    </w:rPr>
  </w:style>
  <w:style w:type="paragraph" w:styleId="EndnoteText">
    <w:name w:val="endnote text"/>
    <w:basedOn w:val="Normal"/>
    <w:link w:val="EndnoteTextChar"/>
    <w:unhideWhenUsed/>
    <w:rsid w:val="00F6503E"/>
    <w:rPr>
      <w:sz w:val="20"/>
      <w:szCs w:val="20"/>
    </w:rPr>
  </w:style>
  <w:style w:type="character" w:customStyle="1" w:styleId="EndnoteTextChar">
    <w:name w:val="Endnote Text Char"/>
    <w:basedOn w:val="DefaultParagraphFont"/>
    <w:link w:val="EndnoteText"/>
    <w:rsid w:val="00F6503E"/>
    <w:rPr>
      <w:rFonts w:ascii="Arial" w:eastAsia="Times New Roman" w:hAnsi="Arial" w:cs="Times New Roman"/>
      <w:sz w:val="20"/>
      <w:szCs w:val="20"/>
      <w:lang w:eastAsia="en-AU"/>
    </w:rPr>
  </w:style>
  <w:style w:type="paragraph" w:styleId="Subtitle">
    <w:name w:val="Subtitle"/>
    <w:basedOn w:val="Normal"/>
    <w:next w:val="Normal"/>
    <w:link w:val="SubtitleChar"/>
    <w:qFormat/>
    <w:rsid w:val="001C516D"/>
    <w:rPr>
      <w:rFonts w:asciiTheme="majorHAnsi" w:eastAsiaTheme="majorEastAsia" w:hAnsiTheme="majorHAnsi" w:cstheme="majorBidi"/>
      <w:b/>
      <w:i/>
      <w:iCs/>
      <w:color w:val="4F81BD" w:themeColor="accent1"/>
      <w:spacing w:val="15"/>
      <w:sz w:val="24"/>
      <w:lang w:val="en"/>
    </w:rPr>
  </w:style>
  <w:style w:type="character" w:customStyle="1" w:styleId="SubtitleChar">
    <w:name w:val="Subtitle Char"/>
    <w:basedOn w:val="DefaultParagraphFont"/>
    <w:link w:val="Subtitle"/>
    <w:rsid w:val="001C516D"/>
    <w:rPr>
      <w:rFonts w:asciiTheme="majorHAnsi" w:eastAsiaTheme="majorEastAsia" w:hAnsiTheme="majorHAnsi" w:cstheme="majorBidi"/>
      <w:b/>
      <w:i/>
      <w:iCs/>
      <w:color w:val="4F81BD" w:themeColor="accent1"/>
      <w:spacing w:val="15"/>
      <w:sz w:val="24"/>
      <w:lang w:val="en" w:eastAsia="en-AU"/>
    </w:rPr>
  </w:style>
  <w:style w:type="paragraph" w:styleId="ListParagraph">
    <w:name w:val="List Paragraph"/>
    <w:basedOn w:val="Normal"/>
    <w:uiPriority w:val="34"/>
    <w:qFormat/>
    <w:rsid w:val="00F6503E"/>
    <w:pPr>
      <w:ind w:left="720"/>
      <w:contextualSpacing/>
    </w:pPr>
  </w:style>
  <w:style w:type="table" w:styleId="TableGrid">
    <w:name w:val="Table Grid"/>
    <w:basedOn w:val="TableNormal"/>
    <w:rsid w:val="00F6503E"/>
    <w:pPr>
      <w:spacing w:before="120" w:after="12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503E"/>
    <w:rPr>
      <w:sz w:val="16"/>
      <w:szCs w:val="16"/>
    </w:rPr>
  </w:style>
  <w:style w:type="paragraph" w:styleId="CommentText">
    <w:name w:val="annotation text"/>
    <w:basedOn w:val="Normal"/>
    <w:link w:val="CommentTextChar"/>
    <w:uiPriority w:val="99"/>
    <w:semiHidden/>
    <w:unhideWhenUsed/>
    <w:rsid w:val="00F6503E"/>
    <w:rPr>
      <w:sz w:val="20"/>
      <w:szCs w:val="20"/>
    </w:rPr>
  </w:style>
  <w:style w:type="character" w:customStyle="1" w:styleId="CommentTextChar">
    <w:name w:val="Comment Text Char"/>
    <w:basedOn w:val="DefaultParagraphFont"/>
    <w:link w:val="CommentText"/>
    <w:uiPriority w:val="99"/>
    <w:semiHidden/>
    <w:rsid w:val="00F6503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6503E"/>
    <w:rPr>
      <w:b/>
      <w:bCs/>
    </w:rPr>
  </w:style>
  <w:style w:type="character" w:customStyle="1" w:styleId="CommentSubjectChar">
    <w:name w:val="Comment Subject Char"/>
    <w:basedOn w:val="CommentTextChar"/>
    <w:link w:val="CommentSubject"/>
    <w:uiPriority w:val="99"/>
    <w:semiHidden/>
    <w:rsid w:val="00F6503E"/>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F6503E"/>
    <w:rPr>
      <w:rFonts w:ascii="Tahoma" w:hAnsi="Tahoma" w:cs="Tahoma"/>
      <w:sz w:val="16"/>
      <w:szCs w:val="16"/>
    </w:rPr>
  </w:style>
  <w:style w:type="character" w:customStyle="1" w:styleId="BalloonTextChar">
    <w:name w:val="Balloon Text Char"/>
    <w:basedOn w:val="DefaultParagraphFont"/>
    <w:link w:val="BalloonText"/>
    <w:uiPriority w:val="99"/>
    <w:semiHidden/>
    <w:rsid w:val="00F6503E"/>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rsid w:val="00A30697"/>
    <w:rPr>
      <w:rFonts w:asciiTheme="majorHAnsi" w:eastAsiaTheme="majorEastAsia" w:hAnsiTheme="majorHAnsi" w:cstheme="majorBidi"/>
      <w:b/>
      <w:bCs/>
      <w:color w:val="4F81BD" w:themeColor="accent1"/>
      <w:sz w:val="26"/>
      <w:szCs w:val="26"/>
      <w:lang w:eastAsia="en-AU"/>
    </w:rPr>
  </w:style>
  <w:style w:type="character" w:styleId="FollowedHyperlink">
    <w:name w:val="FollowedHyperlink"/>
    <w:basedOn w:val="DefaultParagraphFont"/>
    <w:uiPriority w:val="99"/>
    <w:semiHidden/>
    <w:unhideWhenUsed/>
    <w:rsid w:val="009651BC"/>
    <w:rPr>
      <w:color w:val="800080" w:themeColor="followedHyperlink"/>
      <w:u w:val="single"/>
    </w:rPr>
  </w:style>
  <w:style w:type="paragraph" w:styleId="Revision">
    <w:name w:val="Revision"/>
    <w:hidden/>
    <w:uiPriority w:val="99"/>
    <w:semiHidden/>
    <w:rsid w:val="00795D0C"/>
    <w:pPr>
      <w:spacing w:after="0" w:line="240" w:lineRule="auto"/>
    </w:pPr>
    <w:rPr>
      <w:rFonts w:ascii="Arial" w:eastAsia="Archer-Book" w:hAnsi="Arial" w:cs="Arial"/>
      <w:color w:val="00000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6D"/>
    <w:pPr>
      <w:spacing w:before="120" w:after="120" w:line="240" w:lineRule="auto"/>
    </w:pPr>
    <w:rPr>
      <w:rFonts w:ascii="Arial" w:eastAsia="Archer-Book" w:hAnsi="Arial" w:cs="Arial"/>
      <w:color w:val="000000"/>
      <w:lang w:eastAsia="en-AU"/>
    </w:rPr>
  </w:style>
  <w:style w:type="paragraph" w:styleId="Heading1">
    <w:name w:val="heading 1"/>
    <w:basedOn w:val="Normal"/>
    <w:next w:val="Normal"/>
    <w:link w:val="Heading1Char"/>
    <w:qFormat/>
    <w:rsid w:val="001C516D"/>
    <w:pPr>
      <w:keepNext/>
      <w:keepLines/>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A3069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516D"/>
    <w:rPr>
      <w:rFonts w:asciiTheme="majorHAnsi" w:eastAsiaTheme="majorEastAsia" w:hAnsiTheme="majorHAnsi" w:cstheme="majorBidi"/>
      <w:b/>
      <w:bCs/>
      <w:color w:val="365F91" w:themeColor="accent1" w:themeShade="BF"/>
      <w:sz w:val="28"/>
      <w:szCs w:val="28"/>
      <w:lang w:val="en-US" w:eastAsia="en-AU"/>
    </w:rPr>
  </w:style>
  <w:style w:type="character" w:styleId="Hyperlink">
    <w:name w:val="Hyperlink"/>
    <w:basedOn w:val="DefaultParagraphFont"/>
    <w:uiPriority w:val="99"/>
    <w:unhideWhenUsed/>
    <w:rsid w:val="00F6503E"/>
    <w:rPr>
      <w:color w:val="0000FF" w:themeColor="hyperlink"/>
      <w:u w:val="single"/>
    </w:rPr>
  </w:style>
  <w:style w:type="paragraph" w:styleId="EndnoteText">
    <w:name w:val="endnote text"/>
    <w:basedOn w:val="Normal"/>
    <w:link w:val="EndnoteTextChar"/>
    <w:unhideWhenUsed/>
    <w:rsid w:val="00F6503E"/>
    <w:rPr>
      <w:sz w:val="20"/>
      <w:szCs w:val="20"/>
    </w:rPr>
  </w:style>
  <w:style w:type="character" w:customStyle="1" w:styleId="EndnoteTextChar">
    <w:name w:val="Endnote Text Char"/>
    <w:basedOn w:val="DefaultParagraphFont"/>
    <w:link w:val="EndnoteText"/>
    <w:rsid w:val="00F6503E"/>
    <w:rPr>
      <w:rFonts w:ascii="Arial" w:eastAsia="Times New Roman" w:hAnsi="Arial" w:cs="Times New Roman"/>
      <w:sz w:val="20"/>
      <w:szCs w:val="20"/>
      <w:lang w:eastAsia="en-AU"/>
    </w:rPr>
  </w:style>
  <w:style w:type="paragraph" w:styleId="Subtitle">
    <w:name w:val="Subtitle"/>
    <w:basedOn w:val="Normal"/>
    <w:next w:val="Normal"/>
    <w:link w:val="SubtitleChar"/>
    <w:qFormat/>
    <w:rsid w:val="001C516D"/>
    <w:rPr>
      <w:rFonts w:asciiTheme="majorHAnsi" w:eastAsiaTheme="majorEastAsia" w:hAnsiTheme="majorHAnsi" w:cstheme="majorBidi"/>
      <w:b/>
      <w:i/>
      <w:iCs/>
      <w:color w:val="4F81BD" w:themeColor="accent1"/>
      <w:spacing w:val="15"/>
      <w:sz w:val="24"/>
      <w:lang w:val="en"/>
    </w:rPr>
  </w:style>
  <w:style w:type="character" w:customStyle="1" w:styleId="SubtitleChar">
    <w:name w:val="Subtitle Char"/>
    <w:basedOn w:val="DefaultParagraphFont"/>
    <w:link w:val="Subtitle"/>
    <w:rsid w:val="001C516D"/>
    <w:rPr>
      <w:rFonts w:asciiTheme="majorHAnsi" w:eastAsiaTheme="majorEastAsia" w:hAnsiTheme="majorHAnsi" w:cstheme="majorBidi"/>
      <w:b/>
      <w:i/>
      <w:iCs/>
      <w:color w:val="4F81BD" w:themeColor="accent1"/>
      <w:spacing w:val="15"/>
      <w:sz w:val="24"/>
      <w:lang w:val="en" w:eastAsia="en-AU"/>
    </w:rPr>
  </w:style>
  <w:style w:type="paragraph" w:styleId="ListParagraph">
    <w:name w:val="List Paragraph"/>
    <w:basedOn w:val="Normal"/>
    <w:uiPriority w:val="34"/>
    <w:qFormat/>
    <w:rsid w:val="00F6503E"/>
    <w:pPr>
      <w:ind w:left="720"/>
      <w:contextualSpacing/>
    </w:pPr>
  </w:style>
  <w:style w:type="table" w:styleId="TableGrid">
    <w:name w:val="Table Grid"/>
    <w:basedOn w:val="TableNormal"/>
    <w:rsid w:val="00F6503E"/>
    <w:pPr>
      <w:spacing w:before="120" w:after="12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6503E"/>
    <w:rPr>
      <w:sz w:val="16"/>
      <w:szCs w:val="16"/>
    </w:rPr>
  </w:style>
  <w:style w:type="paragraph" w:styleId="CommentText">
    <w:name w:val="annotation text"/>
    <w:basedOn w:val="Normal"/>
    <w:link w:val="CommentTextChar"/>
    <w:uiPriority w:val="99"/>
    <w:semiHidden/>
    <w:unhideWhenUsed/>
    <w:rsid w:val="00F6503E"/>
    <w:rPr>
      <w:sz w:val="20"/>
      <w:szCs w:val="20"/>
    </w:rPr>
  </w:style>
  <w:style w:type="character" w:customStyle="1" w:styleId="CommentTextChar">
    <w:name w:val="Comment Text Char"/>
    <w:basedOn w:val="DefaultParagraphFont"/>
    <w:link w:val="CommentText"/>
    <w:uiPriority w:val="99"/>
    <w:semiHidden/>
    <w:rsid w:val="00F6503E"/>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6503E"/>
    <w:rPr>
      <w:b/>
      <w:bCs/>
    </w:rPr>
  </w:style>
  <w:style w:type="character" w:customStyle="1" w:styleId="CommentSubjectChar">
    <w:name w:val="Comment Subject Char"/>
    <w:basedOn w:val="CommentTextChar"/>
    <w:link w:val="CommentSubject"/>
    <w:uiPriority w:val="99"/>
    <w:semiHidden/>
    <w:rsid w:val="00F6503E"/>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F6503E"/>
    <w:rPr>
      <w:rFonts w:ascii="Tahoma" w:hAnsi="Tahoma" w:cs="Tahoma"/>
      <w:sz w:val="16"/>
      <w:szCs w:val="16"/>
    </w:rPr>
  </w:style>
  <w:style w:type="character" w:customStyle="1" w:styleId="BalloonTextChar">
    <w:name w:val="Balloon Text Char"/>
    <w:basedOn w:val="DefaultParagraphFont"/>
    <w:link w:val="BalloonText"/>
    <w:uiPriority w:val="99"/>
    <w:semiHidden/>
    <w:rsid w:val="00F6503E"/>
    <w:rPr>
      <w:rFonts w:ascii="Tahoma" w:eastAsia="Times New Roman" w:hAnsi="Tahoma" w:cs="Tahoma"/>
      <w:sz w:val="16"/>
      <w:szCs w:val="16"/>
      <w:lang w:eastAsia="en-AU"/>
    </w:rPr>
  </w:style>
  <w:style w:type="character" w:customStyle="1" w:styleId="Heading2Char">
    <w:name w:val="Heading 2 Char"/>
    <w:basedOn w:val="DefaultParagraphFont"/>
    <w:link w:val="Heading2"/>
    <w:uiPriority w:val="9"/>
    <w:rsid w:val="00A30697"/>
    <w:rPr>
      <w:rFonts w:asciiTheme="majorHAnsi" w:eastAsiaTheme="majorEastAsia" w:hAnsiTheme="majorHAnsi" w:cstheme="majorBidi"/>
      <w:b/>
      <w:bCs/>
      <w:color w:val="4F81BD" w:themeColor="accent1"/>
      <w:sz w:val="26"/>
      <w:szCs w:val="26"/>
      <w:lang w:eastAsia="en-AU"/>
    </w:rPr>
  </w:style>
  <w:style w:type="character" w:styleId="FollowedHyperlink">
    <w:name w:val="FollowedHyperlink"/>
    <w:basedOn w:val="DefaultParagraphFont"/>
    <w:uiPriority w:val="99"/>
    <w:semiHidden/>
    <w:unhideWhenUsed/>
    <w:rsid w:val="009651BC"/>
    <w:rPr>
      <w:color w:val="800080" w:themeColor="followedHyperlink"/>
      <w:u w:val="single"/>
    </w:rPr>
  </w:style>
  <w:style w:type="paragraph" w:styleId="Revision">
    <w:name w:val="Revision"/>
    <w:hidden/>
    <w:uiPriority w:val="99"/>
    <w:semiHidden/>
    <w:rsid w:val="00795D0C"/>
    <w:pPr>
      <w:spacing w:after="0" w:line="240" w:lineRule="auto"/>
    </w:pPr>
    <w:rPr>
      <w:rFonts w:ascii="Arial" w:eastAsia="Archer-Book"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umanrights.gov.au/publications/2010-workers-mental-illness-practical-guide-managers" TargetMode="External"/><Relationship Id="rId18" Type="http://schemas.openxmlformats.org/officeDocument/2006/relationships/hyperlink" Target="http://www.legislation.nsw.gov.au/maintop/view/inforce/act+70+1987+cd+0+N" TargetMode="External"/><Relationship Id="rId26" Type="http://schemas.openxmlformats.org/officeDocument/2006/relationships/hyperlink" Target="http://www.comlaw.gov.au/Details/C2010Q00251" TargetMode="External"/><Relationship Id="rId39" Type="http://schemas.openxmlformats.org/officeDocument/2006/relationships/hyperlink" Target="http://www.seacare.gov.au/" TargetMode="External"/><Relationship Id="rId21" Type="http://schemas.openxmlformats.org/officeDocument/2006/relationships/hyperlink" Target="http://www.legislation.vic.gov.au/domino/Web_notes/LDMS/LTObject_Store/LTObjSt1.nsf/d1a8d8a9bed958efca25761600042ef5/5a128355b007195cca2577610017bf79/$FILE/93-50a067.pdf" TargetMode="External"/><Relationship Id="rId34" Type="http://schemas.openxmlformats.org/officeDocument/2006/relationships/hyperlink" Target="http://www.worksafe.act.gov.au" TargetMode="External"/><Relationship Id="rId42" Type="http://schemas.openxmlformats.org/officeDocument/2006/relationships/theme" Target="theme/theme1.xml"/><Relationship Id="rId7" Type="http://schemas.openxmlformats.org/officeDocument/2006/relationships/hyperlink" Target="http://www.safeworkaustralia.gov.au/sites/swa/workers-compensation/compensation-information/pages/compensation-information" TargetMode="External"/><Relationship Id="rId2" Type="http://schemas.openxmlformats.org/officeDocument/2006/relationships/styles" Target="styles.xml"/><Relationship Id="rId16" Type="http://schemas.openxmlformats.org/officeDocument/2006/relationships/hyperlink" Target="http://www.workcover.nsw.gov.au" TargetMode="External"/><Relationship Id="rId20" Type="http://schemas.openxmlformats.org/officeDocument/2006/relationships/hyperlink" Target="http://www.legislation.vic.gov.au/domino/Web_notes/LDMS/LTObject_Store/LTObjSt1.nsf/d1a8d8a9bed958efca25761600042ef5/9f18b0513b40ab06ca2577610017c292/$FILE/85-10191a160.pdf" TargetMode="External"/><Relationship Id="rId29" Type="http://schemas.openxmlformats.org/officeDocument/2006/relationships/hyperlink" Target="http://www.legislation.sa.gov.au/lz/c/a/workcover%20corporation%20act%201994/current/1994.51.un.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feworkaustralia.gov.au/sites/swa/workers-compensation/compensation-information/pages/compensation-information" TargetMode="External"/><Relationship Id="rId11" Type="http://schemas.openxmlformats.org/officeDocument/2006/relationships/hyperlink" Target="http://www.workcover.com/documents.ashx?Id=15146&amp;type=pdf" TargetMode="External"/><Relationship Id="rId24" Type="http://schemas.openxmlformats.org/officeDocument/2006/relationships/hyperlink" Target="http://www.legislation.qld.gov.au/legisltn/current/w/workerscompa03.pdf" TargetMode="External"/><Relationship Id="rId32" Type="http://schemas.openxmlformats.org/officeDocument/2006/relationships/hyperlink" Target="http://www.worksafe.nt.gov.au" TargetMode="External"/><Relationship Id="rId37" Type="http://schemas.openxmlformats.org/officeDocument/2006/relationships/hyperlink" Target="http://www.comcare.gov.au" TargetMode="External"/><Relationship Id="rId40" Type="http://schemas.openxmlformats.org/officeDocument/2006/relationships/hyperlink" Target="http://www.comlaw.gov.au/Details/C2011C00847" TargetMode="External"/><Relationship Id="rId5" Type="http://schemas.openxmlformats.org/officeDocument/2006/relationships/webSettings" Target="webSettings.xml"/><Relationship Id="rId15" Type="http://schemas.openxmlformats.org/officeDocument/2006/relationships/hyperlink" Target="http://www.beyondblue.org.au/resources/in-the-workplace" TargetMode="External"/><Relationship Id="rId23" Type="http://schemas.openxmlformats.org/officeDocument/2006/relationships/hyperlink" Target="http://www.workcoverqld.com.au" TargetMode="External"/><Relationship Id="rId28" Type="http://schemas.openxmlformats.org/officeDocument/2006/relationships/hyperlink" Target="http://www.legislation.sa.gov.au/lz/c/a/workers%20rehabilitation%20and%20compensation%20act%201986/current/1986.124.un.pdf" TargetMode="External"/><Relationship Id="rId36" Type="http://schemas.openxmlformats.org/officeDocument/2006/relationships/hyperlink" Target="http://www.comcare.gov.au" TargetMode="External"/><Relationship Id="rId10" Type="http://schemas.openxmlformats.org/officeDocument/2006/relationships/hyperlink" Target="http://www.comcare.gov.au/__data/assets/pdf_file/0015/41352/Early_intervention_to_support_psychological_health_and_wellbeing.pdf" TargetMode="External"/><Relationship Id="rId19" Type="http://schemas.openxmlformats.org/officeDocument/2006/relationships/hyperlink" Target="http://www.worksafe.vic.gov.au" TargetMode="External"/><Relationship Id="rId31" Type="http://schemas.openxmlformats.org/officeDocument/2006/relationships/hyperlink" Target="http://www.claims.com.au/compensation-laws/tas/workers-rehabilitation-and-compensation-act.pdf"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deir.qld.gov.au/workplace/hazards/bullying-fatigue-stress-violence/resources/index.htm" TargetMode="External"/><Relationship Id="rId14" Type="http://schemas.openxmlformats.org/officeDocument/2006/relationships/hyperlink" Target="https://www.bspg.com.au/dam/bsg/product?client=BEYONDBLUE&amp;prodid=BL/0366&amp;type=file" TargetMode="External"/><Relationship Id="rId22" Type="http://schemas.openxmlformats.org/officeDocument/2006/relationships/hyperlink" Target="http://www.legislation.vic.gov.au/" TargetMode="External"/><Relationship Id="rId27" Type="http://schemas.openxmlformats.org/officeDocument/2006/relationships/hyperlink" Target="http://www.workcover.com" TargetMode="External"/><Relationship Id="rId30" Type="http://schemas.openxmlformats.org/officeDocument/2006/relationships/hyperlink" Target="http://www.workcover.tas.gov.au" TargetMode="External"/><Relationship Id="rId35" Type="http://schemas.openxmlformats.org/officeDocument/2006/relationships/hyperlink" Target="http://www.legislation.act.gov.au/a/1951-2/current/pdf/1951-2.pdf" TargetMode="External"/><Relationship Id="rId43" Type="http://schemas.openxmlformats.org/officeDocument/2006/relationships/customXml" Target="../customXml/item1.xml"/><Relationship Id="rId8" Type="http://schemas.openxmlformats.org/officeDocument/2006/relationships/hyperlink" Target="http://www.safeworkaustralia.gov.au/sites/swa/workers-compensation/compensation-information/pages/compensation-information" TargetMode="External"/><Relationship Id="rId3" Type="http://schemas.microsoft.com/office/2007/relationships/stylesWithEffects" Target="stylesWithEffects.xml"/><Relationship Id="rId12" Type="http://schemas.openxmlformats.org/officeDocument/2006/relationships/hyperlink" Target="http://www.worksafe.vic.gov.au/forms-and-publications/file-resources/?a=16514" TargetMode="External"/><Relationship Id="rId17" Type="http://schemas.openxmlformats.org/officeDocument/2006/relationships/hyperlink" Target="http://www.legislation.nsw.gov.au/maintop/view/inforce/act+86+1998+cd+0+N" TargetMode="External"/><Relationship Id="rId25" Type="http://schemas.openxmlformats.org/officeDocument/2006/relationships/hyperlink" Target="http://www.workcover.wa.gov.au" TargetMode="External"/><Relationship Id="rId33" Type="http://schemas.openxmlformats.org/officeDocument/2006/relationships/hyperlink" Target="http://notes.nt.gov.au/dcm/legislat/legislat.nsf/linkreference/workers%20rehabilitation%20and%20compensation%20act?opendocument" TargetMode="External"/><Relationship Id="rId38" Type="http://schemas.openxmlformats.org/officeDocument/2006/relationships/hyperlink" Target="http://www.comlaw.gov.au/Details/C2012C000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 xsi:nil="true"/>
    <ParentFolderID xmlns="http://schemas.microsoft.com/sharepoint/v3/fields">852</ParentFolderID>
  </documentManagement>
</p:properties>
</file>

<file path=customXml/itemProps1.xml><?xml version="1.0" encoding="utf-8"?>
<ds:datastoreItem xmlns:ds="http://schemas.openxmlformats.org/officeDocument/2006/customXml" ds:itemID="{AF113D89-F946-4EBC-82A5-F8C092B22D15}"/>
</file>

<file path=customXml/itemProps2.xml><?xml version="1.0" encoding="utf-8"?>
<ds:datastoreItem xmlns:ds="http://schemas.openxmlformats.org/officeDocument/2006/customXml" ds:itemID="{574ACB44-3B59-4198-B564-AD58C3A9DF69}"/>
</file>

<file path=docProps/app.xml><?xml version="1.0" encoding="utf-8"?>
<Properties xmlns="http://schemas.openxmlformats.org/officeDocument/2006/extended-properties" xmlns:vt="http://schemas.openxmlformats.org/officeDocument/2006/docPropsVTypes">
  <Template>EEAA8F91.dotm</Template>
  <TotalTime>10</TotalTime>
  <Pages>5</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Legislation and Psychological Injury Fact Sheet</dc:title>
  <dc:creator>Bob Parsons</dc:creator>
  <cp:lastModifiedBy>Ingrid Kimber</cp:lastModifiedBy>
  <cp:revision>7</cp:revision>
  <cp:lastPrinted>2013-11-04T04:08:00Z</cp:lastPrinted>
  <dcterms:created xsi:type="dcterms:W3CDTF">2014-04-23T07:08:00Z</dcterms:created>
  <dcterms:modified xsi:type="dcterms:W3CDTF">2014-05-19T06:27:00Z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