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rawings/drawing1.xml" ContentType="application/vnd.openxmlformats-officedocument.drawingml.chartshapes+xml"/>
  <Override PartName="/word/document.xml" ContentType="application/vnd.openxmlformats-officedocument.wordprocessingml.document.main+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A5" w:rsidRDefault="00C225A5" w:rsidP="006B19F0">
      <w:pPr>
        <w:pStyle w:val="Heading2"/>
      </w:pPr>
      <w:r>
        <w:t xml:space="preserve">Transport &amp; </w:t>
      </w:r>
      <w:r w:rsidRPr="006B19F0">
        <w:t>storage</w:t>
      </w:r>
    </w:p>
    <w:p w:rsidR="00BE6C44" w:rsidRDefault="00BE6C44" w:rsidP="00BE6C44">
      <w:pPr>
        <w:pStyle w:val="BodyText"/>
        <w:spacing w:after="57"/>
      </w:pPr>
      <w:r>
        <w:t xml:space="preserve">The Transport &amp; storage industry employed 533 000 workers in 2011–12 (5% of the Australian workforce). Within this industry 88% of workers were classed as employees and covered by workers’ compensation. Employers in this industry paid 2.6% of payroll in 2011–12 to provide workers’ compensation coverage for their employees.  </w:t>
      </w:r>
    </w:p>
    <w:p w:rsidR="00C225A5" w:rsidRDefault="00C225A5" w:rsidP="006B19F0">
      <w:pPr>
        <w:pStyle w:val="Heading3"/>
      </w:pPr>
      <w:r>
        <w:t>Fatalities</w:t>
      </w:r>
    </w:p>
    <w:p w:rsidR="00BE6C44" w:rsidRPr="00BE6C44" w:rsidRDefault="00BE6C44" w:rsidP="00BE6C44">
      <w:p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BE6C44">
        <w:rPr>
          <w:rFonts w:ascii="Arial" w:hAnsi="Arial" w:cs="Arial"/>
          <w:color w:val="000000"/>
          <w:spacing w:val="-2"/>
          <w:sz w:val="22"/>
          <w:szCs w:val="22"/>
          <w:lang w:val="en-GB"/>
        </w:rPr>
        <w:t>Over the five years from 2007–08 to 2011–12</w:t>
      </w:r>
      <w:proofErr w:type="gramStart"/>
      <w:r w:rsidRPr="00BE6C44">
        <w:rPr>
          <w:rFonts w:ascii="Arial" w:hAnsi="Arial" w:cs="Arial"/>
          <w:color w:val="000000"/>
          <w:spacing w:val="-2"/>
          <w:sz w:val="22"/>
          <w:szCs w:val="22"/>
          <w:lang w:val="en-GB"/>
        </w:rPr>
        <w:t>,</w:t>
      </w:r>
      <w:proofErr w:type="gramEnd"/>
      <w:r w:rsidRPr="00BE6C44">
        <w:rPr>
          <w:rFonts w:ascii="Arial" w:hAnsi="Arial" w:cs="Arial"/>
          <w:color w:val="000000"/>
          <w:spacing w:val="-2"/>
          <w:sz w:val="22"/>
          <w:szCs w:val="22"/>
          <w:lang w:val="en-GB"/>
        </w:rPr>
        <w:br/>
      </w:r>
      <w:r w:rsidRPr="00BE6C44">
        <w:rPr>
          <w:rFonts w:ascii="Arial" w:hAnsi="Arial" w:cs="Arial"/>
          <w:color w:val="000000"/>
          <w:sz w:val="22"/>
          <w:szCs w:val="22"/>
          <w:lang w:val="en-GB"/>
        </w:rPr>
        <w:t xml:space="preserve">280 Transport &amp; storage workers died from work-related injuries—198 of these involved a vehicle. </w:t>
      </w:r>
      <w:r w:rsidRPr="00BE6C44">
        <w:rPr>
          <w:rFonts w:ascii="Arial" w:hAnsi="Arial" w:cs="Arial"/>
          <w:color w:val="000000"/>
          <w:sz w:val="22"/>
          <w:szCs w:val="22"/>
          <w:lang w:val="en-GB"/>
        </w:rPr>
        <w:br/>
        <w:t>The total number of deaths equates to 11.41 fatalities per 100 000 workers, which is almost five times the national rate of 2.29.</w:t>
      </w:r>
    </w:p>
    <w:p w:rsidR="00BE6C44" w:rsidRPr="00BE6C44" w:rsidRDefault="00BE6C44" w:rsidP="00BE6C44">
      <w:pPr>
        <w:pStyle w:val="ListParagraph"/>
        <w:numPr>
          <w:ilvl w:val="0"/>
          <w:numId w:val="3"/>
        </w:num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BE6C44">
        <w:rPr>
          <w:rFonts w:ascii="Arial" w:hAnsi="Arial" w:cs="Arial"/>
          <w:i/>
          <w:iCs/>
          <w:color w:val="000000"/>
          <w:sz w:val="22"/>
          <w:szCs w:val="22"/>
          <w:lang w:val="en-GB"/>
        </w:rPr>
        <w:t>Vehicle incident</w:t>
      </w:r>
      <w:r w:rsidRPr="00BE6C44">
        <w:rPr>
          <w:rFonts w:ascii="Arial" w:hAnsi="Arial" w:cs="Arial"/>
          <w:color w:val="000000"/>
          <w:sz w:val="22"/>
          <w:szCs w:val="22"/>
          <w:lang w:val="en-GB"/>
        </w:rPr>
        <w:t xml:space="preserve"> accounted for 198 fatalities. Of these, 149 incidents involved trucks, 22 involved an aircraft, 17 involved a car, 4 involved a bus, 2 involved a train, a further 2 involved watercraft and one each involved a forklift and excavator.</w:t>
      </w:r>
    </w:p>
    <w:p w:rsidR="00C225A5" w:rsidRDefault="00BE6C44" w:rsidP="00BE6C44">
      <w:pPr>
        <w:pStyle w:val="BodyText1"/>
        <w:numPr>
          <w:ilvl w:val="0"/>
          <w:numId w:val="3"/>
        </w:numPr>
      </w:pPr>
      <w:r w:rsidRPr="00BE6C44">
        <w:rPr>
          <w:i/>
          <w:iCs/>
        </w:rPr>
        <w:t>Being hit by moving objects</w:t>
      </w:r>
      <w:r w:rsidRPr="00BE6C44">
        <w:t xml:space="preserve"> accounted for 23 deaths. This was followed by </w:t>
      </w:r>
      <w:proofErr w:type="gramStart"/>
      <w:r w:rsidRPr="00BE6C44">
        <w:rPr>
          <w:i/>
          <w:iCs/>
        </w:rPr>
        <w:t>Falls</w:t>
      </w:r>
      <w:proofErr w:type="gramEnd"/>
      <w:r w:rsidRPr="00BE6C44">
        <w:rPr>
          <w:i/>
          <w:iCs/>
        </w:rPr>
        <w:t xml:space="preserve"> from a height</w:t>
      </w:r>
      <w:r w:rsidRPr="00BE6C44">
        <w:t xml:space="preserve"> with 14 fatalities, </w:t>
      </w:r>
      <w:r w:rsidRPr="00BE6C44">
        <w:rPr>
          <w:i/>
          <w:iCs/>
        </w:rPr>
        <w:t>Hit by falling objects</w:t>
      </w:r>
      <w:r w:rsidRPr="00BE6C44">
        <w:t xml:space="preserve"> 13 fatalities, and </w:t>
      </w:r>
      <w:r w:rsidRPr="00BE6C44">
        <w:rPr>
          <w:i/>
          <w:iCs/>
        </w:rPr>
        <w:t>Being trapped between stationary and moving objects</w:t>
      </w:r>
      <w:r w:rsidR="006B19F0">
        <w:t xml:space="preserve"> 11 fatalities.</w:t>
      </w:r>
    </w:p>
    <w:p w:rsidR="00C225A5" w:rsidRDefault="00C225A5" w:rsidP="006B19F0">
      <w:pPr>
        <w:pStyle w:val="Heading3"/>
        <w:rPr>
          <w:color w:val="000072"/>
        </w:rPr>
      </w:pPr>
      <w:r>
        <w:t>Serious Claims</w:t>
      </w:r>
    </w:p>
    <w:p w:rsidR="0059256B" w:rsidRPr="0059256B" w:rsidRDefault="0059256B" w:rsidP="0059256B">
      <w:p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59256B">
        <w:rPr>
          <w:rFonts w:ascii="Arial" w:hAnsi="Arial" w:cs="Arial"/>
          <w:color w:val="000000"/>
          <w:sz w:val="22"/>
          <w:szCs w:val="22"/>
          <w:lang w:val="en-GB"/>
        </w:rPr>
        <w:t>The preliminary data for 2011–12 show there were 9100 successful workers’ compensation claims for serious injury or illness. Over the five years from 2007–08 to 2011–12, the Transport &amp; storage industry accounted for 8% of all serious workers’ compensation claims. On average there were 28 claims each day from employees who required one or more weeks off work because of work-related injury or disease.</w:t>
      </w:r>
    </w:p>
    <w:p w:rsidR="0059256B" w:rsidRPr="0059256B" w:rsidRDefault="0059256B" w:rsidP="0059256B">
      <w:p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59256B">
        <w:rPr>
          <w:rFonts w:ascii="Arial" w:hAnsi="Arial" w:cs="Arial"/>
          <w:color w:val="000000"/>
          <w:sz w:val="22"/>
          <w:szCs w:val="22"/>
          <w:lang w:val="en-GB"/>
        </w:rPr>
        <w:t xml:space="preserve">Figure 1 </w:t>
      </w:r>
      <w:proofErr w:type="gramStart"/>
      <w:r w:rsidRPr="0059256B">
        <w:rPr>
          <w:rFonts w:ascii="Arial" w:hAnsi="Arial" w:cs="Arial"/>
          <w:color w:val="000000"/>
          <w:sz w:val="22"/>
          <w:szCs w:val="22"/>
          <w:lang w:val="en-GB"/>
        </w:rPr>
        <w:t>shows</w:t>
      </w:r>
      <w:proofErr w:type="gramEnd"/>
      <w:r w:rsidRPr="0059256B">
        <w:rPr>
          <w:rFonts w:ascii="Arial" w:hAnsi="Arial" w:cs="Arial"/>
          <w:color w:val="000000"/>
          <w:sz w:val="22"/>
          <w:szCs w:val="22"/>
          <w:lang w:val="en-GB"/>
        </w:rPr>
        <w:t xml:space="preserve"> that the incidence rate of serious claims has fallen by 29% from 31.5 claims per 1000 employees</w:t>
      </w:r>
      <w:r>
        <w:rPr>
          <w:rFonts w:ascii="Arial" w:hAnsi="Arial" w:cs="Arial"/>
          <w:color w:val="000000"/>
          <w:sz w:val="22"/>
          <w:szCs w:val="22"/>
          <w:lang w:val="en-GB"/>
        </w:rPr>
        <w:t xml:space="preserve"> in 2000–01 to 22.4 in 2010–11. </w:t>
      </w:r>
      <w:r w:rsidRPr="0059256B">
        <w:rPr>
          <w:rFonts w:ascii="Arial" w:hAnsi="Arial" w:cs="Arial"/>
          <w:color w:val="000000"/>
          <w:sz w:val="22"/>
          <w:szCs w:val="22"/>
          <w:lang w:val="en-GB"/>
        </w:rPr>
        <w:t xml:space="preserve">This rate remains higher than the rate for all industries (12.7) and was the highest incidence rate of serious claims of all industries in </w:t>
      </w:r>
      <w:r>
        <w:rPr>
          <w:rFonts w:ascii="Arial" w:hAnsi="Arial" w:cs="Arial"/>
          <w:color w:val="000000"/>
          <w:sz w:val="22"/>
          <w:szCs w:val="22"/>
          <w:lang w:val="en-GB"/>
        </w:rPr>
        <w:br/>
      </w:r>
      <w:r w:rsidRPr="0059256B">
        <w:rPr>
          <w:rFonts w:ascii="Arial" w:hAnsi="Arial" w:cs="Arial"/>
          <w:color w:val="000000"/>
          <w:sz w:val="22"/>
          <w:szCs w:val="22"/>
          <w:lang w:val="en-GB"/>
        </w:rPr>
        <w:t xml:space="preserve">2010–11. </w:t>
      </w:r>
    </w:p>
    <w:p w:rsidR="006B19F0" w:rsidRPr="006B19F0" w:rsidRDefault="00C225A5" w:rsidP="006B19F0">
      <w:pPr>
        <w:pStyle w:val="Figuretitle"/>
        <w:rPr>
          <w:rStyle w:val="Strong"/>
        </w:rPr>
      </w:pPr>
      <w:r w:rsidRPr="006B19F0">
        <w:rPr>
          <w:rStyle w:val="Strong"/>
        </w:rPr>
        <w:t>Figure 1: Serious claims: Incidence rates by year</w:t>
      </w:r>
    </w:p>
    <w:p w:rsidR="00C225A5" w:rsidRDefault="006B19F0" w:rsidP="00C225A5">
      <w:pPr>
        <w:pStyle w:val="BodyText1"/>
      </w:pPr>
      <w:r>
        <w:rPr>
          <w:noProof/>
          <w:lang w:val="en-AU"/>
        </w:rPr>
        <w:drawing>
          <wp:inline distT="0" distB="0" distL="0" distR="0" wp14:anchorId="159CBC8E" wp14:editId="777EC036">
            <wp:extent cx="5939790" cy="1657557"/>
            <wp:effectExtent l="0" t="0" r="3810" b="0"/>
            <wp:docPr id="6" name="Chart 6" descr="time series" title="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E6C44" w:rsidRPr="00BE6C44" w:rsidRDefault="00BE6C44" w:rsidP="00BE6C44">
      <w:pPr>
        <w:suppressAutoHyphens/>
        <w:autoSpaceDE w:val="0"/>
        <w:autoSpaceDN w:val="0"/>
        <w:adjustRightInd w:val="0"/>
        <w:spacing w:before="120" w:after="57" w:line="260" w:lineRule="atLeast"/>
        <w:textAlignment w:val="center"/>
        <w:rPr>
          <w:rFonts w:ascii="Arial" w:hAnsi="Arial" w:cs="Arial"/>
          <w:color w:val="000000"/>
          <w:sz w:val="22"/>
          <w:szCs w:val="22"/>
          <w:lang w:val="en-GB"/>
        </w:rPr>
      </w:pPr>
      <w:r w:rsidRPr="00BE6C44">
        <w:rPr>
          <w:rFonts w:ascii="Arial" w:hAnsi="Arial" w:cs="Arial"/>
          <w:color w:val="000000"/>
          <w:sz w:val="22"/>
          <w:szCs w:val="22"/>
          <w:lang w:val="en-GB"/>
        </w:rPr>
        <w:t>Between 2007–08 and 2011–12:</w:t>
      </w:r>
    </w:p>
    <w:p w:rsidR="0059256B" w:rsidRPr="0059256B" w:rsidRDefault="0059256B" w:rsidP="0059256B">
      <w:pPr>
        <w:pStyle w:val="ListParagraph"/>
        <w:numPr>
          <w:ilvl w:val="0"/>
          <w:numId w:val="4"/>
        </w:num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59256B">
        <w:rPr>
          <w:rFonts w:ascii="Arial" w:hAnsi="Arial" w:cs="Arial"/>
          <w:i/>
          <w:iCs/>
          <w:color w:val="000000"/>
          <w:sz w:val="22"/>
          <w:szCs w:val="22"/>
          <w:lang w:val="en-GB"/>
        </w:rPr>
        <w:t>Body stressing</w:t>
      </w:r>
      <w:r w:rsidRPr="0059256B">
        <w:rPr>
          <w:rFonts w:ascii="Arial" w:hAnsi="Arial" w:cs="Arial"/>
          <w:color w:val="000000"/>
          <w:sz w:val="22"/>
          <w:szCs w:val="22"/>
          <w:lang w:val="en-GB"/>
        </w:rPr>
        <w:t xml:space="preserve"> accounted for 41% of claims—the most common cause was muscular stress due to handling crates, boxes, barrels and other containers. </w:t>
      </w:r>
    </w:p>
    <w:p w:rsidR="0059256B" w:rsidRPr="0059256B" w:rsidRDefault="0059256B" w:rsidP="0059256B">
      <w:pPr>
        <w:pStyle w:val="ListParagraph"/>
        <w:numPr>
          <w:ilvl w:val="0"/>
          <w:numId w:val="4"/>
        </w:num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59256B">
        <w:rPr>
          <w:rFonts w:ascii="Arial" w:hAnsi="Arial" w:cs="Arial"/>
          <w:i/>
          <w:iCs/>
          <w:color w:val="000000"/>
          <w:sz w:val="22"/>
          <w:szCs w:val="22"/>
          <w:lang w:val="en-GB"/>
        </w:rPr>
        <w:t>Falls, trips and slips of a person</w:t>
      </w:r>
      <w:r w:rsidRPr="0059256B">
        <w:rPr>
          <w:rFonts w:ascii="Arial" w:hAnsi="Arial" w:cs="Arial"/>
          <w:color w:val="000000"/>
          <w:sz w:val="22"/>
          <w:szCs w:val="22"/>
          <w:lang w:val="en-GB"/>
        </w:rPr>
        <w:t xml:space="preserve"> accounted for 23% of claims with most due to falls from trucks or tripping over objects on the ground. </w:t>
      </w:r>
    </w:p>
    <w:p w:rsidR="0059256B" w:rsidRPr="0059256B" w:rsidRDefault="0059256B" w:rsidP="0059256B">
      <w:pPr>
        <w:pStyle w:val="ListParagraph"/>
        <w:numPr>
          <w:ilvl w:val="0"/>
          <w:numId w:val="4"/>
        </w:numPr>
        <w:suppressAutoHyphens/>
        <w:autoSpaceDE w:val="0"/>
        <w:autoSpaceDN w:val="0"/>
        <w:adjustRightInd w:val="0"/>
        <w:spacing w:after="113" w:line="260" w:lineRule="atLeast"/>
        <w:textAlignment w:val="center"/>
        <w:rPr>
          <w:rFonts w:ascii="Arial" w:hAnsi="Arial" w:cs="Arial"/>
          <w:color w:val="000000"/>
          <w:sz w:val="22"/>
          <w:szCs w:val="22"/>
          <w:lang w:val="en-GB"/>
        </w:rPr>
      </w:pPr>
      <w:r w:rsidRPr="0059256B">
        <w:rPr>
          <w:rFonts w:ascii="Arial" w:hAnsi="Arial" w:cs="Arial"/>
          <w:i/>
          <w:iCs/>
          <w:color w:val="000000"/>
          <w:sz w:val="22"/>
          <w:szCs w:val="22"/>
          <w:lang w:val="en-GB"/>
        </w:rPr>
        <w:t>Being hit by moving objects</w:t>
      </w:r>
      <w:r w:rsidRPr="0059256B">
        <w:rPr>
          <w:rFonts w:ascii="Arial" w:hAnsi="Arial" w:cs="Arial"/>
          <w:color w:val="000000"/>
          <w:sz w:val="22"/>
          <w:szCs w:val="22"/>
          <w:lang w:val="en-GB"/>
        </w:rPr>
        <w:t xml:space="preserve"> accounted for a further 13% of claims—most of these involved being hit by a truck or by crates, boxes or other containers.</w:t>
      </w:r>
    </w:p>
    <w:p w:rsidR="006B19F0" w:rsidRDefault="006B19F0" w:rsidP="006B19F0">
      <w:pPr>
        <w:pStyle w:val="Heading3"/>
      </w:pPr>
      <w:r>
        <w:t>Serious claims by jurisdiction</w:t>
      </w:r>
    </w:p>
    <w:p w:rsidR="0059256B" w:rsidRPr="0059256B" w:rsidRDefault="0059256B" w:rsidP="008004FF">
      <w:pPr>
        <w:pStyle w:val="BodyText"/>
        <w:spacing w:after="57"/>
      </w:pPr>
      <w:r w:rsidRPr="0059256B">
        <w:t xml:space="preserve">Figure 2 shows the incidence rates of serious claims in the Transport &amp; storage industry by jurisdiction. </w:t>
      </w:r>
      <w:r w:rsidR="008004FF" w:rsidRPr="008004FF">
        <w:t>Over the period 2007–08 to 2010–11 most jurisdictions recorded decreases in incidence rates. The largest decreases were recorded by Queensland (27%), Tasmania (20%) and Victoria (14%).</w:t>
      </w:r>
      <w:r w:rsidRPr="0059256B">
        <w:t xml:space="preserve"> Increases were recorded in the Northern Territory (62%), the Australian Capital Territory (17%), the Australian Government (10%) and Western Australia (7%). </w:t>
      </w:r>
    </w:p>
    <w:p w:rsidR="0007302F" w:rsidRPr="0007302F" w:rsidRDefault="0007302F" w:rsidP="0007302F">
      <w:pPr>
        <w:suppressAutoHyphens/>
        <w:autoSpaceDE w:val="0"/>
        <w:autoSpaceDN w:val="0"/>
        <w:adjustRightInd w:val="0"/>
        <w:spacing w:after="57" w:line="260" w:lineRule="atLeast"/>
        <w:textAlignment w:val="center"/>
        <w:rPr>
          <w:rFonts w:ascii="Arial" w:hAnsi="Arial" w:cs="Arial"/>
          <w:color w:val="000000"/>
          <w:sz w:val="22"/>
          <w:szCs w:val="22"/>
          <w:lang w:val="en-GB"/>
        </w:rPr>
      </w:pPr>
      <w:r w:rsidRPr="0007302F">
        <w:rPr>
          <w:rFonts w:ascii="Arial" w:hAnsi="Arial" w:cs="Arial"/>
          <w:color w:val="000000"/>
          <w:sz w:val="22"/>
          <w:szCs w:val="22"/>
          <w:lang w:val="en-GB"/>
        </w:rPr>
        <w:lastRenderedPageBreak/>
        <w:t>The preliminary data for 2011–12 show that Western Australia recorded the highest incidence rate with 25.5 serious claims per 1000 employees while the Australian Government recorded the lowest with 8.3.</w:t>
      </w:r>
    </w:p>
    <w:p w:rsidR="00C225A5" w:rsidRDefault="00C225A5" w:rsidP="00BE6C44">
      <w:pPr>
        <w:pStyle w:val="Figuretitle"/>
        <w:keepNext/>
        <w:ind w:left="0" w:firstLine="0"/>
        <w:rPr>
          <w:rStyle w:val="Strong"/>
        </w:rPr>
      </w:pPr>
      <w:r w:rsidRPr="006B19F0">
        <w:rPr>
          <w:rStyle w:val="Strong"/>
        </w:rPr>
        <w:t>Figure 2: Serious claims: Incidence rates by jurisdiction</w:t>
      </w:r>
    </w:p>
    <w:p w:rsidR="006B19F0" w:rsidRPr="006B19F0" w:rsidRDefault="006B19F0" w:rsidP="00BE6C44">
      <w:pPr>
        <w:pStyle w:val="Figuretitle"/>
        <w:keepNext/>
        <w:ind w:left="0" w:firstLine="0"/>
        <w:rPr>
          <w:rStyle w:val="Strong"/>
        </w:rPr>
      </w:pPr>
      <w:r>
        <w:rPr>
          <w:noProof/>
          <w:lang w:val="en-AU"/>
        </w:rPr>
        <w:drawing>
          <wp:inline distT="0" distB="0" distL="0" distR="0" wp14:anchorId="13638694" wp14:editId="54B2473C">
            <wp:extent cx="3780000" cy="2340000"/>
            <wp:effectExtent l="0" t="0" r="0" b="3175"/>
            <wp:docPr id="7" name="Chart 7" descr="incidence rates by jurisdiction" title="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25A5" w:rsidRPr="00BE6C44" w:rsidRDefault="00BE6C44" w:rsidP="006B19F0">
      <w:pPr>
        <w:pStyle w:val="Heading3"/>
      </w:pPr>
      <w:r w:rsidRPr="00BE6C44">
        <w:t>CLAIMS INVOLVING 12 OR MORE WEEKS TIME LOST BY JURISDICTION</w:t>
      </w:r>
    </w:p>
    <w:p w:rsidR="0059256B" w:rsidRPr="0059256B" w:rsidRDefault="0059256B" w:rsidP="0059256B">
      <w:pPr>
        <w:suppressAutoHyphens/>
        <w:autoSpaceDE w:val="0"/>
        <w:autoSpaceDN w:val="0"/>
        <w:adjustRightInd w:val="0"/>
        <w:spacing w:after="40" w:line="220" w:lineRule="atLeast"/>
        <w:textAlignment w:val="center"/>
        <w:rPr>
          <w:rFonts w:ascii="Arial" w:hAnsi="Arial" w:cs="Arial"/>
          <w:color w:val="000000"/>
          <w:sz w:val="22"/>
          <w:szCs w:val="22"/>
          <w:lang w:val="en-GB"/>
        </w:rPr>
      </w:pPr>
      <w:r w:rsidRPr="0059256B">
        <w:rPr>
          <w:rFonts w:ascii="Arial" w:hAnsi="Arial" w:cs="Arial"/>
          <w:color w:val="000000"/>
          <w:sz w:val="22"/>
          <w:szCs w:val="22"/>
          <w:lang w:val="en-GB"/>
        </w:rPr>
        <w:t xml:space="preserve">Figure 3 shows the incidence rates of claims involving 12 or more weeks off work by jurisdiction. Preliminary data for 2011–12 show 30% of serious claims had compensation paid for 12 or more weeks off work. </w:t>
      </w:r>
    </w:p>
    <w:p w:rsidR="0059256B" w:rsidRPr="0059256B" w:rsidRDefault="0059256B" w:rsidP="0059256B">
      <w:pPr>
        <w:suppressAutoHyphens/>
        <w:autoSpaceDE w:val="0"/>
        <w:autoSpaceDN w:val="0"/>
        <w:adjustRightInd w:val="0"/>
        <w:spacing w:after="40" w:line="220" w:lineRule="atLeast"/>
        <w:textAlignment w:val="center"/>
        <w:rPr>
          <w:rFonts w:ascii="Arial" w:hAnsi="Arial" w:cs="Arial"/>
          <w:color w:val="000000"/>
          <w:sz w:val="22"/>
          <w:szCs w:val="22"/>
          <w:lang w:val="en-GB"/>
        </w:rPr>
      </w:pPr>
      <w:r w:rsidRPr="0059256B">
        <w:rPr>
          <w:rFonts w:ascii="Arial" w:hAnsi="Arial" w:cs="Arial"/>
          <w:color w:val="000000"/>
          <w:sz w:val="22"/>
          <w:szCs w:val="22"/>
          <w:lang w:val="en-GB"/>
        </w:rPr>
        <w:t>Over the period 2007–08 to 2010–11 the largest decrease in incidence rates of long term claims was recorded by Queensland (2</w:t>
      </w:r>
      <w:r w:rsidR="008004FF">
        <w:rPr>
          <w:rFonts w:ascii="Arial" w:hAnsi="Arial" w:cs="Arial"/>
          <w:color w:val="000000"/>
          <w:sz w:val="22"/>
          <w:szCs w:val="22"/>
          <w:lang w:val="en-GB"/>
        </w:rPr>
        <w:t>2</w:t>
      </w:r>
      <w:r w:rsidRPr="0059256B">
        <w:rPr>
          <w:rFonts w:ascii="Arial" w:hAnsi="Arial" w:cs="Arial"/>
          <w:color w:val="000000"/>
          <w:sz w:val="22"/>
          <w:szCs w:val="22"/>
          <w:lang w:val="en-GB"/>
        </w:rPr>
        <w:t>%) followed by South Australia (1</w:t>
      </w:r>
      <w:r w:rsidR="008004FF">
        <w:rPr>
          <w:rFonts w:ascii="Arial" w:hAnsi="Arial" w:cs="Arial"/>
          <w:color w:val="000000"/>
          <w:sz w:val="22"/>
          <w:szCs w:val="22"/>
          <w:lang w:val="en-GB"/>
        </w:rPr>
        <w:t>5</w:t>
      </w:r>
      <w:r w:rsidRPr="0059256B">
        <w:rPr>
          <w:rFonts w:ascii="Arial" w:hAnsi="Arial" w:cs="Arial"/>
          <w:color w:val="000000"/>
          <w:sz w:val="22"/>
          <w:szCs w:val="22"/>
          <w:lang w:val="en-GB"/>
        </w:rPr>
        <w:t>%). Over the same period the Northern Territory recorded the largest increase in long term claims (2</w:t>
      </w:r>
      <w:r w:rsidR="008004FF">
        <w:rPr>
          <w:rFonts w:ascii="Arial" w:hAnsi="Arial" w:cs="Arial"/>
          <w:color w:val="000000"/>
          <w:sz w:val="22"/>
          <w:szCs w:val="22"/>
          <w:lang w:val="en-GB"/>
        </w:rPr>
        <w:t>7</w:t>
      </w:r>
      <w:bookmarkStart w:id="0" w:name="_GoBack"/>
      <w:bookmarkEnd w:id="0"/>
      <w:r w:rsidRPr="0059256B">
        <w:rPr>
          <w:rFonts w:ascii="Arial" w:hAnsi="Arial" w:cs="Arial"/>
          <w:color w:val="000000"/>
          <w:sz w:val="22"/>
          <w:szCs w:val="22"/>
          <w:lang w:val="en-GB"/>
        </w:rPr>
        <w:t>%).</w:t>
      </w:r>
    </w:p>
    <w:p w:rsidR="00BE6C44" w:rsidRPr="00BE6C44" w:rsidRDefault="0059256B" w:rsidP="0059256B">
      <w:pPr>
        <w:suppressAutoHyphens/>
        <w:autoSpaceDE w:val="0"/>
        <w:autoSpaceDN w:val="0"/>
        <w:adjustRightInd w:val="0"/>
        <w:spacing w:after="40" w:line="220" w:lineRule="atLeast"/>
        <w:textAlignment w:val="center"/>
        <w:rPr>
          <w:rFonts w:ascii="Arial" w:hAnsi="Arial" w:cs="Arial"/>
          <w:color w:val="000000"/>
          <w:sz w:val="22"/>
          <w:szCs w:val="22"/>
          <w:lang w:val="en-GB"/>
        </w:rPr>
      </w:pPr>
      <w:r w:rsidRPr="0059256B">
        <w:rPr>
          <w:rFonts w:ascii="Arial" w:hAnsi="Arial" w:cs="Arial"/>
          <w:color w:val="000000"/>
          <w:sz w:val="22"/>
          <w:szCs w:val="22"/>
          <w:lang w:val="en-GB"/>
        </w:rPr>
        <w:t xml:space="preserve">The preliminary data for 2011–12 show that incidence rates ranged from 2.6 serious long term claims per 1000 employees in the Australian Government to </w:t>
      </w:r>
      <w:r w:rsidR="0007302F">
        <w:rPr>
          <w:rFonts w:ascii="Arial" w:hAnsi="Arial" w:cs="Arial"/>
          <w:color w:val="000000"/>
          <w:sz w:val="22"/>
          <w:szCs w:val="22"/>
          <w:lang w:val="en-GB"/>
        </w:rPr>
        <w:t>8.8</w:t>
      </w:r>
      <w:r w:rsidRPr="0059256B">
        <w:rPr>
          <w:rFonts w:ascii="Arial" w:hAnsi="Arial" w:cs="Arial"/>
          <w:color w:val="000000"/>
          <w:sz w:val="22"/>
          <w:szCs w:val="22"/>
          <w:lang w:val="en-GB"/>
        </w:rPr>
        <w:t xml:space="preserve"> in </w:t>
      </w:r>
      <w:r w:rsidR="0007302F">
        <w:rPr>
          <w:rFonts w:ascii="Arial" w:hAnsi="Arial" w:cs="Arial"/>
          <w:color w:val="000000"/>
          <w:sz w:val="22"/>
          <w:szCs w:val="22"/>
          <w:lang w:val="en-GB"/>
        </w:rPr>
        <w:t>Western Australia</w:t>
      </w:r>
      <w:r w:rsidRPr="0059256B">
        <w:rPr>
          <w:rFonts w:ascii="Arial" w:hAnsi="Arial" w:cs="Arial"/>
          <w:color w:val="000000"/>
          <w:sz w:val="22"/>
          <w:szCs w:val="22"/>
          <w:lang w:val="en-GB"/>
        </w:rPr>
        <w:t>.</w:t>
      </w:r>
    </w:p>
    <w:p w:rsidR="00C225A5" w:rsidRDefault="00C225A5" w:rsidP="00BE6C44">
      <w:pPr>
        <w:pStyle w:val="Figuretitle"/>
        <w:rPr>
          <w:rStyle w:val="Strong"/>
        </w:rPr>
      </w:pPr>
      <w:r w:rsidRPr="006B19F0">
        <w:rPr>
          <w:rStyle w:val="Strong"/>
        </w:rPr>
        <w:t xml:space="preserve">Figure 3: Claims involving </w:t>
      </w:r>
      <w:r w:rsidR="00921DFC" w:rsidRPr="006B19F0">
        <w:rPr>
          <w:rStyle w:val="Strong"/>
        </w:rPr>
        <w:t>12</w:t>
      </w:r>
      <w:r w:rsidRPr="006B19F0">
        <w:rPr>
          <w:rStyle w:val="Strong"/>
        </w:rPr>
        <w:t xml:space="preserve"> or more weeks off work: Incidence rates by jurisdiction</w:t>
      </w:r>
    </w:p>
    <w:p w:rsidR="006B19F0" w:rsidRPr="006B19F0" w:rsidRDefault="006B19F0" w:rsidP="00BE6C44">
      <w:pPr>
        <w:pStyle w:val="Figuretitle"/>
        <w:rPr>
          <w:rStyle w:val="Strong"/>
        </w:rPr>
      </w:pPr>
      <w:r>
        <w:rPr>
          <w:noProof/>
          <w:lang w:val="en-AU"/>
        </w:rPr>
        <w:drawing>
          <wp:inline distT="0" distB="0" distL="0" distR="0" wp14:anchorId="07CD900F" wp14:editId="7926C7F3">
            <wp:extent cx="3780000" cy="2340000"/>
            <wp:effectExtent l="0" t="0" r="0" b="3175"/>
            <wp:docPr id="8" name="Chart 8" descr="long term claims" title="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0709" w:rsidRDefault="00500709" w:rsidP="0059256B">
      <w:pPr>
        <w:pStyle w:val="footnotes"/>
        <w:spacing w:line="180" w:lineRule="atLeast"/>
      </w:pPr>
      <w:r>
        <w:t xml:space="preserve">Claims data were extracted from the National Data Set (NDS) for Compensation-based Statistics. The data presented here are restricted to accepted claims for serious injury and disease. Serious claims include fatalities, claims for permanent disability and claims for conditions that involve one or more weeks of time lost from work. Serious claims do not include those involving journeys to and from work. The 2011–12 data are preliminary and expected to rise. As such they have not been used to determine the percentage change in rates over time. More information on this industry can be found at </w:t>
      </w:r>
      <w:r>
        <w:rPr>
          <w:color w:val="003A4A"/>
        </w:rPr>
        <w:t>swa.gov.au</w:t>
      </w:r>
      <w:r>
        <w:t>.</w:t>
      </w:r>
    </w:p>
    <w:p w:rsidR="00C225A5" w:rsidRDefault="00500709" w:rsidP="0059256B">
      <w:pPr>
        <w:pStyle w:val="footnotes"/>
        <w:spacing w:after="0" w:line="180" w:lineRule="atLeast"/>
        <w:rPr>
          <w:color w:val="003A4A"/>
        </w:rPr>
      </w:pPr>
      <w:r>
        <w:t xml:space="preserve">Information on fatalities is extracted from the Traumatic Injury Fatalities database. Annual fatalities reports can be found at </w:t>
      </w:r>
      <w:r>
        <w:br/>
      </w:r>
      <w:r>
        <w:rPr>
          <w:color w:val="003A4A"/>
        </w:rPr>
        <w:t>swa.gov.au.</w:t>
      </w:r>
    </w:p>
    <w:p w:rsidR="00C225A5" w:rsidRDefault="00BE6C44" w:rsidP="00C225A5">
      <w:pPr>
        <w:pStyle w:val="footnotes"/>
        <w:rPr>
          <w:sz w:val="20"/>
          <w:szCs w:val="20"/>
        </w:rPr>
      </w:pPr>
      <w:r>
        <w:rPr>
          <w:rFonts w:ascii="Century Gothic" w:hAnsi="Century Gothic"/>
          <w:b/>
          <w:noProof/>
          <w:lang w:val="en-AU"/>
        </w:rPr>
        <w:drawing>
          <wp:inline distT="0" distB="0" distL="0" distR="0" wp14:anchorId="13758E6D" wp14:editId="1FE5B4F4">
            <wp:extent cx="1371600" cy="514350"/>
            <wp:effectExtent l="19050" t="0" r="0" b="0"/>
            <wp:docPr id="1" name="Picture 1" descr="by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_new"/>
                    <pic:cNvPicPr>
                      <a:picLocks noChangeAspect="1" noChangeArrowheads="1"/>
                    </pic:cNvPicPr>
                  </pic:nvPicPr>
                  <pic:blipFill>
                    <a:blip r:embed="rId9" cstate="print"/>
                    <a:srcRect/>
                    <a:stretch>
                      <a:fillRect/>
                    </a:stretch>
                  </pic:blipFill>
                  <pic:spPr bwMode="auto">
                    <a:xfrm>
                      <a:off x="0" y="0"/>
                      <a:ext cx="1371600" cy="514350"/>
                    </a:xfrm>
                    <a:prstGeom prst="rect">
                      <a:avLst/>
                    </a:prstGeom>
                    <a:noFill/>
                    <a:ln w="9525">
                      <a:noFill/>
                      <a:miter lim="800000"/>
                      <a:headEnd/>
                      <a:tailEnd/>
                    </a:ln>
                  </pic:spPr>
                </pic:pic>
              </a:graphicData>
            </a:graphic>
          </wp:inline>
        </w:drawing>
      </w:r>
    </w:p>
    <w:sectPr w:rsidR="00C225A5" w:rsidSect="00E26EE8">
      <w:pgSz w:w="11906" w:h="16838" w:code="9"/>
      <w:pgMar w:top="993" w:right="1134" w:bottom="56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AAC"/>
    <w:multiLevelType w:val="hybridMultilevel"/>
    <w:tmpl w:val="BF42E52E"/>
    <w:lvl w:ilvl="0" w:tplc="FB14E358">
      <w:start w:val="1"/>
      <w:numFmt w:val="decimal"/>
      <w:pStyle w:val="Numberedheading"/>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7671CBF"/>
    <w:multiLevelType w:val="hybridMultilevel"/>
    <w:tmpl w:val="1ACC8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9386A3D"/>
    <w:multiLevelType w:val="hybridMultilevel"/>
    <w:tmpl w:val="E53CB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7FC2814"/>
    <w:multiLevelType w:val="hybridMultilevel"/>
    <w:tmpl w:val="80AE04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A5"/>
    <w:rsid w:val="00032629"/>
    <w:rsid w:val="0004524E"/>
    <w:rsid w:val="0007302F"/>
    <w:rsid w:val="00086787"/>
    <w:rsid w:val="000941CC"/>
    <w:rsid w:val="000B1D96"/>
    <w:rsid w:val="000B5362"/>
    <w:rsid w:val="0011416B"/>
    <w:rsid w:val="00130060"/>
    <w:rsid w:val="00180ECA"/>
    <w:rsid w:val="00205A62"/>
    <w:rsid w:val="00214EC5"/>
    <w:rsid w:val="002267ED"/>
    <w:rsid w:val="00261988"/>
    <w:rsid w:val="0027401B"/>
    <w:rsid w:val="002A1C65"/>
    <w:rsid w:val="002A2616"/>
    <w:rsid w:val="00301220"/>
    <w:rsid w:val="003305A1"/>
    <w:rsid w:val="003468B0"/>
    <w:rsid w:val="00405865"/>
    <w:rsid w:val="0044203F"/>
    <w:rsid w:val="004E3970"/>
    <w:rsid w:val="004F3685"/>
    <w:rsid w:val="00500709"/>
    <w:rsid w:val="00534087"/>
    <w:rsid w:val="00543DA2"/>
    <w:rsid w:val="0055707C"/>
    <w:rsid w:val="00557F97"/>
    <w:rsid w:val="00561B44"/>
    <w:rsid w:val="00575351"/>
    <w:rsid w:val="0059256B"/>
    <w:rsid w:val="005B6610"/>
    <w:rsid w:val="005D3416"/>
    <w:rsid w:val="0061455A"/>
    <w:rsid w:val="0067348D"/>
    <w:rsid w:val="006B19F0"/>
    <w:rsid w:val="006C15B8"/>
    <w:rsid w:val="006F04CD"/>
    <w:rsid w:val="006F0516"/>
    <w:rsid w:val="00745B75"/>
    <w:rsid w:val="007472B7"/>
    <w:rsid w:val="00777C3D"/>
    <w:rsid w:val="007C3E99"/>
    <w:rsid w:val="008004FF"/>
    <w:rsid w:val="00822661"/>
    <w:rsid w:val="00834F0A"/>
    <w:rsid w:val="00840CF6"/>
    <w:rsid w:val="008B5982"/>
    <w:rsid w:val="0091499B"/>
    <w:rsid w:val="00921DFC"/>
    <w:rsid w:val="00930BBD"/>
    <w:rsid w:val="00974870"/>
    <w:rsid w:val="009B5EA6"/>
    <w:rsid w:val="009D0637"/>
    <w:rsid w:val="009E1D66"/>
    <w:rsid w:val="00A173E0"/>
    <w:rsid w:val="00A51CF3"/>
    <w:rsid w:val="00AF5820"/>
    <w:rsid w:val="00B319F9"/>
    <w:rsid w:val="00B5613D"/>
    <w:rsid w:val="00B85CCA"/>
    <w:rsid w:val="00B96441"/>
    <w:rsid w:val="00BD57EE"/>
    <w:rsid w:val="00BE6C44"/>
    <w:rsid w:val="00BF1471"/>
    <w:rsid w:val="00C225A5"/>
    <w:rsid w:val="00C24DD0"/>
    <w:rsid w:val="00CB1D12"/>
    <w:rsid w:val="00CB4485"/>
    <w:rsid w:val="00CE04FE"/>
    <w:rsid w:val="00D16FCF"/>
    <w:rsid w:val="00D35792"/>
    <w:rsid w:val="00D61D1A"/>
    <w:rsid w:val="00E26EE8"/>
    <w:rsid w:val="00E712D4"/>
    <w:rsid w:val="00E9294A"/>
    <w:rsid w:val="00EA1883"/>
    <w:rsid w:val="00ED045F"/>
    <w:rsid w:val="00F80C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820"/>
    <w:rPr>
      <w:sz w:val="24"/>
      <w:szCs w:val="24"/>
    </w:rPr>
  </w:style>
  <w:style w:type="paragraph" w:styleId="Heading2">
    <w:name w:val="heading 2"/>
    <w:basedOn w:val="Normal"/>
    <w:link w:val="Heading2Char"/>
    <w:uiPriority w:val="99"/>
    <w:qFormat/>
    <w:rsid w:val="00C225A5"/>
    <w:pPr>
      <w:suppressAutoHyphens/>
      <w:autoSpaceDE w:val="0"/>
      <w:autoSpaceDN w:val="0"/>
      <w:adjustRightInd w:val="0"/>
      <w:spacing w:before="113" w:after="113" w:line="288" w:lineRule="auto"/>
      <w:textAlignment w:val="center"/>
      <w:outlineLvl w:val="1"/>
    </w:pPr>
    <w:rPr>
      <w:rFonts w:ascii="Arial" w:hAnsi="Arial" w:cs="Arial"/>
      <w:caps/>
      <w:color w:val="003A4A"/>
      <w:sz w:val="28"/>
      <w:szCs w:val="28"/>
      <w:lang w:val="en-GB"/>
    </w:rPr>
  </w:style>
  <w:style w:type="paragraph" w:styleId="Heading3">
    <w:name w:val="heading 3"/>
    <w:basedOn w:val="Normal"/>
    <w:next w:val="Normal"/>
    <w:qFormat/>
    <w:rsid w:val="00B561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Heading3"/>
    <w:rsid w:val="00B5613D"/>
    <w:pPr>
      <w:numPr>
        <w:numId w:val="1"/>
      </w:numPr>
    </w:pPr>
  </w:style>
  <w:style w:type="character" w:customStyle="1" w:styleId="Heading2Char">
    <w:name w:val="Heading 2 Char"/>
    <w:basedOn w:val="DefaultParagraphFont"/>
    <w:link w:val="Heading2"/>
    <w:uiPriority w:val="99"/>
    <w:rsid w:val="00C225A5"/>
    <w:rPr>
      <w:rFonts w:ascii="Arial" w:hAnsi="Arial" w:cs="Arial"/>
      <w:caps/>
      <w:color w:val="003A4A"/>
      <w:sz w:val="28"/>
      <w:szCs w:val="28"/>
      <w:lang w:val="en-GB"/>
    </w:rPr>
  </w:style>
  <w:style w:type="paragraph" w:customStyle="1" w:styleId="BodyText1">
    <w:name w:val="Body Text1"/>
    <w:basedOn w:val="Normal"/>
    <w:uiPriority w:val="99"/>
    <w:rsid w:val="00C225A5"/>
    <w:pPr>
      <w:suppressAutoHyphens/>
      <w:autoSpaceDE w:val="0"/>
      <w:autoSpaceDN w:val="0"/>
      <w:adjustRightInd w:val="0"/>
      <w:spacing w:after="113" w:line="260" w:lineRule="atLeast"/>
      <w:textAlignment w:val="center"/>
    </w:pPr>
    <w:rPr>
      <w:rFonts w:ascii="Arial" w:hAnsi="Arial" w:cs="Arial"/>
      <w:color w:val="000000"/>
      <w:sz w:val="22"/>
      <w:szCs w:val="22"/>
      <w:lang w:val="en-GB"/>
    </w:rPr>
  </w:style>
  <w:style w:type="character" w:customStyle="1" w:styleId="bodyitalics">
    <w:name w:val="body : italics"/>
    <w:uiPriority w:val="99"/>
    <w:rsid w:val="00C225A5"/>
    <w:rPr>
      <w:rFonts w:ascii="Arial" w:hAnsi="Arial" w:cs="Arial"/>
      <w:i/>
      <w:iCs/>
      <w:sz w:val="22"/>
      <w:szCs w:val="22"/>
    </w:rPr>
  </w:style>
  <w:style w:type="paragraph" w:customStyle="1" w:styleId="Figuretitle">
    <w:name w:val="Figure title"/>
    <w:basedOn w:val="Heading2"/>
    <w:uiPriority w:val="99"/>
    <w:rsid w:val="00C225A5"/>
    <w:pPr>
      <w:spacing w:after="0"/>
      <w:ind w:left="850" w:hanging="850"/>
      <w:outlineLvl w:val="9"/>
    </w:pPr>
    <w:rPr>
      <w:caps w:val="0"/>
      <w:sz w:val="20"/>
      <w:szCs w:val="20"/>
    </w:rPr>
  </w:style>
  <w:style w:type="paragraph" w:customStyle="1" w:styleId="footnotes">
    <w:name w:val="footnotes"/>
    <w:basedOn w:val="BodyText1"/>
    <w:uiPriority w:val="99"/>
    <w:rsid w:val="00C225A5"/>
    <w:pPr>
      <w:spacing w:line="200" w:lineRule="atLeast"/>
    </w:pPr>
    <w:rPr>
      <w:sz w:val="16"/>
      <w:szCs w:val="16"/>
    </w:rPr>
  </w:style>
  <w:style w:type="paragraph" w:styleId="BalloonText">
    <w:name w:val="Balloon Text"/>
    <w:basedOn w:val="Normal"/>
    <w:link w:val="BalloonTextChar"/>
    <w:rsid w:val="00C225A5"/>
    <w:rPr>
      <w:rFonts w:ascii="Tahoma" w:hAnsi="Tahoma" w:cs="Tahoma"/>
      <w:sz w:val="16"/>
      <w:szCs w:val="16"/>
    </w:rPr>
  </w:style>
  <w:style w:type="character" w:customStyle="1" w:styleId="BalloonTextChar">
    <w:name w:val="Balloon Text Char"/>
    <w:basedOn w:val="DefaultParagraphFont"/>
    <w:link w:val="BalloonText"/>
    <w:rsid w:val="00C225A5"/>
    <w:rPr>
      <w:rFonts w:ascii="Tahoma" w:hAnsi="Tahoma" w:cs="Tahoma"/>
      <w:sz w:val="16"/>
      <w:szCs w:val="16"/>
    </w:rPr>
  </w:style>
  <w:style w:type="paragraph" w:styleId="BodyText">
    <w:name w:val="Body Text"/>
    <w:basedOn w:val="Normal"/>
    <w:link w:val="BodyTextChar"/>
    <w:uiPriority w:val="99"/>
    <w:rsid w:val="00BE6C44"/>
    <w:pPr>
      <w:suppressAutoHyphens/>
      <w:autoSpaceDE w:val="0"/>
      <w:autoSpaceDN w:val="0"/>
      <w:adjustRightInd w:val="0"/>
      <w:spacing w:after="113" w:line="260" w:lineRule="atLeast"/>
      <w:textAlignment w:val="center"/>
    </w:pPr>
    <w:rPr>
      <w:rFonts w:ascii="Arial" w:hAnsi="Arial" w:cs="Arial"/>
      <w:color w:val="000000"/>
      <w:sz w:val="22"/>
      <w:szCs w:val="22"/>
      <w:lang w:val="en-GB"/>
    </w:rPr>
  </w:style>
  <w:style w:type="character" w:customStyle="1" w:styleId="BodyTextChar">
    <w:name w:val="Body Text Char"/>
    <w:basedOn w:val="DefaultParagraphFont"/>
    <w:link w:val="BodyText"/>
    <w:uiPriority w:val="99"/>
    <w:rsid w:val="00BE6C44"/>
    <w:rPr>
      <w:rFonts w:ascii="Arial" w:hAnsi="Arial" w:cs="Arial"/>
      <w:color w:val="000000"/>
      <w:sz w:val="22"/>
      <w:szCs w:val="22"/>
      <w:lang w:val="en-GB"/>
    </w:rPr>
  </w:style>
  <w:style w:type="paragraph" w:styleId="ListParagraph">
    <w:name w:val="List Paragraph"/>
    <w:basedOn w:val="Normal"/>
    <w:uiPriority w:val="34"/>
    <w:qFormat/>
    <w:rsid w:val="00BE6C44"/>
    <w:pPr>
      <w:ind w:left="720"/>
      <w:contextualSpacing/>
    </w:pPr>
  </w:style>
  <w:style w:type="character" w:styleId="Strong">
    <w:name w:val="Strong"/>
    <w:basedOn w:val="DefaultParagraphFont"/>
    <w:qFormat/>
    <w:rsid w:val="006B1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820"/>
    <w:rPr>
      <w:sz w:val="24"/>
      <w:szCs w:val="24"/>
    </w:rPr>
  </w:style>
  <w:style w:type="paragraph" w:styleId="Heading2">
    <w:name w:val="heading 2"/>
    <w:basedOn w:val="Normal"/>
    <w:link w:val="Heading2Char"/>
    <w:uiPriority w:val="99"/>
    <w:qFormat/>
    <w:rsid w:val="00C225A5"/>
    <w:pPr>
      <w:suppressAutoHyphens/>
      <w:autoSpaceDE w:val="0"/>
      <w:autoSpaceDN w:val="0"/>
      <w:adjustRightInd w:val="0"/>
      <w:spacing w:before="113" w:after="113" w:line="288" w:lineRule="auto"/>
      <w:textAlignment w:val="center"/>
      <w:outlineLvl w:val="1"/>
    </w:pPr>
    <w:rPr>
      <w:rFonts w:ascii="Arial" w:hAnsi="Arial" w:cs="Arial"/>
      <w:caps/>
      <w:color w:val="003A4A"/>
      <w:sz w:val="28"/>
      <w:szCs w:val="28"/>
      <w:lang w:val="en-GB"/>
    </w:rPr>
  </w:style>
  <w:style w:type="paragraph" w:styleId="Heading3">
    <w:name w:val="heading 3"/>
    <w:basedOn w:val="Normal"/>
    <w:next w:val="Normal"/>
    <w:qFormat/>
    <w:rsid w:val="00B561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
    <w:name w:val="Numbered heading"/>
    <w:basedOn w:val="Heading3"/>
    <w:rsid w:val="00B5613D"/>
    <w:pPr>
      <w:numPr>
        <w:numId w:val="1"/>
      </w:numPr>
    </w:pPr>
  </w:style>
  <w:style w:type="character" w:customStyle="1" w:styleId="Heading2Char">
    <w:name w:val="Heading 2 Char"/>
    <w:basedOn w:val="DefaultParagraphFont"/>
    <w:link w:val="Heading2"/>
    <w:uiPriority w:val="99"/>
    <w:rsid w:val="00C225A5"/>
    <w:rPr>
      <w:rFonts w:ascii="Arial" w:hAnsi="Arial" w:cs="Arial"/>
      <w:caps/>
      <w:color w:val="003A4A"/>
      <w:sz w:val="28"/>
      <w:szCs w:val="28"/>
      <w:lang w:val="en-GB"/>
    </w:rPr>
  </w:style>
  <w:style w:type="paragraph" w:customStyle="1" w:styleId="BodyText1">
    <w:name w:val="Body Text1"/>
    <w:basedOn w:val="Normal"/>
    <w:uiPriority w:val="99"/>
    <w:rsid w:val="00C225A5"/>
    <w:pPr>
      <w:suppressAutoHyphens/>
      <w:autoSpaceDE w:val="0"/>
      <w:autoSpaceDN w:val="0"/>
      <w:adjustRightInd w:val="0"/>
      <w:spacing w:after="113" w:line="260" w:lineRule="atLeast"/>
      <w:textAlignment w:val="center"/>
    </w:pPr>
    <w:rPr>
      <w:rFonts w:ascii="Arial" w:hAnsi="Arial" w:cs="Arial"/>
      <w:color w:val="000000"/>
      <w:sz w:val="22"/>
      <w:szCs w:val="22"/>
      <w:lang w:val="en-GB"/>
    </w:rPr>
  </w:style>
  <w:style w:type="character" w:customStyle="1" w:styleId="bodyitalics">
    <w:name w:val="body : italics"/>
    <w:uiPriority w:val="99"/>
    <w:rsid w:val="00C225A5"/>
    <w:rPr>
      <w:rFonts w:ascii="Arial" w:hAnsi="Arial" w:cs="Arial"/>
      <w:i/>
      <w:iCs/>
      <w:sz w:val="22"/>
      <w:szCs w:val="22"/>
    </w:rPr>
  </w:style>
  <w:style w:type="paragraph" w:customStyle="1" w:styleId="Figuretitle">
    <w:name w:val="Figure title"/>
    <w:basedOn w:val="Heading2"/>
    <w:uiPriority w:val="99"/>
    <w:rsid w:val="00C225A5"/>
    <w:pPr>
      <w:spacing w:after="0"/>
      <w:ind w:left="850" w:hanging="850"/>
      <w:outlineLvl w:val="9"/>
    </w:pPr>
    <w:rPr>
      <w:caps w:val="0"/>
      <w:sz w:val="20"/>
      <w:szCs w:val="20"/>
    </w:rPr>
  </w:style>
  <w:style w:type="paragraph" w:customStyle="1" w:styleId="footnotes">
    <w:name w:val="footnotes"/>
    <w:basedOn w:val="BodyText1"/>
    <w:uiPriority w:val="99"/>
    <w:rsid w:val="00C225A5"/>
    <w:pPr>
      <w:spacing w:line="200" w:lineRule="atLeast"/>
    </w:pPr>
    <w:rPr>
      <w:sz w:val="16"/>
      <w:szCs w:val="16"/>
    </w:rPr>
  </w:style>
  <w:style w:type="paragraph" w:styleId="BalloonText">
    <w:name w:val="Balloon Text"/>
    <w:basedOn w:val="Normal"/>
    <w:link w:val="BalloonTextChar"/>
    <w:rsid w:val="00C225A5"/>
    <w:rPr>
      <w:rFonts w:ascii="Tahoma" w:hAnsi="Tahoma" w:cs="Tahoma"/>
      <w:sz w:val="16"/>
      <w:szCs w:val="16"/>
    </w:rPr>
  </w:style>
  <w:style w:type="character" w:customStyle="1" w:styleId="BalloonTextChar">
    <w:name w:val="Balloon Text Char"/>
    <w:basedOn w:val="DefaultParagraphFont"/>
    <w:link w:val="BalloonText"/>
    <w:rsid w:val="00C225A5"/>
    <w:rPr>
      <w:rFonts w:ascii="Tahoma" w:hAnsi="Tahoma" w:cs="Tahoma"/>
      <w:sz w:val="16"/>
      <w:szCs w:val="16"/>
    </w:rPr>
  </w:style>
  <w:style w:type="paragraph" w:styleId="BodyText">
    <w:name w:val="Body Text"/>
    <w:basedOn w:val="Normal"/>
    <w:link w:val="BodyTextChar"/>
    <w:uiPriority w:val="99"/>
    <w:rsid w:val="00BE6C44"/>
    <w:pPr>
      <w:suppressAutoHyphens/>
      <w:autoSpaceDE w:val="0"/>
      <w:autoSpaceDN w:val="0"/>
      <w:adjustRightInd w:val="0"/>
      <w:spacing w:after="113" w:line="260" w:lineRule="atLeast"/>
      <w:textAlignment w:val="center"/>
    </w:pPr>
    <w:rPr>
      <w:rFonts w:ascii="Arial" w:hAnsi="Arial" w:cs="Arial"/>
      <w:color w:val="000000"/>
      <w:sz w:val="22"/>
      <w:szCs w:val="22"/>
      <w:lang w:val="en-GB"/>
    </w:rPr>
  </w:style>
  <w:style w:type="character" w:customStyle="1" w:styleId="BodyTextChar">
    <w:name w:val="Body Text Char"/>
    <w:basedOn w:val="DefaultParagraphFont"/>
    <w:link w:val="BodyText"/>
    <w:uiPriority w:val="99"/>
    <w:rsid w:val="00BE6C44"/>
    <w:rPr>
      <w:rFonts w:ascii="Arial" w:hAnsi="Arial" w:cs="Arial"/>
      <w:color w:val="000000"/>
      <w:sz w:val="22"/>
      <w:szCs w:val="22"/>
      <w:lang w:val="en-GB"/>
    </w:rPr>
  </w:style>
  <w:style w:type="paragraph" w:styleId="ListParagraph">
    <w:name w:val="List Paragraph"/>
    <w:basedOn w:val="Normal"/>
    <w:uiPriority w:val="34"/>
    <w:qFormat/>
    <w:rsid w:val="00BE6C44"/>
    <w:pPr>
      <w:ind w:left="720"/>
      <w:contextualSpacing/>
    </w:pPr>
  </w:style>
  <w:style w:type="character" w:styleId="Strong">
    <w:name w:val="Strong"/>
    <w:basedOn w:val="DefaultParagraphFont"/>
    <w:qFormat/>
    <w:rsid w:val="006B1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002\51000186\Data%20and%20Analysis\Publications\Industry%20Information%20Fact%20Sheets\2011-12%20Industry%20fact%20sheets\extracted%20data\UPDATED_INDUSTRY_SHEE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1000186\Data%20and%20Analysis\Publications\Industry%20Information%20Fact%20Sheets\2011-12%20Industry%20fact%20sheets\extracted%20data\UPDATED_INDUSTRY_SHEE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1000186\Data%20and%20Analysis\Publications\Industry%20Information%20Fact%20Sheets\2011-12%20Industry%20fact%20sheets\extracted%20data\UPDATED_INDUSTRY_TLO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529250645994833"/>
          <c:y val="6.4753510224287242E-2"/>
          <c:w val="0.7855634366925065"/>
          <c:h val="0.69121011656558862"/>
        </c:manualLayout>
      </c:layout>
      <c:lineChart>
        <c:grouping val="standard"/>
        <c:varyColors val="0"/>
        <c:ser>
          <c:idx val="0"/>
          <c:order val="0"/>
          <c:tx>
            <c:strRef>
              <c:f>'Incidence rates by industry'!$W$97</c:f>
              <c:strCache>
                <c:ptCount val="1"/>
                <c:pt idx="0">
                  <c:v>Transport &amp; storage</c:v>
                </c:pt>
              </c:strCache>
            </c:strRef>
          </c:tx>
          <c:spPr>
            <a:ln>
              <a:solidFill>
                <a:srgbClr val="00B050"/>
              </a:solidFill>
            </a:ln>
          </c:spPr>
          <c:marker>
            <c:symbol val="none"/>
          </c:marker>
          <c:dPt>
            <c:idx val="11"/>
            <c:bubble3D val="0"/>
            <c:spPr>
              <a:ln>
                <a:solidFill>
                  <a:srgbClr val="00B050"/>
                </a:solidFill>
                <a:prstDash val="sysDash"/>
              </a:ln>
            </c:spPr>
          </c:dPt>
          <c:cat>
            <c:strRef>
              <c:f>'Incidence rates by industry'!$X$96:$AI$96</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2011–12p</c:v>
                </c:pt>
              </c:strCache>
            </c:strRef>
          </c:cat>
          <c:val>
            <c:numRef>
              <c:f>'Incidence rates by industry'!$X$97:$AI$97</c:f>
              <c:numCache>
                <c:formatCode>0.0</c:formatCode>
                <c:ptCount val="12"/>
                <c:pt idx="0">
                  <c:v>31.535802482792189</c:v>
                </c:pt>
                <c:pt idx="1">
                  <c:v>32.905076176773335</c:v>
                </c:pt>
                <c:pt idx="2">
                  <c:v>32.280174459077415</c:v>
                </c:pt>
                <c:pt idx="3">
                  <c:v>29.587643805714119</c:v>
                </c:pt>
                <c:pt idx="4">
                  <c:v>28.241784643289304</c:v>
                </c:pt>
                <c:pt idx="5">
                  <c:v>26.758431667207436</c:v>
                </c:pt>
                <c:pt idx="6">
                  <c:v>26.300171772800571</c:v>
                </c:pt>
                <c:pt idx="7">
                  <c:v>24.909162029052506</c:v>
                </c:pt>
                <c:pt idx="8">
                  <c:v>25.016066349181465</c:v>
                </c:pt>
                <c:pt idx="9">
                  <c:v>24.079959894434776</c:v>
                </c:pt>
                <c:pt idx="10">
                  <c:v>22.391826829874631</c:v>
                </c:pt>
                <c:pt idx="11">
                  <c:v>20.842074405225404</c:v>
                </c:pt>
              </c:numCache>
            </c:numRef>
          </c:val>
          <c:smooth val="0"/>
        </c:ser>
        <c:ser>
          <c:idx val="1"/>
          <c:order val="1"/>
          <c:tx>
            <c:strRef>
              <c:f>'Incidence rates by industry'!$W$98</c:f>
              <c:strCache>
                <c:ptCount val="1"/>
                <c:pt idx="0">
                  <c:v>All Industries</c:v>
                </c:pt>
              </c:strCache>
            </c:strRef>
          </c:tx>
          <c:spPr>
            <a:ln>
              <a:solidFill>
                <a:schemeClr val="tx1"/>
              </a:solidFill>
            </a:ln>
          </c:spPr>
          <c:marker>
            <c:symbol val="none"/>
          </c:marker>
          <c:cat>
            <c:strRef>
              <c:f>'Incidence rates by industry'!$X$96:$AI$96</c:f>
              <c:strCache>
                <c:ptCount val="12"/>
                <c:pt idx="0">
                  <c:v>2000–01</c:v>
                </c:pt>
                <c:pt idx="1">
                  <c:v>2001–02</c:v>
                </c:pt>
                <c:pt idx="2">
                  <c:v>2002–03</c:v>
                </c:pt>
                <c:pt idx="3">
                  <c:v>2003–04</c:v>
                </c:pt>
                <c:pt idx="4">
                  <c:v>2004–05</c:v>
                </c:pt>
                <c:pt idx="5">
                  <c:v>2005–06</c:v>
                </c:pt>
                <c:pt idx="6">
                  <c:v>2006–07</c:v>
                </c:pt>
                <c:pt idx="7">
                  <c:v>2007–08</c:v>
                </c:pt>
                <c:pt idx="8">
                  <c:v>2008–09</c:v>
                </c:pt>
                <c:pt idx="9">
                  <c:v>2009–10</c:v>
                </c:pt>
                <c:pt idx="10">
                  <c:v>2010–11</c:v>
                </c:pt>
                <c:pt idx="11">
                  <c:v>2011–12p</c:v>
                </c:pt>
              </c:strCache>
            </c:strRef>
          </c:cat>
          <c:val>
            <c:numRef>
              <c:f>'Incidence rates by industry'!$X$98:$AI$98</c:f>
              <c:numCache>
                <c:formatCode>0.0</c:formatCode>
                <c:ptCount val="12"/>
                <c:pt idx="0">
                  <c:v>17.452262283170704</c:v>
                </c:pt>
                <c:pt idx="1">
                  <c:v>16.881140749914799</c:v>
                </c:pt>
                <c:pt idx="2">
                  <c:v>16.543345106619764</c:v>
                </c:pt>
                <c:pt idx="3">
                  <c:v>16.36437433920505</c:v>
                </c:pt>
                <c:pt idx="4">
                  <c:v>16.031352757642484</c:v>
                </c:pt>
                <c:pt idx="5">
                  <c:v>15.082453567121526</c:v>
                </c:pt>
                <c:pt idx="6">
                  <c:v>14.483104026331281</c:v>
                </c:pt>
                <c:pt idx="7">
                  <c:v>14.174654378400305</c:v>
                </c:pt>
                <c:pt idx="8">
                  <c:v>13.603671469511472</c:v>
                </c:pt>
                <c:pt idx="9">
                  <c:v>13.062271948774955</c:v>
                </c:pt>
                <c:pt idx="10">
                  <c:v>12.701897925950171</c:v>
                </c:pt>
                <c:pt idx="11">
                  <c:v>12.161206459024413</c:v>
                </c:pt>
              </c:numCache>
            </c:numRef>
          </c:val>
          <c:smooth val="0"/>
        </c:ser>
        <c:dLbls>
          <c:showLegendKey val="0"/>
          <c:showVal val="0"/>
          <c:showCatName val="0"/>
          <c:showSerName val="0"/>
          <c:showPercent val="0"/>
          <c:showBubbleSize val="0"/>
        </c:dLbls>
        <c:marker val="1"/>
        <c:smooth val="0"/>
        <c:axId val="81176448"/>
        <c:axId val="81177984"/>
      </c:lineChart>
      <c:catAx>
        <c:axId val="81176448"/>
        <c:scaling>
          <c:orientation val="minMax"/>
        </c:scaling>
        <c:delete val="0"/>
        <c:axPos val="b"/>
        <c:majorTickMark val="out"/>
        <c:minorTickMark val="none"/>
        <c:tickLblPos val="nextTo"/>
        <c:spPr>
          <a:ln w="3175">
            <a:solidFill>
              <a:schemeClr val="tx1"/>
            </a:solidFill>
          </a:ln>
        </c:spPr>
        <c:crossAx val="81177984"/>
        <c:crosses val="autoZero"/>
        <c:auto val="1"/>
        <c:lblAlgn val="ctr"/>
        <c:lblOffset val="100"/>
        <c:noMultiLvlLbl val="0"/>
      </c:catAx>
      <c:valAx>
        <c:axId val="81177984"/>
        <c:scaling>
          <c:orientation val="minMax"/>
          <c:max val="40"/>
        </c:scaling>
        <c:delete val="0"/>
        <c:axPos val="l"/>
        <c:majorGridlines/>
        <c:numFmt formatCode="0" sourceLinked="0"/>
        <c:majorTickMark val="none"/>
        <c:minorTickMark val="none"/>
        <c:tickLblPos val="nextTo"/>
        <c:spPr>
          <a:ln w="3175">
            <a:solidFill>
              <a:schemeClr val="tx1"/>
            </a:solidFill>
          </a:ln>
        </c:spPr>
        <c:txPr>
          <a:bodyPr/>
          <a:lstStyle/>
          <a:p>
            <a:pPr>
              <a:defRPr sz="800">
                <a:latin typeface="Arial" pitchFamily="34" charset="0"/>
                <a:cs typeface="Arial" pitchFamily="34" charset="0"/>
              </a:defRPr>
            </a:pPr>
            <a:endParaRPr lang="en-US"/>
          </a:p>
        </c:txPr>
        <c:crossAx val="81176448"/>
        <c:crosses val="autoZero"/>
        <c:crossBetween val="between"/>
        <c:majorUnit val="10"/>
      </c:valAx>
      <c:dTable>
        <c:showHorzBorder val="1"/>
        <c:showVertBorder val="1"/>
        <c:showOutline val="1"/>
        <c:showKeys val="1"/>
        <c:spPr>
          <a:ln>
            <a:noFill/>
          </a:ln>
        </c:spPr>
        <c:txPr>
          <a:bodyPr/>
          <a:lstStyle/>
          <a:p>
            <a:pPr rtl="0">
              <a:defRPr sz="800">
                <a:latin typeface="Arial" pitchFamily="34" charset="0"/>
                <a:cs typeface="Arial" pitchFamily="34" charset="0"/>
              </a:defRPr>
            </a:pPr>
            <a:endParaRPr lang="en-US"/>
          </a:p>
        </c:txPr>
      </c:dTable>
      <c:spPr>
        <a:ln w="3175">
          <a:solidFill>
            <a:schemeClr val="tx1"/>
          </a:solidFill>
        </a:ln>
      </c:spPr>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'Claims by Jurid'!$X$71</c:f>
              <c:strCache>
                <c:ptCount val="1"/>
                <c:pt idx="0">
                  <c:v>2007–08</c:v>
                </c:pt>
              </c:strCache>
            </c:strRef>
          </c:tx>
          <c:spPr>
            <a:solidFill>
              <a:srgbClr val="C00000"/>
            </a:solidFill>
          </c:spPr>
          <c:invertIfNegative val="0"/>
          <c:cat>
            <c:strRef>
              <c:f>'Claims by Jurid'!$W$72:$W$80</c:f>
              <c:strCache>
                <c:ptCount val="9"/>
                <c:pt idx="0">
                  <c:v>NT</c:v>
                </c:pt>
                <c:pt idx="1">
                  <c:v>NSW</c:v>
                </c:pt>
                <c:pt idx="2">
                  <c:v>SA</c:v>
                </c:pt>
                <c:pt idx="3">
                  <c:v>WA</c:v>
                </c:pt>
                <c:pt idx="4">
                  <c:v>Tas</c:v>
                </c:pt>
                <c:pt idx="5">
                  <c:v>Qld</c:v>
                </c:pt>
                <c:pt idx="6">
                  <c:v>Vic</c:v>
                </c:pt>
                <c:pt idx="7">
                  <c:v>Aus Gov</c:v>
                </c:pt>
                <c:pt idx="8">
                  <c:v>Aust</c:v>
                </c:pt>
              </c:strCache>
            </c:strRef>
          </c:cat>
          <c:val>
            <c:numRef>
              <c:f>'Claims by Jurid'!$X$72:$X$80</c:f>
              <c:numCache>
                <c:formatCode>0.0</c:formatCode>
                <c:ptCount val="9"/>
                <c:pt idx="0">
                  <c:v>17.360390990225245</c:v>
                </c:pt>
                <c:pt idx="1">
                  <c:v>26.256876039401302</c:v>
                </c:pt>
                <c:pt idx="2">
                  <c:v>25.438451356717408</c:v>
                </c:pt>
                <c:pt idx="3">
                  <c:v>21.169050986575158</c:v>
                </c:pt>
                <c:pt idx="4">
                  <c:v>26.859019469856907</c:v>
                </c:pt>
                <c:pt idx="5">
                  <c:v>29.318369655052415</c:v>
                </c:pt>
                <c:pt idx="6">
                  <c:v>23.431688496952411</c:v>
                </c:pt>
                <c:pt idx="7">
                  <c:v>8.9878022683500962</c:v>
                </c:pt>
                <c:pt idx="8">
                  <c:v>24.909162029052503</c:v>
                </c:pt>
              </c:numCache>
            </c:numRef>
          </c:val>
        </c:ser>
        <c:ser>
          <c:idx val="1"/>
          <c:order val="1"/>
          <c:tx>
            <c:strRef>
              <c:f>'Claims by Jurid'!$Y$71</c:f>
              <c:strCache>
                <c:ptCount val="1"/>
                <c:pt idx="0">
                  <c:v>2008–09</c:v>
                </c:pt>
              </c:strCache>
            </c:strRef>
          </c:tx>
          <c:spPr>
            <a:solidFill>
              <a:srgbClr val="0070C0"/>
            </a:solidFill>
          </c:spPr>
          <c:invertIfNegative val="0"/>
          <c:cat>
            <c:strRef>
              <c:f>'Claims by Jurid'!$W$72:$W$80</c:f>
              <c:strCache>
                <c:ptCount val="9"/>
                <c:pt idx="0">
                  <c:v>NT</c:v>
                </c:pt>
                <c:pt idx="1">
                  <c:v>NSW</c:v>
                </c:pt>
                <c:pt idx="2">
                  <c:v>SA</c:v>
                </c:pt>
                <c:pt idx="3">
                  <c:v>WA</c:v>
                </c:pt>
                <c:pt idx="4">
                  <c:v>Tas</c:v>
                </c:pt>
                <c:pt idx="5">
                  <c:v>Qld</c:v>
                </c:pt>
                <c:pt idx="6">
                  <c:v>Vic</c:v>
                </c:pt>
                <c:pt idx="7">
                  <c:v>Aus Gov</c:v>
                </c:pt>
                <c:pt idx="8">
                  <c:v>Aust</c:v>
                </c:pt>
              </c:strCache>
            </c:strRef>
          </c:cat>
          <c:val>
            <c:numRef>
              <c:f>'Claims by Jurid'!$Y$72:$Y$80</c:f>
              <c:numCache>
                <c:formatCode>0.0</c:formatCode>
                <c:ptCount val="9"/>
                <c:pt idx="0">
                  <c:v>20.678415634269761</c:v>
                </c:pt>
                <c:pt idx="1">
                  <c:v>30.114868898044751</c:v>
                </c:pt>
                <c:pt idx="2">
                  <c:v>27.600238827906125</c:v>
                </c:pt>
                <c:pt idx="3">
                  <c:v>21.304894563745407</c:v>
                </c:pt>
                <c:pt idx="4">
                  <c:v>30.299106564806422</c:v>
                </c:pt>
                <c:pt idx="5">
                  <c:v>25.250988743535139</c:v>
                </c:pt>
                <c:pt idx="6">
                  <c:v>20.295531650806787</c:v>
                </c:pt>
                <c:pt idx="7">
                  <c:v>11.336128003778709</c:v>
                </c:pt>
                <c:pt idx="8">
                  <c:v>25.016066349181472</c:v>
                </c:pt>
              </c:numCache>
            </c:numRef>
          </c:val>
        </c:ser>
        <c:ser>
          <c:idx val="2"/>
          <c:order val="2"/>
          <c:tx>
            <c:strRef>
              <c:f>'Claims by Jurid'!$Z$71</c:f>
              <c:strCache>
                <c:ptCount val="1"/>
                <c:pt idx="0">
                  <c:v>2009–10</c:v>
                </c:pt>
              </c:strCache>
            </c:strRef>
          </c:tx>
          <c:spPr>
            <a:solidFill>
              <a:schemeClr val="accent6">
                <a:lumMod val="75000"/>
              </a:schemeClr>
            </a:solidFill>
          </c:spPr>
          <c:invertIfNegative val="0"/>
          <c:cat>
            <c:strRef>
              <c:f>'Claims by Jurid'!$W$72:$W$80</c:f>
              <c:strCache>
                <c:ptCount val="9"/>
                <c:pt idx="0">
                  <c:v>NT</c:v>
                </c:pt>
                <c:pt idx="1">
                  <c:v>NSW</c:v>
                </c:pt>
                <c:pt idx="2">
                  <c:v>SA</c:v>
                </c:pt>
                <c:pt idx="3">
                  <c:v>WA</c:v>
                </c:pt>
                <c:pt idx="4">
                  <c:v>Tas</c:v>
                </c:pt>
                <c:pt idx="5">
                  <c:v>Qld</c:v>
                </c:pt>
                <c:pt idx="6">
                  <c:v>Vic</c:v>
                </c:pt>
                <c:pt idx="7">
                  <c:v>Aus Gov</c:v>
                </c:pt>
                <c:pt idx="8">
                  <c:v>Aust</c:v>
                </c:pt>
              </c:strCache>
            </c:strRef>
          </c:cat>
          <c:val>
            <c:numRef>
              <c:f>'Claims by Jurid'!$Z$72:$Z$80</c:f>
              <c:numCache>
                <c:formatCode>0.0</c:formatCode>
                <c:ptCount val="9"/>
                <c:pt idx="0">
                  <c:v>21.289066319048398</c:v>
                </c:pt>
                <c:pt idx="1">
                  <c:v>30.136986301369863</c:v>
                </c:pt>
                <c:pt idx="2">
                  <c:v>24.80845556514236</c:v>
                </c:pt>
                <c:pt idx="3">
                  <c:v>19.36434904965046</c:v>
                </c:pt>
                <c:pt idx="4">
                  <c:v>26.1344428552854</c:v>
                </c:pt>
                <c:pt idx="5">
                  <c:v>23.253851023422662</c:v>
                </c:pt>
                <c:pt idx="6">
                  <c:v>20.285564155938644</c:v>
                </c:pt>
                <c:pt idx="7">
                  <c:v>10.604018981779834</c:v>
                </c:pt>
                <c:pt idx="8">
                  <c:v>24.079959894434776</c:v>
                </c:pt>
              </c:numCache>
            </c:numRef>
          </c:val>
        </c:ser>
        <c:ser>
          <c:idx val="3"/>
          <c:order val="3"/>
          <c:tx>
            <c:strRef>
              <c:f>'Claims by Jurid'!$AA$71</c:f>
              <c:strCache>
                <c:ptCount val="1"/>
                <c:pt idx="0">
                  <c:v>2010–11</c:v>
                </c:pt>
              </c:strCache>
            </c:strRef>
          </c:tx>
          <c:spPr>
            <a:solidFill>
              <a:srgbClr val="00B050"/>
            </a:solidFill>
          </c:spPr>
          <c:invertIfNegative val="0"/>
          <c:cat>
            <c:strRef>
              <c:f>'Claims by Jurid'!$W$72:$W$80</c:f>
              <c:strCache>
                <c:ptCount val="9"/>
                <c:pt idx="0">
                  <c:v>NT</c:v>
                </c:pt>
                <c:pt idx="1">
                  <c:v>NSW</c:v>
                </c:pt>
                <c:pt idx="2">
                  <c:v>SA</c:v>
                </c:pt>
                <c:pt idx="3">
                  <c:v>WA</c:v>
                </c:pt>
                <c:pt idx="4">
                  <c:v>Tas</c:v>
                </c:pt>
                <c:pt idx="5">
                  <c:v>Qld</c:v>
                </c:pt>
                <c:pt idx="6">
                  <c:v>Vic</c:v>
                </c:pt>
                <c:pt idx="7">
                  <c:v>Aus Gov</c:v>
                </c:pt>
                <c:pt idx="8">
                  <c:v>Aust</c:v>
                </c:pt>
              </c:strCache>
            </c:strRef>
          </c:cat>
          <c:val>
            <c:numRef>
              <c:f>'Claims by Jurid'!$AA$72:$AA$80</c:f>
              <c:numCache>
                <c:formatCode>0.0</c:formatCode>
                <c:ptCount val="9"/>
                <c:pt idx="0">
                  <c:v>28.178874157791778</c:v>
                </c:pt>
                <c:pt idx="1">
                  <c:v>25.235234588635532</c:v>
                </c:pt>
                <c:pt idx="2">
                  <c:v>23.011909825606125</c:v>
                </c:pt>
                <c:pt idx="3">
                  <c:v>22.582265762371264</c:v>
                </c:pt>
                <c:pt idx="4">
                  <c:v>21.464810719396382</c:v>
                </c:pt>
                <c:pt idx="5">
                  <c:v>21.507235176277977</c:v>
                </c:pt>
                <c:pt idx="6">
                  <c:v>20.154034871629193</c:v>
                </c:pt>
                <c:pt idx="7">
                  <c:v>9.9246163024025176</c:v>
                </c:pt>
                <c:pt idx="8">
                  <c:v>22.391826829874631</c:v>
                </c:pt>
              </c:numCache>
            </c:numRef>
          </c:val>
        </c:ser>
        <c:ser>
          <c:idx val="4"/>
          <c:order val="4"/>
          <c:tx>
            <c:strRef>
              <c:f>'Claims by Jurid'!$AB$71</c:f>
              <c:strCache>
                <c:ptCount val="1"/>
                <c:pt idx="0">
                  <c:v>2011–12p</c:v>
                </c:pt>
              </c:strCache>
            </c:strRef>
          </c:tx>
          <c:spPr>
            <a:solidFill>
              <a:schemeClr val="tx1"/>
            </a:solidFill>
          </c:spPr>
          <c:invertIfNegative val="0"/>
          <c:cat>
            <c:strRef>
              <c:f>'Claims by Jurid'!$W$72:$W$80</c:f>
              <c:strCache>
                <c:ptCount val="9"/>
                <c:pt idx="0">
                  <c:v>NT</c:v>
                </c:pt>
                <c:pt idx="1">
                  <c:v>NSW</c:v>
                </c:pt>
                <c:pt idx="2">
                  <c:v>SA</c:v>
                </c:pt>
                <c:pt idx="3">
                  <c:v>WA</c:v>
                </c:pt>
                <c:pt idx="4">
                  <c:v>Tas</c:v>
                </c:pt>
                <c:pt idx="5">
                  <c:v>Qld</c:v>
                </c:pt>
                <c:pt idx="6">
                  <c:v>Vic</c:v>
                </c:pt>
                <c:pt idx="7">
                  <c:v>Aus Gov</c:v>
                </c:pt>
                <c:pt idx="8">
                  <c:v>Aust</c:v>
                </c:pt>
              </c:strCache>
            </c:strRef>
          </c:cat>
          <c:val>
            <c:numRef>
              <c:f>'Claims by Jurid'!$AB$72:$AB$80</c:f>
              <c:numCache>
                <c:formatCode>0.0</c:formatCode>
                <c:ptCount val="9"/>
                <c:pt idx="0">
                  <c:v>12.736130755932736</c:v>
                </c:pt>
                <c:pt idx="1">
                  <c:v>21.982400100650732</c:v>
                </c:pt>
                <c:pt idx="2">
                  <c:v>22.045734388742307</c:v>
                </c:pt>
                <c:pt idx="3">
                  <c:v>25.538666257229131</c:v>
                </c:pt>
                <c:pt idx="4">
                  <c:v>24.698287959584619</c:v>
                </c:pt>
                <c:pt idx="5">
                  <c:v>22.60899059813659</c:v>
                </c:pt>
                <c:pt idx="6">
                  <c:v>16.95149303868774</c:v>
                </c:pt>
                <c:pt idx="7">
                  <c:v>8.2914442659480745</c:v>
                </c:pt>
                <c:pt idx="8">
                  <c:v>20.842074405225404</c:v>
                </c:pt>
              </c:numCache>
            </c:numRef>
          </c:val>
        </c:ser>
        <c:dLbls>
          <c:showLegendKey val="0"/>
          <c:showVal val="0"/>
          <c:showCatName val="0"/>
          <c:showSerName val="0"/>
          <c:showPercent val="0"/>
          <c:showBubbleSize val="0"/>
        </c:dLbls>
        <c:gapWidth val="150"/>
        <c:axId val="82513280"/>
        <c:axId val="82515072"/>
      </c:barChart>
      <c:catAx>
        <c:axId val="82513280"/>
        <c:scaling>
          <c:orientation val="minMax"/>
        </c:scaling>
        <c:delete val="0"/>
        <c:axPos val="b"/>
        <c:majorTickMark val="none"/>
        <c:minorTickMark val="none"/>
        <c:tickLblPos val="nextTo"/>
        <c:spPr>
          <a:ln w="3175">
            <a:solidFill>
              <a:schemeClr val="tx1"/>
            </a:solidFill>
          </a:ln>
        </c:spPr>
        <c:crossAx val="82515072"/>
        <c:crosses val="autoZero"/>
        <c:auto val="1"/>
        <c:lblAlgn val="ctr"/>
        <c:lblOffset val="100"/>
        <c:noMultiLvlLbl val="0"/>
      </c:catAx>
      <c:valAx>
        <c:axId val="82515072"/>
        <c:scaling>
          <c:orientation val="minMax"/>
          <c:max val="35"/>
        </c:scaling>
        <c:delete val="0"/>
        <c:axPos val="l"/>
        <c:majorGridlines/>
        <c:title>
          <c:tx>
            <c:rich>
              <a:bodyPr rot="-5400000" vert="horz"/>
              <a:lstStyle/>
              <a:p>
                <a:pPr>
                  <a:defRPr/>
                </a:pPr>
                <a:r>
                  <a:rPr lang="en-AU" b="0"/>
                  <a:t>Claims per 1000 employees</a:t>
                </a:r>
              </a:p>
            </c:rich>
          </c:tx>
          <c:layout>
            <c:manualLayout>
              <c:xMode val="edge"/>
              <c:yMode val="edge"/>
              <c:x val="5.2777777777777778E-2"/>
              <c:y val="9.3341880341880259E-3"/>
            </c:manualLayout>
          </c:layout>
          <c:overlay val="0"/>
        </c:title>
        <c:numFmt formatCode="0" sourceLinked="0"/>
        <c:majorTickMark val="none"/>
        <c:minorTickMark val="none"/>
        <c:tickLblPos val="nextTo"/>
        <c:spPr>
          <a:ln w="3175">
            <a:solidFill>
              <a:schemeClr val="tx1"/>
            </a:solidFill>
          </a:ln>
        </c:spPr>
        <c:crossAx val="82513280"/>
        <c:crosses val="autoZero"/>
        <c:crossBetween val="between"/>
        <c:majorUnit val="5"/>
      </c:valAx>
      <c:dTable>
        <c:showHorzBorder val="1"/>
        <c:showVertBorder val="1"/>
        <c:showOutline val="1"/>
        <c:showKeys val="1"/>
        <c:spPr>
          <a:ln>
            <a:noFill/>
          </a:ln>
        </c:spPr>
      </c:dTable>
      <c:spPr>
        <a:ln w="3175">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transport!$K$6</c:f>
              <c:strCache>
                <c:ptCount val="1"/>
                <c:pt idx="0">
                  <c:v>2007–08</c:v>
                </c:pt>
              </c:strCache>
            </c:strRef>
          </c:tx>
          <c:spPr>
            <a:solidFill>
              <a:srgbClr val="C00000"/>
            </a:solidFill>
          </c:spPr>
          <c:invertIfNegative val="0"/>
          <c:cat>
            <c:strRef>
              <c:f>transport!$J$7:$J$15</c:f>
              <c:strCache>
                <c:ptCount val="9"/>
                <c:pt idx="0">
                  <c:v>Vic</c:v>
                </c:pt>
                <c:pt idx="1">
                  <c:v>SA</c:v>
                </c:pt>
                <c:pt idx="2">
                  <c:v>WA</c:v>
                </c:pt>
                <c:pt idx="3">
                  <c:v>NSW</c:v>
                </c:pt>
                <c:pt idx="4">
                  <c:v>NT</c:v>
                </c:pt>
                <c:pt idx="5">
                  <c:v>Tas</c:v>
                </c:pt>
                <c:pt idx="6">
                  <c:v>Qld</c:v>
                </c:pt>
                <c:pt idx="7">
                  <c:v>Aus Gov</c:v>
                </c:pt>
                <c:pt idx="8">
                  <c:v>Aust</c:v>
                </c:pt>
              </c:strCache>
            </c:strRef>
          </c:cat>
          <c:val>
            <c:numRef>
              <c:f>transport!$K$7:$K$15</c:f>
              <c:numCache>
                <c:formatCode>0.0</c:formatCode>
                <c:ptCount val="9"/>
                <c:pt idx="0">
                  <c:v>9.510223490252022</c:v>
                </c:pt>
                <c:pt idx="1">
                  <c:v>8.4381204500330913</c:v>
                </c:pt>
                <c:pt idx="2">
                  <c:v>6.561710218182661</c:v>
                </c:pt>
                <c:pt idx="3">
                  <c:v>6.6521683510298066</c:v>
                </c:pt>
                <c:pt idx="4">
                  <c:v>4.8754781130471718</c:v>
                </c:pt>
                <c:pt idx="5">
                  <c:v>6.3335679099225892</c:v>
                </c:pt>
                <c:pt idx="6">
                  <c:v>7.2969681151855239</c:v>
                </c:pt>
                <c:pt idx="7">
                  <c:v>2.728439974320565</c:v>
                </c:pt>
                <c:pt idx="8">
                  <c:v>7.3640630834059353</c:v>
                </c:pt>
              </c:numCache>
            </c:numRef>
          </c:val>
        </c:ser>
        <c:ser>
          <c:idx val="1"/>
          <c:order val="1"/>
          <c:tx>
            <c:strRef>
              <c:f>transport!$L$6</c:f>
              <c:strCache>
                <c:ptCount val="1"/>
                <c:pt idx="0">
                  <c:v>2008–09</c:v>
                </c:pt>
              </c:strCache>
            </c:strRef>
          </c:tx>
          <c:spPr>
            <a:solidFill>
              <a:srgbClr val="0070C0"/>
            </a:solidFill>
          </c:spPr>
          <c:invertIfNegative val="0"/>
          <c:cat>
            <c:strRef>
              <c:f>transport!$J$7:$J$15</c:f>
              <c:strCache>
                <c:ptCount val="9"/>
                <c:pt idx="0">
                  <c:v>Vic</c:v>
                </c:pt>
                <c:pt idx="1">
                  <c:v>SA</c:v>
                </c:pt>
                <c:pt idx="2">
                  <c:v>WA</c:v>
                </c:pt>
                <c:pt idx="3">
                  <c:v>NSW</c:v>
                </c:pt>
                <c:pt idx="4">
                  <c:v>NT</c:v>
                </c:pt>
                <c:pt idx="5">
                  <c:v>Tas</c:v>
                </c:pt>
                <c:pt idx="6">
                  <c:v>Qld</c:v>
                </c:pt>
                <c:pt idx="7">
                  <c:v>Aus Gov</c:v>
                </c:pt>
                <c:pt idx="8">
                  <c:v>Aust</c:v>
                </c:pt>
              </c:strCache>
            </c:strRef>
          </c:cat>
          <c:val>
            <c:numRef>
              <c:f>transport!$L$7:$L$15</c:f>
              <c:numCache>
                <c:formatCode>0.0</c:formatCode>
                <c:ptCount val="9"/>
                <c:pt idx="0">
                  <c:v>8.6884567645841955</c:v>
                </c:pt>
                <c:pt idx="1">
                  <c:v>9.1856886970100575</c:v>
                </c:pt>
                <c:pt idx="2">
                  <c:v>5.997291545753531</c:v>
                </c:pt>
                <c:pt idx="3">
                  <c:v>7.454103396567036</c:v>
                </c:pt>
                <c:pt idx="4">
                  <c:v>7.7750828825684817</c:v>
                </c:pt>
                <c:pt idx="5">
                  <c:v>7.7690016832836983</c:v>
                </c:pt>
                <c:pt idx="6">
                  <c:v>6.6321874049285059</c:v>
                </c:pt>
                <c:pt idx="7">
                  <c:v>3.4834976678278324</c:v>
                </c:pt>
                <c:pt idx="8">
                  <c:v>7.4789408656926968</c:v>
                </c:pt>
              </c:numCache>
            </c:numRef>
          </c:val>
        </c:ser>
        <c:ser>
          <c:idx val="2"/>
          <c:order val="2"/>
          <c:tx>
            <c:strRef>
              <c:f>transport!$M$6</c:f>
              <c:strCache>
                <c:ptCount val="1"/>
                <c:pt idx="0">
                  <c:v>2009–10</c:v>
                </c:pt>
              </c:strCache>
            </c:strRef>
          </c:tx>
          <c:spPr>
            <a:solidFill>
              <a:srgbClr val="E46C0A"/>
            </a:solidFill>
          </c:spPr>
          <c:invertIfNegative val="0"/>
          <c:cat>
            <c:strRef>
              <c:f>transport!$J$7:$J$15</c:f>
              <c:strCache>
                <c:ptCount val="9"/>
                <c:pt idx="0">
                  <c:v>Vic</c:v>
                </c:pt>
                <c:pt idx="1">
                  <c:v>SA</c:v>
                </c:pt>
                <c:pt idx="2">
                  <c:v>WA</c:v>
                </c:pt>
                <c:pt idx="3">
                  <c:v>NSW</c:v>
                </c:pt>
                <c:pt idx="4">
                  <c:v>NT</c:v>
                </c:pt>
                <c:pt idx="5">
                  <c:v>Tas</c:v>
                </c:pt>
                <c:pt idx="6">
                  <c:v>Qld</c:v>
                </c:pt>
                <c:pt idx="7">
                  <c:v>Aus Gov</c:v>
                </c:pt>
                <c:pt idx="8">
                  <c:v>Aust</c:v>
                </c:pt>
              </c:strCache>
            </c:strRef>
          </c:cat>
          <c:val>
            <c:numRef>
              <c:f>transport!$M$7:$M$15</c:f>
              <c:numCache>
                <c:formatCode>0.0</c:formatCode>
                <c:ptCount val="9"/>
                <c:pt idx="0">
                  <c:v>9.205553646854348</c:v>
                </c:pt>
                <c:pt idx="1">
                  <c:v>7.4201898188093187</c:v>
                </c:pt>
                <c:pt idx="2">
                  <c:v>6.0974247872601799</c:v>
                </c:pt>
                <c:pt idx="3">
                  <c:v>6.9581534997185219</c:v>
                </c:pt>
                <c:pt idx="4">
                  <c:v>7.9188528597034358</c:v>
                </c:pt>
                <c:pt idx="5">
                  <c:v>6.1110388766090233</c:v>
                </c:pt>
                <c:pt idx="6">
                  <c:v>5.9928254906098335</c:v>
                </c:pt>
                <c:pt idx="7">
                  <c:v>2.8121155310797352</c:v>
                </c:pt>
                <c:pt idx="8">
                  <c:v>7.2042456581115806</c:v>
                </c:pt>
              </c:numCache>
            </c:numRef>
          </c:val>
        </c:ser>
        <c:ser>
          <c:idx val="3"/>
          <c:order val="3"/>
          <c:tx>
            <c:strRef>
              <c:f>transport!$N$6</c:f>
              <c:strCache>
                <c:ptCount val="1"/>
                <c:pt idx="0">
                  <c:v>2010–11</c:v>
                </c:pt>
              </c:strCache>
            </c:strRef>
          </c:tx>
          <c:spPr>
            <a:solidFill>
              <a:srgbClr val="00B050"/>
            </a:solidFill>
          </c:spPr>
          <c:invertIfNegative val="0"/>
          <c:cat>
            <c:strRef>
              <c:f>transport!$J$7:$J$15</c:f>
              <c:strCache>
                <c:ptCount val="9"/>
                <c:pt idx="0">
                  <c:v>Vic</c:v>
                </c:pt>
                <c:pt idx="1">
                  <c:v>SA</c:v>
                </c:pt>
                <c:pt idx="2">
                  <c:v>WA</c:v>
                </c:pt>
                <c:pt idx="3">
                  <c:v>NSW</c:v>
                </c:pt>
                <c:pt idx="4">
                  <c:v>NT</c:v>
                </c:pt>
                <c:pt idx="5">
                  <c:v>Tas</c:v>
                </c:pt>
                <c:pt idx="6">
                  <c:v>Qld</c:v>
                </c:pt>
                <c:pt idx="7">
                  <c:v>Aus Gov</c:v>
                </c:pt>
                <c:pt idx="8">
                  <c:v>Aust</c:v>
                </c:pt>
              </c:strCache>
            </c:strRef>
          </c:cat>
          <c:val>
            <c:numRef>
              <c:f>transport!$N$7:$N$15</c:f>
              <c:numCache>
                <c:formatCode>0.0</c:formatCode>
                <c:ptCount val="9"/>
                <c:pt idx="0">
                  <c:v>9.1166998152429599</c:v>
                </c:pt>
                <c:pt idx="1">
                  <c:v>7.0608251807741382</c:v>
                </c:pt>
                <c:pt idx="2">
                  <c:v>6.656618939964833</c:v>
                </c:pt>
                <c:pt idx="3">
                  <c:v>6.5815444020986291</c:v>
                </c:pt>
                <c:pt idx="4">
                  <c:v>6.1619213214518584</c:v>
                </c:pt>
                <c:pt idx="5">
                  <c:v>5.9841290490438404</c:v>
                </c:pt>
                <c:pt idx="6">
                  <c:v>5.653911469508536</c:v>
                </c:pt>
                <c:pt idx="7">
                  <c:v>2.5489451705623947</c:v>
                </c:pt>
                <c:pt idx="8">
                  <c:v>6.936454719825571</c:v>
                </c:pt>
              </c:numCache>
            </c:numRef>
          </c:val>
        </c:ser>
        <c:ser>
          <c:idx val="4"/>
          <c:order val="4"/>
          <c:tx>
            <c:strRef>
              <c:f>transport!$O$6</c:f>
              <c:strCache>
                <c:ptCount val="1"/>
                <c:pt idx="0">
                  <c:v>2011–12p</c:v>
                </c:pt>
              </c:strCache>
            </c:strRef>
          </c:tx>
          <c:spPr>
            <a:solidFill>
              <a:schemeClr val="tx1"/>
            </a:solidFill>
          </c:spPr>
          <c:invertIfNegative val="0"/>
          <c:cat>
            <c:strRef>
              <c:f>transport!$J$7:$J$15</c:f>
              <c:strCache>
                <c:ptCount val="9"/>
                <c:pt idx="0">
                  <c:v>Vic</c:v>
                </c:pt>
                <c:pt idx="1">
                  <c:v>SA</c:v>
                </c:pt>
                <c:pt idx="2">
                  <c:v>WA</c:v>
                </c:pt>
                <c:pt idx="3">
                  <c:v>NSW</c:v>
                </c:pt>
                <c:pt idx="4">
                  <c:v>NT</c:v>
                </c:pt>
                <c:pt idx="5">
                  <c:v>Tas</c:v>
                </c:pt>
                <c:pt idx="6">
                  <c:v>Qld</c:v>
                </c:pt>
                <c:pt idx="7">
                  <c:v>Aus Gov</c:v>
                </c:pt>
                <c:pt idx="8">
                  <c:v>Aust</c:v>
                </c:pt>
              </c:strCache>
            </c:strRef>
          </c:cat>
          <c:val>
            <c:numRef>
              <c:f>transport!$O$7:$O$15</c:f>
              <c:numCache>
                <c:formatCode>0.0</c:formatCode>
                <c:ptCount val="9"/>
                <c:pt idx="0">
                  <c:v>6.4290070181603944</c:v>
                </c:pt>
                <c:pt idx="1">
                  <c:v>6.1125769569041335</c:v>
                </c:pt>
                <c:pt idx="2">
                  <c:v>8.7773171605506946</c:v>
                </c:pt>
                <c:pt idx="3">
                  <c:v>5.4169666384751416</c:v>
                </c:pt>
                <c:pt idx="4">
                  <c:v>3.5024359578815019</c:v>
                </c:pt>
                <c:pt idx="5">
                  <c:v>7.1568902610159979</c:v>
                </c:pt>
                <c:pt idx="6">
                  <c:v>6.0947818068113158</c:v>
                </c:pt>
                <c:pt idx="7">
                  <c:v>2.6428978597709487</c:v>
                </c:pt>
                <c:pt idx="8">
                  <c:v>6.1820051484531744</c:v>
                </c:pt>
              </c:numCache>
            </c:numRef>
          </c:val>
        </c:ser>
        <c:dLbls>
          <c:showLegendKey val="0"/>
          <c:showVal val="0"/>
          <c:showCatName val="0"/>
          <c:showSerName val="0"/>
          <c:showPercent val="0"/>
          <c:showBubbleSize val="0"/>
        </c:dLbls>
        <c:gapWidth val="150"/>
        <c:axId val="82540032"/>
        <c:axId val="82541568"/>
      </c:barChart>
      <c:catAx>
        <c:axId val="82540032"/>
        <c:scaling>
          <c:orientation val="minMax"/>
        </c:scaling>
        <c:delete val="0"/>
        <c:axPos val="b"/>
        <c:majorTickMark val="none"/>
        <c:minorTickMark val="none"/>
        <c:tickLblPos val="nextTo"/>
        <c:spPr>
          <a:ln w="3175">
            <a:solidFill>
              <a:schemeClr val="tx1"/>
            </a:solidFill>
          </a:ln>
        </c:spPr>
        <c:crossAx val="82541568"/>
        <c:crosses val="autoZero"/>
        <c:auto val="1"/>
        <c:lblAlgn val="ctr"/>
        <c:lblOffset val="100"/>
        <c:noMultiLvlLbl val="0"/>
      </c:catAx>
      <c:valAx>
        <c:axId val="82541568"/>
        <c:scaling>
          <c:orientation val="minMax"/>
        </c:scaling>
        <c:delete val="0"/>
        <c:axPos val="l"/>
        <c:majorGridlines/>
        <c:title>
          <c:tx>
            <c:rich>
              <a:bodyPr rot="-5400000" vert="horz"/>
              <a:lstStyle/>
              <a:p>
                <a:pPr>
                  <a:defRPr/>
                </a:pPr>
                <a:r>
                  <a:rPr lang="en-AU" b="0"/>
                  <a:t>Claims per 1000 employees</a:t>
                </a:r>
              </a:p>
            </c:rich>
          </c:tx>
          <c:layout>
            <c:manualLayout>
              <c:xMode val="edge"/>
              <c:yMode val="edge"/>
              <c:x val="8.3994708994708997E-2"/>
              <c:y val="1.0854700854700855E-2"/>
            </c:manualLayout>
          </c:layout>
          <c:overlay val="0"/>
        </c:title>
        <c:numFmt formatCode="0" sourceLinked="0"/>
        <c:majorTickMark val="none"/>
        <c:minorTickMark val="none"/>
        <c:tickLblPos val="nextTo"/>
        <c:spPr>
          <a:ln w="3175">
            <a:solidFill>
              <a:schemeClr val="tx1"/>
            </a:solidFill>
          </a:ln>
        </c:spPr>
        <c:crossAx val="82540032"/>
        <c:crosses val="autoZero"/>
        <c:crossBetween val="between"/>
        <c:majorUnit val="2"/>
      </c:valAx>
      <c:dTable>
        <c:showHorzBorder val="1"/>
        <c:showVertBorder val="1"/>
        <c:showOutline val="1"/>
        <c:showKeys val="1"/>
        <c:spPr>
          <a:ln>
            <a:noFill/>
          </a:ln>
        </c:spPr>
      </c:dTable>
      <c:spPr>
        <a:ln w="3175">
          <a:solidFill>
            <a:schemeClr val="tx1"/>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0.12658</cdr:x>
      <cdr:y>0.0386</cdr:y>
    </cdr:from>
    <cdr:to>
      <cdr:x>0.14848</cdr:x>
      <cdr:y>0.78835</cdr:y>
    </cdr:to>
    <cdr:sp macro="" textlink="">
      <cdr:nvSpPr>
        <cdr:cNvPr id="3" name="TextBox 8"/>
        <cdr:cNvSpPr txBox="1"/>
      </cdr:nvSpPr>
      <cdr:spPr>
        <a:xfrm xmlns:a="http://schemas.openxmlformats.org/drawingml/2006/main" rot="16200000">
          <a:off x="254777" y="808351"/>
          <a:ext cx="1619460" cy="169506"/>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latin typeface="Arial" pitchFamily="34" charset="0"/>
              <a:cs typeface="Arial" pitchFamily="34" charset="0"/>
            </a:rPr>
            <a:t>Claims per 1000 employees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135</ParentFolderID>
  </documentManagement>
</p:properties>
</file>

<file path=customXml/itemProps1.xml><?xml version="1.0" encoding="utf-8"?>
<ds:datastoreItem xmlns:ds="http://schemas.openxmlformats.org/officeDocument/2006/customXml" ds:itemID="{4F3E20CF-0A44-4F32-91DA-84B52F49B51F}"/>
</file>

<file path=customXml/itemProps2.xml><?xml version="1.0" encoding="utf-8"?>
<ds:datastoreItem xmlns:ds="http://schemas.openxmlformats.org/officeDocument/2006/customXml" ds:itemID="{8F244697-C4ED-41A4-A282-1987C786F3F6}"/>
</file>

<file path=docProps/app.xml><?xml version="1.0" encoding="utf-8"?>
<Properties xmlns="http://schemas.openxmlformats.org/officeDocument/2006/extended-properties" xmlns:vt="http://schemas.openxmlformats.org/officeDocument/2006/docPropsVTypes">
  <Template>4D63CF97.dotm</Template>
  <TotalTime>143</TotalTime>
  <Pages>2</Pages>
  <Words>753</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Storage fact sheet</dc:title>
  <dc:creator>Alison Yardley</dc:creator>
  <cp:lastModifiedBy>Alison Yardley</cp:lastModifiedBy>
  <cp:revision>10</cp:revision>
  <dcterms:created xsi:type="dcterms:W3CDTF">2012-09-10T00:24:00Z</dcterms:created>
  <dcterms:modified xsi:type="dcterms:W3CDTF">2013-11-06T00:41:00Z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