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50D" w:rsidRDefault="008F2553" w:rsidP="0003550D">
      <w:pPr>
        <w:spacing w:after="360" w:line="240" w:lineRule="auto"/>
        <w:rPr>
          <w:rFonts w:cs="Arial"/>
          <w:b/>
          <w:sz w:val="28"/>
          <w:szCs w:val="28"/>
        </w:rPr>
        <w:sectPr w:rsidR="0003550D" w:rsidSect="00834360">
          <w:footerReference w:type="default" r:id="rId9"/>
          <w:pgSz w:w="11906" w:h="16838"/>
          <w:pgMar w:top="1440" w:right="1440" w:bottom="1440" w:left="1440" w:header="709" w:footer="709" w:gutter="0"/>
          <w:pgNumType w:start="1"/>
          <w:cols w:space="708"/>
          <w:titlePg/>
          <w:docGrid w:linePitch="360"/>
        </w:sectPr>
      </w:pPr>
      <w:r w:rsidRPr="0012325D">
        <w:rPr>
          <w:rFonts w:cs="Arial"/>
          <w:b/>
          <w:noProof/>
          <w:sz w:val="28"/>
          <w:szCs w:val="28"/>
        </w:rPr>
        <mc:AlternateContent>
          <mc:Choice Requires="wps">
            <w:drawing>
              <wp:anchor distT="0" distB="0" distL="114300" distR="114300" simplePos="0" relativeHeight="251659264" behindDoc="0" locked="0" layoutInCell="1" allowOverlap="1" wp14:anchorId="26D6CAF3" wp14:editId="1934A1C6">
                <wp:simplePos x="0" y="0"/>
                <wp:positionH relativeFrom="column">
                  <wp:posOffset>1793899</wp:posOffset>
                </wp:positionH>
                <wp:positionV relativeFrom="paragraph">
                  <wp:posOffset>2450034</wp:posOffset>
                </wp:positionV>
                <wp:extent cx="2680379" cy="2659438"/>
                <wp:effectExtent l="0" t="0" r="5715" b="7620"/>
                <wp:wrapNone/>
                <wp:docPr id="12" name="Oval 12"/>
                <wp:cNvGraphicFramePr/>
                <a:graphic xmlns:a="http://schemas.openxmlformats.org/drawingml/2006/main">
                  <a:graphicData uri="http://schemas.microsoft.com/office/word/2010/wordprocessingShape">
                    <wps:wsp>
                      <wps:cNvSpPr/>
                      <wps:spPr>
                        <a:xfrm>
                          <a:off x="0" y="0"/>
                          <a:ext cx="2680379" cy="2659438"/>
                        </a:xfrm>
                        <a:prstGeom prst="ellipse">
                          <a:avLst/>
                        </a:prstGeom>
                        <a:solidFill>
                          <a:srgbClr val="FFC000">
                            <a:alpha val="1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 o:spid="_x0000_s1026" style="position:absolute;margin-left:141.25pt;margin-top:192.9pt;width:211.05pt;height:20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" fillcolor="#ffc000" stroked="f" strokeweight="2pt">
                <v:fill opacity="9252f"/>
              </v:oval>
            </w:pict>
          </mc:Fallback>
        </mc:AlternateContent>
      </w:r>
      <w:r w:rsidR="0000128E">
        <w:rPr>
          <w:rFonts w:cs="Arial"/>
          <w:b/>
          <w:noProof/>
          <w:sz w:val="28"/>
          <w:szCs w:val="28"/>
        </w:rPr>
        <w:drawing>
          <wp:inline distT="0" distB="0" distL="0" distR="0" wp14:anchorId="132EE613" wp14:editId="093D22C6">
            <wp:extent cx="5839742" cy="8254516"/>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Workplace Barometer Cover_1.jpg"/>
                    <pic:cNvPicPr/>
                  </pic:nvPicPr>
                  <pic:blipFill>
                    <a:blip r:embed="rId10">
                      <a:extLst>
                        <a:ext uri="{28A0092B-C50C-407E-A947-70E740481C1C}">
                          <a14:useLocalDpi xmlns:a14="http://schemas.microsoft.com/office/drawing/2010/main" val="0"/>
                        </a:ext>
                      </a:extLst>
                    </a:blip>
                    <a:stretch>
                      <a:fillRect/>
                    </a:stretch>
                  </pic:blipFill>
                  <pic:spPr>
                    <a:xfrm>
                      <a:off x="0" y="0"/>
                      <a:ext cx="5839742" cy="8254516"/>
                    </a:xfrm>
                    <a:prstGeom prst="rect">
                      <a:avLst/>
                    </a:prstGeom>
                  </pic:spPr>
                </pic:pic>
              </a:graphicData>
            </a:graphic>
          </wp:inline>
        </w:drawing>
      </w:r>
    </w:p>
    <w:p w:rsidR="007A4863" w:rsidRPr="0003550D" w:rsidRDefault="007A4863" w:rsidP="0003550D">
      <w:pPr>
        <w:pStyle w:val="Title"/>
      </w:pPr>
      <w:r w:rsidRPr="0003550D">
        <w:lastRenderedPageBreak/>
        <w:t xml:space="preserve">The Australian Workplace Barometer: Report on psychosocial safety climate and worker health </w:t>
      </w:r>
      <w:r w:rsidR="00A13505" w:rsidRPr="0003550D">
        <w:br/>
      </w:r>
      <w:r w:rsidRPr="0003550D">
        <w:t>in Australia</w:t>
      </w:r>
    </w:p>
    <w:p w:rsidR="007A4863" w:rsidRPr="00AB452D" w:rsidRDefault="007A4863" w:rsidP="00AB452D">
      <w:pPr>
        <w:jc w:val="center"/>
        <w:rPr>
          <w:rStyle w:val="Strong"/>
        </w:rPr>
      </w:pPr>
      <w:bookmarkStart w:id="0" w:name="_Toc341951317"/>
      <w:r w:rsidRPr="00AB452D">
        <w:rPr>
          <w:rStyle w:val="Strong"/>
        </w:rPr>
        <w:t>Prepared by</w:t>
      </w:r>
      <w:bookmarkEnd w:id="0"/>
    </w:p>
    <w:p w:rsidR="007A4863" w:rsidRPr="00AB452D" w:rsidRDefault="007A4863" w:rsidP="00AB452D">
      <w:pPr>
        <w:jc w:val="center"/>
        <w:rPr>
          <w:rStyle w:val="Strong"/>
        </w:rPr>
      </w:pPr>
      <w:bookmarkStart w:id="1" w:name="_Toc341951318"/>
      <w:r w:rsidRPr="00AB452D">
        <w:rPr>
          <w:rStyle w:val="Strong"/>
        </w:rPr>
        <w:t>Prof Maureen Dollard, Tessa Bailey, Dr Sarven M</w:t>
      </w:r>
      <w:r w:rsidR="005876C6">
        <w:rPr>
          <w:rStyle w:val="Strong"/>
        </w:rPr>
        <w:t>cLinton, Penelope Richards, Wes </w:t>
      </w:r>
      <w:r w:rsidRPr="00AB452D">
        <w:rPr>
          <w:rStyle w:val="Strong"/>
        </w:rPr>
        <w:t>McTernan, Assoc Prof</w:t>
      </w:r>
      <w:r w:rsidR="00896D89" w:rsidRPr="00AB452D">
        <w:rPr>
          <w:rStyle w:val="Strong"/>
        </w:rPr>
        <w:t xml:space="preserve"> Anne Taylor and</w:t>
      </w:r>
      <w:r w:rsidRPr="00AB452D">
        <w:rPr>
          <w:rStyle w:val="Strong"/>
        </w:rPr>
        <w:t xml:space="preserve"> Stephanie</w:t>
      </w:r>
      <w:r w:rsidR="005876C6">
        <w:rPr>
          <w:rStyle w:val="Strong"/>
        </w:rPr>
        <w:t xml:space="preserve"> </w:t>
      </w:r>
      <w:r w:rsidRPr="00AB452D">
        <w:rPr>
          <w:rStyle w:val="Strong"/>
        </w:rPr>
        <w:t>Bond</w:t>
      </w:r>
      <w:bookmarkEnd w:id="1"/>
    </w:p>
    <w:p w:rsidR="00D8293B" w:rsidRPr="00AB452D" w:rsidRDefault="00D8293B" w:rsidP="00AB452D">
      <w:pPr>
        <w:jc w:val="center"/>
        <w:rPr>
          <w:rStyle w:val="Strong"/>
        </w:rPr>
      </w:pPr>
    </w:p>
    <w:p w:rsidR="007A4863" w:rsidRPr="00AB452D" w:rsidRDefault="007A4863" w:rsidP="00AB452D">
      <w:pPr>
        <w:jc w:val="center"/>
        <w:rPr>
          <w:rStyle w:val="Strong"/>
        </w:rPr>
      </w:pPr>
      <w:bookmarkStart w:id="2" w:name="_Toc341951319"/>
      <w:r w:rsidRPr="00AB452D">
        <w:rPr>
          <w:rStyle w:val="Strong"/>
        </w:rPr>
        <w:t>University of South Australia</w:t>
      </w:r>
      <w:bookmarkEnd w:id="2"/>
    </w:p>
    <w:p w:rsidR="007A4863" w:rsidRPr="00AB452D" w:rsidRDefault="007A4863" w:rsidP="00AB452D">
      <w:pPr>
        <w:jc w:val="center"/>
        <w:rPr>
          <w:rStyle w:val="Strong"/>
        </w:rPr>
      </w:pPr>
      <w:bookmarkStart w:id="3" w:name="_Toc341951320"/>
      <w:r w:rsidRPr="00AB452D">
        <w:rPr>
          <w:rStyle w:val="Strong"/>
        </w:rPr>
        <w:t>Centre for Applied Psychological Research</w:t>
      </w:r>
      <w:bookmarkEnd w:id="3"/>
    </w:p>
    <w:p w:rsidR="00CA56CA" w:rsidRPr="00AB452D" w:rsidRDefault="00CA56CA" w:rsidP="00AB452D">
      <w:pPr>
        <w:jc w:val="center"/>
        <w:rPr>
          <w:rStyle w:val="Strong"/>
        </w:rPr>
      </w:pPr>
      <w:r w:rsidRPr="00AB452D">
        <w:rPr>
          <w:rStyle w:val="Strong"/>
        </w:rPr>
        <w:t>Magill Campus</w:t>
      </w:r>
      <w:r w:rsidR="002236EB" w:rsidRPr="00AB452D">
        <w:rPr>
          <w:rStyle w:val="Strong"/>
        </w:rPr>
        <w:t xml:space="preserve">, </w:t>
      </w:r>
      <w:r w:rsidRPr="00AB452D">
        <w:rPr>
          <w:rStyle w:val="Strong"/>
        </w:rPr>
        <w:t>St Bernards Road</w:t>
      </w:r>
    </w:p>
    <w:p w:rsidR="00CA56CA" w:rsidRPr="00AB452D" w:rsidRDefault="00CA56CA" w:rsidP="00AB452D">
      <w:pPr>
        <w:jc w:val="center"/>
        <w:rPr>
          <w:rStyle w:val="Strong"/>
        </w:rPr>
      </w:pPr>
      <w:r w:rsidRPr="00AB452D">
        <w:rPr>
          <w:rStyle w:val="Strong"/>
        </w:rPr>
        <w:t>Magill SA 5072</w:t>
      </w:r>
    </w:p>
    <w:p w:rsidR="007A4863" w:rsidRDefault="007A4863">
      <w:pPr>
        <w:spacing w:after="0" w:line="240" w:lineRule="auto"/>
        <w:rPr>
          <w:rFonts w:cs="Arial"/>
          <w:b/>
          <w:sz w:val="28"/>
          <w:szCs w:val="28"/>
        </w:rPr>
      </w:pPr>
      <w:r>
        <w:rPr>
          <w:rFonts w:cs="Arial"/>
          <w:b/>
          <w:sz w:val="28"/>
          <w:szCs w:val="28"/>
        </w:rPr>
        <w:br w:type="page"/>
      </w:r>
    </w:p>
    <w:p w:rsidR="00CA56CA" w:rsidRPr="007C7763" w:rsidRDefault="00CA56CA" w:rsidP="00CA56CA">
      <w:pPr>
        <w:rPr>
          <w:rStyle w:val="Strong"/>
        </w:rPr>
      </w:pPr>
      <w:r w:rsidRPr="007C7763">
        <w:rPr>
          <w:rStyle w:val="Strong"/>
        </w:rPr>
        <w:lastRenderedPageBreak/>
        <w:t>Disclaimer</w:t>
      </w:r>
    </w:p>
    <w:p w:rsidR="00CA56CA" w:rsidRPr="0036740E" w:rsidRDefault="00CA56CA" w:rsidP="00CA56CA">
      <w:r w:rsidRPr="0036740E">
        <w:t>The information provided in this document can only assist you in the most general way. This document does not replace any statutory r</w:t>
      </w:r>
      <w:r w:rsidR="00FD62AB">
        <w:t>equirements under any relevant State and Territory l</w:t>
      </w:r>
      <w:r w:rsidR="00E64627">
        <w:t xml:space="preserve">egislation. </w:t>
      </w:r>
      <w:r w:rsidRPr="0036740E">
        <w:t>Safe Work Australia is not liable for any loss resulting from any action taken or reliance made by you on the information or material contained on this document. Before relying on the material, users should carefully make their own assessment as to its accuracy, currency, completeness and relevance for their purposes, and should obtain any appropriate professional advice relevant to their particular circumstances. The views in this report should not be taken to represent the views of Safe Work Australia unless otherwise expressly stated.</w:t>
      </w:r>
    </w:p>
    <w:p w:rsidR="00CA56CA" w:rsidRPr="00B449EE" w:rsidRDefault="00CA56CA" w:rsidP="00CA56CA">
      <w:pPr>
        <w:rPr>
          <w:rStyle w:val="Strong"/>
        </w:rPr>
      </w:pPr>
      <w:r w:rsidRPr="00B449EE">
        <w:rPr>
          <w:rStyle w:val="Strong"/>
        </w:rPr>
        <w:t>Creative Commons</w:t>
      </w:r>
    </w:p>
    <w:p w:rsidR="00CA56CA" w:rsidRPr="007B3FAC" w:rsidRDefault="00CA56CA" w:rsidP="00CA56CA">
      <w:r>
        <w:rPr>
          <w:noProof/>
        </w:rPr>
        <w:drawing>
          <wp:inline distT="0" distB="0" distL="0" distR="0" wp14:anchorId="1C42E212" wp14:editId="4CE7961E">
            <wp:extent cx="1527175" cy="534670"/>
            <wp:effectExtent l="0" t="0" r="0" b="0"/>
            <wp:docPr id="27" name="Picture 27" descr="Creative commons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reative commons CC By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7175" cy="534670"/>
                    </a:xfrm>
                    <a:prstGeom prst="rect">
                      <a:avLst/>
                    </a:prstGeom>
                    <a:noFill/>
                    <a:ln>
                      <a:noFill/>
                    </a:ln>
                  </pic:spPr>
                </pic:pic>
              </a:graphicData>
            </a:graphic>
          </wp:inline>
        </w:drawing>
      </w:r>
    </w:p>
    <w:p w:rsidR="00CA56CA" w:rsidRPr="00B449EE" w:rsidRDefault="00CA56CA" w:rsidP="00CA56CA">
      <w:r w:rsidRPr="00B449EE">
        <w:t xml:space="preserve">With the exception of the Safe Work Australia logo, this report is licensed by Safe Work Australia under a Creative Commons 3.0 Australia Licence. To view a copy of this licence, visit http://creativecommons.org/licenses/by/3.0/au/deed.en </w:t>
      </w:r>
    </w:p>
    <w:p w:rsidR="00CA56CA" w:rsidRPr="007A4863" w:rsidRDefault="00CA56CA" w:rsidP="00CA56CA">
      <w:pPr>
        <w:rPr>
          <w:rFonts w:cs="Arial"/>
          <w:b/>
        </w:rPr>
      </w:pPr>
      <w:r w:rsidRPr="00B449EE">
        <w:t xml:space="preserve">In essence, you are free to copy, communicate and adapt the work, as long as you attribute the work to Safe Work Australia and abide by the other licensing terms. The report should be attributed as </w:t>
      </w:r>
      <w:r w:rsidRPr="00272FAB">
        <w:rPr>
          <w:rFonts w:cs="Arial"/>
        </w:rPr>
        <w:t>The Australian Workplace Barometer: Report on psychosocial safety climate and worker health in Australia</w:t>
      </w:r>
      <w:r>
        <w:rPr>
          <w:rFonts w:cs="Arial"/>
        </w:rPr>
        <w:t>.</w:t>
      </w:r>
    </w:p>
    <w:p w:rsidR="00CA56CA" w:rsidRPr="00B449EE" w:rsidRDefault="00CA56CA" w:rsidP="00CA56CA">
      <w:r w:rsidRPr="00B449EE">
        <w:t xml:space="preserve">Enquiries regarding the licence and any use of the report are welcome at: </w:t>
      </w:r>
    </w:p>
    <w:p w:rsidR="00CA56CA" w:rsidRPr="00B449EE" w:rsidRDefault="00CA56CA" w:rsidP="00CA56CA">
      <w:pPr>
        <w:spacing w:after="0"/>
      </w:pPr>
      <w:r w:rsidRPr="00B449EE">
        <w:t xml:space="preserve">Copyright Officer </w:t>
      </w:r>
    </w:p>
    <w:p w:rsidR="00CA56CA" w:rsidRPr="00B449EE" w:rsidRDefault="00CA56CA" w:rsidP="00CA56CA">
      <w:pPr>
        <w:spacing w:after="0"/>
      </w:pPr>
      <w:r w:rsidRPr="00B449EE">
        <w:t xml:space="preserve">Safe Work Australia </w:t>
      </w:r>
    </w:p>
    <w:p w:rsidR="00CA56CA" w:rsidRPr="00B449EE" w:rsidRDefault="00CA56CA" w:rsidP="00CA56CA">
      <w:pPr>
        <w:spacing w:after="0"/>
      </w:pPr>
      <w:r w:rsidRPr="00B449EE">
        <w:t xml:space="preserve">GPO Box 641 Canberra ACT 2601 </w:t>
      </w:r>
    </w:p>
    <w:p w:rsidR="00CA56CA" w:rsidRPr="00B449EE" w:rsidRDefault="00CA56CA" w:rsidP="00CA56CA">
      <w:r w:rsidRPr="00B449EE">
        <w:t xml:space="preserve">Email: </w:t>
      </w:r>
      <w:hyperlink r:id="rId12" w:history="1">
        <w:r w:rsidRPr="00A33BD9">
          <w:rPr>
            <w:rStyle w:val="Hyperlink"/>
          </w:rPr>
          <w:t>copyrightrequests@safeworkaustralia.gov.au</w:t>
        </w:r>
      </w:hyperlink>
    </w:p>
    <w:p w:rsidR="00CA56CA" w:rsidRPr="00B449EE" w:rsidRDefault="00CA56CA" w:rsidP="00CA56CA">
      <w:r w:rsidRPr="00B449EE">
        <w:t xml:space="preserve">ISBN </w:t>
      </w:r>
      <w:r w:rsidR="00960272">
        <w:t xml:space="preserve">978 0 642 78607 4 </w:t>
      </w:r>
      <w:r w:rsidRPr="00B449EE">
        <w:t>[</w:t>
      </w:r>
      <w:r w:rsidR="00960272">
        <w:t xml:space="preserve">Online </w:t>
      </w:r>
      <w:r w:rsidRPr="00B449EE">
        <w:t>PDF]</w:t>
      </w:r>
    </w:p>
    <w:p w:rsidR="00AB452D" w:rsidRDefault="00CA56CA" w:rsidP="00CA56CA">
      <w:r w:rsidRPr="00B449EE">
        <w:t xml:space="preserve">ISBN </w:t>
      </w:r>
      <w:r w:rsidR="00960272">
        <w:t xml:space="preserve">978 0 642 78608 1 </w:t>
      </w:r>
      <w:r w:rsidRPr="00B449EE">
        <w:t>[</w:t>
      </w:r>
      <w:r w:rsidR="00960272">
        <w:t xml:space="preserve">Online </w:t>
      </w:r>
      <w:r w:rsidRPr="00B449EE">
        <w:t>RTF]</w:t>
      </w:r>
    </w:p>
    <w:p w:rsidR="00CA56CA" w:rsidRDefault="00CA56CA" w:rsidP="00AB452D">
      <w:pPr>
        <w:spacing w:after="0" w:line="240" w:lineRule="auto"/>
      </w:pPr>
    </w:p>
    <w:p w:rsidR="00CA56CA" w:rsidRDefault="00CA56CA">
      <w:pPr>
        <w:spacing w:after="0" w:line="240" w:lineRule="auto"/>
        <w:rPr>
          <w:rFonts w:cs="Arial"/>
          <w:b/>
          <w:sz w:val="28"/>
          <w:szCs w:val="28"/>
        </w:rPr>
      </w:pPr>
    </w:p>
    <w:p w:rsidR="0076164D" w:rsidRPr="00723A04" w:rsidRDefault="0076164D" w:rsidP="00723A04">
      <w:pPr>
        <w:pStyle w:val="Heading1"/>
      </w:pPr>
      <w:bookmarkStart w:id="4" w:name="_Toc302735251"/>
      <w:bookmarkStart w:id="5" w:name="_Toc311185173"/>
      <w:bookmarkStart w:id="6" w:name="_Toc311185219"/>
      <w:bookmarkStart w:id="7" w:name="_Toc315101959"/>
      <w:bookmarkStart w:id="8" w:name="_Toc316890970"/>
      <w:bookmarkStart w:id="9" w:name="_Toc317753982"/>
      <w:bookmarkStart w:id="10" w:name="_Toc317756802"/>
      <w:bookmarkStart w:id="11" w:name="_Toc324855797"/>
      <w:bookmarkStart w:id="12" w:name="_Toc324856719"/>
      <w:bookmarkStart w:id="13" w:name="_Toc324856949"/>
      <w:bookmarkStart w:id="14" w:name="_Toc325374170"/>
      <w:bookmarkStart w:id="15" w:name="_Toc328750118"/>
      <w:bookmarkStart w:id="16" w:name="_Toc328750315"/>
      <w:bookmarkStart w:id="17" w:name="_Toc335386659"/>
      <w:bookmarkStart w:id="18" w:name="_Toc339537918"/>
      <w:bookmarkStart w:id="19" w:name="_Toc341951321"/>
      <w:bookmarkStart w:id="20" w:name="_Toc343502405"/>
      <w:r w:rsidRPr="00723A04">
        <w:lastRenderedPageBreak/>
        <w:t>Table of Contents</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723A04">
        <w:tab/>
      </w:r>
    </w:p>
    <w:p w:rsidR="005876C6" w:rsidRDefault="007E700B" w:rsidP="00990B0A">
      <w:pPr>
        <w:pStyle w:val="TOC3"/>
        <w:rPr>
          <w:rFonts w:asciiTheme="minorHAnsi" w:eastAsiaTheme="minorEastAsia" w:hAnsiTheme="minorHAnsi" w:cstheme="minorBidi"/>
          <w:noProof/>
          <w:color w:val="auto"/>
          <w:szCs w:val="22"/>
        </w:rPr>
      </w:pPr>
      <w:r w:rsidRPr="00723A04">
        <w:rPr>
          <w:noProof/>
        </w:rPr>
        <w:fldChar w:fldCharType="begin"/>
      </w:r>
      <w:r w:rsidR="0076164D" w:rsidRPr="00723A04">
        <w:instrText xml:space="preserve"> TOC \o "1-3" \h \z \u </w:instrText>
      </w:r>
      <w:r w:rsidRPr="00723A04">
        <w:rPr>
          <w:noProof/>
        </w:rPr>
        <w:fldChar w:fldCharType="separate"/>
      </w:r>
      <w:hyperlink w:anchor="_Toc343502406" w:history="1">
        <w:r w:rsidR="005876C6" w:rsidRPr="000B1861">
          <w:rPr>
            <w:rStyle w:val="Hyperlink"/>
            <w:noProof/>
          </w:rPr>
          <w:t>Foreword</w:t>
        </w:r>
        <w:r w:rsidR="005876C6">
          <w:rPr>
            <w:noProof/>
            <w:webHidden/>
          </w:rPr>
          <w:tab/>
        </w:r>
        <w:r w:rsidR="005876C6">
          <w:rPr>
            <w:noProof/>
            <w:webHidden/>
          </w:rPr>
          <w:fldChar w:fldCharType="begin"/>
        </w:r>
        <w:r w:rsidR="005876C6">
          <w:rPr>
            <w:noProof/>
            <w:webHidden/>
          </w:rPr>
          <w:instrText xml:space="preserve"> PAGEREF _Toc343502406 \h </w:instrText>
        </w:r>
        <w:r w:rsidR="005876C6">
          <w:rPr>
            <w:noProof/>
            <w:webHidden/>
          </w:rPr>
        </w:r>
        <w:r w:rsidR="005876C6">
          <w:rPr>
            <w:webHidden/>
          </w:rPr>
          <w:fldChar w:fldCharType="separate"/>
        </w:r>
        <w:r w:rsidR="005876C6">
          <w:rPr>
            <w:noProof/>
            <w:webHidden/>
          </w:rPr>
          <w:t>7</w:t>
        </w:r>
        <w:r w:rsidR="005876C6">
          <w:rPr>
            <w:noProof/>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07" w:history="1">
        <w:r w:rsidR="005876C6" w:rsidRPr="000B1861">
          <w:rPr>
            <w:rStyle w:val="Hyperlink"/>
          </w:rPr>
          <w:t>Executive summary</w:t>
        </w:r>
        <w:r w:rsidR="005876C6">
          <w:rPr>
            <w:webHidden/>
          </w:rPr>
          <w:tab/>
        </w:r>
        <w:r w:rsidR="005876C6" w:rsidRPr="00990B0A">
          <w:rPr>
            <w:webHidden/>
          </w:rPr>
          <w:fldChar w:fldCharType="begin"/>
        </w:r>
        <w:r w:rsidR="005876C6" w:rsidRPr="00990B0A">
          <w:rPr>
            <w:webHidden/>
          </w:rPr>
          <w:instrText xml:space="preserve"> PAGEREF _Toc343502407 \h </w:instrText>
        </w:r>
        <w:r w:rsidR="005876C6" w:rsidRPr="00990B0A">
          <w:rPr>
            <w:webHidden/>
          </w:rPr>
        </w:r>
        <w:r w:rsidR="005876C6" w:rsidRPr="00990B0A">
          <w:rPr>
            <w:webHidden/>
          </w:rPr>
          <w:fldChar w:fldCharType="separate"/>
        </w:r>
        <w:r w:rsidR="005876C6" w:rsidRPr="00990B0A">
          <w:rPr>
            <w:webHidden/>
          </w:rPr>
          <w:t>8</w:t>
        </w:r>
        <w:r w:rsidR="005876C6" w:rsidRPr="00990B0A">
          <w:rPr>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08" w:history="1">
        <w:r w:rsidR="005876C6" w:rsidRPr="000B1861">
          <w:rPr>
            <w:rStyle w:val="Hyperlink"/>
          </w:rPr>
          <w:t>Introduction</w:t>
        </w:r>
        <w:r w:rsidR="005876C6">
          <w:rPr>
            <w:webHidden/>
          </w:rPr>
          <w:tab/>
        </w:r>
        <w:r w:rsidR="005876C6">
          <w:rPr>
            <w:webHidden/>
          </w:rPr>
          <w:fldChar w:fldCharType="begin"/>
        </w:r>
        <w:r w:rsidR="005876C6">
          <w:rPr>
            <w:webHidden/>
          </w:rPr>
          <w:instrText xml:space="preserve"> PAGEREF _Toc343502408 \h </w:instrText>
        </w:r>
        <w:r w:rsidR="005876C6">
          <w:rPr>
            <w:webHidden/>
          </w:rPr>
        </w:r>
        <w:r w:rsidR="005876C6">
          <w:rPr>
            <w:webHidden/>
          </w:rPr>
          <w:fldChar w:fldCharType="separate"/>
        </w:r>
        <w:r w:rsidR="005876C6">
          <w:rPr>
            <w:webHidden/>
          </w:rPr>
          <w:t>12</w:t>
        </w:r>
        <w:r w:rsidR="005876C6">
          <w:rPr>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09" w:history="1">
        <w:r w:rsidR="005876C6" w:rsidRPr="000B1861">
          <w:rPr>
            <w:rStyle w:val="Hyperlink"/>
          </w:rPr>
          <w:t>Surveillance Systems</w:t>
        </w:r>
        <w:r w:rsidR="005876C6">
          <w:rPr>
            <w:webHidden/>
          </w:rPr>
          <w:tab/>
        </w:r>
        <w:r w:rsidR="005876C6">
          <w:rPr>
            <w:webHidden/>
          </w:rPr>
          <w:fldChar w:fldCharType="begin"/>
        </w:r>
        <w:r w:rsidR="005876C6">
          <w:rPr>
            <w:webHidden/>
          </w:rPr>
          <w:instrText xml:space="preserve"> PAGEREF _Toc343502409 \h </w:instrText>
        </w:r>
        <w:r w:rsidR="005876C6">
          <w:rPr>
            <w:webHidden/>
          </w:rPr>
        </w:r>
        <w:r w:rsidR="005876C6">
          <w:rPr>
            <w:webHidden/>
          </w:rPr>
          <w:fldChar w:fldCharType="separate"/>
        </w:r>
        <w:r w:rsidR="005876C6">
          <w:rPr>
            <w:webHidden/>
          </w:rPr>
          <w:t>14</w:t>
        </w:r>
        <w:r w:rsidR="005876C6">
          <w:rPr>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10" w:history="1">
        <w:r w:rsidR="005876C6" w:rsidRPr="000B1861">
          <w:rPr>
            <w:rStyle w:val="Hyperlink"/>
          </w:rPr>
          <w:t>The Australian Workplace Barometer Project</w:t>
        </w:r>
        <w:r w:rsidR="005876C6">
          <w:rPr>
            <w:webHidden/>
          </w:rPr>
          <w:tab/>
        </w:r>
        <w:r w:rsidR="005876C6">
          <w:rPr>
            <w:webHidden/>
          </w:rPr>
          <w:fldChar w:fldCharType="begin"/>
        </w:r>
        <w:r w:rsidR="005876C6">
          <w:rPr>
            <w:webHidden/>
          </w:rPr>
          <w:instrText xml:space="preserve"> PAGEREF _Toc343502410 \h </w:instrText>
        </w:r>
        <w:r w:rsidR="005876C6">
          <w:rPr>
            <w:webHidden/>
          </w:rPr>
        </w:r>
        <w:r w:rsidR="005876C6">
          <w:rPr>
            <w:webHidden/>
          </w:rPr>
          <w:fldChar w:fldCharType="separate"/>
        </w:r>
        <w:r w:rsidR="005876C6">
          <w:rPr>
            <w:webHidden/>
          </w:rPr>
          <w:t>16</w:t>
        </w:r>
        <w:r w:rsid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11" w:history="1">
        <w:r w:rsidR="005876C6" w:rsidRPr="000B1861">
          <w:rPr>
            <w:rStyle w:val="Hyperlink"/>
            <w:iCs/>
            <w:noProof/>
          </w:rPr>
          <w:t xml:space="preserve">Theoretical basis of the </w:t>
        </w:r>
        <w:r w:rsidR="005876C6" w:rsidRPr="000B1861">
          <w:rPr>
            <w:rStyle w:val="Hyperlink"/>
            <w:noProof/>
          </w:rPr>
          <w:t>AWB</w:t>
        </w:r>
        <w:r w:rsidR="005876C6">
          <w:rPr>
            <w:noProof/>
            <w:webHidden/>
          </w:rPr>
          <w:tab/>
        </w:r>
        <w:r w:rsidR="005876C6">
          <w:rPr>
            <w:noProof/>
            <w:webHidden/>
          </w:rPr>
          <w:fldChar w:fldCharType="begin"/>
        </w:r>
        <w:r w:rsidR="005876C6">
          <w:rPr>
            <w:noProof/>
            <w:webHidden/>
          </w:rPr>
          <w:instrText xml:space="preserve"> PAGEREF _Toc343502411 \h </w:instrText>
        </w:r>
        <w:r w:rsidR="005876C6">
          <w:rPr>
            <w:noProof/>
            <w:webHidden/>
          </w:rPr>
        </w:r>
        <w:r w:rsidR="005876C6">
          <w:rPr>
            <w:noProof/>
            <w:webHidden/>
          </w:rPr>
          <w:fldChar w:fldCharType="separate"/>
        </w:r>
        <w:r w:rsidR="005876C6">
          <w:rPr>
            <w:noProof/>
            <w:webHidden/>
          </w:rPr>
          <w:t>16</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12" w:history="1">
        <w:r w:rsidR="005876C6" w:rsidRPr="000B1861">
          <w:rPr>
            <w:rStyle w:val="Hyperlink"/>
            <w:noProof/>
          </w:rPr>
          <w:t>Psychosocial safety climate theory</w:t>
        </w:r>
        <w:r w:rsidR="005876C6">
          <w:rPr>
            <w:noProof/>
            <w:webHidden/>
          </w:rPr>
          <w:tab/>
        </w:r>
        <w:r w:rsidR="005876C6">
          <w:rPr>
            <w:noProof/>
            <w:webHidden/>
          </w:rPr>
          <w:fldChar w:fldCharType="begin"/>
        </w:r>
        <w:r w:rsidR="005876C6">
          <w:rPr>
            <w:noProof/>
            <w:webHidden/>
          </w:rPr>
          <w:instrText xml:space="preserve"> PAGEREF _Toc343502412 \h </w:instrText>
        </w:r>
        <w:r w:rsidR="005876C6">
          <w:rPr>
            <w:noProof/>
            <w:webHidden/>
          </w:rPr>
        </w:r>
        <w:r w:rsidR="005876C6">
          <w:rPr>
            <w:noProof/>
            <w:webHidden/>
          </w:rPr>
          <w:fldChar w:fldCharType="separate"/>
        </w:r>
        <w:r w:rsidR="005876C6">
          <w:rPr>
            <w:noProof/>
            <w:webHidden/>
          </w:rPr>
          <w:t>18</w:t>
        </w:r>
        <w:r w:rsidR="005876C6">
          <w:rPr>
            <w:noProof/>
            <w:webHidden/>
          </w:rPr>
          <w:fldChar w:fldCharType="end"/>
        </w:r>
      </w:hyperlink>
    </w:p>
    <w:p w:rsidR="005876C6" w:rsidRDefault="006409D1">
      <w:pPr>
        <w:pStyle w:val="TOC3"/>
        <w:tabs>
          <w:tab w:val="right" w:leader="dot" w:pos="9016"/>
        </w:tabs>
        <w:rPr>
          <w:noProof/>
        </w:rPr>
      </w:pPr>
      <w:hyperlink w:anchor="_Toc343502413" w:history="1">
        <w:r w:rsidR="005876C6" w:rsidRPr="000B1861">
          <w:rPr>
            <w:rStyle w:val="Hyperlink"/>
            <w:noProof/>
          </w:rPr>
          <w:t>Climate features of PSC</w:t>
        </w:r>
        <w:r w:rsidR="005876C6">
          <w:rPr>
            <w:noProof/>
            <w:webHidden/>
          </w:rPr>
          <w:tab/>
        </w:r>
        <w:r w:rsidR="005876C6">
          <w:rPr>
            <w:noProof/>
            <w:webHidden/>
          </w:rPr>
          <w:fldChar w:fldCharType="begin"/>
        </w:r>
        <w:r w:rsidR="005876C6">
          <w:rPr>
            <w:noProof/>
            <w:webHidden/>
          </w:rPr>
          <w:instrText xml:space="preserve"> PAGEREF _Toc343502413 \h </w:instrText>
        </w:r>
        <w:r w:rsidR="005876C6">
          <w:rPr>
            <w:noProof/>
            <w:webHidden/>
          </w:rPr>
        </w:r>
        <w:r w:rsidR="005876C6">
          <w:rPr>
            <w:noProof/>
            <w:webHidden/>
          </w:rPr>
          <w:fldChar w:fldCharType="separate"/>
        </w:r>
        <w:r w:rsidR="005876C6">
          <w:rPr>
            <w:noProof/>
            <w:webHidden/>
          </w:rPr>
          <w:t>18</w:t>
        </w:r>
        <w:r w:rsidR="005876C6">
          <w:rPr>
            <w:noProof/>
            <w:webHidden/>
          </w:rPr>
          <w:fldChar w:fldCharType="end"/>
        </w:r>
      </w:hyperlink>
    </w:p>
    <w:p w:rsidR="005876C6" w:rsidRDefault="006409D1">
      <w:pPr>
        <w:pStyle w:val="TOC3"/>
        <w:tabs>
          <w:tab w:val="right" w:leader="dot" w:pos="9016"/>
        </w:tabs>
        <w:rPr>
          <w:noProof/>
        </w:rPr>
      </w:pPr>
      <w:hyperlink w:anchor="_Toc343502414" w:history="1">
        <w:r w:rsidR="005876C6" w:rsidRPr="000B1861">
          <w:rPr>
            <w:rStyle w:val="Hyperlink"/>
            <w:i/>
            <w:iCs/>
            <w:noProof/>
          </w:rPr>
          <w:t>PSC as a unique construct</w:t>
        </w:r>
        <w:r w:rsidR="005876C6">
          <w:rPr>
            <w:noProof/>
            <w:webHidden/>
          </w:rPr>
          <w:tab/>
        </w:r>
        <w:r w:rsidR="005876C6">
          <w:rPr>
            <w:noProof/>
            <w:webHidden/>
          </w:rPr>
          <w:fldChar w:fldCharType="begin"/>
        </w:r>
        <w:r w:rsidR="005876C6">
          <w:rPr>
            <w:noProof/>
            <w:webHidden/>
          </w:rPr>
          <w:instrText xml:space="preserve"> PAGEREF _Toc343502414 \h </w:instrText>
        </w:r>
        <w:r w:rsidR="005876C6">
          <w:rPr>
            <w:noProof/>
            <w:webHidden/>
          </w:rPr>
        </w:r>
        <w:r w:rsidR="005876C6">
          <w:rPr>
            <w:noProof/>
            <w:webHidden/>
          </w:rPr>
          <w:fldChar w:fldCharType="separate"/>
        </w:r>
        <w:r w:rsidR="005876C6">
          <w:rPr>
            <w:noProof/>
            <w:webHidden/>
          </w:rPr>
          <w:t>19</w:t>
        </w:r>
        <w:r w:rsidR="005876C6">
          <w:rPr>
            <w:noProof/>
            <w:webHidden/>
          </w:rPr>
          <w:fldChar w:fldCharType="end"/>
        </w:r>
      </w:hyperlink>
    </w:p>
    <w:p w:rsidR="005876C6" w:rsidRDefault="006409D1">
      <w:pPr>
        <w:pStyle w:val="TOC3"/>
        <w:tabs>
          <w:tab w:val="right" w:leader="dot" w:pos="9016"/>
        </w:tabs>
        <w:rPr>
          <w:noProof/>
        </w:rPr>
      </w:pPr>
      <w:hyperlink w:anchor="_Toc343502415" w:history="1">
        <w:r w:rsidR="005876C6" w:rsidRPr="000B1861">
          <w:rPr>
            <w:rStyle w:val="Hyperlink"/>
            <w:i/>
            <w:iCs/>
            <w:noProof/>
          </w:rPr>
          <w:t>PSC as a multilevel theory</w:t>
        </w:r>
        <w:r w:rsidR="005876C6">
          <w:rPr>
            <w:noProof/>
            <w:webHidden/>
          </w:rPr>
          <w:tab/>
        </w:r>
        <w:r w:rsidR="005876C6">
          <w:rPr>
            <w:noProof/>
            <w:webHidden/>
          </w:rPr>
          <w:fldChar w:fldCharType="begin"/>
        </w:r>
        <w:r w:rsidR="005876C6">
          <w:rPr>
            <w:noProof/>
            <w:webHidden/>
          </w:rPr>
          <w:instrText xml:space="preserve"> PAGEREF _Toc343502415 \h </w:instrText>
        </w:r>
        <w:r w:rsidR="005876C6">
          <w:rPr>
            <w:noProof/>
            <w:webHidden/>
          </w:rPr>
        </w:r>
        <w:r w:rsidR="005876C6">
          <w:rPr>
            <w:noProof/>
            <w:webHidden/>
          </w:rPr>
          <w:fldChar w:fldCharType="separate"/>
        </w:r>
        <w:r w:rsidR="005876C6">
          <w:rPr>
            <w:noProof/>
            <w:webHidden/>
          </w:rPr>
          <w:t>19</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16" w:history="1">
        <w:r w:rsidR="005876C6" w:rsidRPr="000B1861">
          <w:rPr>
            <w:rStyle w:val="Hyperlink"/>
            <w:noProof/>
          </w:rPr>
          <w:t>Previous PSC Research Evidence</w:t>
        </w:r>
        <w:r w:rsidR="005876C6">
          <w:rPr>
            <w:noProof/>
            <w:webHidden/>
          </w:rPr>
          <w:tab/>
        </w:r>
        <w:r w:rsidR="005876C6">
          <w:rPr>
            <w:noProof/>
            <w:webHidden/>
          </w:rPr>
          <w:fldChar w:fldCharType="begin"/>
        </w:r>
        <w:r w:rsidR="005876C6">
          <w:rPr>
            <w:noProof/>
            <w:webHidden/>
          </w:rPr>
          <w:instrText xml:space="preserve"> PAGEREF _Toc343502416 \h </w:instrText>
        </w:r>
        <w:r w:rsidR="005876C6">
          <w:rPr>
            <w:noProof/>
            <w:webHidden/>
          </w:rPr>
        </w:r>
        <w:r w:rsidR="005876C6">
          <w:rPr>
            <w:noProof/>
            <w:webHidden/>
          </w:rPr>
          <w:fldChar w:fldCharType="separate"/>
        </w:r>
        <w:r w:rsidR="005876C6">
          <w:rPr>
            <w:noProof/>
            <w:webHidden/>
          </w:rPr>
          <w:t>21</w:t>
        </w:r>
        <w:r w:rsidR="005876C6">
          <w:rPr>
            <w:noProof/>
            <w:webHidden/>
          </w:rPr>
          <w:fldChar w:fldCharType="end"/>
        </w:r>
      </w:hyperlink>
    </w:p>
    <w:p w:rsidR="005876C6" w:rsidRDefault="006409D1">
      <w:pPr>
        <w:pStyle w:val="TOC3"/>
        <w:tabs>
          <w:tab w:val="right" w:leader="dot" w:pos="9016"/>
        </w:tabs>
        <w:rPr>
          <w:noProof/>
        </w:rPr>
      </w:pPr>
      <w:hyperlink w:anchor="_Toc343502417" w:history="1">
        <w:r w:rsidR="005876C6" w:rsidRPr="000B1861">
          <w:rPr>
            <w:rStyle w:val="Hyperlink"/>
            <w:i/>
            <w:iCs/>
            <w:noProof/>
          </w:rPr>
          <w:t>PSC interacts with work conditions</w:t>
        </w:r>
        <w:r w:rsidR="005876C6">
          <w:rPr>
            <w:noProof/>
            <w:webHidden/>
          </w:rPr>
          <w:tab/>
        </w:r>
        <w:r w:rsidR="005876C6">
          <w:rPr>
            <w:noProof/>
            <w:webHidden/>
          </w:rPr>
          <w:fldChar w:fldCharType="begin"/>
        </w:r>
        <w:r w:rsidR="005876C6">
          <w:rPr>
            <w:noProof/>
            <w:webHidden/>
          </w:rPr>
          <w:instrText xml:space="preserve"> PAGEREF _Toc343502417 \h </w:instrText>
        </w:r>
        <w:r w:rsidR="005876C6">
          <w:rPr>
            <w:noProof/>
            <w:webHidden/>
          </w:rPr>
        </w:r>
        <w:r w:rsidR="005876C6">
          <w:rPr>
            <w:noProof/>
            <w:webHidden/>
          </w:rPr>
          <w:fldChar w:fldCharType="separate"/>
        </w:r>
        <w:r w:rsidR="005876C6">
          <w:rPr>
            <w:noProof/>
            <w:webHidden/>
          </w:rPr>
          <w:t>23</w:t>
        </w:r>
        <w:r w:rsidR="005876C6">
          <w:rPr>
            <w:noProof/>
            <w:webHidden/>
          </w:rPr>
          <w:fldChar w:fldCharType="end"/>
        </w:r>
      </w:hyperlink>
    </w:p>
    <w:p w:rsidR="005876C6" w:rsidRDefault="006409D1">
      <w:pPr>
        <w:pStyle w:val="TOC3"/>
        <w:tabs>
          <w:tab w:val="right" w:leader="dot" w:pos="9016"/>
        </w:tabs>
        <w:rPr>
          <w:noProof/>
        </w:rPr>
      </w:pPr>
      <w:hyperlink w:anchor="_Toc343502418" w:history="1">
        <w:r w:rsidR="005876C6" w:rsidRPr="000B1861">
          <w:rPr>
            <w:rStyle w:val="Hyperlink"/>
            <w:i/>
            <w:iCs/>
            <w:noProof/>
          </w:rPr>
          <w:t>PSC as a target for intervention</w:t>
        </w:r>
        <w:r w:rsidR="005876C6">
          <w:rPr>
            <w:noProof/>
            <w:webHidden/>
          </w:rPr>
          <w:tab/>
        </w:r>
        <w:r w:rsidR="005876C6">
          <w:rPr>
            <w:noProof/>
            <w:webHidden/>
          </w:rPr>
          <w:fldChar w:fldCharType="begin"/>
        </w:r>
        <w:r w:rsidR="005876C6">
          <w:rPr>
            <w:noProof/>
            <w:webHidden/>
          </w:rPr>
          <w:instrText xml:space="preserve"> PAGEREF _Toc343502418 \h </w:instrText>
        </w:r>
        <w:r w:rsidR="005876C6">
          <w:rPr>
            <w:noProof/>
            <w:webHidden/>
          </w:rPr>
        </w:r>
        <w:r w:rsidR="005876C6">
          <w:rPr>
            <w:noProof/>
            <w:webHidden/>
          </w:rPr>
          <w:fldChar w:fldCharType="separate"/>
        </w:r>
        <w:r w:rsidR="005876C6">
          <w:rPr>
            <w:noProof/>
            <w:webHidden/>
          </w:rPr>
          <w:t>25</w:t>
        </w:r>
        <w:r w:rsidR="005876C6">
          <w:rPr>
            <w:noProof/>
            <w:webHidden/>
          </w:rPr>
          <w:fldChar w:fldCharType="end"/>
        </w:r>
      </w:hyperlink>
    </w:p>
    <w:p w:rsidR="005876C6" w:rsidRDefault="006409D1">
      <w:pPr>
        <w:pStyle w:val="TOC3"/>
        <w:tabs>
          <w:tab w:val="right" w:leader="dot" w:pos="9016"/>
        </w:tabs>
        <w:rPr>
          <w:noProof/>
        </w:rPr>
      </w:pPr>
      <w:hyperlink w:anchor="_Toc343502419" w:history="1">
        <w:r w:rsidR="005876C6" w:rsidRPr="000B1861">
          <w:rPr>
            <w:rStyle w:val="Hyperlink"/>
            <w:i/>
            <w:iCs/>
            <w:noProof/>
          </w:rPr>
          <w:t>PSC and national health</w:t>
        </w:r>
        <w:r w:rsidR="005876C6">
          <w:rPr>
            <w:noProof/>
            <w:webHidden/>
          </w:rPr>
          <w:tab/>
        </w:r>
        <w:r w:rsidR="005876C6">
          <w:rPr>
            <w:noProof/>
            <w:webHidden/>
          </w:rPr>
          <w:fldChar w:fldCharType="begin"/>
        </w:r>
        <w:r w:rsidR="005876C6">
          <w:rPr>
            <w:noProof/>
            <w:webHidden/>
          </w:rPr>
          <w:instrText xml:space="preserve"> PAGEREF _Toc343502419 \h </w:instrText>
        </w:r>
        <w:r w:rsidR="005876C6">
          <w:rPr>
            <w:noProof/>
            <w:webHidden/>
          </w:rPr>
        </w:r>
        <w:r w:rsidR="005876C6">
          <w:rPr>
            <w:noProof/>
            <w:webHidden/>
          </w:rPr>
          <w:fldChar w:fldCharType="separate"/>
        </w:r>
        <w:r w:rsidR="005876C6">
          <w:rPr>
            <w:noProof/>
            <w:webHidden/>
          </w:rPr>
          <w:t>26</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20" w:history="1">
        <w:r w:rsidR="005876C6" w:rsidRPr="000B1861">
          <w:rPr>
            <w:rStyle w:val="Hyperlink"/>
            <w:noProof/>
          </w:rPr>
          <w:t>Method</w:t>
        </w:r>
        <w:r w:rsidR="005876C6">
          <w:rPr>
            <w:noProof/>
            <w:webHidden/>
          </w:rPr>
          <w:tab/>
        </w:r>
        <w:r w:rsidR="005876C6">
          <w:rPr>
            <w:noProof/>
            <w:webHidden/>
          </w:rPr>
          <w:fldChar w:fldCharType="begin"/>
        </w:r>
        <w:r w:rsidR="005876C6">
          <w:rPr>
            <w:noProof/>
            <w:webHidden/>
          </w:rPr>
          <w:instrText xml:space="preserve"> PAGEREF _Toc343502420 \h </w:instrText>
        </w:r>
        <w:r w:rsidR="005876C6">
          <w:rPr>
            <w:noProof/>
            <w:webHidden/>
          </w:rPr>
        </w:r>
        <w:r w:rsidR="005876C6">
          <w:rPr>
            <w:noProof/>
            <w:webHidden/>
          </w:rPr>
          <w:fldChar w:fldCharType="separate"/>
        </w:r>
        <w:r w:rsidR="005876C6">
          <w:rPr>
            <w:noProof/>
            <w:webHidden/>
          </w:rPr>
          <w:t>27</w:t>
        </w:r>
        <w:r w:rsidR="005876C6">
          <w:rPr>
            <w:noProof/>
            <w:webHidden/>
          </w:rPr>
          <w:fldChar w:fldCharType="end"/>
        </w:r>
      </w:hyperlink>
    </w:p>
    <w:p w:rsidR="005876C6" w:rsidRDefault="006409D1">
      <w:pPr>
        <w:pStyle w:val="TOC3"/>
        <w:tabs>
          <w:tab w:val="right" w:leader="dot" w:pos="9016"/>
        </w:tabs>
        <w:rPr>
          <w:noProof/>
        </w:rPr>
      </w:pPr>
      <w:hyperlink w:anchor="_Toc343502421" w:history="1">
        <w:r w:rsidR="005876C6" w:rsidRPr="000B1861">
          <w:rPr>
            <w:rStyle w:val="Hyperlink"/>
            <w:noProof/>
          </w:rPr>
          <w:t>Participants</w:t>
        </w:r>
        <w:r w:rsidR="005876C6">
          <w:rPr>
            <w:noProof/>
            <w:webHidden/>
          </w:rPr>
          <w:tab/>
        </w:r>
        <w:r w:rsidR="005876C6">
          <w:rPr>
            <w:noProof/>
            <w:webHidden/>
          </w:rPr>
          <w:fldChar w:fldCharType="begin"/>
        </w:r>
        <w:r w:rsidR="005876C6">
          <w:rPr>
            <w:noProof/>
            <w:webHidden/>
          </w:rPr>
          <w:instrText xml:space="preserve"> PAGEREF _Toc343502421 \h </w:instrText>
        </w:r>
        <w:r w:rsidR="005876C6">
          <w:rPr>
            <w:noProof/>
            <w:webHidden/>
          </w:rPr>
        </w:r>
        <w:r w:rsidR="005876C6">
          <w:rPr>
            <w:noProof/>
            <w:webHidden/>
          </w:rPr>
          <w:fldChar w:fldCharType="separate"/>
        </w:r>
        <w:r w:rsidR="005876C6">
          <w:rPr>
            <w:noProof/>
            <w:webHidden/>
          </w:rPr>
          <w:t>27</w:t>
        </w:r>
        <w:r w:rsidR="005876C6">
          <w:rPr>
            <w:noProof/>
            <w:webHidden/>
          </w:rPr>
          <w:fldChar w:fldCharType="end"/>
        </w:r>
      </w:hyperlink>
    </w:p>
    <w:p w:rsidR="005876C6" w:rsidRDefault="006409D1">
      <w:pPr>
        <w:pStyle w:val="TOC3"/>
        <w:tabs>
          <w:tab w:val="right" w:leader="dot" w:pos="9016"/>
        </w:tabs>
        <w:rPr>
          <w:noProof/>
        </w:rPr>
      </w:pPr>
      <w:hyperlink w:anchor="_Toc343502422" w:history="1">
        <w:r w:rsidR="005876C6" w:rsidRPr="000B1861">
          <w:rPr>
            <w:rStyle w:val="Hyperlink"/>
            <w:noProof/>
          </w:rPr>
          <w:t>Measures</w:t>
        </w:r>
        <w:r w:rsidR="005876C6">
          <w:rPr>
            <w:noProof/>
            <w:webHidden/>
          </w:rPr>
          <w:tab/>
        </w:r>
        <w:r w:rsidR="005876C6">
          <w:rPr>
            <w:noProof/>
            <w:webHidden/>
          </w:rPr>
          <w:fldChar w:fldCharType="begin"/>
        </w:r>
        <w:r w:rsidR="005876C6">
          <w:rPr>
            <w:noProof/>
            <w:webHidden/>
          </w:rPr>
          <w:instrText xml:space="preserve"> PAGEREF _Toc343502422 \h </w:instrText>
        </w:r>
        <w:r w:rsidR="005876C6">
          <w:rPr>
            <w:noProof/>
            <w:webHidden/>
          </w:rPr>
        </w:r>
        <w:r w:rsidR="005876C6">
          <w:rPr>
            <w:noProof/>
            <w:webHidden/>
          </w:rPr>
          <w:fldChar w:fldCharType="separate"/>
        </w:r>
        <w:r w:rsidR="005876C6">
          <w:rPr>
            <w:noProof/>
            <w:webHidden/>
          </w:rPr>
          <w:t>27</w:t>
        </w:r>
        <w:r w:rsidR="005876C6">
          <w:rPr>
            <w:noProof/>
            <w:webHidden/>
          </w:rPr>
          <w:fldChar w:fldCharType="end"/>
        </w:r>
      </w:hyperlink>
    </w:p>
    <w:p w:rsidR="005876C6" w:rsidRDefault="006409D1">
      <w:pPr>
        <w:pStyle w:val="TOC3"/>
        <w:tabs>
          <w:tab w:val="right" w:leader="dot" w:pos="9016"/>
        </w:tabs>
        <w:rPr>
          <w:noProof/>
        </w:rPr>
      </w:pPr>
      <w:hyperlink w:anchor="_Toc343502423" w:history="1">
        <w:r w:rsidR="005876C6" w:rsidRPr="000B1861">
          <w:rPr>
            <w:rStyle w:val="Hyperlink"/>
            <w:noProof/>
            <w:lang w:eastAsia="en-US"/>
          </w:rPr>
          <w:t>Psychosocial Safety Climate</w:t>
        </w:r>
        <w:r w:rsidR="005876C6">
          <w:rPr>
            <w:noProof/>
            <w:webHidden/>
          </w:rPr>
          <w:tab/>
        </w:r>
        <w:r w:rsidR="005876C6">
          <w:rPr>
            <w:noProof/>
            <w:webHidden/>
          </w:rPr>
          <w:fldChar w:fldCharType="begin"/>
        </w:r>
        <w:r w:rsidR="005876C6">
          <w:rPr>
            <w:noProof/>
            <w:webHidden/>
          </w:rPr>
          <w:instrText xml:space="preserve"> PAGEREF _Toc343502423 \h </w:instrText>
        </w:r>
        <w:r w:rsidR="005876C6">
          <w:rPr>
            <w:noProof/>
            <w:webHidden/>
          </w:rPr>
        </w:r>
        <w:r w:rsidR="005876C6">
          <w:rPr>
            <w:noProof/>
            <w:webHidden/>
          </w:rPr>
          <w:fldChar w:fldCharType="separate"/>
        </w:r>
        <w:r w:rsidR="005876C6">
          <w:rPr>
            <w:noProof/>
            <w:webHidden/>
          </w:rPr>
          <w:t>27</w:t>
        </w:r>
        <w:r w:rsidR="005876C6">
          <w:rPr>
            <w:noProof/>
            <w:webHidden/>
          </w:rPr>
          <w:fldChar w:fldCharType="end"/>
        </w:r>
      </w:hyperlink>
    </w:p>
    <w:p w:rsidR="005876C6" w:rsidRDefault="006409D1">
      <w:pPr>
        <w:pStyle w:val="TOC3"/>
        <w:tabs>
          <w:tab w:val="right" w:leader="dot" w:pos="9016"/>
        </w:tabs>
        <w:rPr>
          <w:noProof/>
        </w:rPr>
      </w:pPr>
      <w:hyperlink w:anchor="_Toc343502424" w:history="1">
        <w:r w:rsidR="005876C6" w:rsidRPr="000B1861">
          <w:rPr>
            <w:rStyle w:val="Hyperlink"/>
            <w:noProof/>
            <w:lang w:val="en-CA" w:eastAsia="en-US"/>
          </w:rPr>
          <w:t>Job Demands</w:t>
        </w:r>
        <w:r w:rsidR="005876C6">
          <w:rPr>
            <w:noProof/>
            <w:webHidden/>
          </w:rPr>
          <w:tab/>
        </w:r>
        <w:r w:rsidR="005876C6">
          <w:rPr>
            <w:noProof/>
            <w:webHidden/>
          </w:rPr>
          <w:fldChar w:fldCharType="begin"/>
        </w:r>
        <w:r w:rsidR="005876C6">
          <w:rPr>
            <w:noProof/>
            <w:webHidden/>
          </w:rPr>
          <w:instrText xml:space="preserve"> PAGEREF _Toc343502424 \h </w:instrText>
        </w:r>
        <w:r w:rsidR="005876C6">
          <w:rPr>
            <w:noProof/>
            <w:webHidden/>
          </w:rPr>
        </w:r>
        <w:r w:rsidR="005876C6">
          <w:rPr>
            <w:noProof/>
            <w:webHidden/>
          </w:rPr>
          <w:fldChar w:fldCharType="separate"/>
        </w:r>
        <w:r w:rsidR="005876C6">
          <w:rPr>
            <w:noProof/>
            <w:webHidden/>
          </w:rPr>
          <w:t>28</w:t>
        </w:r>
        <w:r w:rsidR="005876C6">
          <w:rPr>
            <w:noProof/>
            <w:webHidden/>
          </w:rPr>
          <w:fldChar w:fldCharType="end"/>
        </w:r>
      </w:hyperlink>
    </w:p>
    <w:p w:rsidR="005876C6" w:rsidRDefault="006409D1">
      <w:pPr>
        <w:pStyle w:val="TOC3"/>
        <w:tabs>
          <w:tab w:val="right" w:leader="dot" w:pos="9016"/>
        </w:tabs>
        <w:rPr>
          <w:noProof/>
        </w:rPr>
      </w:pPr>
      <w:hyperlink w:anchor="_Toc343502425" w:history="1">
        <w:r w:rsidR="005876C6" w:rsidRPr="000B1861">
          <w:rPr>
            <w:rStyle w:val="Hyperlink"/>
            <w:noProof/>
          </w:rPr>
          <w:t>Job Resources</w:t>
        </w:r>
        <w:r w:rsidR="005876C6">
          <w:rPr>
            <w:noProof/>
            <w:webHidden/>
          </w:rPr>
          <w:tab/>
        </w:r>
        <w:r w:rsidR="005876C6">
          <w:rPr>
            <w:noProof/>
            <w:webHidden/>
          </w:rPr>
          <w:fldChar w:fldCharType="begin"/>
        </w:r>
        <w:r w:rsidR="005876C6">
          <w:rPr>
            <w:noProof/>
            <w:webHidden/>
          </w:rPr>
          <w:instrText xml:space="preserve"> PAGEREF _Toc343502425 \h </w:instrText>
        </w:r>
        <w:r w:rsidR="005876C6">
          <w:rPr>
            <w:noProof/>
            <w:webHidden/>
          </w:rPr>
        </w:r>
        <w:r w:rsidR="005876C6">
          <w:rPr>
            <w:noProof/>
            <w:webHidden/>
          </w:rPr>
          <w:fldChar w:fldCharType="separate"/>
        </w:r>
        <w:r w:rsidR="005876C6">
          <w:rPr>
            <w:noProof/>
            <w:webHidden/>
          </w:rPr>
          <w:t>29</w:t>
        </w:r>
        <w:r w:rsidR="005876C6">
          <w:rPr>
            <w:noProof/>
            <w:webHidden/>
          </w:rPr>
          <w:fldChar w:fldCharType="end"/>
        </w:r>
      </w:hyperlink>
    </w:p>
    <w:p w:rsidR="005876C6" w:rsidRDefault="006409D1">
      <w:pPr>
        <w:pStyle w:val="TOC3"/>
        <w:tabs>
          <w:tab w:val="right" w:leader="dot" w:pos="9016"/>
        </w:tabs>
        <w:rPr>
          <w:noProof/>
        </w:rPr>
      </w:pPr>
      <w:hyperlink w:anchor="_Toc343502426" w:history="1">
        <w:r w:rsidR="005876C6" w:rsidRPr="000B1861">
          <w:rPr>
            <w:rStyle w:val="Hyperlink"/>
            <w:noProof/>
            <w:lang w:val="en-CA" w:eastAsia="en-US"/>
          </w:rPr>
          <w:t>Health Outcomes</w:t>
        </w:r>
        <w:r w:rsidR="005876C6">
          <w:rPr>
            <w:noProof/>
            <w:webHidden/>
          </w:rPr>
          <w:tab/>
        </w:r>
        <w:r w:rsidR="005876C6">
          <w:rPr>
            <w:noProof/>
            <w:webHidden/>
          </w:rPr>
          <w:fldChar w:fldCharType="begin"/>
        </w:r>
        <w:r w:rsidR="005876C6">
          <w:rPr>
            <w:noProof/>
            <w:webHidden/>
          </w:rPr>
          <w:instrText xml:space="preserve"> PAGEREF _Toc343502426 \h </w:instrText>
        </w:r>
        <w:r w:rsidR="005876C6">
          <w:rPr>
            <w:noProof/>
            <w:webHidden/>
          </w:rPr>
        </w:r>
        <w:r w:rsidR="005876C6">
          <w:rPr>
            <w:noProof/>
            <w:webHidden/>
          </w:rPr>
          <w:fldChar w:fldCharType="separate"/>
        </w:r>
        <w:r w:rsidR="005876C6">
          <w:rPr>
            <w:noProof/>
            <w:webHidden/>
          </w:rPr>
          <w:t>30</w:t>
        </w:r>
        <w:r w:rsidR="005876C6">
          <w:rPr>
            <w:noProof/>
            <w:webHidden/>
          </w:rPr>
          <w:fldChar w:fldCharType="end"/>
        </w:r>
      </w:hyperlink>
    </w:p>
    <w:p w:rsidR="005876C6" w:rsidRDefault="006409D1">
      <w:pPr>
        <w:pStyle w:val="TOC3"/>
        <w:tabs>
          <w:tab w:val="right" w:leader="dot" w:pos="9016"/>
        </w:tabs>
        <w:rPr>
          <w:noProof/>
        </w:rPr>
      </w:pPr>
      <w:hyperlink w:anchor="_Toc343502427" w:history="1">
        <w:r w:rsidR="005876C6" w:rsidRPr="000B1861">
          <w:rPr>
            <w:rStyle w:val="Hyperlink"/>
            <w:noProof/>
            <w:lang w:val="en-CA" w:eastAsia="en-US"/>
          </w:rPr>
          <w:t>Motivational Outcomes</w:t>
        </w:r>
        <w:r w:rsidR="005876C6">
          <w:rPr>
            <w:noProof/>
            <w:webHidden/>
          </w:rPr>
          <w:tab/>
        </w:r>
        <w:r w:rsidR="005876C6">
          <w:rPr>
            <w:noProof/>
            <w:webHidden/>
          </w:rPr>
          <w:fldChar w:fldCharType="begin"/>
        </w:r>
        <w:r w:rsidR="005876C6">
          <w:rPr>
            <w:noProof/>
            <w:webHidden/>
          </w:rPr>
          <w:instrText xml:space="preserve"> PAGEREF _Toc343502427 \h </w:instrText>
        </w:r>
        <w:r w:rsidR="005876C6">
          <w:rPr>
            <w:noProof/>
            <w:webHidden/>
          </w:rPr>
        </w:r>
        <w:r w:rsidR="005876C6">
          <w:rPr>
            <w:noProof/>
            <w:webHidden/>
          </w:rPr>
          <w:fldChar w:fldCharType="separate"/>
        </w:r>
        <w:r w:rsidR="005876C6">
          <w:rPr>
            <w:noProof/>
            <w:webHidden/>
          </w:rPr>
          <w:t>31</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28" w:history="1">
        <w:r w:rsidR="005876C6" w:rsidRPr="000B1861">
          <w:rPr>
            <w:rStyle w:val="Hyperlink"/>
            <w:i/>
            <w:iCs/>
            <w:noProof/>
          </w:rPr>
          <w:t>Procedure</w:t>
        </w:r>
        <w:r w:rsidR="005876C6">
          <w:rPr>
            <w:noProof/>
            <w:webHidden/>
          </w:rPr>
          <w:tab/>
        </w:r>
        <w:r w:rsidR="005876C6">
          <w:rPr>
            <w:noProof/>
            <w:webHidden/>
          </w:rPr>
          <w:fldChar w:fldCharType="begin"/>
        </w:r>
        <w:r w:rsidR="005876C6">
          <w:rPr>
            <w:noProof/>
            <w:webHidden/>
          </w:rPr>
          <w:instrText xml:space="preserve"> PAGEREF _Toc343502428 \h </w:instrText>
        </w:r>
        <w:r w:rsidR="005876C6">
          <w:rPr>
            <w:noProof/>
            <w:webHidden/>
          </w:rPr>
        </w:r>
        <w:r w:rsidR="005876C6">
          <w:rPr>
            <w:noProof/>
            <w:webHidden/>
          </w:rPr>
          <w:fldChar w:fldCharType="separate"/>
        </w:r>
        <w:r w:rsidR="005876C6">
          <w:rPr>
            <w:noProof/>
            <w:webHidden/>
          </w:rPr>
          <w:t>31</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29" w:history="1">
        <w:r w:rsidR="005876C6" w:rsidRPr="000B1861">
          <w:rPr>
            <w:rStyle w:val="Hyperlink"/>
            <w:i/>
            <w:iCs/>
            <w:noProof/>
          </w:rPr>
          <w:t>Statistical analysis</w:t>
        </w:r>
        <w:r w:rsidR="005876C6">
          <w:rPr>
            <w:noProof/>
            <w:webHidden/>
          </w:rPr>
          <w:tab/>
        </w:r>
        <w:r w:rsidR="005876C6">
          <w:rPr>
            <w:noProof/>
            <w:webHidden/>
          </w:rPr>
          <w:fldChar w:fldCharType="begin"/>
        </w:r>
        <w:r w:rsidR="005876C6">
          <w:rPr>
            <w:noProof/>
            <w:webHidden/>
          </w:rPr>
          <w:instrText xml:space="preserve"> PAGEREF _Toc343502429 \h </w:instrText>
        </w:r>
        <w:r w:rsidR="005876C6">
          <w:rPr>
            <w:noProof/>
            <w:webHidden/>
          </w:rPr>
        </w:r>
        <w:r w:rsidR="005876C6">
          <w:rPr>
            <w:noProof/>
            <w:webHidden/>
          </w:rPr>
          <w:fldChar w:fldCharType="separate"/>
        </w:r>
        <w:r w:rsidR="005876C6">
          <w:rPr>
            <w:noProof/>
            <w:webHidden/>
          </w:rPr>
          <w:t>31</w:t>
        </w:r>
        <w:r w:rsidR="005876C6">
          <w:rPr>
            <w:noProof/>
            <w:webHidden/>
          </w:rPr>
          <w:fldChar w:fldCharType="end"/>
        </w:r>
      </w:hyperlink>
    </w:p>
    <w:p w:rsidR="005876C6" w:rsidRPr="005876C6" w:rsidRDefault="006409D1" w:rsidP="005876C6">
      <w:pPr>
        <w:pStyle w:val="TOC1"/>
        <w:rPr>
          <w:rFonts w:eastAsiaTheme="minorEastAsia"/>
          <w:color w:val="auto"/>
          <w:szCs w:val="22"/>
        </w:rPr>
      </w:pPr>
      <w:hyperlink w:anchor="_Toc343502430" w:history="1">
        <w:r w:rsidR="005876C6" w:rsidRPr="005876C6">
          <w:rPr>
            <w:rStyle w:val="Hyperlink"/>
          </w:rPr>
          <w:t>Demographic data for AWB population</w:t>
        </w:r>
        <w:r w:rsidR="005876C6" w:rsidRPr="005876C6">
          <w:rPr>
            <w:webHidden/>
          </w:rPr>
          <w:tab/>
        </w:r>
        <w:r w:rsidR="005876C6" w:rsidRPr="005876C6">
          <w:rPr>
            <w:webHidden/>
          </w:rPr>
          <w:fldChar w:fldCharType="begin"/>
        </w:r>
        <w:r w:rsidR="005876C6" w:rsidRPr="005876C6">
          <w:rPr>
            <w:webHidden/>
          </w:rPr>
          <w:instrText xml:space="preserve"> PAGEREF _Toc343502430 \h </w:instrText>
        </w:r>
        <w:r w:rsidR="005876C6" w:rsidRPr="005876C6">
          <w:rPr>
            <w:webHidden/>
          </w:rPr>
        </w:r>
        <w:r w:rsidR="005876C6" w:rsidRPr="005876C6">
          <w:rPr>
            <w:webHidden/>
          </w:rPr>
          <w:fldChar w:fldCharType="separate"/>
        </w:r>
        <w:r w:rsidR="005876C6" w:rsidRPr="005876C6">
          <w:rPr>
            <w:webHidden/>
          </w:rPr>
          <w:t>32</w:t>
        </w:r>
        <w:r w:rsidR="005876C6" w:rsidRP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31" w:history="1">
        <w:r w:rsidR="005876C6" w:rsidRPr="000B1861">
          <w:rPr>
            <w:rStyle w:val="Hyperlink"/>
            <w:i/>
            <w:iCs/>
            <w:noProof/>
          </w:rPr>
          <w:t>AWB and ABS Sample Comparisons</w:t>
        </w:r>
        <w:r w:rsidR="005876C6">
          <w:rPr>
            <w:noProof/>
            <w:webHidden/>
          </w:rPr>
          <w:tab/>
        </w:r>
        <w:r w:rsidR="005876C6">
          <w:rPr>
            <w:noProof/>
            <w:webHidden/>
          </w:rPr>
          <w:fldChar w:fldCharType="begin"/>
        </w:r>
        <w:r w:rsidR="005876C6">
          <w:rPr>
            <w:noProof/>
            <w:webHidden/>
          </w:rPr>
          <w:instrText xml:space="preserve"> PAGEREF _Toc343502431 \h </w:instrText>
        </w:r>
        <w:r w:rsidR="005876C6">
          <w:rPr>
            <w:noProof/>
            <w:webHidden/>
          </w:rPr>
        </w:r>
        <w:r w:rsidR="005876C6">
          <w:rPr>
            <w:noProof/>
            <w:webHidden/>
          </w:rPr>
          <w:fldChar w:fldCharType="separate"/>
        </w:r>
        <w:r w:rsidR="005876C6">
          <w:rPr>
            <w:noProof/>
            <w:webHidden/>
          </w:rPr>
          <w:t>36</w:t>
        </w:r>
        <w:r w:rsidR="005876C6">
          <w:rPr>
            <w:noProof/>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32" w:history="1">
        <w:r w:rsidR="005876C6" w:rsidRPr="000B1861">
          <w:rPr>
            <w:rStyle w:val="Hyperlink"/>
          </w:rPr>
          <w:t>Results and discussion</w:t>
        </w:r>
        <w:r w:rsidR="005876C6">
          <w:rPr>
            <w:webHidden/>
          </w:rPr>
          <w:tab/>
        </w:r>
        <w:r w:rsidR="005876C6" w:rsidRPr="005876C6">
          <w:rPr>
            <w:webHidden/>
          </w:rPr>
          <w:fldChar w:fldCharType="begin"/>
        </w:r>
        <w:r w:rsidR="005876C6" w:rsidRPr="005876C6">
          <w:rPr>
            <w:webHidden/>
          </w:rPr>
          <w:instrText xml:space="preserve"> PAGEREF _Toc343502432 \h </w:instrText>
        </w:r>
        <w:r w:rsidR="005876C6" w:rsidRPr="005876C6">
          <w:rPr>
            <w:webHidden/>
          </w:rPr>
        </w:r>
        <w:r w:rsidR="005876C6" w:rsidRPr="005876C6">
          <w:rPr>
            <w:webHidden/>
          </w:rPr>
          <w:fldChar w:fldCharType="separate"/>
        </w:r>
        <w:r w:rsidR="005876C6" w:rsidRPr="005876C6">
          <w:rPr>
            <w:webHidden/>
          </w:rPr>
          <w:t>38</w:t>
        </w:r>
        <w:r w:rsidR="005876C6" w:rsidRP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33" w:history="1">
        <w:r w:rsidR="005876C6" w:rsidRPr="000B1861">
          <w:rPr>
            <w:rStyle w:val="Hyperlink"/>
            <w:iCs/>
            <w:noProof/>
          </w:rPr>
          <w:t>Intercorrelations between variables</w:t>
        </w:r>
        <w:r w:rsidR="005876C6">
          <w:rPr>
            <w:noProof/>
            <w:webHidden/>
          </w:rPr>
          <w:tab/>
        </w:r>
        <w:r w:rsidR="005876C6">
          <w:rPr>
            <w:noProof/>
            <w:webHidden/>
          </w:rPr>
          <w:fldChar w:fldCharType="begin"/>
        </w:r>
        <w:r w:rsidR="005876C6">
          <w:rPr>
            <w:noProof/>
            <w:webHidden/>
          </w:rPr>
          <w:instrText xml:space="preserve"> PAGEREF _Toc343502433 \h </w:instrText>
        </w:r>
        <w:r w:rsidR="005876C6">
          <w:rPr>
            <w:noProof/>
            <w:webHidden/>
          </w:rPr>
        </w:r>
        <w:r w:rsidR="005876C6">
          <w:rPr>
            <w:noProof/>
            <w:webHidden/>
          </w:rPr>
          <w:fldChar w:fldCharType="separate"/>
        </w:r>
        <w:r w:rsidR="005876C6">
          <w:rPr>
            <w:noProof/>
            <w:webHidden/>
          </w:rPr>
          <w:t>38</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34" w:history="1">
        <w:r w:rsidR="005876C6" w:rsidRPr="000B1861">
          <w:rPr>
            <w:rStyle w:val="Hyperlink"/>
            <w:noProof/>
          </w:rPr>
          <w:t>Testing the AWB model</w:t>
        </w:r>
        <w:r w:rsidR="005876C6">
          <w:rPr>
            <w:noProof/>
            <w:webHidden/>
          </w:rPr>
          <w:tab/>
        </w:r>
        <w:r w:rsidR="005876C6">
          <w:rPr>
            <w:noProof/>
            <w:webHidden/>
          </w:rPr>
          <w:fldChar w:fldCharType="begin"/>
        </w:r>
        <w:r w:rsidR="005876C6">
          <w:rPr>
            <w:noProof/>
            <w:webHidden/>
          </w:rPr>
          <w:instrText xml:space="preserve"> PAGEREF _Toc343502434 \h </w:instrText>
        </w:r>
        <w:r w:rsidR="005876C6">
          <w:rPr>
            <w:noProof/>
            <w:webHidden/>
          </w:rPr>
        </w:r>
        <w:r w:rsidR="005876C6">
          <w:rPr>
            <w:noProof/>
            <w:webHidden/>
          </w:rPr>
          <w:fldChar w:fldCharType="separate"/>
        </w:r>
        <w:r w:rsidR="005876C6">
          <w:rPr>
            <w:noProof/>
            <w:webHidden/>
          </w:rPr>
          <w:t>41</w:t>
        </w:r>
        <w:r w:rsidR="005876C6">
          <w:rPr>
            <w:noProof/>
            <w:webHidden/>
          </w:rPr>
          <w:fldChar w:fldCharType="end"/>
        </w:r>
      </w:hyperlink>
    </w:p>
    <w:p w:rsidR="005876C6" w:rsidRDefault="006409D1">
      <w:pPr>
        <w:pStyle w:val="TOC3"/>
        <w:tabs>
          <w:tab w:val="right" w:leader="dot" w:pos="9016"/>
        </w:tabs>
        <w:rPr>
          <w:noProof/>
        </w:rPr>
      </w:pPr>
      <w:hyperlink w:anchor="_Toc343502435" w:history="1">
        <w:r w:rsidR="005876C6" w:rsidRPr="000B1861">
          <w:rPr>
            <w:rStyle w:val="Hyperlink"/>
            <w:i/>
            <w:iCs/>
            <w:noProof/>
          </w:rPr>
          <w:t>Analysis strategy</w:t>
        </w:r>
        <w:r w:rsidR="005876C6">
          <w:rPr>
            <w:noProof/>
            <w:webHidden/>
          </w:rPr>
          <w:tab/>
        </w:r>
        <w:r w:rsidR="005876C6">
          <w:rPr>
            <w:noProof/>
            <w:webHidden/>
          </w:rPr>
          <w:fldChar w:fldCharType="begin"/>
        </w:r>
        <w:r w:rsidR="005876C6">
          <w:rPr>
            <w:noProof/>
            <w:webHidden/>
          </w:rPr>
          <w:instrText xml:space="preserve"> PAGEREF _Toc343502435 \h </w:instrText>
        </w:r>
        <w:r w:rsidR="005876C6">
          <w:rPr>
            <w:noProof/>
            <w:webHidden/>
          </w:rPr>
        </w:r>
        <w:r w:rsidR="005876C6">
          <w:rPr>
            <w:noProof/>
            <w:webHidden/>
          </w:rPr>
          <w:fldChar w:fldCharType="separate"/>
        </w:r>
        <w:r w:rsidR="005876C6">
          <w:rPr>
            <w:noProof/>
            <w:webHidden/>
          </w:rPr>
          <w:t>41</w:t>
        </w:r>
        <w:r w:rsidR="005876C6">
          <w:rPr>
            <w:noProof/>
            <w:webHidden/>
          </w:rPr>
          <w:fldChar w:fldCharType="end"/>
        </w:r>
      </w:hyperlink>
    </w:p>
    <w:p w:rsidR="005876C6" w:rsidRDefault="006409D1">
      <w:pPr>
        <w:pStyle w:val="TOC3"/>
        <w:tabs>
          <w:tab w:val="right" w:leader="dot" w:pos="9016"/>
        </w:tabs>
        <w:rPr>
          <w:noProof/>
        </w:rPr>
      </w:pPr>
      <w:hyperlink w:anchor="_Toc343502436" w:history="1">
        <w:r w:rsidR="005876C6" w:rsidRPr="000B1861">
          <w:rPr>
            <w:rStyle w:val="Hyperlink"/>
            <w:i/>
            <w:iCs/>
            <w:noProof/>
          </w:rPr>
          <w:t>Results</w:t>
        </w:r>
        <w:r w:rsidR="005876C6">
          <w:rPr>
            <w:noProof/>
            <w:webHidden/>
          </w:rPr>
          <w:tab/>
        </w:r>
        <w:r w:rsidR="005876C6">
          <w:rPr>
            <w:noProof/>
            <w:webHidden/>
          </w:rPr>
          <w:fldChar w:fldCharType="begin"/>
        </w:r>
        <w:r w:rsidR="005876C6">
          <w:rPr>
            <w:noProof/>
            <w:webHidden/>
          </w:rPr>
          <w:instrText xml:space="preserve"> PAGEREF _Toc343502436 \h </w:instrText>
        </w:r>
        <w:r w:rsidR="005876C6">
          <w:rPr>
            <w:noProof/>
            <w:webHidden/>
          </w:rPr>
        </w:r>
        <w:r w:rsidR="005876C6">
          <w:rPr>
            <w:noProof/>
            <w:webHidden/>
          </w:rPr>
          <w:fldChar w:fldCharType="separate"/>
        </w:r>
        <w:r w:rsidR="005876C6">
          <w:rPr>
            <w:noProof/>
            <w:webHidden/>
          </w:rPr>
          <w:t>42</w:t>
        </w:r>
        <w:r w:rsidR="005876C6">
          <w:rPr>
            <w:noProof/>
            <w:webHidden/>
          </w:rPr>
          <w:fldChar w:fldCharType="end"/>
        </w:r>
      </w:hyperlink>
    </w:p>
    <w:p w:rsidR="005876C6" w:rsidRDefault="006409D1">
      <w:pPr>
        <w:pStyle w:val="TOC3"/>
        <w:tabs>
          <w:tab w:val="right" w:leader="dot" w:pos="9016"/>
        </w:tabs>
        <w:rPr>
          <w:noProof/>
        </w:rPr>
      </w:pPr>
      <w:hyperlink w:anchor="_Toc343502437" w:history="1">
        <w:r w:rsidR="005876C6" w:rsidRPr="000B1861">
          <w:rPr>
            <w:rStyle w:val="Hyperlink"/>
            <w:noProof/>
          </w:rPr>
          <w:t>PSC as a predictor of job demands and health outcomes</w:t>
        </w:r>
        <w:r w:rsidR="005876C6">
          <w:rPr>
            <w:noProof/>
            <w:webHidden/>
          </w:rPr>
          <w:tab/>
        </w:r>
        <w:r w:rsidR="005876C6">
          <w:rPr>
            <w:noProof/>
            <w:webHidden/>
          </w:rPr>
          <w:fldChar w:fldCharType="begin"/>
        </w:r>
        <w:r w:rsidR="005876C6">
          <w:rPr>
            <w:noProof/>
            <w:webHidden/>
          </w:rPr>
          <w:instrText xml:space="preserve"> PAGEREF _Toc343502437 \h </w:instrText>
        </w:r>
        <w:r w:rsidR="005876C6">
          <w:rPr>
            <w:noProof/>
            <w:webHidden/>
          </w:rPr>
        </w:r>
        <w:r w:rsidR="005876C6">
          <w:rPr>
            <w:noProof/>
            <w:webHidden/>
          </w:rPr>
          <w:fldChar w:fldCharType="separate"/>
        </w:r>
        <w:r w:rsidR="005876C6">
          <w:rPr>
            <w:noProof/>
            <w:webHidden/>
          </w:rPr>
          <w:t>43</w:t>
        </w:r>
        <w:r w:rsidR="005876C6">
          <w:rPr>
            <w:noProof/>
            <w:webHidden/>
          </w:rPr>
          <w:fldChar w:fldCharType="end"/>
        </w:r>
      </w:hyperlink>
    </w:p>
    <w:p w:rsidR="005876C6" w:rsidRDefault="006409D1">
      <w:pPr>
        <w:pStyle w:val="TOC3"/>
        <w:tabs>
          <w:tab w:val="right" w:leader="dot" w:pos="9016"/>
        </w:tabs>
        <w:rPr>
          <w:noProof/>
        </w:rPr>
      </w:pPr>
      <w:hyperlink w:anchor="_Toc343502438" w:history="1">
        <w:r w:rsidR="005876C6" w:rsidRPr="000B1861">
          <w:rPr>
            <w:rStyle w:val="Hyperlink"/>
            <w:i/>
            <w:iCs/>
            <w:noProof/>
          </w:rPr>
          <w:t>PSC by industry by state</w:t>
        </w:r>
        <w:r w:rsidR="005876C6">
          <w:rPr>
            <w:noProof/>
            <w:webHidden/>
          </w:rPr>
          <w:tab/>
        </w:r>
        <w:r w:rsidR="005876C6">
          <w:rPr>
            <w:noProof/>
            <w:webHidden/>
          </w:rPr>
          <w:fldChar w:fldCharType="begin"/>
        </w:r>
        <w:r w:rsidR="005876C6">
          <w:rPr>
            <w:noProof/>
            <w:webHidden/>
          </w:rPr>
          <w:instrText xml:space="preserve"> PAGEREF _Toc343502438 \h </w:instrText>
        </w:r>
        <w:r w:rsidR="005876C6">
          <w:rPr>
            <w:noProof/>
            <w:webHidden/>
          </w:rPr>
        </w:r>
        <w:r w:rsidR="005876C6">
          <w:rPr>
            <w:noProof/>
            <w:webHidden/>
          </w:rPr>
          <w:fldChar w:fldCharType="separate"/>
        </w:r>
        <w:r w:rsidR="005876C6">
          <w:rPr>
            <w:noProof/>
            <w:webHidden/>
          </w:rPr>
          <w:t>45</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39" w:history="1">
        <w:r w:rsidR="005876C6" w:rsidRPr="000B1861">
          <w:rPr>
            <w:rStyle w:val="Hyperlink"/>
            <w:noProof/>
          </w:rPr>
          <w:t>High risk industries by demands, resources, and overall health</w:t>
        </w:r>
        <w:r w:rsidR="005876C6">
          <w:rPr>
            <w:noProof/>
            <w:webHidden/>
          </w:rPr>
          <w:tab/>
        </w:r>
        <w:r w:rsidR="005876C6">
          <w:rPr>
            <w:noProof/>
            <w:webHidden/>
          </w:rPr>
          <w:fldChar w:fldCharType="begin"/>
        </w:r>
        <w:r w:rsidR="005876C6">
          <w:rPr>
            <w:noProof/>
            <w:webHidden/>
          </w:rPr>
          <w:instrText xml:space="preserve"> PAGEREF _Toc343502439 \h </w:instrText>
        </w:r>
        <w:r w:rsidR="005876C6">
          <w:rPr>
            <w:noProof/>
            <w:webHidden/>
          </w:rPr>
        </w:r>
        <w:r w:rsidR="005876C6">
          <w:rPr>
            <w:noProof/>
            <w:webHidden/>
          </w:rPr>
          <w:fldChar w:fldCharType="separate"/>
        </w:r>
        <w:r w:rsidR="005876C6">
          <w:rPr>
            <w:noProof/>
            <w:webHidden/>
          </w:rPr>
          <w:t>49</w:t>
        </w:r>
        <w:r w:rsidR="005876C6">
          <w:rPr>
            <w:noProof/>
            <w:webHidden/>
          </w:rPr>
          <w:fldChar w:fldCharType="end"/>
        </w:r>
      </w:hyperlink>
    </w:p>
    <w:p w:rsidR="005876C6" w:rsidRDefault="006409D1">
      <w:pPr>
        <w:pStyle w:val="TOC3"/>
        <w:tabs>
          <w:tab w:val="right" w:leader="dot" w:pos="9016"/>
        </w:tabs>
        <w:rPr>
          <w:noProof/>
        </w:rPr>
      </w:pPr>
      <w:hyperlink w:anchor="_Toc343502440" w:history="1">
        <w:r w:rsidR="005876C6" w:rsidRPr="000B1861">
          <w:rPr>
            <w:rStyle w:val="Hyperlink"/>
            <w:noProof/>
          </w:rPr>
          <w:t>Summary for industries at risk based on PSC, demands, resources and outcomes</w:t>
        </w:r>
        <w:r w:rsidR="005876C6">
          <w:rPr>
            <w:noProof/>
            <w:webHidden/>
          </w:rPr>
          <w:tab/>
        </w:r>
        <w:r w:rsidR="005876C6">
          <w:rPr>
            <w:noProof/>
            <w:webHidden/>
          </w:rPr>
          <w:fldChar w:fldCharType="begin"/>
        </w:r>
        <w:r w:rsidR="005876C6">
          <w:rPr>
            <w:noProof/>
            <w:webHidden/>
          </w:rPr>
          <w:instrText xml:space="preserve"> PAGEREF _Toc343502440 \h </w:instrText>
        </w:r>
        <w:r w:rsidR="005876C6">
          <w:rPr>
            <w:noProof/>
            <w:webHidden/>
          </w:rPr>
        </w:r>
        <w:r w:rsidR="005876C6">
          <w:rPr>
            <w:noProof/>
            <w:webHidden/>
          </w:rPr>
          <w:fldChar w:fldCharType="separate"/>
        </w:r>
        <w:r w:rsidR="005876C6">
          <w:rPr>
            <w:noProof/>
            <w:webHidden/>
          </w:rPr>
          <w:t>58</w:t>
        </w:r>
        <w:r w:rsidR="005876C6">
          <w:rPr>
            <w:noProof/>
            <w:webHidden/>
          </w:rPr>
          <w:fldChar w:fldCharType="end"/>
        </w:r>
      </w:hyperlink>
    </w:p>
    <w:p w:rsidR="005876C6" w:rsidRDefault="006409D1">
      <w:pPr>
        <w:pStyle w:val="TOC3"/>
        <w:tabs>
          <w:tab w:val="right" w:leader="dot" w:pos="9016"/>
        </w:tabs>
        <w:rPr>
          <w:noProof/>
        </w:rPr>
      </w:pPr>
      <w:hyperlink w:anchor="_Toc343502441" w:history="1">
        <w:r w:rsidR="005876C6" w:rsidRPr="000B1861">
          <w:rPr>
            <w:rStyle w:val="Hyperlink"/>
            <w:noProof/>
          </w:rPr>
          <w:t>Practical implications for industries at risk</w:t>
        </w:r>
        <w:r w:rsidR="005876C6">
          <w:rPr>
            <w:noProof/>
            <w:webHidden/>
          </w:rPr>
          <w:tab/>
        </w:r>
        <w:r w:rsidR="005876C6">
          <w:rPr>
            <w:noProof/>
            <w:webHidden/>
          </w:rPr>
          <w:fldChar w:fldCharType="begin"/>
        </w:r>
        <w:r w:rsidR="005876C6">
          <w:rPr>
            <w:noProof/>
            <w:webHidden/>
          </w:rPr>
          <w:instrText xml:space="preserve"> PAGEREF _Toc343502441 \h </w:instrText>
        </w:r>
        <w:r w:rsidR="005876C6">
          <w:rPr>
            <w:noProof/>
            <w:webHidden/>
          </w:rPr>
        </w:r>
        <w:r w:rsidR="005876C6">
          <w:rPr>
            <w:noProof/>
            <w:webHidden/>
          </w:rPr>
          <w:fldChar w:fldCharType="separate"/>
        </w:r>
        <w:r w:rsidR="005876C6">
          <w:rPr>
            <w:noProof/>
            <w:webHidden/>
          </w:rPr>
          <w:t>58</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42" w:history="1">
        <w:r w:rsidR="005876C6" w:rsidRPr="000B1861">
          <w:rPr>
            <w:rStyle w:val="Hyperlink"/>
            <w:noProof/>
          </w:rPr>
          <w:t>Urban and rural workers’ mental health</w:t>
        </w:r>
        <w:r w:rsidR="005876C6">
          <w:rPr>
            <w:noProof/>
            <w:webHidden/>
          </w:rPr>
          <w:tab/>
        </w:r>
        <w:r w:rsidR="005876C6">
          <w:rPr>
            <w:noProof/>
            <w:webHidden/>
          </w:rPr>
          <w:fldChar w:fldCharType="begin"/>
        </w:r>
        <w:r w:rsidR="005876C6">
          <w:rPr>
            <w:noProof/>
            <w:webHidden/>
          </w:rPr>
          <w:instrText xml:space="preserve"> PAGEREF _Toc343502442 \h </w:instrText>
        </w:r>
        <w:r w:rsidR="005876C6">
          <w:rPr>
            <w:noProof/>
            <w:webHidden/>
          </w:rPr>
        </w:r>
        <w:r w:rsidR="005876C6">
          <w:rPr>
            <w:noProof/>
            <w:webHidden/>
          </w:rPr>
          <w:fldChar w:fldCharType="separate"/>
        </w:r>
        <w:r w:rsidR="005876C6">
          <w:rPr>
            <w:noProof/>
            <w:webHidden/>
          </w:rPr>
          <w:t>59</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43" w:history="1">
        <w:r w:rsidR="005876C6" w:rsidRPr="000B1861">
          <w:rPr>
            <w:rStyle w:val="Hyperlink"/>
            <w:noProof/>
          </w:rPr>
          <w:t>Age</w:t>
        </w:r>
        <w:r w:rsidR="005876C6">
          <w:rPr>
            <w:noProof/>
            <w:webHidden/>
          </w:rPr>
          <w:tab/>
        </w:r>
        <w:r w:rsidR="005876C6">
          <w:rPr>
            <w:noProof/>
            <w:webHidden/>
          </w:rPr>
          <w:fldChar w:fldCharType="begin"/>
        </w:r>
        <w:r w:rsidR="005876C6">
          <w:rPr>
            <w:noProof/>
            <w:webHidden/>
          </w:rPr>
          <w:instrText xml:space="preserve"> PAGEREF _Toc343502443 \h </w:instrText>
        </w:r>
        <w:r w:rsidR="005876C6">
          <w:rPr>
            <w:noProof/>
            <w:webHidden/>
          </w:rPr>
        </w:r>
        <w:r w:rsidR="005876C6">
          <w:rPr>
            <w:noProof/>
            <w:webHidden/>
          </w:rPr>
          <w:fldChar w:fldCharType="separate"/>
        </w:r>
        <w:r w:rsidR="005876C6">
          <w:rPr>
            <w:noProof/>
            <w:webHidden/>
          </w:rPr>
          <w:t>60</w:t>
        </w:r>
        <w:r w:rsidR="005876C6">
          <w:rPr>
            <w:noProof/>
            <w:webHidden/>
          </w:rPr>
          <w:fldChar w:fldCharType="end"/>
        </w:r>
      </w:hyperlink>
    </w:p>
    <w:p w:rsidR="005876C6" w:rsidRDefault="006409D1">
      <w:pPr>
        <w:pStyle w:val="TOC3"/>
        <w:tabs>
          <w:tab w:val="right" w:leader="dot" w:pos="9016"/>
        </w:tabs>
        <w:rPr>
          <w:noProof/>
        </w:rPr>
      </w:pPr>
      <w:hyperlink w:anchor="_Toc343502444" w:history="1">
        <w:r w:rsidR="005876C6" w:rsidRPr="000B1861">
          <w:rPr>
            <w:rStyle w:val="Hyperlink"/>
            <w:i/>
            <w:iCs/>
            <w:noProof/>
          </w:rPr>
          <w:t>Results from the AWB</w:t>
        </w:r>
        <w:r w:rsidR="005876C6">
          <w:rPr>
            <w:noProof/>
            <w:webHidden/>
          </w:rPr>
          <w:tab/>
        </w:r>
        <w:r w:rsidR="005876C6">
          <w:rPr>
            <w:noProof/>
            <w:webHidden/>
          </w:rPr>
          <w:fldChar w:fldCharType="begin"/>
        </w:r>
        <w:r w:rsidR="005876C6">
          <w:rPr>
            <w:noProof/>
            <w:webHidden/>
          </w:rPr>
          <w:instrText xml:space="preserve"> PAGEREF _Toc343502444 \h </w:instrText>
        </w:r>
        <w:r w:rsidR="005876C6">
          <w:rPr>
            <w:noProof/>
            <w:webHidden/>
          </w:rPr>
        </w:r>
        <w:r w:rsidR="005876C6">
          <w:rPr>
            <w:noProof/>
            <w:webHidden/>
          </w:rPr>
          <w:fldChar w:fldCharType="separate"/>
        </w:r>
        <w:r w:rsidR="005876C6">
          <w:rPr>
            <w:noProof/>
            <w:webHidden/>
          </w:rPr>
          <w:t>61</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45" w:history="1">
        <w:r w:rsidR="005876C6" w:rsidRPr="000B1861">
          <w:rPr>
            <w:rStyle w:val="Hyperlink"/>
            <w:noProof/>
          </w:rPr>
          <w:t>Bullying and harassment</w:t>
        </w:r>
        <w:r w:rsidR="005876C6">
          <w:rPr>
            <w:noProof/>
            <w:webHidden/>
          </w:rPr>
          <w:tab/>
        </w:r>
        <w:r w:rsidR="005876C6">
          <w:rPr>
            <w:noProof/>
            <w:webHidden/>
          </w:rPr>
          <w:fldChar w:fldCharType="begin"/>
        </w:r>
        <w:r w:rsidR="005876C6">
          <w:rPr>
            <w:noProof/>
            <w:webHidden/>
          </w:rPr>
          <w:instrText xml:space="preserve"> PAGEREF _Toc343502445 \h </w:instrText>
        </w:r>
        <w:r w:rsidR="005876C6">
          <w:rPr>
            <w:noProof/>
            <w:webHidden/>
          </w:rPr>
        </w:r>
        <w:r w:rsidR="005876C6">
          <w:rPr>
            <w:noProof/>
            <w:webHidden/>
          </w:rPr>
          <w:fldChar w:fldCharType="separate"/>
        </w:r>
        <w:r w:rsidR="005876C6">
          <w:rPr>
            <w:noProof/>
            <w:webHidden/>
          </w:rPr>
          <w:t>61</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46" w:history="1">
        <w:r w:rsidR="005876C6" w:rsidRPr="000B1861">
          <w:rPr>
            <w:rStyle w:val="Hyperlink"/>
            <w:noProof/>
          </w:rPr>
          <w:t>Work-family conflict</w:t>
        </w:r>
        <w:r w:rsidR="005876C6">
          <w:rPr>
            <w:noProof/>
            <w:webHidden/>
          </w:rPr>
          <w:tab/>
        </w:r>
        <w:r w:rsidR="005876C6">
          <w:rPr>
            <w:noProof/>
            <w:webHidden/>
          </w:rPr>
          <w:fldChar w:fldCharType="begin"/>
        </w:r>
        <w:r w:rsidR="005876C6">
          <w:rPr>
            <w:noProof/>
            <w:webHidden/>
          </w:rPr>
          <w:instrText xml:space="preserve"> PAGEREF _Toc343502446 \h </w:instrText>
        </w:r>
        <w:r w:rsidR="005876C6">
          <w:rPr>
            <w:noProof/>
            <w:webHidden/>
          </w:rPr>
        </w:r>
        <w:r w:rsidR="005876C6">
          <w:rPr>
            <w:noProof/>
            <w:webHidden/>
          </w:rPr>
          <w:fldChar w:fldCharType="separate"/>
        </w:r>
        <w:r w:rsidR="005876C6">
          <w:rPr>
            <w:noProof/>
            <w:webHidden/>
          </w:rPr>
          <w:t>64</w:t>
        </w:r>
        <w:r w:rsidR="005876C6">
          <w:rPr>
            <w:noProof/>
            <w:webHidden/>
          </w:rPr>
          <w:fldChar w:fldCharType="end"/>
        </w:r>
      </w:hyperlink>
    </w:p>
    <w:p w:rsidR="005876C6" w:rsidRDefault="006409D1">
      <w:pPr>
        <w:pStyle w:val="TOC3"/>
        <w:tabs>
          <w:tab w:val="right" w:leader="dot" w:pos="9016"/>
        </w:tabs>
        <w:rPr>
          <w:noProof/>
        </w:rPr>
      </w:pPr>
      <w:hyperlink w:anchor="_Toc343502447" w:history="1">
        <w:r w:rsidR="005876C6" w:rsidRPr="000B1861">
          <w:rPr>
            <w:rStyle w:val="Hyperlink"/>
            <w:i/>
            <w:iCs/>
            <w:noProof/>
          </w:rPr>
          <w:t>Working hours</w:t>
        </w:r>
        <w:r w:rsidR="005876C6">
          <w:rPr>
            <w:noProof/>
            <w:webHidden/>
          </w:rPr>
          <w:tab/>
        </w:r>
        <w:r w:rsidR="005876C6">
          <w:rPr>
            <w:noProof/>
            <w:webHidden/>
          </w:rPr>
          <w:fldChar w:fldCharType="begin"/>
        </w:r>
        <w:r w:rsidR="005876C6">
          <w:rPr>
            <w:noProof/>
            <w:webHidden/>
          </w:rPr>
          <w:instrText xml:space="preserve"> PAGEREF _Toc343502447 \h </w:instrText>
        </w:r>
        <w:r w:rsidR="005876C6">
          <w:rPr>
            <w:noProof/>
            <w:webHidden/>
          </w:rPr>
        </w:r>
        <w:r w:rsidR="005876C6">
          <w:rPr>
            <w:noProof/>
            <w:webHidden/>
          </w:rPr>
          <w:fldChar w:fldCharType="separate"/>
        </w:r>
        <w:r w:rsidR="005876C6">
          <w:rPr>
            <w:noProof/>
            <w:webHidden/>
          </w:rPr>
          <w:t>65</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48" w:history="1">
        <w:r w:rsidR="005876C6" w:rsidRPr="000B1861">
          <w:rPr>
            <w:rStyle w:val="Hyperlink"/>
            <w:noProof/>
          </w:rPr>
          <w:t>Rates of health outcomes: Depression, distress, emotional exhaustion, general physical health</w:t>
        </w:r>
        <w:r w:rsidR="005876C6">
          <w:rPr>
            <w:noProof/>
            <w:webHidden/>
          </w:rPr>
          <w:tab/>
        </w:r>
        <w:r w:rsidR="005876C6">
          <w:rPr>
            <w:noProof/>
            <w:webHidden/>
          </w:rPr>
          <w:fldChar w:fldCharType="begin"/>
        </w:r>
        <w:r w:rsidR="005876C6">
          <w:rPr>
            <w:noProof/>
            <w:webHidden/>
          </w:rPr>
          <w:instrText xml:space="preserve"> PAGEREF _Toc343502448 \h </w:instrText>
        </w:r>
        <w:r w:rsidR="005876C6">
          <w:rPr>
            <w:noProof/>
            <w:webHidden/>
          </w:rPr>
        </w:r>
        <w:r w:rsidR="005876C6">
          <w:rPr>
            <w:noProof/>
            <w:webHidden/>
          </w:rPr>
          <w:fldChar w:fldCharType="separate"/>
        </w:r>
        <w:r w:rsidR="005876C6">
          <w:rPr>
            <w:noProof/>
            <w:webHidden/>
          </w:rPr>
          <w:t>67</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49" w:history="1">
        <w:r w:rsidR="005876C6" w:rsidRPr="000B1861">
          <w:rPr>
            <w:rStyle w:val="Hyperlink"/>
            <w:noProof/>
          </w:rPr>
          <w:t>The cost of employee productivity loss: Depression as a significant contributor</w:t>
        </w:r>
        <w:r w:rsidR="005876C6">
          <w:rPr>
            <w:noProof/>
            <w:webHidden/>
          </w:rPr>
          <w:tab/>
        </w:r>
        <w:r w:rsidR="005876C6">
          <w:rPr>
            <w:noProof/>
            <w:webHidden/>
          </w:rPr>
          <w:fldChar w:fldCharType="begin"/>
        </w:r>
        <w:r w:rsidR="005876C6">
          <w:rPr>
            <w:noProof/>
            <w:webHidden/>
          </w:rPr>
          <w:instrText xml:space="preserve"> PAGEREF _Toc343502449 \h </w:instrText>
        </w:r>
        <w:r w:rsidR="005876C6">
          <w:rPr>
            <w:noProof/>
            <w:webHidden/>
          </w:rPr>
        </w:r>
        <w:r w:rsidR="005876C6">
          <w:rPr>
            <w:noProof/>
            <w:webHidden/>
          </w:rPr>
          <w:fldChar w:fldCharType="separate"/>
        </w:r>
        <w:r w:rsidR="005876C6">
          <w:rPr>
            <w:noProof/>
            <w:webHidden/>
          </w:rPr>
          <w:t>68</w:t>
        </w:r>
        <w:r w:rsidR="005876C6">
          <w:rPr>
            <w:noProof/>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50" w:history="1">
        <w:r w:rsidR="005876C6" w:rsidRPr="000B1861">
          <w:rPr>
            <w:rStyle w:val="Hyperlink"/>
            <w:noProof/>
          </w:rPr>
          <w:t>Estimating lost productivity costs of poor psychological health in the workplace</w:t>
        </w:r>
        <w:r w:rsidR="005876C6">
          <w:rPr>
            <w:noProof/>
            <w:webHidden/>
          </w:rPr>
          <w:tab/>
        </w:r>
        <w:r w:rsidR="005876C6">
          <w:rPr>
            <w:noProof/>
            <w:webHidden/>
          </w:rPr>
          <w:fldChar w:fldCharType="begin"/>
        </w:r>
        <w:r w:rsidR="005876C6">
          <w:rPr>
            <w:noProof/>
            <w:webHidden/>
          </w:rPr>
          <w:instrText xml:space="preserve"> PAGEREF _Toc343502450 \h </w:instrText>
        </w:r>
        <w:r w:rsidR="005876C6">
          <w:rPr>
            <w:noProof/>
            <w:webHidden/>
          </w:rPr>
        </w:r>
        <w:r w:rsidR="005876C6">
          <w:rPr>
            <w:noProof/>
            <w:webHidden/>
          </w:rPr>
          <w:fldChar w:fldCharType="separate"/>
        </w:r>
        <w:r w:rsidR="005876C6">
          <w:rPr>
            <w:noProof/>
            <w:webHidden/>
          </w:rPr>
          <w:t>69</w:t>
        </w:r>
        <w:r w:rsidR="005876C6">
          <w:rPr>
            <w:noProof/>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51" w:history="1">
        <w:r w:rsidR="005876C6" w:rsidRPr="000B1861">
          <w:rPr>
            <w:rStyle w:val="Hyperlink"/>
          </w:rPr>
          <w:t>Policy implications for intervention</w:t>
        </w:r>
        <w:r w:rsidR="005876C6">
          <w:rPr>
            <w:webHidden/>
          </w:rPr>
          <w:tab/>
        </w:r>
        <w:r w:rsidR="005876C6" w:rsidRPr="005876C6">
          <w:rPr>
            <w:webHidden/>
          </w:rPr>
          <w:fldChar w:fldCharType="begin"/>
        </w:r>
        <w:r w:rsidR="005876C6" w:rsidRPr="005876C6">
          <w:rPr>
            <w:webHidden/>
          </w:rPr>
          <w:instrText xml:space="preserve"> PAGEREF _Toc343502451 \h </w:instrText>
        </w:r>
        <w:r w:rsidR="005876C6" w:rsidRPr="005876C6">
          <w:rPr>
            <w:webHidden/>
          </w:rPr>
        </w:r>
        <w:r w:rsidR="005876C6" w:rsidRPr="005876C6">
          <w:rPr>
            <w:webHidden/>
          </w:rPr>
          <w:fldChar w:fldCharType="separate"/>
        </w:r>
        <w:r w:rsidR="005876C6" w:rsidRPr="005876C6">
          <w:rPr>
            <w:webHidden/>
          </w:rPr>
          <w:t>71</w:t>
        </w:r>
        <w:r w:rsidR="005876C6" w:rsidRPr="005876C6">
          <w:rPr>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52" w:history="1">
        <w:r w:rsidR="005876C6" w:rsidRPr="000B1861">
          <w:rPr>
            <w:rStyle w:val="Hyperlink"/>
          </w:rPr>
          <w:t>Conclusion and future directions</w:t>
        </w:r>
        <w:r w:rsidR="005876C6">
          <w:rPr>
            <w:webHidden/>
          </w:rPr>
          <w:tab/>
        </w:r>
        <w:r w:rsidR="005876C6" w:rsidRPr="005876C6">
          <w:rPr>
            <w:webHidden/>
          </w:rPr>
          <w:fldChar w:fldCharType="begin"/>
        </w:r>
        <w:r w:rsidR="005876C6" w:rsidRPr="005876C6">
          <w:rPr>
            <w:webHidden/>
          </w:rPr>
          <w:instrText xml:space="preserve"> PAGEREF _Toc343502452 \h </w:instrText>
        </w:r>
        <w:r w:rsidR="005876C6" w:rsidRPr="005876C6">
          <w:rPr>
            <w:webHidden/>
          </w:rPr>
        </w:r>
        <w:r w:rsidR="005876C6" w:rsidRPr="005876C6">
          <w:rPr>
            <w:webHidden/>
          </w:rPr>
          <w:fldChar w:fldCharType="separate"/>
        </w:r>
        <w:r w:rsidR="005876C6" w:rsidRPr="005876C6">
          <w:rPr>
            <w:webHidden/>
          </w:rPr>
          <w:t>72</w:t>
        </w:r>
        <w:r w:rsidR="005876C6" w:rsidRPr="005876C6">
          <w:rPr>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53" w:history="1">
        <w:r w:rsidR="005876C6" w:rsidRPr="000B1861">
          <w:rPr>
            <w:rStyle w:val="Hyperlink"/>
          </w:rPr>
          <w:t>References</w:t>
        </w:r>
        <w:r w:rsidR="005876C6">
          <w:rPr>
            <w:webHidden/>
          </w:rPr>
          <w:tab/>
        </w:r>
        <w:r w:rsidR="005876C6" w:rsidRPr="005876C6">
          <w:rPr>
            <w:webHidden/>
          </w:rPr>
          <w:fldChar w:fldCharType="begin"/>
        </w:r>
        <w:r w:rsidR="005876C6" w:rsidRPr="005876C6">
          <w:rPr>
            <w:webHidden/>
          </w:rPr>
          <w:instrText xml:space="preserve"> PAGEREF _Toc343502453 \h </w:instrText>
        </w:r>
        <w:r w:rsidR="005876C6" w:rsidRPr="005876C6">
          <w:rPr>
            <w:webHidden/>
          </w:rPr>
        </w:r>
        <w:r w:rsidR="005876C6" w:rsidRPr="005876C6">
          <w:rPr>
            <w:webHidden/>
          </w:rPr>
          <w:fldChar w:fldCharType="separate"/>
        </w:r>
        <w:r w:rsidR="005876C6" w:rsidRPr="005876C6">
          <w:rPr>
            <w:webHidden/>
          </w:rPr>
          <w:t>74</w:t>
        </w:r>
        <w:r w:rsidR="005876C6" w:rsidRPr="005876C6">
          <w:rPr>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54" w:history="1">
        <w:r w:rsidR="005876C6" w:rsidRPr="000B1861">
          <w:rPr>
            <w:rStyle w:val="Hyperlink"/>
          </w:rPr>
          <w:t>Appendix A</w:t>
        </w:r>
        <w:r w:rsidR="005876C6">
          <w:rPr>
            <w:webHidden/>
          </w:rPr>
          <w:tab/>
        </w:r>
        <w:r w:rsidR="005876C6" w:rsidRPr="005876C6">
          <w:rPr>
            <w:webHidden/>
          </w:rPr>
          <w:fldChar w:fldCharType="begin"/>
        </w:r>
        <w:r w:rsidR="005876C6" w:rsidRPr="005876C6">
          <w:rPr>
            <w:webHidden/>
          </w:rPr>
          <w:instrText xml:space="preserve"> PAGEREF _Toc343502454 \h </w:instrText>
        </w:r>
        <w:r w:rsidR="005876C6" w:rsidRPr="005876C6">
          <w:rPr>
            <w:webHidden/>
          </w:rPr>
        </w:r>
        <w:r w:rsidR="005876C6" w:rsidRPr="005876C6">
          <w:rPr>
            <w:webHidden/>
          </w:rPr>
          <w:fldChar w:fldCharType="separate"/>
        </w:r>
        <w:r w:rsidR="005876C6" w:rsidRPr="005876C6">
          <w:rPr>
            <w:webHidden/>
          </w:rPr>
          <w:t>86</w:t>
        </w:r>
        <w:r w:rsidR="005876C6" w:rsidRP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55" w:history="1">
        <w:r w:rsidR="005876C6" w:rsidRPr="000B1861">
          <w:rPr>
            <w:rStyle w:val="Hyperlink"/>
            <w:noProof/>
          </w:rPr>
          <w:t>Glossary of terms</w:t>
        </w:r>
        <w:r w:rsidR="005876C6">
          <w:rPr>
            <w:noProof/>
            <w:webHidden/>
          </w:rPr>
          <w:tab/>
        </w:r>
        <w:r w:rsidR="005876C6">
          <w:rPr>
            <w:noProof/>
            <w:webHidden/>
          </w:rPr>
          <w:fldChar w:fldCharType="begin"/>
        </w:r>
        <w:r w:rsidR="005876C6">
          <w:rPr>
            <w:noProof/>
            <w:webHidden/>
          </w:rPr>
          <w:instrText xml:space="preserve"> PAGEREF _Toc343502455 \h </w:instrText>
        </w:r>
        <w:r w:rsidR="005876C6">
          <w:rPr>
            <w:noProof/>
            <w:webHidden/>
          </w:rPr>
        </w:r>
        <w:r w:rsidR="005876C6">
          <w:rPr>
            <w:noProof/>
            <w:webHidden/>
          </w:rPr>
          <w:fldChar w:fldCharType="separate"/>
        </w:r>
        <w:r w:rsidR="005876C6">
          <w:rPr>
            <w:noProof/>
            <w:webHidden/>
          </w:rPr>
          <w:t>86</w:t>
        </w:r>
        <w:r w:rsidR="005876C6">
          <w:rPr>
            <w:noProof/>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56" w:history="1">
        <w:r w:rsidR="005876C6" w:rsidRPr="000B1861">
          <w:rPr>
            <w:rStyle w:val="Hyperlink"/>
          </w:rPr>
          <w:t>Appendix B</w:t>
        </w:r>
        <w:r w:rsidR="005876C6">
          <w:rPr>
            <w:webHidden/>
          </w:rPr>
          <w:tab/>
        </w:r>
        <w:r w:rsidR="005876C6" w:rsidRPr="005876C6">
          <w:rPr>
            <w:webHidden/>
          </w:rPr>
          <w:fldChar w:fldCharType="begin"/>
        </w:r>
        <w:r w:rsidR="005876C6" w:rsidRPr="005876C6">
          <w:rPr>
            <w:webHidden/>
          </w:rPr>
          <w:instrText xml:space="preserve"> PAGEREF _Toc343502456 \h </w:instrText>
        </w:r>
        <w:r w:rsidR="005876C6" w:rsidRPr="005876C6">
          <w:rPr>
            <w:webHidden/>
          </w:rPr>
        </w:r>
        <w:r w:rsidR="005876C6" w:rsidRPr="005876C6">
          <w:rPr>
            <w:webHidden/>
          </w:rPr>
          <w:fldChar w:fldCharType="separate"/>
        </w:r>
        <w:r w:rsidR="005876C6" w:rsidRPr="005876C6">
          <w:rPr>
            <w:webHidden/>
          </w:rPr>
          <w:t>91</w:t>
        </w:r>
        <w:r w:rsidR="005876C6" w:rsidRP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57" w:history="1">
        <w:r w:rsidR="005876C6" w:rsidRPr="000B1861">
          <w:rPr>
            <w:rStyle w:val="Hyperlink"/>
            <w:noProof/>
          </w:rPr>
          <w:t>Summary of Data Collection Methodology and Weighting</w:t>
        </w:r>
        <w:r w:rsidR="005876C6">
          <w:rPr>
            <w:noProof/>
            <w:webHidden/>
          </w:rPr>
          <w:tab/>
        </w:r>
        <w:r w:rsidR="005876C6">
          <w:rPr>
            <w:noProof/>
            <w:webHidden/>
          </w:rPr>
          <w:fldChar w:fldCharType="begin"/>
        </w:r>
        <w:r w:rsidR="005876C6">
          <w:rPr>
            <w:noProof/>
            <w:webHidden/>
          </w:rPr>
          <w:instrText xml:space="preserve"> PAGEREF _Toc343502457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58" w:history="1">
        <w:r w:rsidR="005876C6" w:rsidRPr="000B1861">
          <w:rPr>
            <w:rStyle w:val="Hyperlink"/>
            <w:noProof/>
          </w:rPr>
          <w:t>Sample selection</w:t>
        </w:r>
        <w:r w:rsidR="005876C6">
          <w:rPr>
            <w:noProof/>
            <w:webHidden/>
          </w:rPr>
          <w:tab/>
        </w:r>
        <w:r w:rsidR="005876C6">
          <w:rPr>
            <w:noProof/>
            <w:webHidden/>
          </w:rPr>
          <w:fldChar w:fldCharType="begin"/>
        </w:r>
        <w:r w:rsidR="005876C6">
          <w:rPr>
            <w:noProof/>
            <w:webHidden/>
          </w:rPr>
          <w:instrText xml:space="preserve"> PAGEREF _Toc343502458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59" w:history="1">
        <w:r w:rsidR="005876C6" w:rsidRPr="000B1861">
          <w:rPr>
            <w:rStyle w:val="Hyperlink"/>
            <w:noProof/>
          </w:rPr>
          <w:t>Introductory letter</w:t>
        </w:r>
        <w:r w:rsidR="005876C6">
          <w:rPr>
            <w:noProof/>
            <w:webHidden/>
          </w:rPr>
          <w:tab/>
        </w:r>
        <w:r w:rsidR="005876C6">
          <w:rPr>
            <w:noProof/>
            <w:webHidden/>
          </w:rPr>
          <w:fldChar w:fldCharType="begin"/>
        </w:r>
        <w:r w:rsidR="005876C6">
          <w:rPr>
            <w:noProof/>
            <w:webHidden/>
          </w:rPr>
          <w:instrText xml:space="preserve"> PAGEREF _Toc343502459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60" w:history="1">
        <w:r w:rsidR="005876C6" w:rsidRPr="000B1861">
          <w:rPr>
            <w:rStyle w:val="Hyperlink"/>
            <w:noProof/>
          </w:rPr>
          <w:t>Questions</w:t>
        </w:r>
        <w:r w:rsidR="005876C6">
          <w:rPr>
            <w:noProof/>
            <w:webHidden/>
          </w:rPr>
          <w:tab/>
        </w:r>
        <w:r w:rsidR="005876C6">
          <w:rPr>
            <w:noProof/>
            <w:webHidden/>
          </w:rPr>
          <w:fldChar w:fldCharType="begin"/>
        </w:r>
        <w:r w:rsidR="005876C6">
          <w:rPr>
            <w:noProof/>
            <w:webHidden/>
          </w:rPr>
          <w:instrText xml:space="preserve"> PAGEREF _Toc343502460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61" w:history="1">
        <w:r w:rsidR="005876C6" w:rsidRPr="000B1861">
          <w:rPr>
            <w:rStyle w:val="Hyperlink"/>
            <w:noProof/>
          </w:rPr>
          <w:t>Data collection</w:t>
        </w:r>
        <w:r w:rsidR="005876C6">
          <w:rPr>
            <w:noProof/>
            <w:webHidden/>
          </w:rPr>
          <w:tab/>
        </w:r>
        <w:r w:rsidR="005876C6">
          <w:rPr>
            <w:noProof/>
            <w:webHidden/>
          </w:rPr>
          <w:fldChar w:fldCharType="begin"/>
        </w:r>
        <w:r w:rsidR="005876C6">
          <w:rPr>
            <w:noProof/>
            <w:webHidden/>
          </w:rPr>
          <w:instrText xml:space="preserve"> PAGEREF _Toc343502461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62" w:history="1">
        <w:r w:rsidR="005876C6" w:rsidRPr="000B1861">
          <w:rPr>
            <w:rStyle w:val="Hyperlink"/>
            <w:noProof/>
          </w:rPr>
          <w:t>CATI</w:t>
        </w:r>
        <w:r w:rsidR="005876C6">
          <w:rPr>
            <w:noProof/>
            <w:webHidden/>
          </w:rPr>
          <w:tab/>
        </w:r>
        <w:r w:rsidR="005876C6">
          <w:rPr>
            <w:noProof/>
            <w:webHidden/>
          </w:rPr>
          <w:fldChar w:fldCharType="begin"/>
        </w:r>
        <w:r w:rsidR="005876C6">
          <w:rPr>
            <w:noProof/>
            <w:webHidden/>
          </w:rPr>
          <w:instrText xml:space="preserve"> PAGEREF _Toc343502462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63" w:history="1">
        <w:r w:rsidR="005876C6" w:rsidRPr="000B1861">
          <w:rPr>
            <w:rStyle w:val="Hyperlink"/>
            <w:noProof/>
          </w:rPr>
          <w:t>Call backs</w:t>
        </w:r>
        <w:r w:rsidR="005876C6">
          <w:rPr>
            <w:noProof/>
            <w:webHidden/>
          </w:rPr>
          <w:tab/>
        </w:r>
        <w:r w:rsidR="005876C6">
          <w:rPr>
            <w:noProof/>
            <w:webHidden/>
          </w:rPr>
          <w:fldChar w:fldCharType="begin"/>
        </w:r>
        <w:r w:rsidR="005876C6">
          <w:rPr>
            <w:noProof/>
            <w:webHidden/>
          </w:rPr>
          <w:instrText xml:space="preserve"> PAGEREF _Toc343502463 \h </w:instrText>
        </w:r>
        <w:r w:rsidR="005876C6">
          <w:rPr>
            <w:noProof/>
            <w:webHidden/>
          </w:rPr>
        </w:r>
        <w:r w:rsidR="005876C6">
          <w:rPr>
            <w:noProof/>
            <w:webHidden/>
          </w:rPr>
          <w:fldChar w:fldCharType="separate"/>
        </w:r>
        <w:r w:rsidR="005876C6">
          <w:rPr>
            <w:noProof/>
            <w:webHidden/>
          </w:rPr>
          <w:t>91</w:t>
        </w:r>
        <w:r w:rsidR="005876C6">
          <w:rPr>
            <w:noProof/>
            <w:webHidden/>
          </w:rPr>
          <w:fldChar w:fldCharType="end"/>
        </w:r>
      </w:hyperlink>
    </w:p>
    <w:p w:rsidR="005876C6" w:rsidRDefault="006409D1">
      <w:pPr>
        <w:pStyle w:val="TOC3"/>
        <w:tabs>
          <w:tab w:val="right" w:leader="dot" w:pos="9016"/>
        </w:tabs>
        <w:rPr>
          <w:noProof/>
        </w:rPr>
      </w:pPr>
      <w:hyperlink w:anchor="_Toc343502464" w:history="1">
        <w:r w:rsidR="005876C6" w:rsidRPr="000B1861">
          <w:rPr>
            <w:rStyle w:val="Hyperlink"/>
            <w:noProof/>
          </w:rPr>
          <w:t>Validation</w:t>
        </w:r>
        <w:r w:rsidR="005876C6">
          <w:rPr>
            <w:noProof/>
            <w:webHidden/>
          </w:rPr>
          <w:tab/>
        </w:r>
        <w:r w:rsidR="005876C6">
          <w:rPr>
            <w:noProof/>
            <w:webHidden/>
          </w:rPr>
          <w:fldChar w:fldCharType="begin"/>
        </w:r>
        <w:r w:rsidR="005876C6">
          <w:rPr>
            <w:noProof/>
            <w:webHidden/>
          </w:rPr>
          <w:instrText xml:space="preserve"> PAGEREF _Toc343502464 \h </w:instrText>
        </w:r>
        <w:r w:rsidR="005876C6">
          <w:rPr>
            <w:noProof/>
            <w:webHidden/>
          </w:rPr>
        </w:r>
        <w:r w:rsidR="005876C6">
          <w:rPr>
            <w:noProof/>
            <w:webHidden/>
          </w:rPr>
          <w:fldChar w:fldCharType="separate"/>
        </w:r>
        <w:r w:rsidR="005876C6">
          <w:rPr>
            <w:noProof/>
            <w:webHidden/>
          </w:rPr>
          <w:t>92</w:t>
        </w:r>
        <w:r w:rsidR="005876C6">
          <w:rPr>
            <w:noProof/>
            <w:webHidden/>
          </w:rPr>
          <w:fldChar w:fldCharType="end"/>
        </w:r>
      </w:hyperlink>
    </w:p>
    <w:p w:rsidR="005876C6" w:rsidRDefault="006409D1">
      <w:pPr>
        <w:pStyle w:val="TOC3"/>
        <w:tabs>
          <w:tab w:val="right" w:leader="dot" w:pos="9016"/>
        </w:tabs>
        <w:rPr>
          <w:noProof/>
        </w:rPr>
      </w:pPr>
      <w:hyperlink w:anchor="_Toc343502465" w:history="1">
        <w:r w:rsidR="005876C6" w:rsidRPr="000B1861">
          <w:rPr>
            <w:rStyle w:val="Hyperlink"/>
            <w:noProof/>
          </w:rPr>
          <w:t>Response rates</w:t>
        </w:r>
        <w:r w:rsidR="005876C6">
          <w:rPr>
            <w:noProof/>
            <w:webHidden/>
          </w:rPr>
          <w:tab/>
        </w:r>
        <w:r w:rsidR="005876C6">
          <w:rPr>
            <w:noProof/>
            <w:webHidden/>
          </w:rPr>
          <w:fldChar w:fldCharType="begin"/>
        </w:r>
        <w:r w:rsidR="005876C6">
          <w:rPr>
            <w:noProof/>
            <w:webHidden/>
          </w:rPr>
          <w:instrText xml:space="preserve"> PAGEREF _Toc343502465 \h </w:instrText>
        </w:r>
        <w:r w:rsidR="005876C6">
          <w:rPr>
            <w:noProof/>
            <w:webHidden/>
          </w:rPr>
        </w:r>
        <w:r w:rsidR="005876C6">
          <w:rPr>
            <w:noProof/>
            <w:webHidden/>
          </w:rPr>
          <w:fldChar w:fldCharType="separate"/>
        </w:r>
        <w:r w:rsidR="005876C6">
          <w:rPr>
            <w:noProof/>
            <w:webHidden/>
          </w:rPr>
          <w:t>92</w:t>
        </w:r>
        <w:r w:rsidR="005876C6">
          <w:rPr>
            <w:noProof/>
            <w:webHidden/>
          </w:rPr>
          <w:fldChar w:fldCharType="end"/>
        </w:r>
      </w:hyperlink>
    </w:p>
    <w:p w:rsidR="005876C6" w:rsidRDefault="006409D1">
      <w:pPr>
        <w:pStyle w:val="TOC3"/>
        <w:tabs>
          <w:tab w:val="right" w:leader="dot" w:pos="9016"/>
        </w:tabs>
        <w:rPr>
          <w:noProof/>
        </w:rPr>
      </w:pPr>
      <w:hyperlink w:anchor="_Toc343502466" w:history="1">
        <w:r w:rsidR="005876C6" w:rsidRPr="000B1861">
          <w:rPr>
            <w:rStyle w:val="Hyperlink"/>
            <w:rFonts w:eastAsia="MS Mincho" w:cs="Arial"/>
            <w:noProof/>
          </w:rPr>
          <w:t>Weighting data</w:t>
        </w:r>
        <w:r w:rsidR="005876C6">
          <w:rPr>
            <w:noProof/>
            <w:webHidden/>
          </w:rPr>
          <w:tab/>
        </w:r>
        <w:r w:rsidR="005876C6">
          <w:rPr>
            <w:noProof/>
            <w:webHidden/>
          </w:rPr>
          <w:fldChar w:fldCharType="begin"/>
        </w:r>
        <w:r w:rsidR="005876C6">
          <w:rPr>
            <w:noProof/>
            <w:webHidden/>
          </w:rPr>
          <w:instrText xml:space="preserve"> PAGEREF _Toc343502466 \h </w:instrText>
        </w:r>
        <w:r w:rsidR="005876C6">
          <w:rPr>
            <w:noProof/>
            <w:webHidden/>
          </w:rPr>
        </w:r>
        <w:r w:rsidR="005876C6">
          <w:rPr>
            <w:noProof/>
            <w:webHidden/>
          </w:rPr>
          <w:fldChar w:fldCharType="separate"/>
        </w:r>
        <w:r w:rsidR="005876C6">
          <w:rPr>
            <w:noProof/>
            <w:webHidden/>
          </w:rPr>
          <w:t>92</w:t>
        </w:r>
        <w:r w:rsidR="005876C6">
          <w:rPr>
            <w:noProof/>
            <w:webHidden/>
          </w:rPr>
          <w:fldChar w:fldCharType="end"/>
        </w:r>
      </w:hyperlink>
    </w:p>
    <w:p w:rsidR="005876C6" w:rsidRDefault="006409D1">
      <w:pPr>
        <w:pStyle w:val="TOC3"/>
        <w:tabs>
          <w:tab w:val="right" w:leader="dot" w:pos="9016"/>
        </w:tabs>
        <w:rPr>
          <w:noProof/>
        </w:rPr>
      </w:pPr>
      <w:hyperlink w:anchor="_Toc343502467" w:history="1">
        <w:r w:rsidR="005876C6" w:rsidRPr="000B1861">
          <w:rPr>
            <w:rStyle w:val="Hyperlink"/>
            <w:noProof/>
          </w:rPr>
          <w:t>State weight</w:t>
        </w:r>
        <w:r w:rsidR="005876C6">
          <w:rPr>
            <w:noProof/>
            <w:webHidden/>
          </w:rPr>
          <w:tab/>
        </w:r>
        <w:r w:rsidR="005876C6">
          <w:rPr>
            <w:noProof/>
            <w:webHidden/>
          </w:rPr>
          <w:fldChar w:fldCharType="begin"/>
        </w:r>
        <w:r w:rsidR="005876C6">
          <w:rPr>
            <w:noProof/>
            <w:webHidden/>
          </w:rPr>
          <w:instrText xml:space="preserve"> PAGEREF _Toc343502467 \h </w:instrText>
        </w:r>
        <w:r w:rsidR="005876C6">
          <w:rPr>
            <w:noProof/>
            <w:webHidden/>
          </w:rPr>
        </w:r>
        <w:r w:rsidR="005876C6">
          <w:rPr>
            <w:noProof/>
            <w:webHidden/>
          </w:rPr>
          <w:fldChar w:fldCharType="separate"/>
        </w:r>
        <w:r w:rsidR="005876C6">
          <w:rPr>
            <w:noProof/>
            <w:webHidden/>
          </w:rPr>
          <w:t>93</w:t>
        </w:r>
        <w:r w:rsidR="005876C6">
          <w:rPr>
            <w:noProof/>
            <w:webHidden/>
          </w:rPr>
          <w:fldChar w:fldCharType="end"/>
        </w:r>
      </w:hyperlink>
    </w:p>
    <w:p w:rsidR="005876C6" w:rsidRDefault="006409D1">
      <w:pPr>
        <w:pStyle w:val="TOC3"/>
        <w:tabs>
          <w:tab w:val="right" w:leader="dot" w:pos="9016"/>
        </w:tabs>
        <w:rPr>
          <w:noProof/>
        </w:rPr>
      </w:pPr>
      <w:hyperlink w:anchor="_Toc343502468" w:history="1">
        <w:r w:rsidR="005876C6" w:rsidRPr="000B1861">
          <w:rPr>
            <w:rStyle w:val="Hyperlink"/>
            <w:noProof/>
          </w:rPr>
          <w:t>SPSS Command</w:t>
        </w:r>
        <w:r w:rsidR="005876C6">
          <w:rPr>
            <w:noProof/>
            <w:webHidden/>
          </w:rPr>
          <w:tab/>
        </w:r>
        <w:r w:rsidR="005876C6">
          <w:rPr>
            <w:noProof/>
            <w:webHidden/>
          </w:rPr>
          <w:fldChar w:fldCharType="begin"/>
        </w:r>
        <w:r w:rsidR="005876C6">
          <w:rPr>
            <w:noProof/>
            <w:webHidden/>
          </w:rPr>
          <w:instrText xml:space="preserve"> PAGEREF _Toc343502468 \h </w:instrText>
        </w:r>
        <w:r w:rsidR="005876C6">
          <w:rPr>
            <w:noProof/>
            <w:webHidden/>
          </w:rPr>
        </w:r>
        <w:r w:rsidR="005876C6">
          <w:rPr>
            <w:noProof/>
            <w:webHidden/>
          </w:rPr>
          <w:fldChar w:fldCharType="separate"/>
        </w:r>
        <w:r w:rsidR="005876C6">
          <w:rPr>
            <w:noProof/>
            <w:webHidden/>
          </w:rPr>
          <w:t>93</w:t>
        </w:r>
        <w:r w:rsidR="005876C6">
          <w:rPr>
            <w:noProof/>
            <w:webHidden/>
          </w:rPr>
          <w:fldChar w:fldCharType="end"/>
        </w:r>
      </w:hyperlink>
    </w:p>
    <w:p w:rsidR="005876C6" w:rsidRDefault="006409D1">
      <w:pPr>
        <w:pStyle w:val="TOC3"/>
        <w:tabs>
          <w:tab w:val="right" w:leader="dot" w:pos="9016"/>
        </w:tabs>
        <w:rPr>
          <w:noProof/>
        </w:rPr>
      </w:pPr>
      <w:hyperlink w:anchor="_Toc343502469" w:history="1">
        <w:r w:rsidR="005876C6" w:rsidRPr="000B1861">
          <w:rPr>
            <w:rStyle w:val="Hyperlink"/>
            <w:noProof/>
          </w:rPr>
          <w:t>Formal Definition</w:t>
        </w:r>
        <w:r w:rsidR="005876C6">
          <w:rPr>
            <w:noProof/>
            <w:webHidden/>
          </w:rPr>
          <w:tab/>
        </w:r>
        <w:r w:rsidR="005876C6">
          <w:rPr>
            <w:noProof/>
            <w:webHidden/>
          </w:rPr>
          <w:fldChar w:fldCharType="begin"/>
        </w:r>
        <w:r w:rsidR="005876C6">
          <w:rPr>
            <w:noProof/>
            <w:webHidden/>
          </w:rPr>
          <w:instrText xml:space="preserve"> PAGEREF _Toc343502469 \h </w:instrText>
        </w:r>
        <w:r w:rsidR="005876C6">
          <w:rPr>
            <w:noProof/>
            <w:webHidden/>
          </w:rPr>
        </w:r>
        <w:r w:rsidR="005876C6">
          <w:rPr>
            <w:noProof/>
            <w:webHidden/>
          </w:rPr>
          <w:fldChar w:fldCharType="separate"/>
        </w:r>
        <w:r w:rsidR="005876C6">
          <w:rPr>
            <w:noProof/>
            <w:webHidden/>
          </w:rPr>
          <w:t>93</w:t>
        </w:r>
        <w:r w:rsidR="005876C6">
          <w:rPr>
            <w:noProof/>
            <w:webHidden/>
          </w:rPr>
          <w:fldChar w:fldCharType="end"/>
        </w:r>
      </w:hyperlink>
    </w:p>
    <w:p w:rsidR="005876C6" w:rsidRDefault="006409D1">
      <w:pPr>
        <w:pStyle w:val="TOC3"/>
        <w:tabs>
          <w:tab w:val="right" w:leader="dot" w:pos="9016"/>
        </w:tabs>
        <w:rPr>
          <w:noProof/>
        </w:rPr>
      </w:pPr>
      <w:hyperlink w:anchor="_Toc343502470" w:history="1">
        <w:r w:rsidR="005876C6" w:rsidRPr="000B1861">
          <w:rPr>
            <w:rStyle w:val="Hyperlink"/>
            <w:noProof/>
          </w:rPr>
          <w:t>Additional Note</w:t>
        </w:r>
        <w:r w:rsidR="005876C6">
          <w:rPr>
            <w:noProof/>
            <w:webHidden/>
          </w:rPr>
          <w:tab/>
        </w:r>
        <w:r w:rsidR="005876C6">
          <w:rPr>
            <w:noProof/>
            <w:webHidden/>
          </w:rPr>
          <w:fldChar w:fldCharType="begin"/>
        </w:r>
        <w:r w:rsidR="005876C6">
          <w:rPr>
            <w:noProof/>
            <w:webHidden/>
          </w:rPr>
          <w:instrText xml:space="preserve"> PAGEREF _Toc343502470 \h </w:instrText>
        </w:r>
        <w:r w:rsidR="005876C6">
          <w:rPr>
            <w:noProof/>
            <w:webHidden/>
          </w:rPr>
        </w:r>
        <w:r w:rsidR="005876C6">
          <w:rPr>
            <w:noProof/>
            <w:webHidden/>
          </w:rPr>
          <w:fldChar w:fldCharType="separate"/>
        </w:r>
        <w:r w:rsidR="005876C6">
          <w:rPr>
            <w:noProof/>
            <w:webHidden/>
          </w:rPr>
          <w:t>93</w:t>
        </w:r>
        <w:r w:rsidR="005876C6">
          <w:rPr>
            <w:noProof/>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71" w:history="1">
        <w:r w:rsidR="005876C6" w:rsidRPr="000B1861">
          <w:rPr>
            <w:rStyle w:val="Hyperlink"/>
          </w:rPr>
          <w:t>Appendix C</w:t>
        </w:r>
        <w:r w:rsidR="005876C6">
          <w:rPr>
            <w:webHidden/>
          </w:rPr>
          <w:tab/>
        </w:r>
        <w:r w:rsidR="005876C6" w:rsidRPr="005876C6">
          <w:rPr>
            <w:webHidden/>
          </w:rPr>
          <w:fldChar w:fldCharType="begin"/>
        </w:r>
        <w:r w:rsidR="005876C6" w:rsidRPr="005876C6">
          <w:rPr>
            <w:webHidden/>
          </w:rPr>
          <w:instrText xml:space="preserve"> PAGEREF _Toc343502471 \h </w:instrText>
        </w:r>
        <w:r w:rsidR="005876C6" w:rsidRPr="005876C6">
          <w:rPr>
            <w:webHidden/>
          </w:rPr>
        </w:r>
        <w:r w:rsidR="005876C6" w:rsidRPr="005876C6">
          <w:rPr>
            <w:webHidden/>
          </w:rPr>
          <w:fldChar w:fldCharType="separate"/>
        </w:r>
        <w:r w:rsidR="005876C6" w:rsidRPr="005876C6">
          <w:rPr>
            <w:webHidden/>
          </w:rPr>
          <w:t>94</w:t>
        </w:r>
        <w:r w:rsidR="005876C6" w:rsidRP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72" w:history="1">
        <w:r w:rsidR="005876C6" w:rsidRPr="000B1861">
          <w:rPr>
            <w:rStyle w:val="Hyperlink"/>
            <w:iCs/>
            <w:noProof/>
          </w:rPr>
          <w:t>Results from structural equation model</w:t>
        </w:r>
        <w:r w:rsidR="005876C6">
          <w:rPr>
            <w:noProof/>
            <w:webHidden/>
          </w:rPr>
          <w:tab/>
        </w:r>
        <w:r w:rsidR="005876C6">
          <w:rPr>
            <w:noProof/>
            <w:webHidden/>
          </w:rPr>
          <w:fldChar w:fldCharType="begin"/>
        </w:r>
        <w:r w:rsidR="005876C6">
          <w:rPr>
            <w:noProof/>
            <w:webHidden/>
          </w:rPr>
          <w:instrText xml:space="preserve"> PAGEREF _Toc343502472 \h </w:instrText>
        </w:r>
        <w:r w:rsidR="005876C6">
          <w:rPr>
            <w:noProof/>
            <w:webHidden/>
          </w:rPr>
        </w:r>
        <w:r w:rsidR="005876C6">
          <w:rPr>
            <w:noProof/>
            <w:webHidden/>
          </w:rPr>
          <w:fldChar w:fldCharType="separate"/>
        </w:r>
        <w:r w:rsidR="005876C6">
          <w:rPr>
            <w:noProof/>
            <w:webHidden/>
          </w:rPr>
          <w:t>94</w:t>
        </w:r>
        <w:r w:rsidR="005876C6">
          <w:rPr>
            <w:noProof/>
            <w:webHidden/>
          </w:rPr>
          <w:fldChar w:fldCharType="end"/>
        </w:r>
      </w:hyperlink>
    </w:p>
    <w:p w:rsidR="005876C6" w:rsidRDefault="006409D1" w:rsidP="005876C6">
      <w:pPr>
        <w:pStyle w:val="TOC1"/>
        <w:rPr>
          <w:rFonts w:asciiTheme="minorHAnsi" w:eastAsiaTheme="minorEastAsia" w:hAnsiTheme="minorHAnsi" w:cstheme="minorBidi"/>
          <w:color w:val="auto"/>
          <w:szCs w:val="22"/>
        </w:rPr>
      </w:pPr>
      <w:hyperlink w:anchor="_Toc343502473" w:history="1">
        <w:r w:rsidR="005876C6" w:rsidRPr="000B1861">
          <w:rPr>
            <w:rStyle w:val="Hyperlink"/>
          </w:rPr>
          <w:t>Appendix D</w:t>
        </w:r>
        <w:r w:rsidR="005876C6">
          <w:rPr>
            <w:webHidden/>
          </w:rPr>
          <w:tab/>
        </w:r>
        <w:r w:rsidR="005876C6" w:rsidRPr="005876C6">
          <w:rPr>
            <w:webHidden/>
          </w:rPr>
          <w:fldChar w:fldCharType="begin"/>
        </w:r>
        <w:r w:rsidR="005876C6" w:rsidRPr="005876C6">
          <w:rPr>
            <w:webHidden/>
          </w:rPr>
          <w:instrText xml:space="preserve"> PAGEREF _Toc343502473 \h </w:instrText>
        </w:r>
        <w:r w:rsidR="005876C6" w:rsidRPr="005876C6">
          <w:rPr>
            <w:webHidden/>
          </w:rPr>
        </w:r>
        <w:r w:rsidR="005876C6" w:rsidRPr="005876C6">
          <w:rPr>
            <w:webHidden/>
          </w:rPr>
          <w:fldChar w:fldCharType="separate"/>
        </w:r>
        <w:r w:rsidR="005876C6" w:rsidRPr="005876C6">
          <w:rPr>
            <w:webHidden/>
          </w:rPr>
          <w:t>96</w:t>
        </w:r>
        <w:r w:rsidR="005876C6" w:rsidRPr="005876C6">
          <w:rPr>
            <w:webHidden/>
          </w:rPr>
          <w:fldChar w:fldCharType="end"/>
        </w:r>
      </w:hyperlink>
    </w:p>
    <w:p w:rsidR="005876C6" w:rsidRDefault="006409D1">
      <w:pPr>
        <w:pStyle w:val="TOC2"/>
        <w:tabs>
          <w:tab w:val="right" w:leader="dot" w:pos="9016"/>
        </w:tabs>
        <w:rPr>
          <w:rFonts w:asciiTheme="minorHAnsi" w:eastAsiaTheme="minorEastAsia" w:hAnsiTheme="minorHAnsi" w:cstheme="minorBidi"/>
          <w:noProof/>
          <w:color w:val="auto"/>
          <w:szCs w:val="22"/>
        </w:rPr>
      </w:pPr>
      <w:hyperlink w:anchor="_Toc343502474" w:history="1">
        <w:r w:rsidR="005876C6" w:rsidRPr="000B1861">
          <w:rPr>
            <w:rStyle w:val="Hyperlink"/>
            <w:noProof/>
          </w:rPr>
          <w:t>Smaller versus larger states</w:t>
        </w:r>
        <w:r w:rsidR="005876C6">
          <w:rPr>
            <w:noProof/>
            <w:webHidden/>
          </w:rPr>
          <w:tab/>
        </w:r>
        <w:r w:rsidR="005876C6">
          <w:rPr>
            <w:noProof/>
            <w:webHidden/>
          </w:rPr>
          <w:fldChar w:fldCharType="begin"/>
        </w:r>
        <w:r w:rsidR="005876C6">
          <w:rPr>
            <w:noProof/>
            <w:webHidden/>
          </w:rPr>
          <w:instrText xml:space="preserve"> PAGEREF _Toc343502474 \h </w:instrText>
        </w:r>
        <w:r w:rsidR="005876C6">
          <w:rPr>
            <w:noProof/>
            <w:webHidden/>
          </w:rPr>
        </w:r>
        <w:r w:rsidR="005876C6">
          <w:rPr>
            <w:noProof/>
            <w:webHidden/>
          </w:rPr>
          <w:fldChar w:fldCharType="separate"/>
        </w:r>
        <w:r w:rsidR="005876C6">
          <w:rPr>
            <w:noProof/>
            <w:webHidden/>
          </w:rPr>
          <w:t>96</w:t>
        </w:r>
        <w:r w:rsidR="005876C6">
          <w:rPr>
            <w:noProof/>
            <w:webHidden/>
          </w:rPr>
          <w:fldChar w:fldCharType="end"/>
        </w:r>
      </w:hyperlink>
    </w:p>
    <w:p w:rsidR="0044667A" w:rsidRPr="00AF0EB0" w:rsidRDefault="007E700B" w:rsidP="00773782">
      <w:pPr>
        <w:pStyle w:val="TOC2"/>
        <w:tabs>
          <w:tab w:val="right" w:leader="dot" w:pos="9016"/>
        </w:tabs>
        <w:spacing w:beforeLines="40" w:before="96" w:afterLines="40" w:after="96"/>
        <w:rPr>
          <w:rFonts w:cs="Arial"/>
        </w:rPr>
      </w:pPr>
      <w:r w:rsidRPr="00723A04">
        <w:rPr>
          <w:rFonts w:cs="Arial"/>
        </w:rPr>
        <w:fldChar w:fldCharType="end"/>
      </w:r>
    </w:p>
    <w:p w:rsidR="00EC579C" w:rsidRPr="00AF0EB0" w:rsidRDefault="00EC579C" w:rsidP="00EC579C">
      <w:pPr>
        <w:rPr>
          <w:rFonts w:cs="Arial"/>
        </w:rPr>
        <w:sectPr w:rsidR="00EC579C" w:rsidRPr="00AF0EB0" w:rsidSect="00834360">
          <w:pgSz w:w="11906" w:h="16838"/>
          <w:pgMar w:top="1440" w:right="1440" w:bottom="1440" w:left="1440" w:header="709" w:footer="709" w:gutter="0"/>
          <w:pgNumType w:start="1"/>
          <w:cols w:space="708"/>
          <w:titlePg/>
          <w:docGrid w:linePitch="360"/>
        </w:sectPr>
      </w:pPr>
    </w:p>
    <w:p w:rsidR="0076164D" w:rsidRPr="00EC4877" w:rsidRDefault="00DD0A10" w:rsidP="00EC4877">
      <w:pPr>
        <w:pStyle w:val="Heading1"/>
        <w:spacing w:before="100" w:beforeAutospacing="1" w:after="100" w:afterAutospacing="1"/>
      </w:pPr>
      <w:bookmarkStart w:id="21" w:name="_Toc343502406"/>
      <w:r>
        <w:lastRenderedPageBreak/>
        <w:t>Foreword</w:t>
      </w:r>
      <w:bookmarkEnd w:id="21"/>
    </w:p>
    <w:p w:rsidR="00AA5BCD" w:rsidRPr="002C1806" w:rsidRDefault="00AA5BCD" w:rsidP="00C246FC">
      <w:pPr>
        <w:ind w:right="-1"/>
      </w:pPr>
      <w:r w:rsidRPr="002C1806">
        <w:t>The Australian Workplace Barometer project aims to provide science driven evidence of Australian work conditions and their relationships to workplace health and productivity, through a national monitoring and surveillanc</w:t>
      </w:r>
      <w:r w:rsidR="004B18AE">
        <w:t>e system.</w:t>
      </w:r>
    </w:p>
    <w:p w:rsidR="00AA5BCD" w:rsidRPr="002C1806" w:rsidRDefault="00186610" w:rsidP="002C1806">
      <w:r w:rsidRPr="002C1806">
        <w:t>This report was commissioned by Safe</w:t>
      </w:r>
      <w:r w:rsidR="00243E26" w:rsidRPr="002C1806">
        <w:t xml:space="preserve"> </w:t>
      </w:r>
      <w:r w:rsidRPr="002C1806">
        <w:t>Work Australia to</w:t>
      </w:r>
      <w:r w:rsidR="00EC4877" w:rsidRPr="002C1806">
        <w:t xml:space="preserve"> provide a summary of the results </w:t>
      </w:r>
      <w:r w:rsidR="00AA5BCD" w:rsidRPr="002C1806">
        <w:t>from data obtained from six Australian states and territories</w:t>
      </w:r>
      <w:r w:rsidR="000418FD">
        <w:t>:</w:t>
      </w:r>
      <w:r w:rsidR="00AA5BCD" w:rsidRPr="002C1806">
        <w:t xml:space="preserve"> </w:t>
      </w:r>
      <w:r w:rsidR="0062111B" w:rsidRPr="002C1806">
        <w:t xml:space="preserve">New South Wales </w:t>
      </w:r>
      <w:r w:rsidR="00AA5BCD" w:rsidRPr="002C1806">
        <w:t>(NSW</w:t>
      </w:r>
      <w:r w:rsidR="0062111B" w:rsidRPr="002C1806">
        <w:t>)</w:t>
      </w:r>
      <w:r w:rsidR="00AA5BCD" w:rsidRPr="002C1806">
        <w:t xml:space="preserve">, </w:t>
      </w:r>
      <w:r w:rsidR="0062111B" w:rsidRPr="002C1806">
        <w:t>South Australia (</w:t>
      </w:r>
      <w:r w:rsidR="00AA5BCD" w:rsidRPr="002C1806">
        <w:t>SA</w:t>
      </w:r>
      <w:r w:rsidR="0062111B" w:rsidRPr="002C1806">
        <w:t>)</w:t>
      </w:r>
      <w:r w:rsidR="00AA5BCD" w:rsidRPr="002C1806">
        <w:t xml:space="preserve">, </w:t>
      </w:r>
      <w:r w:rsidR="0062111B" w:rsidRPr="002C1806">
        <w:t>Western Australia (</w:t>
      </w:r>
      <w:r w:rsidR="00AA5BCD" w:rsidRPr="002C1806">
        <w:t>WA</w:t>
      </w:r>
      <w:r w:rsidR="0062111B" w:rsidRPr="002C1806">
        <w:t>)</w:t>
      </w:r>
      <w:r w:rsidR="00AA5BCD" w:rsidRPr="002C1806">
        <w:t xml:space="preserve">, </w:t>
      </w:r>
      <w:r w:rsidR="00B01C93" w:rsidRPr="002C1806">
        <w:t>Tasmania</w:t>
      </w:r>
      <w:r w:rsidR="00AA5BCD" w:rsidRPr="002C1806">
        <w:t xml:space="preserve">, </w:t>
      </w:r>
      <w:r w:rsidR="00ED5BDB" w:rsidRPr="002C1806">
        <w:t xml:space="preserve">the </w:t>
      </w:r>
      <w:r w:rsidR="0062111B" w:rsidRPr="002C1806">
        <w:t>Australian Capital Territory (</w:t>
      </w:r>
      <w:r w:rsidR="00AA5BCD" w:rsidRPr="002C1806">
        <w:t>ACT</w:t>
      </w:r>
      <w:r w:rsidR="0062111B" w:rsidRPr="002C1806">
        <w:t>)</w:t>
      </w:r>
      <w:r w:rsidR="00AA5BCD" w:rsidRPr="002C1806">
        <w:t xml:space="preserve"> </w:t>
      </w:r>
      <w:r w:rsidR="0001624C" w:rsidRPr="002C1806">
        <w:t xml:space="preserve">and </w:t>
      </w:r>
      <w:r w:rsidR="00ED5BDB" w:rsidRPr="002C1806">
        <w:t xml:space="preserve">the </w:t>
      </w:r>
      <w:r w:rsidR="0062111B" w:rsidRPr="002C1806">
        <w:t>Northern Territory (</w:t>
      </w:r>
      <w:r w:rsidR="00AA5BCD" w:rsidRPr="002C1806">
        <w:t>NT).</w:t>
      </w:r>
      <w:r w:rsidR="00B01C93" w:rsidRPr="002C1806">
        <w:t xml:space="preserve"> </w:t>
      </w:r>
      <w:r w:rsidR="00B261B9" w:rsidRPr="002C1806">
        <w:t>The</w:t>
      </w:r>
      <w:r w:rsidR="00EC4877" w:rsidRPr="002C1806">
        <w:t xml:space="preserve"> data provides evidence relating to psychosocial risk factors in the working Australian population as well as an analysis of relationships between risk factors and employee health and motivational</w:t>
      </w:r>
      <w:r w:rsidR="004B18AE">
        <w:t xml:space="preserve"> outcomes.</w:t>
      </w:r>
    </w:p>
    <w:p w:rsidR="00AA5BCD" w:rsidRPr="002C1806" w:rsidRDefault="00AA5BCD" w:rsidP="002C1806">
      <w:r w:rsidRPr="002C1806">
        <w:t xml:space="preserve">The research is guided by an innovative theoretical framework, Psychosocial Safety Climate </w:t>
      </w:r>
      <w:r w:rsidR="00ED5BDB" w:rsidRPr="002C1806">
        <w:t xml:space="preserve">(PSC) </w:t>
      </w:r>
      <w:r w:rsidRPr="002C1806">
        <w:t xml:space="preserve">theory, </w:t>
      </w:r>
      <w:r w:rsidR="0001624C" w:rsidRPr="002C1806">
        <w:t xml:space="preserve">which </w:t>
      </w:r>
      <w:r w:rsidRPr="002C1806">
        <w:t xml:space="preserve">states that work conditions, worker health and engagement can be predicted when the psychosocial safety climate of an organisation or work group is known. </w:t>
      </w:r>
      <w:r w:rsidR="0001624C" w:rsidRPr="002C1806">
        <w:t xml:space="preserve">The report sets out to test this theory and provide details on levels of PSC, </w:t>
      </w:r>
      <w:r w:rsidR="00EC4877" w:rsidRPr="002C1806">
        <w:t xml:space="preserve">demands, resources </w:t>
      </w:r>
      <w:r w:rsidR="0001624C" w:rsidRPr="002C1806">
        <w:t xml:space="preserve">and health status, by industry by state so that risky industries </w:t>
      </w:r>
      <w:r w:rsidR="004B18AE">
        <w:t>can be identified.</w:t>
      </w:r>
    </w:p>
    <w:p w:rsidR="00186610" w:rsidRPr="002C1806" w:rsidRDefault="00EC4877" w:rsidP="002C1806">
      <w:r w:rsidRPr="002C1806">
        <w:t xml:space="preserve">It is intended that this information will be used </w:t>
      </w:r>
      <w:r w:rsidR="0001624C" w:rsidRPr="002C1806">
        <w:t xml:space="preserve">to assist employers, </w:t>
      </w:r>
      <w:r w:rsidR="000418FD">
        <w:t xml:space="preserve">workers </w:t>
      </w:r>
      <w:r w:rsidR="0001624C" w:rsidRPr="002C1806">
        <w:t xml:space="preserve">and their representatives, practitioners, and policy makers </w:t>
      </w:r>
      <w:r w:rsidRPr="002C1806">
        <w:t xml:space="preserve">in the development of policy </w:t>
      </w:r>
      <w:r w:rsidR="0001624C" w:rsidRPr="002C1806">
        <w:t xml:space="preserve">to reduce work stress and related injury </w:t>
      </w:r>
      <w:r w:rsidRPr="002C1806">
        <w:t xml:space="preserve">and </w:t>
      </w:r>
      <w:r w:rsidR="0001624C" w:rsidRPr="002C1806">
        <w:t xml:space="preserve">in the future </w:t>
      </w:r>
      <w:r w:rsidRPr="002C1806">
        <w:t>as a means to evaluate current</w:t>
      </w:r>
      <w:r w:rsidR="00487422" w:rsidRPr="002C1806">
        <w:t>,</w:t>
      </w:r>
      <w:r w:rsidRPr="002C1806">
        <w:t xml:space="preserve"> and future</w:t>
      </w:r>
      <w:r w:rsidR="00487422" w:rsidRPr="002C1806">
        <w:t>,</w:t>
      </w:r>
      <w:r w:rsidRPr="002C1806">
        <w:t xml:space="preserve"> worker injury prevention and intervention strategies.</w:t>
      </w:r>
    </w:p>
    <w:p w:rsidR="00257B92" w:rsidRPr="002C1806" w:rsidRDefault="00257B92" w:rsidP="002C1806">
      <w:r w:rsidRPr="002C1806">
        <w:t xml:space="preserve">The </w:t>
      </w:r>
      <w:r w:rsidR="00482D3A" w:rsidRPr="002C1806">
        <w:t>outcomes</w:t>
      </w:r>
      <w:r w:rsidRPr="002C1806">
        <w:t xml:space="preserve"> published in this report were the result of joint</w:t>
      </w:r>
      <w:r w:rsidR="00482D3A" w:rsidRPr="002C1806">
        <w:t>ly funded project</w:t>
      </w:r>
      <w:r w:rsidR="00B13071" w:rsidRPr="002C1806">
        <w:t>s supported</w:t>
      </w:r>
      <w:r w:rsidRPr="002C1806">
        <w:t xml:space="preserve"> by:</w:t>
      </w:r>
    </w:p>
    <w:p w:rsidR="00257B92" w:rsidRPr="00EE1287" w:rsidRDefault="00257B92" w:rsidP="0023074F">
      <w:pPr>
        <w:pStyle w:val="ListParagraph"/>
        <w:numPr>
          <w:ilvl w:val="0"/>
          <w:numId w:val="15"/>
        </w:numPr>
        <w:rPr>
          <w:rFonts w:ascii="Arial" w:hAnsi="Arial" w:cs="Arial"/>
        </w:rPr>
      </w:pPr>
      <w:r w:rsidRPr="00EE1287">
        <w:rPr>
          <w:rFonts w:ascii="Arial" w:hAnsi="Arial" w:cs="Arial"/>
        </w:rPr>
        <w:t xml:space="preserve">Australian Research Council (ARC) Discovery Grant: Working wounded or engaged? Australian work conditions and consequences through the lens of </w:t>
      </w:r>
      <w:r w:rsidR="00723A04">
        <w:rPr>
          <w:rFonts w:ascii="Arial" w:hAnsi="Arial" w:cs="Arial"/>
        </w:rPr>
        <w:t>the Job Demands-Resources Model</w:t>
      </w:r>
    </w:p>
    <w:p w:rsidR="00257B92" w:rsidRPr="00EE1287" w:rsidRDefault="00257B92" w:rsidP="00C246FC">
      <w:pPr>
        <w:pStyle w:val="ListParagraph"/>
        <w:numPr>
          <w:ilvl w:val="0"/>
          <w:numId w:val="15"/>
        </w:numPr>
        <w:ind w:right="-143"/>
        <w:rPr>
          <w:rFonts w:ascii="Arial" w:hAnsi="Arial" w:cs="Arial"/>
        </w:rPr>
      </w:pPr>
      <w:r w:rsidRPr="00EE1287">
        <w:rPr>
          <w:rFonts w:ascii="Arial" w:hAnsi="Arial" w:cs="Arial"/>
        </w:rPr>
        <w:t>ARC Linkage Grant: State, organisational, and team interventions to build psychosocial safety climate using the Australian Workplace Barometer and the StressCafé</w:t>
      </w:r>
    </w:p>
    <w:p w:rsidR="00257B92" w:rsidRPr="00EE1287" w:rsidRDefault="00257B92">
      <w:pPr>
        <w:pStyle w:val="ListParagraph"/>
        <w:numPr>
          <w:ilvl w:val="0"/>
          <w:numId w:val="15"/>
        </w:numPr>
        <w:rPr>
          <w:rFonts w:ascii="Arial" w:hAnsi="Arial" w:cs="Arial"/>
        </w:rPr>
      </w:pPr>
      <w:r w:rsidRPr="00905BEE">
        <w:rPr>
          <w:rFonts w:ascii="Arial" w:hAnsi="Arial" w:cs="Arial"/>
        </w:rPr>
        <w:t>SafeWork SA</w:t>
      </w:r>
      <w:r w:rsidR="00ED5BDB" w:rsidRPr="00905BEE">
        <w:rPr>
          <w:rFonts w:ascii="Arial" w:hAnsi="Arial" w:cs="Arial"/>
        </w:rPr>
        <w:t>, and</w:t>
      </w:r>
    </w:p>
    <w:p w:rsidR="00257B92" w:rsidRPr="00905BEE" w:rsidRDefault="00257B92" w:rsidP="00905BEE">
      <w:pPr>
        <w:pStyle w:val="ListParagraph"/>
        <w:numPr>
          <w:ilvl w:val="0"/>
          <w:numId w:val="15"/>
        </w:numPr>
        <w:rPr>
          <w:rFonts w:ascii="Arial" w:hAnsi="Arial" w:cs="Arial"/>
        </w:rPr>
      </w:pPr>
      <w:r w:rsidRPr="00905BEE">
        <w:rPr>
          <w:rFonts w:ascii="Arial" w:hAnsi="Arial" w:cs="Arial"/>
        </w:rPr>
        <w:t>Safe Work Australia</w:t>
      </w:r>
      <w:r w:rsidR="00ED5BDB" w:rsidRPr="00905BEE">
        <w:rPr>
          <w:rFonts w:ascii="Arial" w:hAnsi="Arial" w:cs="Arial"/>
        </w:rPr>
        <w:t>.</w:t>
      </w:r>
    </w:p>
    <w:p w:rsidR="00186610" w:rsidRDefault="00870AF6" w:rsidP="00C246FC">
      <w:pPr>
        <w:ind w:right="-1"/>
      </w:pPr>
      <w:r w:rsidRPr="002C1806">
        <w:t>The report</w:t>
      </w:r>
      <w:r w:rsidR="00186610" w:rsidRPr="002C1806">
        <w:t xml:space="preserve"> provide</w:t>
      </w:r>
      <w:r w:rsidRPr="002C1806">
        <w:t>s</w:t>
      </w:r>
      <w:r w:rsidR="00186610" w:rsidRPr="002C1806">
        <w:t xml:space="preserve"> a summary of the key findings but the reader may refer to an edited volume for more supporting empirical evidence and statistical analyses in Dolla</w:t>
      </w:r>
      <w:r w:rsidR="00723A04">
        <w:t>rd, M.F</w:t>
      </w:r>
      <w:proofErr w:type="gramStart"/>
      <w:r w:rsidR="00723A04">
        <w:t>.&amp;</w:t>
      </w:r>
      <w:proofErr w:type="gramEnd"/>
      <w:r w:rsidR="00723A04">
        <w:t xml:space="preserve"> Bailey, T. S. (Eds).</w:t>
      </w:r>
      <w:r w:rsidR="00186610" w:rsidRPr="002C1806">
        <w:t xml:space="preserve"> </w:t>
      </w:r>
      <w:r w:rsidR="00186610" w:rsidRPr="00C246FC">
        <w:rPr>
          <w:i/>
        </w:rPr>
        <w:t>Australian Workplace Barometer: Psychosocial Safety Climate and working conditions in Australia</w:t>
      </w:r>
      <w:r w:rsidR="00186610" w:rsidRPr="002C1806">
        <w:t xml:space="preserve">: Australian Federation Press to be published </w:t>
      </w:r>
      <w:r w:rsidR="00BC5158" w:rsidRPr="002C1806">
        <w:t xml:space="preserve">in </w:t>
      </w:r>
      <w:r w:rsidR="00187EBB" w:rsidRPr="002C1806">
        <w:t>2013</w:t>
      </w:r>
      <w:r w:rsidR="00DE13CB" w:rsidRPr="002C1806">
        <w:t>.</w:t>
      </w:r>
    </w:p>
    <w:p w:rsidR="006A5A5C" w:rsidRPr="00C246FC" w:rsidRDefault="006A5A5C" w:rsidP="00905BEE">
      <w:pPr>
        <w:rPr>
          <w:rFonts w:cs="Arial"/>
          <w:szCs w:val="22"/>
        </w:rPr>
      </w:pPr>
      <w:r w:rsidRPr="00C246FC">
        <w:rPr>
          <w:rFonts w:cs="Arial"/>
          <w:szCs w:val="22"/>
        </w:rPr>
        <w:t>This report was reviewed by Michael Ertel</w:t>
      </w:r>
      <w:r w:rsidR="006409D1">
        <w:rPr>
          <w:rFonts w:cs="Arial"/>
          <w:szCs w:val="22"/>
        </w:rPr>
        <w:t>,</w:t>
      </w:r>
      <w:r w:rsidRPr="00C246FC">
        <w:rPr>
          <w:rFonts w:cs="Arial"/>
          <w:szCs w:val="22"/>
        </w:rPr>
        <w:t xml:space="preserve"> Federal Institute for Occupational Safety and Health (BAuA), Germany. Michael played a significant role in the development of the PRIMA-EF European Framework for Psychosocial Risk Management. Michael is a BAuA expert with extensive expertise in psychosocial factors, health aspects of working time arrangements, flexible work styles, the ageing workforce, research methods and data analysis, cooperation with social partners, and networking at European level and internationally.</w:t>
      </w:r>
    </w:p>
    <w:p w:rsidR="006A5A5C" w:rsidRPr="00C246FC" w:rsidRDefault="006A5A5C" w:rsidP="00C246FC">
      <w:pPr>
        <w:ind w:right="-1"/>
        <w:rPr>
          <w:rFonts w:cs="Arial"/>
          <w:szCs w:val="22"/>
        </w:rPr>
      </w:pPr>
      <w:r w:rsidRPr="00C246FC">
        <w:rPr>
          <w:rFonts w:cs="Arial"/>
          <w:szCs w:val="22"/>
        </w:rPr>
        <w:t xml:space="preserve">The Australian Workplace Barometer project won the Best Collaborative Engagement award at the </w:t>
      </w:r>
      <w:r w:rsidR="00905BEE" w:rsidRPr="00C246FC">
        <w:rPr>
          <w:rFonts w:cs="Arial"/>
          <w:szCs w:val="22"/>
        </w:rPr>
        <w:t>2012 Uni</w:t>
      </w:r>
      <w:r w:rsidR="00C246FC">
        <w:rPr>
          <w:rFonts w:cs="Arial"/>
          <w:szCs w:val="22"/>
        </w:rPr>
        <w:t xml:space="preserve">versity of </w:t>
      </w:r>
      <w:r w:rsidR="00905BEE" w:rsidRPr="00C246FC">
        <w:rPr>
          <w:rFonts w:cs="Arial"/>
          <w:szCs w:val="22"/>
        </w:rPr>
        <w:t>S</w:t>
      </w:r>
      <w:r w:rsidR="00C246FC">
        <w:rPr>
          <w:rFonts w:cs="Arial"/>
          <w:szCs w:val="22"/>
        </w:rPr>
        <w:t xml:space="preserve">outh </w:t>
      </w:r>
      <w:r w:rsidR="00905BEE" w:rsidRPr="00C246FC">
        <w:rPr>
          <w:rFonts w:cs="Arial"/>
          <w:szCs w:val="22"/>
        </w:rPr>
        <w:t>A</w:t>
      </w:r>
      <w:r w:rsidR="00C246FC">
        <w:rPr>
          <w:rFonts w:cs="Arial"/>
          <w:szCs w:val="22"/>
        </w:rPr>
        <w:t>ustralia</w:t>
      </w:r>
      <w:r w:rsidR="00905BEE" w:rsidRPr="00C246FC">
        <w:rPr>
          <w:rFonts w:cs="Arial"/>
          <w:szCs w:val="22"/>
        </w:rPr>
        <w:t xml:space="preserve"> Division of Education, Arts and Social Sciences </w:t>
      </w:r>
      <w:r w:rsidR="00C246FC">
        <w:rPr>
          <w:rFonts w:cs="Arial"/>
          <w:szCs w:val="22"/>
        </w:rPr>
        <w:t>Research</w:t>
      </w:r>
      <w:r w:rsidR="00C246FC" w:rsidRPr="00C246FC">
        <w:rPr>
          <w:rFonts w:cs="Arial"/>
          <w:szCs w:val="22"/>
        </w:rPr>
        <w:t xml:space="preserve"> </w:t>
      </w:r>
      <w:r w:rsidR="00905BEE" w:rsidRPr="00C246FC">
        <w:rPr>
          <w:rFonts w:cs="Arial"/>
          <w:szCs w:val="22"/>
        </w:rPr>
        <w:t>Awards.</w:t>
      </w:r>
    </w:p>
    <w:p w:rsidR="00C13E10" w:rsidRPr="00422714" w:rsidRDefault="00C13E10" w:rsidP="00422714">
      <w:pPr>
        <w:pStyle w:val="Heading1"/>
      </w:pPr>
      <w:bookmarkStart w:id="22" w:name="_Toc343502407"/>
      <w:r w:rsidRPr="00422714">
        <w:lastRenderedPageBreak/>
        <w:t>Executive summary</w:t>
      </w:r>
      <w:bookmarkEnd w:id="22"/>
    </w:p>
    <w:p w:rsidR="00F126AA" w:rsidRPr="000261BD" w:rsidRDefault="00F126AA" w:rsidP="000261BD">
      <w:pPr>
        <w:pStyle w:val="Quote"/>
        <w:rPr>
          <w:rStyle w:val="Emphasis"/>
          <w:i/>
          <w:iCs/>
        </w:rPr>
      </w:pPr>
      <w:r w:rsidRPr="000261BD">
        <w:rPr>
          <w:rStyle w:val="Emphasis"/>
          <w:i/>
          <w:iCs/>
        </w:rPr>
        <w:t>“A standout finding here is that depression costs Australian employers approximately AUD$</w:t>
      </w:r>
      <w:r w:rsidR="005B6C4A" w:rsidRPr="000261BD">
        <w:rPr>
          <w:rStyle w:val="Emphasis"/>
          <w:i/>
          <w:iCs/>
        </w:rPr>
        <w:t>8 billion</w:t>
      </w:r>
      <w:r w:rsidR="00905BEE" w:rsidRPr="000261BD">
        <w:rPr>
          <w:rStyle w:val="Emphasis"/>
          <w:i/>
          <w:iCs/>
        </w:rPr>
        <w:t xml:space="preserve"> </w:t>
      </w:r>
      <w:r w:rsidRPr="000261BD">
        <w:rPr>
          <w:rStyle w:val="Emphasis"/>
          <w:i/>
          <w:iCs/>
        </w:rPr>
        <w:t>per annum as a result of sickness absence and presenteeism</w:t>
      </w:r>
      <w:r w:rsidR="005B6C4A" w:rsidRPr="000261BD">
        <w:rPr>
          <w:rStyle w:val="Emphasis"/>
          <w:i/>
          <w:iCs/>
        </w:rPr>
        <w:t xml:space="preserve"> and AUD$693 million per annum of this is due to job strain and bullying</w:t>
      </w:r>
      <w:r w:rsidR="000418FD" w:rsidRPr="000261BD">
        <w:rPr>
          <w:rStyle w:val="Emphasis"/>
          <w:i/>
          <w:iCs/>
        </w:rPr>
        <w:t>.</w:t>
      </w:r>
      <w:r w:rsidRPr="000261BD">
        <w:rPr>
          <w:rStyle w:val="Emphasis"/>
          <w:i/>
          <w:iCs/>
        </w:rPr>
        <w:t>”</w:t>
      </w:r>
    </w:p>
    <w:p w:rsidR="00CF792E" w:rsidRPr="002C1806" w:rsidRDefault="00431982" w:rsidP="002C1806">
      <w:r w:rsidRPr="002C1806">
        <w:t xml:space="preserve">Work related stress represents a ‘huge cost’ for worker health and productivity and is broadly regarded as an important social determinant of global health. Scholars predict that by 2020, stress-related illnesses such as depression and cardiovascular disease will be the leading causes of the global disease burden. </w:t>
      </w:r>
      <w:r w:rsidR="00CF792E" w:rsidRPr="002C1806">
        <w:t>Psychological injury claims are steadily increasing and incur the largest proportion of expense in relation to compensation clai</w:t>
      </w:r>
      <w:r w:rsidR="00422714">
        <w:t>ms (Safe Work Australia, 2012).</w:t>
      </w:r>
    </w:p>
    <w:p w:rsidR="00431982" w:rsidRPr="002C1806" w:rsidRDefault="00E974D0" w:rsidP="002C1806">
      <w:r w:rsidRPr="002C1806">
        <w:t xml:space="preserve">Surveillance systems that are </w:t>
      </w:r>
      <w:r w:rsidR="00431982" w:rsidRPr="002C1806">
        <w:t xml:space="preserve">designed to monitor </w:t>
      </w:r>
      <w:r w:rsidR="00CF792E" w:rsidRPr="002C1806">
        <w:t xml:space="preserve">workplace </w:t>
      </w:r>
      <w:r w:rsidR="00431982" w:rsidRPr="002C1806">
        <w:t xml:space="preserve">psychosocial risk factors are increasingly recognised as best practice </w:t>
      </w:r>
      <w:r w:rsidR="00CF792E" w:rsidRPr="002C1806">
        <w:t>to inform</w:t>
      </w:r>
      <w:r w:rsidR="00431982" w:rsidRPr="002C1806">
        <w:t xml:space="preserve"> national approaches towards worker injury prevention and intervention. </w:t>
      </w:r>
      <w:r w:rsidR="00CF792E" w:rsidRPr="002C1806">
        <w:t>Surveillance provides a solid evidence base to support the development of prevention and intervention strategies as well as a means to evaluate the effectiveness of any implemented policies and programs. In addition, surveillance supports the vision of the Australian Work Health and Safety Strategy 2012 – 2022 to build safety by design, to protect workers from harm, and improve their health and productivity.</w:t>
      </w:r>
    </w:p>
    <w:p w:rsidR="00723A1D" w:rsidRPr="002C1806" w:rsidRDefault="001742C9" w:rsidP="002C1806">
      <w:r w:rsidRPr="002C1806">
        <w:t>U</w:t>
      </w:r>
      <w:r w:rsidR="00F16277" w:rsidRPr="002C1806">
        <w:t xml:space="preserve">nderstanding how </w:t>
      </w:r>
      <w:r w:rsidR="00CF792E" w:rsidRPr="002C1806">
        <w:t>workplace psychosocial</w:t>
      </w:r>
      <w:r w:rsidR="00F16277" w:rsidRPr="002C1806">
        <w:t xml:space="preserve"> </w:t>
      </w:r>
      <w:r w:rsidRPr="002C1806">
        <w:t xml:space="preserve">risk factors </w:t>
      </w:r>
      <w:r w:rsidR="00F16277" w:rsidRPr="002C1806">
        <w:t xml:space="preserve">interact and contribute to worker wellbeing </w:t>
      </w:r>
      <w:r w:rsidRPr="002C1806">
        <w:t xml:space="preserve">and productivity </w:t>
      </w:r>
      <w:r w:rsidR="00F16277" w:rsidRPr="002C1806">
        <w:t xml:space="preserve">can be obtained </w:t>
      </w:r>
      <w:r w:rsidRPr="002C1806">
        <w:t xml:space="preserve">through systematic measurement and analysis at </w:t>
      </w:r>
      <w:r w:rsidR="00402AC4" w:rsidRPr="002C1806">
        <w:t>both the</w:t>
      </w:r>
      <w:r w:rsidRPr="002C1806">
        <w:t xml:space="preserve"> popul</w:t>
      </w:r>
      <w:r w:rsidR="00422714">
        <w:t>ation and organisational level.</w:t>
      </w:r>
    </w:p>
    <w:p w:rsidR="00352560" w:rsidRPr="002C1806" w:rsidRDefault="009A509F" w:rsidP="002C1806">
      <w:r w:rsidRPr="002C1806">
        <w:t xml:space="preserve">Importantly the </w:t>
      </w:r>
      <w:r w:rsidR="00ED5BDB" w:rsidRPr="002C1806">
        <w:t>A</w:t>
      </w:r>
      <w:r w:rsidR="00723A1D" w:rsidRPr="002C1806">
        <w:t>ustralian Workplace Barometer (AWB)</w:t>
      </w:r>
      <w:r w:rsidR="00431982" w:rsidRPr="002C1806">
        <w:t xml:space="preserve"> project was developed in order to set national benchmarks and provide evidence needed to develop best practice standards in the area of worker psychological healt</w:t>
      </w:r>
      <w:r w:rsidR="00F16277" w:rsidRPr="002C1806">
        <w:t>h and wellbeing</w:t>
      </w:r>
      <w:r w:rsidR="00352560" w:rsidRPr="002C1806">
        <w:t xml:space="preserve"> and provide crucial evidence for policy development, intervention targets and the provision of resources at the national, state and industry levels.</w:t>
      </w:r>
      <w:r w:rsidR="007771EA" w:rsidRPr="002C1806">
        <w:t xml:space="preserve"> </w:t>
      </w:r>
      <w:r w:rsidR="00352560" w:rsidRPr="002C1806">
        <w:t>The main objectives of the AWB project are to:</w:t>
      </w:r>
    </w:p>
    <w:p w:rsidR="00243E26" w:rsidRPr="00E4333A" w:rsidRDefault="002A79A9" w:rsidP="0023074F">
      <w:pPr>
        <w:pStyle w:val="ListParagraph"/>
        <w:numPr>
          <w:ilvl w:val="0"/>
          <w:numId w:val="20"/>
        </w:numPr>
        <w:rPr>
          <w:rFonts w:ascii="Arial" w:hAnsi="Arial" w:cs="Arial"/>
        </w:rPr>
      </w:pPr>
      <w:r w:rsidRPr="00E4333A">
        <w:rPr>
          <w:rFonts w:ascii="Arial" w:hAnsi="Arial" w:cs="Arial"/>
        </w:rPr>
        <w:t>p</w:t>
      </w:r>
      <w:r w:rsidR="00243E26" w:rsidRPr="00E4333A">
        <w:rPr>
          <w:rFonts w:ascii="Arial" w:hAnsi="Arial" w:cs="Arial"/>
        </w:rPr>
        <w:t>rovide nationally representative data on psychosocial risk levels and working conditions</w:t>
      </w:r>
    </w:p>
    <w:p w:rsidR="00243E26" w:rsidRPr="00E4333A" w:rsidRDefault="002A79A9" w:rsidP="0023074F">
      <w:pPr>
        <w:pStyle w:val="ListParagraph"/>
        <w:numPr>
          <w:ilvl w:val="0"/>
          <w:numId w:val="20"/>
        </w:numPr>
        <w:rPr>
          <w:rFonts w:ascii="Arial" w:hAnsi="Arial" w:cs="Arial"/>
        </w:rPr>
      </w:pPr>
      <w:r w:rsidRPr="00E4333A">
        <w:rPr>
          <w:rFonts w:ascii="Arial" w:hAnsi="Arial" w:cs="Arial"/>
        </w:rPr>
        <w:t>b</w:t>
      </w:r>
      <w:r w:rsidR="00243E26" w:rsidRPr="00E4333A">
        <w:rPr>
          <w:rFonts w:ascii="Arial" w:hAnsi="Arial" w:cs="Arial"/>
        </w:rPr>
        <w:t>uild upon existing knowledge and understanding of psychosocial risk factors such as bullying and harassment, and work-family conflict</w:t>
      </w:r>
    </w:p>
    <w:p w:rsidR="00243E26" w:rsidRPr="00E4333A" w:rsidRDefault="002A79A9" w:rsidP="0023074F">
      <w:pPr>
        <w:pStyle w:val="ListParagraph"/>
        <w:numPr>
          <w:ilvl w:val="0"/>
          <w:numId w:val="20"/>
        </w:numPr>
        <w:rPr>
          <w:rFonts w:ascii="Arial" w:hAnsi="Arial" w:cs="Arial"/>
        </w:rPr>
      </w:pPr>
      <w:r w:rsidRPr="00E4333A">
        <w:rPr>
          <w:rFonts w:ascii="Arial" w:hAnsi="Arial" w:cs="Arial"/>
        </w:rPr>
        <w:t>i</w:t>
      </w:r>
      <w:r w:rsidR="00243E26" w:rsidRPr="00E4333A">
        <w:rPr>
          <w:rFonts w:ascii="Arial" w:hAnsi="Arial" w:cs="Arial"/>
        </w:rPr>
        <w:t>nvestigate relationships between psychosocial risk and workplace outcomes such as employee health and productivity</w:t>
      </w:r>
    </w:p>
    <w:p w:rsidR="00243E26" w:rsidRPr="00E4333A" w:rsidRDefault="002A79A9" w:rsidP="0023074F">
      <w:pPr>
        <w:pStyle w:val="ListParagraph"/>
        <w:numPr>
          <w:ilvl w:val="0"/>
          <w:numId w:val="20"/>
        </w:numPr>
        <w:rPr>
          <w:rFonts w:ascii="Arial" w:hAnsi="Arial" w:cs="Arial"/>
        </w:rPr>
      </w:pPr>
      <w:r w:rsidRPr="00E4333A">
        <w:rPr>
          <w:rFonts w:ascii="Arial" w:hAnsi="Arial" w:cs="Arial"/>
        </w:rPr>
        <w:t>d</w:t>
      </w:r>
      <w:r w:rsidR="00243E26" w:rsidRPr="00E4333A">
        <w:rPr>
          <w:rFonts w:ascii="Arial" w:hAnsi="Arial" w:cs="Arial"/>
        </w:rPr>
        <w:t>etermine the cost of poor employee wellbeing to businesses based on aspects such as depression, absenteeism and presenteeism</w:t>
      </w:r>
    </w:p>
    <w:p w:rsidR="00243E26" w:rsidRPr="00E4333A" w:rsidRDefault="002A79A9" w:rsidP="0023074F">
      <w:pPr>
        <w:pStyle w:val="ListParagraph"/>
        <w:numPr>
          <w:ilvl w:val="0"/>
          <w:numId w:val="20"/>
        </w:numPr>
        <w:rPr>
          <w:rFonts w:ascii="Arial" w:hAnsi="Arial" w:cs="Arial"/>
        </w:rPr>
      </w:pPr>
      <w:r w:rsidRPr="00E4333A">
        <w:rPr>
          <w:rFonts w:ascii="Arial" w:hAnsi="Arial" w:cs="Arial"/>
        </w:rPr>
        <w:t>i</w:t>
      </w:r>
      <w:r w:rsidR="00243E26" w:rsidRPr="00E4333A">
        <w:rPr>
          <w:rFonts w:ascii="Arial" w:hAnsi="Arial" w:cs="Arial"/>
        </w:rPr>
        <w:t>dentify industries and occupations at risk</w:t>
      </w:r>
      <w:r w:rsidR="009279C2" w:rsidRPr="00E4333A">
        <w:rPr>
          <w:rFonts w:ascii="Arial" w:hAnsi="Arial" w:cs="Arial"/>
        </w:rPr>
        <w:t>, and</w:t>
      </w:r>
    </w:p>
    <w:p w:rsidR="00173808" w:rsidRPr="00E4333A" w:rsidRDefault="002A79A9" w:rsidP="0023074F">
      <w:pPr>
        <w:pStyle w:val="ListParagraph"/>
        <w:numPr>
          <w:ilvl w:val="0"/>
          <w:numId w:val="20"/>
        </w:numPr>
        <w:rPr>
          <w:rFonts w:ascii="Arial" w:hAnsi="Arial" w:cs="Arial"/>
        </w:rPr>
      </w:pPr>
      <w:proofErr w:type="gramStart"/>
      <w:r w:rsidRPr="00E4333A">
        <w:rPr>
          <w:rFonts w:ascii="Arial" w:hAnsi="Arial" w:cs="Arial"/>
        </w:rPr>
        <w:t>p</w:t>
      </w:r>
      <w:r w:rsidR="00243E26" w:rsidRPr="00E4333A">
        <w:rPr>
          <w:rFonts w:ascii="Arial" w:hAnsi="Arial" w:cs="Arial"/>
        </w:rPr>
        <w:t>rovide</w:t>
      </w:r>
      <w:proofErr w:type="gramEnd"/>
      <w:r w:rsidR="00243E26" w:rsidRPr="00E4333A">
        <w:rPr>
          <w:rFonts w:ascii="Arial" w:hAnsi="Arial" w:cs="Arial"/>
        </w:rPr>
        <w:t xml:space="preserve"> evidence to support strategies for prevention and intervention</w:t>
      </w:r>
      <w:r w:rsidR="00173808" w:rsidRPr="00E4333A">
        <w:rPr>
          <w:rFonts w:ascii="Arial" w:hAnsi="Arial" w:cs="Arial"/>
        </w:rPr>
        <w:t>.</w:t>
      </w:r>
    </w:p>
    <w:p w:rsidR="00D65268" w:rsidRPr="002C1806" w:rsidRDefault="00723A1D" w:rsidP="002C1806">
      <w:r w:rsidRPr="002C1806">
        <w:t>Since organisational access to investigate work stress is often restricted and resisted, a superior approach to gain access to most employees</w:t>
      </w:r>
      <w:r w:rsidR="00C03BF2" w:rsidRPr="002C1806">
        <w:t>, important for standard setting,</w:t>
      </w:r>
      <w:r w:rsidRPr="002C1806">
        <w:t xml:space="preserve"> is to use a population-based approach. The sampling approach used in the AWB project was selected to maximise access to a representative sample of employees. Computer assisted telephone interviews (N</w:t>
      </w:r>
      <w:r w:rsidR="001F47BC" w:rsidRPr="002C1806">
        <w:t xml:space="preserve"> = 5</w:t>
      </w:r>
      <w:r w:rsidRPr="002C1806">
        <w:t>743) were conducted a</w:t>
      </w:r>
      <w:r w:rsidR="00173808" w:rsidRPr="002C1806">
        <w:t xml:space="preserve">cross the population in six Australian states and territories (excluding Queensland and Victoria), </w:t>
      </w:r>
      <w:r w:rsidRPr="002C1806">
        <w:t xml:space="preserve">to gain information from working Australians </w:t>
      </w:r>
      <w:r w:rsidR="00207272" w:rsidRPr="002C1806">
        <w:t>regarding their work and health conditions</w:t>
      </w:r>
      <w:r w:rsidR="00B92DBC" w:rsidRPr="002C1806">
        <w:t xml:space="preserve">. </w:t>
      </w:r>
      <w:r w:rsidRPr="002C1806">
        <w:t xml:space="preserve">Data was collected in </w:t>
      </w:r>
      <w:r w:rsidR="00B92DBC" w:rsidRPr="002C1806">
        <w:t xml:space="preserve">New South </w:t>
      </w:r>
      <w:r w:rsidR="00B92DBC" w:rsidRPr="002C1806">
        <w:lastRenderedPageBreak/>
        <w:t>Wales (NSW) (N = 1074) and Western Australia (WA) (N</w:t>
      </w:r>
      <w:r w:rsidR="00F539BA" w:rsidRPr="002C1806">
        <w:t xml:space="preserve"> = 1156) in 2009. </w:t>
      </w:r>
      <w:r w:rsidR="00B86415" w:rsidRPr="002C1806">
        <w:t xml:space="preserve">In 2010 a second wave of data was collected from </w:t>
      </w:r>
      <w:r w:rsidR="00B92DBC" w:rsidRPr="002C1806">
        <w:t>NSW (N</w:t>
      </w:r>
      <w:r w:rsidR="00B86415" w:rsidRPr="002C1806">
        <w:t xml:space="preserve"> = 725) and</w:t>
      </w:r>
      <w:r w:rsidR="00B92DBC" w:rsidRPr="002C1806">
        <w:t xml:space="preserve"> WA (N = 804) </w:t>
      </w:r>
      <w:r w:rsidR="00B86415" w:rsidRPr="002C1806">
        <w:t>as well as a first wave of interviews in</w:t>
      </w:r>
      <w:r w:rsidR="00B92DBC" w:rsidRPr="002C1806">
        <w:t xml:space="preserve"> South Australia (SA) (N = 1143)</w:t>
      </w:r>
      <w:r w:rsidR="00FB4270" w:rsidRPr="002C1806">
        <w:t xml:space="preserve">. </w:t>
      </w:r>
      <w:r w:rsidR="00B86415" w:rsidRPr="002C1806">
        <w:t xml:space="preserve">In 2011 further interviews </w:t>
      </w:r>
      <w:r w:rsidRPr="002C1806">
        <w:t>were conducted</w:t>
      </w:r>
      <w:r w:rsidR="00B86415" w:rsidRPr="002C1806">
        <w:t xml:space="preserve"> with participants from </w:t>
      </w:r>
      <w:r w:rsidR="00B92DBC" w:rsidRPr="002C1806">
        <w:t xml:space="preserve">Australian Capital Territory (ACT) (N = 255), Tasmania </w:t>
      </w:r>
      <w:r w:rsidR="00AE0115" w:rsidRPr="002C1806">
        <w:t xml:space="preserve">(TAS) </w:t>
      </w:r>
      <w:r w:rsidR="00B92DBC" w:rsidRPr="002C1806">
        <w:t>(N = 416) and the Northern Territory (NT) (N = 170).</w:t>
      </w:r>
      <w:r w:rsidR="00341FDD" w:rsidRPr="002C1806">
        <w:t xml:space="preserve"> A comparison of demographic data between AWB and Australian Bureau of Statistics (ABS) workforce statistics shows that the AWB sample is representative of the national working population on a range of factors such as participation in industry, contract and work hour status, mean age by industry and other general population characteristics.</w:t>
      </w:r>
    </w:p>
    <w:p w:rsidR="0051483E" w:rsidRPr="002C1806" w:rsidRDefault="00F16277" w:rsidP="002C1806">
      <w:r w:rsidRPr="002C1806">
        <w:t xml:space="preserve">The AWB </w:t>
      </w:r>
      <w:r w:rsidR="00352560" w:rsidRPr="002C1806">
        <w:t>research</w:t>
      </w:r>
      <w:r w:rsidRPr="002C1806">
        <w:t xml:space="preserve"> is driven by an emerging theory, </w:t>
      </w:r>
      <w:r w:rsidR="00431982" w:rsidRPr="002C1806">
        <w:t>Psychosocial Safety Climate (PSC) theory</w:t>
      </w:r>
      <w:r w:rsidRPr="002C1806">
        <w:t xml:space="preserve"> (Dollard &amp; Bakker, 2010). This theory </w:t>
      </w:r>
      <w:r w:rsidR="00431982" w:rsidRPr="002C1806">
        <w:t xml:space="preserve">extends </w:t>
      </w:r>
      <w:r w:rsidRPr="002C1806">
        <w:t>other</w:t>
      </w:r>
      <w:r w:rsidR="00431982" w:rsidRPr="002C1806">
        <w:t xml:space="preserve"> well-known </w:t>
      </w:r>
      <w:r w:rsidRPr="002C1806">
        <w:t>job stress theories such as</w:t>
      </w:r>
      <w:r w:rsidR="00243E26" w:rsidRPr="002C1806">
        <w:t xml:space="preserve"> the</w:t>
      </w:r>
      <w:r w:rsidRPr="002C1806">
        <w:t xml:space="preserve"> </w:t>
      </w:r>
      <w:r w:rsidR="00431982" w:rsidRPr="002C1806">
        <w:t>Job-Demands Resources (JD-R) model (Demerouti</w:t>
      </w:r>
      <w:r w:rsidR="00932D93" w:rsidRPr="002C1806">
        <w:t xml:space="preserve">, Nachreiner, Bakker, &amp; Schaufeli, </w:t>
      </w:r>
      <w:r w:rsidR="00431982" w:rsidRPr="002C1806">
        <w:t>2001)</w:t>
      </w:r>
      <w:r w:rsidRPr="002C1806">
        <w:t xml:space="preserve">. </w:t>
      </w:r>
      <w:r w:rsidR="00352560" w:rsidRPr="002C1806">
        <w:t xml:space="preserve">There is ample empirical evidence </w:t>
      </w:r>
      <w:r w:rsidR="00723A1D" w:rsidRPr="002C1806">
        <w:t xml:space="preserve">already </w:t>
      </w:r>
      <w:r w:rsidR="002F579F" w:rsidRPr="002C1806">
        <w:t xml:space="preserve">that </w:t>
      </w:r>
      <w:r w:rsidR="00352560" w:rsidRPr="002C1806">
        <w:t xml:space="preserve">shows high levels of demands and low resources are a problem for </w:t>
      </w:r>
      <w:r w:rsidR="002F579F" w:rsidRPr="002C1806">
        <w:t xml:space="preserve">worker </w:t>
      </w:r>
      <w:r w:rsidR="00352560" w:rsidRPr="002C1806">
        <w:t xml:space="preserve">health and </w:t>
      </w:r>
      <w:r w:rsidR="002F579F" w:rsidRPr="002C1806">
        <w:t xml:space="preserve">poor engagement. </w:t>
      </w:r>
      <w:r w:rsidR="00AE0115" w:rsidRPr="002C1806">
        <w:t>We</w:t>
      </w:r>
      <w:r w:rsidR="0051483E" w:rsidRPr="002C1806">
        <w:t xml:space="preserve"> are adding</w:t>
      </w:r>
      <w:r w:rsidR="002F579F" w:rsidRPr="002C1806">
        <w:t xml:space="preserve"> new evidence to this stock of knowledge by proposing </w:t>
      </w:r>
      <w:r w:rsidR="00AE0115" w:rsidRPr="002C1806">
        <w:t xml:space="preserve">a </w:t>
      </w:r>
      <w:r w:rsidR="002F579F" w:rsidRPr="002C1806">
        <w:t>new theory and e</w:t>
      </w:r>
      <w:r w:rsidRPr="002C1806">
        <w:t xml:space="preserve">mpirical evidence </w:t>
      </w:r>
      <w:r w:rsidR="002F579F" w:rsidRPr="002C1806">
        <w:t xml:space="preserve">that </w:t>
      </w:r>
      <w:r w:rsidRPr="002C1806">
        <w:t>suggest</w:t>
      </w:r>
      <w:r w:rsidR="002F579F" w:rsidRPr="002C1806">
        <w:t>s</w:t>
      </w:r>
      <w:r w:rsidRPr="002C1806">
        <w:t xml:space="preserve"> that PSC is a ‘cause of the causes’ of work stress factors</w:t>
      </w:r>
      <w:r w:rsidR="0051483E" w:rsidRPr="002C1806">
        <w:t xml:space="preserve"> (Law et al., 2011)</w:t>
      </w:r>
      <w:r w:rsidR="00DE2060" w:rsidRPr="002C1806">
        <w:t>. C</w:t>
      </w:r>
      <w:r w:rsidRPr="002C1806">
        <w:t xml:space="preserve">rucially </w:t>
      </w:r>
      <w:r w:rsidR="00431982" w:rsidRPr="002C1806">
        <w:t xml:space="preserve">PSC </w:t>
      </w:r>
      <w:r w:rsidR="00DE2060" w:rsidRPr="002C1806">
        <w:t xml:space="preserve">theory </w:t>
      </w:r>
      <w:r w:rsidRPr="002C1806">
        <w:t xml:space="preserve">answers the question “where do job demands </w:t>
      </w:r>
      <w:r w:rsidR="002F579F" w:rsidRPr="002C1806">
        <w:t xml:space="preserve">and resources </w:t>
      </w:r>
      <w:r w:rsidR="00683BFB" w:rsidRPr="002C1806">
        <w:t>come</w:t>
      </w:r>
      <w:r w:rsidR="00525127" w:rsidRPr="002C1806">
        <w:t xml:space="preserve"> from?</w:t>
      </w:r>
      <w:proofErr w:type="gramStart"/>
      <w:r w:rsidR="00525127" w:rsidRPr="002C1806">
        <w:t>”</w:t>
      </w:r>
      <w:r w:rsidR="00CF792E" w:rsidRPr="002C1806">
        <w:t>.</w:t>
      </w:r>
      <w:proofErr w:type="gramEnd"/>
    </w:p>
    <w:p w:rsidR="00431982" w:rsidRPr="002C1806" w:rsidRDefault="0051483E" w:rsidP="002C1806">
      <w:r w:rsidRPr="002C1806">
        <w:t xml:space="preserve">Psychosocial safety climate </w:t>
      </w:r>
      <w:r w:rsidR="00431982" w:rsidRPr="002C1806">
        <w:t xml:space="preserve">measures an organisation’s priorities </w:t>
      </w:r>
      <w:r w:rsidRPr="002C1806">
        <w:t xml:space="preserve">and commitment </w:t>
      </w:r>
      <w:r w:rsidR="00431982" w:rsidRPr="002C1806">
        <w:t>in relation to the protection o</w:t>
      </w:r>
      <w:r w:rsidR="00F16277" w:rsidRPr="002C1806">
        <w:t xml:space="preserve">f worker </w:t>
      </w:r>
      <w:r w:rsidR="00AE0115" w:rsidRPr="002C1806">
        <w:t xml:space="preserve">psychological </w:t>
      </w:r>
      <w:r w:rsidR="00F16277" w:rsidRPr="002C1806">
        <w:t>health and wellbeing</w:t>
      </w:r>
      <w:r w:rsidR="005B6C4A">
        <w:t>, including psychosocial risk assessment</w:t>
      </w:r>
      <w:r w:rsidR="00F16277" w:rsidRPr="002C1806">
        <w:t xml:space="preserve">. </w:t>
      </w:r>
      <w:r w:rsidRPr="002C1806">
        <w:t xml:space="preserve">In high PSC contexts managers will be cognizant of risk factors and will help to shape jobs where demands are manageable, and resources </w:t>
      </w:r>
      <w:r w:rsidR="00AE0115" w:rsidRPr="002C1806">
        <w:t xml:space="preserve">are </w:t>
      </w:r>
      <w:r w:rsidRPr="002C1806">
        <w:t xml:space="preserve">adequate. </w:t>
      </w:r>
      <w:r w:rsidR="00207272" w:rsidRPr="002C1806">
        <w:t xml:space="preserve">Therefore if </w:t>
      </w:r>
      <w:r w:rsidR="00431982" w:rsidRPr="002C1806">
        <w:t>PSC</w:t>
      </w:r>
      <w:r w:rsidR="00207272" w:rsidRPr="002C1806">
        <w:t xml:space="preserve"> is assessed</w:t>
      </w:r>
      <w:r w:rsidR="00F16277" w:rsidRPr="002C1806">
        <w:t>,</w:t>
      </w:r>
      <w:r w:rsidR="00431982" w:rsidRPr="002C1806">
        <w:t xml:space="preserve"> </w:t>
      </w:r>
      <w:r w:rsidR="00F16277" w:rsidRPr="002C1806">
        <w:t xml:space="preserve">levels of demands and resources can be predicted. </w:t>
      </w:r>
      <w:r w:rsidRPr="002C1806">
        <w:t>Psychosocial safety climate</w:t>
      </w:r>
      <w:r w:rsidR="00F16277" w:rsidRPr="002C1806">
        <w:t xml:space="preserve"> also acts as a moderator, reducing the negative impact of psychosocial hazards on employee health and productivity outcomes. </w:t>
      </w:r>
      <w:r w:rsidRPr="002C1806">
        <w:t>Importantly a</w:t>
      </w:r>
      <w:r w:rsidR="00F16277" w:rsidRPr="002C1806">
        <w:t>s a leading ind</w:t>
      </w:r>
      <w:r w:rsidR="00431982" w:rsidRPr="002C1806">
        <w:t xml:space="preserve">icator of work conditions, employee health and productivity (Law, </w:t>
      </w:r>
      <w:r w:rsidR="00E31A89" w:rsidRPr="002C1806">
        <w:t>et al.,</w:t>
      </w:r>
      <w:r w:rsidR="00F16277" w:rsidRPr="002C1806">
        <w:t xml:space="preserve"> 2011), the utility of PSC over lag indicators such as workers</w:t>
      </w:r>
      <w:r w:rsidR="00ED5BDB" w:rsidRPr="002C1806">
        <w:t>’</w:t>
      </w:r>
      <w:r w:rsidR="00F16277" w:rsidRPr="002C1806">
        <w:t xml:space="preserve"> compensation claims in informin</w:t>
      </w:r>
      <w:r w:rsidR="00723A04">
        <w:t>g preventative policy is clear.</w:t>
      </w:r>
    </w:p>
    <w:p w:rsidR="00431982" w:rsidRPr="002C1806" w:rsidRDefault="006357CF" w:rsidP="002C1806">
      <w:r w:rsidRPr="002C1806">
        <w:t>Australian Workplace Barometer r</w:t>
      </w:r>
      <w:r w:rsidR="00431982" w:rsidRPr="002C1806">
        <w:t xml:space="preserve">esults support </w:t>
      </w:r>
      <w:r w:rsidR="00F16277" w:rsidRPr="002C1806">
        <w:t>the main premises of PSC</w:t>
      </w:r>
      <w:r w:rsidR="00431982" w:rsidRPr="002C1806">
        <w:t xml:space="preserve"> theory</w:t>
      </w:r>
      <w:r w:rsidR="00207272" w:rsidRPr="002C1806">
        <w:t xml:space="preserve">; </w:t>
      </w:r>
      <w:r w:rsidR="00431982" w:rsidRPr="002C1806">
        <w:t xml:space="preserve">PSC </w:t>
      </w:r>
      <w:r w:rsidRPr="002C1806">
        <w:t xml:space="preserve">is </w:t>
      </w:r>
      <w:r w:rsidR="00431982" w:rsidRPr="002C1806">
        <w:t xml:space="preserve">significantly related </w:t>
      </w:r>
      <w:r w:rsidR="00207272" w:rsidRPr="002C1806">
        <w:t xml:space="preserve">to </w:t>
      </w:r>
      <w:r w:rsidR="00431982" w:rsidRPr="002C1806">
        <w:t>all demands</w:t>
      </w:r>
      <w:r w:rsidR="009A509F" w:rsidRPr="002C1806">
        <w:t xml:space="preserve"> (negatively)</w:t>
      </w:r>
      <w:r w:rsidR="00431982" w:rsidRPr="002C1806">
        <w:t>, resources</w:t>
      </w:r>
      <w:r w:rsidR="009A509F" w:rsidRPr="002C1806">
        <w:t xml:space="preserve"> (positively)</w:t>
      </w:r>
      <w:r w:rsidR="00431982" w:rsidRPr="002C1806">
        <w:t xml:space="preserve">, health </w:t>
      </w:r>
      <w:r w:rsidR="009A509F" w:rsidRPr="002C1806">
        <w:t xml:space="preserve">(positively) </w:t>
      </w:r>
      <w:r w:rsidR="00431982" w:rsidRPr="002C1806">
        <w:t>and productivit</w:t>
      </w:r>
      <w:r w:rsidR="007771EA" w:rsidRPr="002C1806">
        <w:t xml:space="preserve">y </w:t>
      </w:r>
      <w:r w:rsidR="009A509F" w:rsidRPr="002C1806">
        <w:t xml:space="preserve">(positively) </w:t>
      </w:r>
      <w:r w:rsidR="007771EA" w:rsidRPr="002C1806">
        <w:t xml:space="preserve">outcomes. </w:t>
      </w:r>
      <w:r w:rsidR="00431982" w:rsidRPr="002C1806">
        <w:t xml:space="preserve">Further analysis using hierarchical multiple regression showed that PSC </w:t>
      </w:r>
      <w:r w:rsidRPr="002C1806">
        <w:t xml:space="preserve">explains </w:t>
      </w:r>
      <w:r w:rsidR="00F83666" w:rsidRPr="002C1806">
        <w:t>nine</w:t>
      </w:r>
      <w:r w:rsidR="00431982" w:rsidRPr="002C1806">
        <w:t xml:space="preserve"> per cent of the variance in psychological health outcomes and 13 per cent of variance </w:t>
      </w:r>
      <w:r w:rsidR="009A509F" w:rsidRPr="002C1806">
        <w:t xml:space="preserve">in </w:t>
      </w:r>
      <w:r w:rsidR="00431982" w:rsidRPr="002C1806">
        <w:t>engagement.</w:t>
      </w:r>
      <w:r w:rsidR="00243E26" w:rsidRPr="002C1806">
        <w:t xml:space="preserve"> </w:t>
      </w:r>
      <w:r w:rsidR="00AE0115" w:rsidRPr="002C1806">
        <w:t>The research suggests that</w:t>
      </w:r>
      <w:r w:rsidR="00207272" w:rsidRPr="002C1806">
        <w:t xml:space="preserve"> a</w:t>
      </w:r>
      <w:r w:rsidR="00CC72BE" w:rsidRPr="002C1806">
        <w:t xml:space="preserve"> </w:t>
      </w:r>
      <w:r w:rsidR="00243E26" w:rsidRPr="002C1806">
        <w:t>10 per cent increase in PSC within o</w:t>
      </w:r>
      <w:r w:rsidR="00F83666" w:rsidRPr="002C1806">
        <w:t>rganisations</w:t>
      </w:r>
      <w:r w:rsidR="000166F3" w:rsidRPr="002C1806">
        <w:t xml:space="preserve"> would lead to a 4.5</w:t>
      </w:r>
      <w:r w:rsidR="00243E26" w:rsidRPr="002C1806">
        <w:t xml:space="preserve"> per cent decrease in bullying,</w:t>
      </w:r>
      <w:r w:rsidR="00CC72BE" w:rsidRPr="002C1806">
        <w:t xml:space="preserve"> </w:t>
      </w:r>
      <w:r w:rsidR="000166F3" w:rsidRPr="002C1806">
        <w:t>a 4</w:t>
      </w:r>
      <w:r w:rsidR="00243E26" w:rsidRPr="002C1806">
        <w:t xml:space="preserve"> per cent decrease in</w:t>
      </w:r>
      <w:r w:rsidR="000166F3" w:rsidRPr="002C1806">
        <w:t xml:space="preserve"> demands, a 4</w:t>
      </w:r>
      <w:r w:rsidR="00243E26" w:rsidRPr="002C1806">
        <w:t xml:space="preserve"> per cent reduction in exhaustion and a 3 per cent reduction in psychological health problems as well as an 8 per cent increase in resources and a 6 per cent increase in </w:t>
      </w:r>
      <w:r w:rsidR="007771EA" w:rsidRPr="002C1806">
        <w:t xml:space="preserve">engagement. </w:t>
      </w:r>
      <w:r w:rsidR="0039480C" w:rsidRPr="002C1806">
        <w:t>It was also</w:t>
      </w:r>
      <w:r w:rsidR="00243E26" w:rsidRPr="002C1806">
        <w:t xml:space="preserve"> eviden</w:t>
      </w:r>
      <w:r w:rsidR="0039480C" w:rsidRPr="002C1806">
        <w:t>t</w:t>
      </w:r>
      <w:r w:rsidR="00243E26" w:rsidRPr="002C1806">
        <w:t xml:space="preserve"> that PSC </w:t>
      </w:r>
      <w:r w:rsidRPr="002C1806">
        <w:t xml:space="preserve">is </w:t>
      </w:r>
      <w:r w:rsidR="00243E26" w:rsidRPr="002C1806">
        <w:t xml:space="preserve">related to health and work outcome via its effect on demands and resources. </w:t>
      </w:r>
      <w:r w:rsidR="0039480C" w:rsidRPr="002C1806">
        <w:t>In other words PSC precedes work conditions</w:t>
      </w:r>
      <w:r w:rsidR="00207272" w:rsidRPr="002C1806">
        <w:t xml:space="preserve"> and </w:t>
      </w:r>
      <w:r w:rsidRPr="002C1806">
        <w:t xml:space="preserve">its </w:t>
      </w:r>
      <w:r w:rsidR="00207272" w:rsidRPr="002C1806">
        <w:t>effects flow on to health and work outcomes</w:t>
      </w:r>
      <w:r w:rsidR="0039480C" w:rsidRPr="002C1806">
        <w:t xml:space="preserve">. </w:t>
      </w:r>
      <w:r w:rsidR="00243E26" w:rsidRPr="002C1806">
        <w:t>These results</w:t>
      </w:r>
      <w:r w:rsidR="00207272" w:rsidRPr="002C1806">
        <w:t>,</w:t>
      </w:r>
      <w:r w:rsidR="00243E26" w:rsidRPr="002C1806">
        <w:t xml:space="preserve"> </w:t>
      </w:r>
      <w:r w:rsidR="00207272" w:rsidRPr="002C1806">
        <w:t xml:space="preserve">along with previous empirical evidence, </w:t>
      </w:r>
      <w:r w:rsidR="00243E26" w:rsidRPr="002C1806">
        <w:t>strongly suggest that PSC is a logical upstream target for injury prevention as it is an antecedent for demands and resources as well as health and productivity outcomes.</w:t>
      </w:r>
    </w:p>
    <w:p w:rsidR="00B86415" w:rsidRPr="002C1806" w:rsidRDefault="00CC72BE" w:rsidP="002C1806">
      <w:r w:rsidRPr="002C1806">
        <w:t>In prior research w</w:t>
      </w:r>
      <w:r w:rsidR="00F16277" w:rsidRPr="002C1806">
        <w:t xml:space="preserve">e established </w:t>
      </w:r>
      <w:proofErr w:type="gramStart"/>
      <w:r w:rsidR="00F16277" w:rsidRPr="002C1806">
        <w:t xml:space="preserve">a </w:t>
      </w:r>
      <w:r w:rsidR="00D65268" w:rsidRPr="002C1806">
        <w:t>2009-10</w:t>
      </w:r>
      <w:r w:rsidR="008F7D2A" w:rsidRPr="002C1806">
        <w:t xml:space="preserve"> </w:t>
      </w:r>
      <w:r w:rsidR="00F16277" w:rsidRPr="002C1806">
        <w:t>benchmark</w:t>
      </w:r>
      <w:proofErr w:type="gramEnd"/>
      <w:r w:rsidR="00F16277" w:rsidRPr="002C1806">
        <w:t xml:space="preserve"> for PSC</w:t>
      </w:r>
      <w:r w:rsidR="002F0186" w:rsidRPr="002C1806">
        <w:t xml:space="preserve"> (</w:t>
      </w:r>
      <w:r w:rsidR="00B86415" w:rsidRPr="002C1806">
        <w:t>Bailey, Richards &amp; Dollard, in review</w:t>
      </w:r>
      <w:r w:rsidR="002F0186" w:rsidRPr="002C1806">
        <w:t>)</w:t>
      </w:r>
      <w:r w:rsidR="00F16277" w:rsidRPr="002C1806">
        <w:t xml:space="preserve">. </w:t>
      </w:r>
      <w:r w:rsidR="00B86415" w:rsidRPr="002C1806">
        <w:t>Mean scores for PSC were assessed for NSW and WA at Time 1 (2009) and Time 2</w:t>
      </w:r>
      <w:r w:rsidR="00AE0115" w:rsidRPr="002C1806">
        <w:t xml:space="preserve"> </w:t>
      </w:r>
      <w:r w:rsidR="00B86415" w:rsidRPr="002C1806">
        <w:t>(2010) as well as SA (2010) against clinic</w:t>
      </w:r>
      <w:r w:rsidR="00050549" w:rsidRPr="002C1806">
        <w:t xml:space="preserve">al cut-offs for depression and </w:t>
      </w:r>
      <w:r w:rsidR="00F539BA" w:rsidRPr="002C1806">
        <w:t>levels of job strain.</w:t>
      </w:r>
      <w:r w:rsidR="00B86415" w:rsidRPr="002C1806">
        <w:t xml:space="preserve"> W</w:t>
      </w:r>
      <w:r w:rsidRPr="002C1806">
        <w:t>e determined t</w:t>
      </w:r>
      <w:r w:rsidR="00431982" w:rsidRPr="002C1806">
        <w:t xml:space="preserve">he </w:t>
      </w:r>
      <w:r w:rsidR="00D65268" w:rsidRPr="002C1806">
        <w:t xml:space="preserve">2009-10 </w:t>
      </w:r>
      <w:proofErr w:type="gramStart"/>
      <w:r w:rsidR="00431982" w:rsidRPr="002C1806">
        <w:t>benchmark</w:t>
      </w:r>
      <w:proofErr w:type="gramEnd"/>
      <w:r w:rsidR="00431982" w:rsidRPr="002C1806">
        <w:t xml:space="preserve"> </w:t>
      </w:r>
      <w:r w:rsidRPr="002C1806">
        <w:t xml:space="preserve">for a satisfactory level of </w:t>
      </w:r>
      <w:r w:rsidR="00431982" w:rsidRPr="002C1806">
        <w:t>PSC</w:t>
      </w:r>
      <w:r w:rsidR="00243E26" w:rsidRPr="002C1806">
        <w:t xml:space="preserve"> </w:t>
      </w:r>
      <w:r w:rsidRPr="002C1806">
        <w:t xml:space="preserve">was the </w:t>
      </w:r>
      <w:r w:rsidR="00243E26" w:rsidRPr="002C1806">
        <w:t xml:space="preserve">score </w:t>
      </w:r>
      <w:r w:rsidR="00243E26" w:rsidRPr="002C1806">
        <w:lastRenderedPageBreak/>
        <w:t>of 41 out of a possible 60 on the PCS-12 scale</w:t>
      </w:r>
      <w:r w:rsidRPr="002C1806">
        <w:t>; this is</w:t>
      </w:r>
      <w:r w:rsidR="00243E26" w:rsidRPr="002C1806">
        <w:t xml:space="preserve"> the ideal standard for </w:t>
      </w:r>
      <w:r w:rsidR="006357CF" w:rsidRPr="002C1806">
        <w:t xml:space="preserve">optimal </w:t>
      </w:r>
      <w:r w:rsidR="00243E26" w:rsidRPr="002C1806">
        <w:t xml:space="preserve">employee health and productivity. </w:t>
      </w:r>
      <w:r w:rsidR="00B86415" w:rsidRPr="002C1806">
        <w:t xml:space="preserve">PSC scores between 37 and 41 suggest a moderate risk and scores below 37 indicate high risk for employee depression and </w:t>
      </w:r>
      <w:r w:rsidR="00AE0115" w:rsidRPr="002C1806">
        <w:t>job st</w:t>
      </w:r>
      <w:r w:rsidR="00B86415" w:rsidRPr="002C1806">
        <w:t>rain.</w:t>
      </w:r>
    </w:p>
    <w:p w:rsidR="00DC16C0" w:rsidRPr="002C1806" w:rsidRDefault="0080173D" w:rsidP="002C1806">
      <w:r w:rsidRPr="002C1806">
        <w:t>National and s</w:t>
      </w:r>
      <w:r w:rsidR="00431982" w:rsidRPr="002C1806">
        <w:t xml:space="preserve">tate based industry differences were then </w:t>
      </w:r>
      <w:r w:rsidR="00F16277" w:rsidRPr="002C1806">
        <w:t>calibrated</w:t>
      </w:r>
      <w:r w:rsidR="00431982" w:rsidRPr="002C1806">
        <w:t xml:space="preserve"> for levels of PSC </w:t>
      </w:r>
      <w:r w:rsidR="006357CF" w:rsidRPr="002C1806">
        <w:t xml:space="preserve">along with </w:t>
      </w:r>
      <w:r w:rsidR="00431982" w:rsidRPr="002C1806">
        <w:t>high job demands</w:t>
      </w:r>
      <w:r w:rsidR="00B86415" w:rsidRPr="002C1806">
        <w:t xml:space="preserve">, </w:t>
      </w:r>
      <w:r w:rsidR="00431982" w:rsidRPr="002C1806">
        <w:t>low job resources</w:t>
      </w:r>
      <w:r w:rsidR="00B86415" w:rsidRPr="002C1806">
        <w:t xml:space="preserve"> and unfavourable health outcomes</w:t>
      </w:r>
      <w:r w:rsidR="00131D8A" w:rsidRPr="002C1806">
        <w:t xml:space="preserve">. </w:t>
      </w:r>
      <w:r w:rsidRPr="002C1806">
        <w:t>Three industries were deemed high risk across a number of states including Transport and storage, Accommodation, cafes and restaurants and Health and community services thus requiring national strategies and campaigns for injur</w:t>
      </w:r>
      <w:r w:rsidR="00F539BA" w:rsidRPr="002C1806">
        <w:t>y prevention and interventions.</w:t>
      </w:r>
      <w:r w:rsidRPr="002C1806">
        <w:t xml:space="preserve"> </w:t>
      </w:r>
      <w:r w:rsidR="00CC72BE" w:rsidRPr="002C1806">
        <w:t>Since industry PSC</w:t>
      </w:r>
      <w:r w:rsidR="00CD5444" w:rsidRPr="002C1806">
        <w:t xml:space="preserve"> levels and health outcomes</w:t>
      </w:r>
      <w:r w:rsidR="00CC72BE" w:rsidRPr="002C1806">
        <w:t xml:space="preserve"> vary </w:t>
      </w:r>
      <w:r w:rsidRPr="002C1806">
        <w:t xml:space="preserve">substantially </w:t>
      </w:r>
      <w:r w:rsidR="00CC72BE" w:rsidRPr="002C1806">
        <w:t>by state and territory r</w:t>
      </w:r>
      <w:r w:rsidR="00431982" w:rsidRPr="002C1806">
        <w:t>esults indicate that interventions need to be specific in targeting the particular industries</w:t>
      </w:r>
      <w:r w:rsidR="00050549" w:rsidRPr="002C1806">
        <w:t>,</w:t>
      </w:r>
      <w:r w:rsidR="00431982" w:rsidRPr="002C1806">
        <w:t xml:space="preserve"> in each state or </w:t>
      </w:r>
      <w:r w:rsidR="00050549" w:rsidRPr="002C1806">
        <w:t>territory, which</w:t>
      </w:r>
      <w:r w:rsidR="00431982" w:rsidRPr="002C1806">
        <w:t xml:space="preserve"> are </w:t>
      </w:r>
      <w:r w:rsidR="00064808">
        <w:t>identified as being high risk.</w:t>
      </w:r>
    </w:p>
    <w:p w:rsidR="00D65268" w:rsidRPr="002C1806" w:rsidRDefault="00D65268" w:rsidP="002C1806">
      <w:r w:rsidRPr="002C1806">
        <w:t xml:space="preserve">For </w:t>
      </w:r>
      <w:r w:rsidR="00B921BD" w:rsidRPr="002C1806">
        <w:t>instance</w:t>
      </w:r>
      <w:r w:rsidRPr="002C1806">
        <w:t xml:space="preserve">, </w:t>
      </w:r>
      <w:r w:rsidR="00CF33DB" w:rsidRPr="002C1806">
        <w:t xml:space="preserve">the </w:t>
      </w:r>
      <w:r w:rsidRPr="002C1806">
        <w:t xml:space="preserve">results show industries at high risk of poor psychological health within SA are the Communications services, Personal and other services and Retail trades, and these would likely benefit from state based strategies for intervention. </w:t>
      </w:r>
      <w:r w:rsidR="001443AC" w:rsidRPr="002C1806">
        <w:t>Results also indicate that further exami</w:t>
      </w:r>
      <w:r w:rsidR="00013215" w:rsidRPr="002C1806">
        <w:t>nation of risk to wellbeing for</w:t>
      </w:r>
      <w:r w:rsidR="001443AC" w:rsidRPr="002C1806">
        <w:t xml:space="preserve"> the Health and community services industry in NT is warranted. Tasmanian workers would benefit from interventions focusing on Health and community services, Manufacturing and Personal and other services, which showed poorer outcomes compared to other industries in Tasmania.</w:t>
      </w:r>
    </w:p>
    <w:p w:rsidR="00CD5444" w:rsidRPr="002C1806" w:rsidRDefault="00D65268" w:rsidP="002C1806">
      <w:r w:rsidRPr="002C1806">
        <w:t>For WA the Accommodation, cafes and restaurants</w:t>
      </w:r>
      <w:r w:rsidR="00D36659" w:rsidRPr="002C1806">
        <w:t xml:space="preserve"> and</w:t>
      </w:r>
      <w:r w:rsidRPr="002C1806">
        <w:t xml:space="preserve"> Transport and storage; industries all reported unfavourable outcomes and PSC levels below the </w:t>
      </w:r>
      <w:r w:rsidR="00B921BD" w:rsidRPr="002C1806">
        <w:t>2009-10 benchmark</w:t>
      </w:r>
      <w:r w:rsidRPr="002C1806">
        <w:t xml:space="preserve"> indicating a need for state based interventions to address psychosocial risk.</w:t>
      </w:r>
      <w:r w:rsidR="00341FDD" w:rsidRPr="002C1806">
        <w:t xml:space="preserve"> </w:t>
      </w:r>
      <w:r w:rsidRPr="002C1806">
        <w:t>I</w:t>
      </w:r>
      <w:r w:rsidR="00CD5444" w:rsidRPr="002C1806">
        <w:t xml:space="preserve">n NSW </w:t>
      </w:r>
      <w:r w:rsidR="005F10B6" w:rsidRPr="002C1806">
        <w:t xml:space="preserve">the </w:t>
      </w:r>
      <w:r w:rsidR="00CD5444" w:rsidRPr="002C1806">
        <w:t>Accommodation, cafes and restaurants; Health and Community Services; Mining; R</w:t>
      </w:r>
      <w:r w:rsidR="005F10B6" w:rsidRPr="002C1806">
        <w:t>etail and</w:t>
      </w:r>
      <w:r w:rsidR="00CD5444" w:rsidRPr="002C1806">
        <w:t xml:space="preserve"> Transport and storage </w:t>
      </w:r>
      <w:r w:rsidR="005F10B6" w:rsidRPr="002C1806">
        <w:t xml:space="preserve">industries </w:t>
      </w:r>
      <w:r w:rsidR="00CD5444" w:rsidRPr="002C1806">
        <w:t xml:space="preserve">were </w:t>
      </w:r>
      <w:r w:rsidR="00341FDD" w:rsidRPr="002C1806">
        <w:t xml:space="preserve">all </w:t>
      </w:r>
      <w:r w:rsidR="00CD5444" w:rsidRPr="002C1806">
        <w:t xml:space="preserve">identified as having unfavourable demands, resources and outcomes scores as well as PSC levels below the </w:t>
      </w:r>
      <w:r w:rsidR="00B921BD" w:rsidRPr="002C1806">
        <w:t>2009-10 benchmark</w:t>
      </w:r>
      <w:r w:rsidR="00CD5444" w:rsidRPr="002C1806">
        <w:t xml:space="preserve"> and therefore warrant state based </w:t>
      </w:r>
      <w:r w:rsidR="002524B4" w:rsidRPr="002C1806">
        <w:t>investigations in addition</w:t>
      </w:r>
      <w:r w:rsidR="005F10B6" w:rsidRPr="002C1806">
        <w:t xml:space="preserve"> to any national campaigns</w:t>
      </w:r>
      <w:r w:rsidR="00064808">
        <w:t>.</w:t>
      </w:r>
    </w:p>
    <w:p w:rsidR="00431982" w:rsidRPr="002C1806" w:rsidRDefault="00431982" w:rsidP="002C1806">
      <w:r w:rsidRPr="002C1806">
        <w:t>Other at risk groups include</w:t>
      </w:r>
      <w:r w:rsidR="00F16277" w:rsidRPr="002C1806">
        <w:t>d</w:t>
      </w:r>
      <w:r w:rsidRPr="002C1806">
        <w:t xml:space="preserve"> workers aged between 25 – 34 </w:t>
      </w:r>
      <w:r w:rsidR="00243E26" w:rsidRPr="002C1806">
        <w:t xml:space="preserve">years </w:t>
      </w:r>
      <w:r w:rsidR="00F16277" w:rsidRPr="002C1806">
        <w:t>as they show</w:t>
      </w:r>
      <w:r w:rsidRPr="002C1806">
        <w:t xml:space="preserve"> the poorest psychological health, likely due to factors such as competing work and family demands as well as entering the workforce following study, working hard </w:t>
      </w:r>
      <w:r w:rsidR="0039480C" w:rsidRPr="002C1806">
        <w:t xml:space="preserve">and using </w:t>
      </w:r>
      <w:r w:rsidRPr="002C1806">
        <w:t>long hours to advance in their careers</w:t>
      </w:r>
      <w:r w:rsidR="006357CF" w:rsidRPr="002C1806">
        <w:t>,</w:t>
      </w:r>
      <w:r w:rsidRPr="002C1806">
        <w:t xml:space="preserve"> </w:t>
      </w:r>
      <w:r w:rsidR="006357CF" w:rsidRPr="002C1806">
        <w:t xml:space="preserve">as well as </w:t>
      </w:r>
      <w:r w:rsidRPr="002C1806">
        <w:t>experiencing low levels of skill discretion. The youngest workers (18 – 24) exhibit th</w:t>
      </w:r>
      <w:r w:rsidR="007771EA" w:rsidRPr="002C1806">
        <w:t xml:space="preserve">e lowest levels of engagement. </w:t>
      </w:r>
      <w:r w:rsidRPr="002C1806">
        <w:t xml:space="preserve">For younger workers the results suggest that increased skill discretion would likely improve their </w:t>
      </w:r>
      <w:r w:rsidR="0039480C" w:rsidRPr="002C1806">
        <w:t xml:space="preserve">work </w:t>
      </w:r>
      <w:r w:rsidR="00064808">
        <w:t>engagement.</w:t>
      </w:r>
    </w:p>
    <w:p w:rsidR="00431982" w:rsidRPr="002C1806" w:rsidRDefault="00431982" w:rsidP="002C1806">
      <w:r w:rsidRPr="002C1806">
        <w:t>Urban workers report higher psychological demands compared to rural workers</w:t>
      </w:r>
      <w:r w:rsidR="00173808" w:rsidRPr="002C1806">
        <w:t>, albeit with a small effect size</w:t>
      </w:r>
      <w:r w:rsidRPr="002C1806">
        <w:t xml:space="preserve">. </w:t>
      </w:r>
      <w:r w:rsidR="00173808" w:rsidRPr="002C1806">
        <w:t>R</w:t>
      </w:r>
      <w:r w:rsidRPr="002C1806">
        <w:t xml:space="preserve">ural workers report more physical demands, more work-family conflict and </w:t>
      </w:r>
      <w:r w:rsidR="00E31A89" w:rsidRPr="002C1806">
        <w:t xml:space="preserve">are </w:t>
      </w:r>
      <w:r w:rsidRPr="002C1806">
        <w:t xml:space="preserve">more at risk for poor mental and physical health outcomes suggesting additional resources and awareness for rural workers </w:t>
      </w:r>
      <w:r w:rsidR="00E31A89" w:rsidRPr="002C1806">
        <w:t>are</w:t>
      </w:r>
      <w:r w:rsidRPr="002C1806">
        <w:t xml:space="preserve"> important for p</w:t>
      </w:r>
      <w:r w:rsidR="00064808">
        <w:t>olicy development.</w:t>
      </w:r>
    </w:p>
    <w:p w:rsidR="00431982" w:rsidRPr="002C1806" w:rsidRDefault="0039480C" w:rsidP="002C1806">
      <w:r w:rsidRPr="002C1806">
        <w:t xml:space="preserve">There is a serious </w:t>
      </w:r>
      <w:r w:rsidR="0024388B" w:rsidRPr="002C1806">
        <w:t>concern</w:t>
      </w:r>
      <w:r w:rsidRPr="002C1806">
        <w:t xml:space="preserve"> </w:t>
      </w:r>
      <w:r w:rsidR="00E31A89" w:rsidRPr="002C1806">
        <w:t xml:space="preserve">regarding </w:t>
      </w:r>
      <w:r w:rsidR="00431982" w:rsidRPr="002C1806">
        <w:t>levels of bullying and harassment</w:t>
      </w:r>
      <w:r w:rsidR="00E31A89" w:rsidRPr="002C1806">
        <w:t>. R</w:t>
      </w:r>
      <w:r w:rsidR="00431982" w:rsidRPr="002C1806">
        <w:t xml:space="preserve">esults from the AWB show that </w:t>
      </w:r>
      <w:r w:rsidRPr="002C1806">
        <w:t xml:space="preserve">levels of bullying are at </w:t>
      </w:r>
      <w:r w:rsidR="00431982" w:rsidRPr="002C1806">
        <w:t>6.8 per cent</w:t>
      </w:r>
      <w:r w:rsidRPr="002C1806">
        <w:t xml:space="preserve">, which are </w:t>
      </w:r>
      <w:r w:rsidR="00431982" w:rsidRPr="002C1806">
        <w:t xml:space="preserve">substantially higher than </w:t>
      </w:r>
      <w:r w:rsidR="002E44C9" w:rsidRPr="002C1806">
        <w:t xml:space="preserve">international </w:t>
      </w:r>
      <w:r w:rsidR="00431982" w:rsidRPr="002C1806">
        <w:t>rates</w:t>
      </w:r>
      <w:r w:rsidRPr="002C1806">
        <w:t>. Using a similar definition international research usually shows leve</w:t>
      </w:r>
      <w:r w:rsidR="006357CF" w:rsidRPr="002C1806">
        <w:t>ls</w:t>
      </w:r>
      <w:r w:rsidRPr="002C1806">
        <w:t xml:space="preserve"> </w:t>
      </w:r>
      <w:r w:rsidR="00431982" w:rsidRPr="002C1806">
        <w:t xml:space="preserve">of </w:t>
      </w:r>
      <w:r w:rsidR="0024388B" w:rsidRPr="002C1806">
        <w:t xml:space="preserve">around </w:t>
      </w:r>
      <w:r w:rsidR="00431982" w:rsidRPr="002C1806">
        <w:t>1 to 4 per cent</w:t>
      </w:r>
      <w:r w:rsidRPr="002C1806">
        <w:t xml:space="preserve"> </w:t>
      </w:r>
      <w:r w:rsidR="00431982" w:rsidRPr="002C1806">
        <w:t xml:space="preserve">(Einarsen, Hoel, &amp; Vartia, 2003). </w:t>
      </w:r>
      <w:r w:rsidR="00E31A89" w:rsidRPr="002C1806">
        <w:t>The results are</w:t>
      </w:r>
      <w:r w:rsidR="00431982" w:rsidRPr="002C1806">
        <w:t xml:space="preserve"> particular</w:t>
      </w:r>
      <w:r w:rsidR="0024388B" w:rsidRPr="002C1806">
        <w:t>ly</w:t>
      </w:r>
      <w:r w:rsidR="00431982" w:rsidRPr="002C1806">
        <w:t xml:space="preserve"> </w:t>
      </w:r>
      <w:r w:rsidR="0024388B" w:rsidRPr="002C1806">
        <w:t xml:space="preserve">alarming for </w:t>
      </w:r>
      <w:r w:rsidR="00431982" w:rsidRPr="002C1806">
        <w:t>women as they report significantly higher levels of bullying and for signif</w:t>
      </w:r>
      <w:r w:rsidR="00F539BA" w:rsidRPr="002C1806">
        <w:t>icantly longer periods of time.</w:t>
      </w:r>
      <w:r w:rsidR="00431982" w:rsidRPr="002C1806">
        <w:t xml:space="preserve"> </w:t>
      </w:r>
      <w:r w:rsidR="0024388B" w:rsidRPr="002C1806">
        <w:t xml:space="preserve">By international standards levels of </w:t>
      </w:r>
      <w:r w:rsidR="00431982" w:rsidRPr="002C1806">
        <w:t xml:space="preserve">harassment </w:t>
      </w:r>
      <w:r w:rsidR="0024388B" w:rsidRPr="002C1806">
        <w:t xml:space="preserve">also appear high </w:t>
      </w:r>
      <w:r w:rsidR="00431982" w:rsidRPr="002C1806">
        <w:t>in the workplace</w:t>
      </w:r>
      <w:r w:rsidR="00F16277" w:rsidRPr="002C1806">
        <w:t xml:space="preserve">. </w:t>
      </w:r>
      <w:r w:rsidR="00E31A89" w:rsidRPr="002C1806">
        <w:t>Nearly 42 per cent of</w:t>
      </w:r>
      <w:r w:rsidR="00431982" w:rsidRPr="002C1806">
        <w:t xml:space="preserve"> males report that they have been sworn</w:t>
      </w:r>
      <w:r w:rsidR="007771EA" w:rsidRPr="002C1806">
        <w:t xml:space="preserve"> or yelled at in the workplace.</w:t>
      </w:r>
      <w:r w:rsidR="00431982" w:rsidRPr="002C1806">
        <w:t xml:space="preserve"> </w:t>
      </w:r>
      <w:r w:rsidR="00F16277" w:rsidRPr="002C1806">
        <w:t>Over</w:t>
      </w:r>
      <w:r w:rsidR="00431982" w:rsidRPr="002C1806">
        <w:t xml:space="preserve"> 20 per cent of workers </w:t>
      </w:r>
      <w:r w:rsidR="00E31A89" w:rsidRPr="002C1806">
        <w:t>are</w:t>
      </w:r>
      <w:r w:rsidR="00431982" w:rsidRPr="002C1806">
        <w:t xml:space="preserve"> humiliated in front of others </w:t>
      </w:r>
      <w:r w:rsidR="0024388B" w:rsidRPr="002C1806">
        <w:t xml:space="preserve">and </w:t>
      </w:r>
      <w:r w:rsidR="00431982" w:rsidRPr="002C1806">
        <w:t xml:space="preserve">almost 20 per </w:t>
      </w:r>
      <w:r w:rsidR="00431982" w:rsidRPr="002C1806">
        <w:lastRenderedPageBreak/>
        <w:t xml:space="preserve">cent </w:t>
      </w:r>
      <w:r w:rsidR="0024388B" w:rsidRPr="002C1806">
        <w:t xml:space="preserve">state </w:t>
      </w:r>
      <w:r w:rsidR="00431982" w:rsidRPr="002C1806">
        <w:t>experience</w:t>
      </w:r>
      <w:r w:rsidR="00F16277" w:rsidRPr="002C1806">
        <w:t xml:space="preserve"> </w:t>
      </w:r>
      <w:r w:rsidR="00431982" w:rsidRPr="002C1806">
        <w:t>discomfort due to sexual humour. In addition 6.9 per cent of women experience unwanted sexual advances and 14.8 per cent of females in this sample experienc</w:t>
      </w:r>
      <w:r w:rsidR="00F16277" w:rsidRPr="002C1806">
        <w:t xml:space="preserve">e </w:t>
      </w:r>
      <w:r w:rsidR="00431982" w:rsidRPr="002C1806">
        <w:t>u</w:t>
      </w:r>
      <w:r w:rsidR="00F16277" w:rsidRPr="002C1806">
        <w:t xml:space="preserve">nfair treatment due to gender. </w:t>
      </w:r>
      <w:r w:rsidR="00431982" w:rsidRPr="002C1806">
        <w:t>Urgent attention is needed to address these harassment issues in Australian workplaces.</w:t>
      </w:r>
    </w:p>
    <w:p w:rsidR="00F126AA" w:rsidRPr="002C1806" w:rsidRDefault="005B6C4A" w:rsidP="002C1806">
      <w:r w:rsidRPr="00C84DF9">
        <w:rPr>
          <w:rStyle w:val="Emphasis"/>
          <w:i w:val="0"/>
          <w:iCs w:val="0"/>
        </w:rPr>
        <w:t xml:space="preserve">A standout finding here is that depression costs Australian </w:t>
      </w:r>
      <w:r w:rsidRPr="004B1585">
        <w:rPr>
          <w:rStyle w:val="Emphasis"/>
          <w:i w:val="0"/>
          <w:iCs w:val="0"/>
        </w:rPr>
        <w:t>employers</w:t>
      </w:r>
      <w:r w:rsidRPr="00C84DF9">
        <w:rPr>
          <w:rStyle w:val="Emphasis"/>
          <w:i w:val="0"/>
          <w:iCs w:val="0"/>
        </w:rPr>
        <w:t xml:space="preserve"> approximately AUD$</w:t>
      </w:r>
      <w:r>
        <w:rPr>
          <w:rStyle w:val="Emphasis"/>
          <w:i w:val="0"/>
          <w:iCs w:val="0"/>
        </w:rPr>
        <w:t>8</w:t>
      </w:r>
      <w:r w:rsidR="005D624C">
        <w:rPr>
          <w:rStyle w:val="Emphasis"/>
          <w:i w:val="0"/>
          <w:iCs w:val="0"/>
        </w:rPr>
        <w:t> </w:t>
      </w:r>
      <w:r>
        <w:rPr>
          <w:rStyle w:val="Emphasis"/>
          <w:i w:val="0"/>
          <w:iCs w:val="0"/>
        </w:rPr>
        <w:t xml:space="preserve">billion </w:t>
      </w:r>
      <w:r w:rsidRPr="00C84DF9">
        <w:rPr>
          <w:rStyle w:val="Emphasis"/>
          <w:i w:val="0"/>
          <w:iCs w:val="0"/>
        </w:rPr>
        <w:t>per annum as a result of sickness absence and presenteeism</w:t>
      </w:r>
      <w:r>
        <w:rPr>
          <w:rStyle w:val="Emphasis"/>
          <w:i w:val="0"/>
          <w:iCs w:val="0"/>
        </w:rPr>
        <w:t xml:space="preserve"> and </w:t>
      </w:r>
      <w:r w:rsidRPr="00C84DF9">
        <w:rPr>
          <w:rStyle w:val="Emphasis"/>
          <w:i w:val="0"/>
          <w:iCs w:val="0"/>
        </w:rPr>
        <w:t>AUD$</w:t>
      </w:r>
      <w:r>
        <w:rPr>
          <w:rStyle w:val="Emphasis"/>
          <w:i w:val="0"/>
          <w:iCs w:val="0"/>
        </w:rPr>
        <w:t>693</w:t>
      </w:r>
      <w:r w:rsidR="005D624C">
        <w:rPr>
          <w:rStyle w:val="Emphasis"/>
          <w:i w:val="0"/>
          <w:iCs w:val="0"/>
        </w:rPr>
        <w:t> </w:t>
      </w:r>
      <w:r>
        <w:rPr>
          <w:rStyle w:val="Emphasis"/>
          <w:i w:val="0"/>
          <w:iCs w:val="0"/>
        </w:rPr>
        <w:t xml:space="preserve">million </w:t>
      </w:r>
      <w:r w:rsidRPr="00C84DF9">
        <w:rPr>
          <w:rStyle w:val="Emphasis"/>
          <w:i w:val="0"/>
          <w:iCs w:val="0"/>
        </w:rPr>
        <w:t>per annum</w:t>
      </w:r>
      <w:r w:rsidRPr="005B6C4A">
        <w:rPr>
          <w:rStyle w:val="Emphasis"/>
          <w:i w:val="0"/>
          <w:iCs w:val="0"/>
        </w:rPr>
        <w:t xml:space="preserve"> </w:t>
      </w:r>
      <w:r>
        <w:rPr>
          <w:rStyle w:val="Emphasis"/>
          <w:i w:val="0"/>
          <w:iCs w:val="0"/>
        </w:rPr>
        <w:t>of this is due to</w:t>
      </w:r>
      <w:r w:rsidRPr="00C84DF9">
        <w:rPr>
          <w:rStyle w:val="Emphasis"/>
          <w:i w:val="0"/>
          <w:iCs w:val="0"/>
        </w:rPr>
        <w:t xml:space="preserve"> job strain and bullying</w:t>
      </w:r>
      <w:r w:rsidR="00F126AA" w:rsidRPr="002C1806">
        <w:t xml:space="preserve">. A prominent finding is that the cost is mostly due to workers showing mild symptoms of depression </w:t>
      </w:r>
      <w:r w:rsidR="00AE0115" w:rsidRPr="002C1806">
        <w:t>as they take</w:t>
      </w:r>
      <w:r w:rsidR="00F126AA" w:rsidRPr="002C1806">
        <w:t xml:space="preserve"> twice as many sick days as those who do not </w:t>
      </w:r>
      <w:r w:rsidR="00AE0115" w:rsidRPr="002C1806">
        <w:t>show</w:t>
      </w:r>
      <w:r w:rsidR="00F126AA" w:rsidRPr="002C1806">
        <w:t xml:space="preserve"> any symptoms of depression at all. The results further suggest that potentially AUD$</w:t>
      </w:r>
      <w:r w:rsidR="003F74A1" w:rsidRPr="002C1806">
        <w:t xml:space="preserve"> </w:t>
      </w:r>
      <w:r w:rsidR="00F126AA" w:rsidRPr="002C1806">
        <w:t>17.84 billion in costs to the employer could be saved if the mental wellbeing of the 25 per cent least psychologically healthy working Australians could be</w:t>
      </w:r>
      <w:r>
        <w:t xml:space="preserve"> </w:t>
      </w:r>
      <w:r w:rsidR="00F126AA" w:rsidRPr="002C1806">
        <w:t>raised to the level of the 25 per cent most psychologically healthy workers.</w:t>
      </w:r>
    </w:p>
    <w:p w:rsidR="00431982" w:rsidRPr="002C1806" w:rsidRDefault="00431982" w:rsidP="002C1806">
      <w:r w:rsidRPr="002C1806">
        <w:t xml:space="preserve">Results </w:t>
      </w:r>
      <w:r w:rsidR="00AE0115" w:rsidRPr="002C1806">
        <w:t>indicate</w:t>
      </w:r>
      <w:r w:rsidR="0024388B" w:rsidRPr="002C1806">
        <w:t xml:space="preserve"> </w:t>
      </w:r>
      <w:r w:rsidRPr="002C1806">
        <w:t xml:space="preserve">that working hours are a major issue in the workplace with over 40 per cent </w:t>
      </w:r>
      <w:r w:rsidR="00F16277" w:rsidRPr="002C1806">
        <w:t>o</w:t>
      </w:r>
      <w:r w:rsidR="00243E26" w:rsidRPr="002C1806">
        <w:t>f</w:t>
      </w:r>
      <w:r w:rsidR="00F16277" w:rsidRPr="002C1806">
        <w:t xml:space="preserve"> participants </w:t>
      </w:r>
      <w:r w:rsidRPr="002C1806">
        <w:t>working more than the national standard of 38 hours and 18 per cent working longer than</w:t>
      </w:r>
      <w:r w:rsidR="007771EA" w:rsidRPr="002C1806">
        <w:t xml:space="preserve"> 48 hours per week. </w:t>
      </w:r>
      <w:r w:rsidRPr="002C1806">
        <w:t xml:space="preserve">This is of particular importance as work-family conflict </w:t>
      </w:r>
      <w:r w:rsidR="00E31A89" w:rsidRPr="002C1806">
        <w:t>is</w:t>
      </w:r>
      <w:r w:rsidRPr="002C1806">
        <w:t xml:space="preserve"> one of the major contributors</w:t>
      </w:r>
      <w:r w:rsidR="007771EA" w:rsidRPr="002C1806">
        <w:t xml:space="preserve"> to poor health and wellbeing. </w:t>
      </w:r>
      <w:r w:rsidRPr="002C1806">
        <w:t xml:space="preserve">For all workers, factors including </w:t>
      </w:r>
      <w:r w:rsidR="00087234" w:rsidRPr="002C1806">
        <w:t xml:space="preserve">PSC, </w:t>
      </w:r>
      <w:r w:rsidRPr="002C1806">
        <w:t xml:space="preserve">emotional </w:t>
      </w:r>
      <w:r w:rsidR="00087234" w:rsidRPr="002C1806">
        <w:t xml:space="preserve">demands, work pressure, </w:t>
      </w:r>
      <w:r w:rsidRPr="002C1806">
        <w:t xml:space="preserve">bullying, </w:t>
      </w:r>
      <w:r w:rsidR="00087234" w:rsidRPr="002C1806">
        <w:t xml:space="preserve">justice, </w:t>
      </w:r>
      <w:r w:rsidRPr="002C1806">
        <w:t>rewards, and decision authority were significant contributor</w:t>
      </w:r>
      <w:r w:rsidR="00F16277" w:rsidRPr="002C1806">
        <w:t>s</w:t>
      </w:r>
      <w:r w:rsidRPr="002C1806">
        <w:t xml:space="preserve"> to poor psychological health, and prevention strategies should focu</w:t>
      </w:r>
      <w:r w:rsidR="00064808">
        <w:t>s on addressing these aspects.</w:t>
      </w:r>
    </w:p>
    <w:p w:rsidR="003006B2" w:rsidRPr="002C1806" w:rsidRDefault="00431982" w:rsidP="002C1806">
      <w:r w:rsidRPr="002C1806">
        <w:t>This report provides a snapshot of evidence emerging from the AWB study. By assessing leading indicators and psychosocial risk factors</w:t>
      </w:r>
      <w:r w:rsidR="00F16277" w:rsidRPr="002C1806">
        <w:t>,</w:t>
      </w:r>
      <w:r w:rsidRPr="002C1806">
        <w:t xml:space="preserve"> an evidence basis for targeted prevention and </w:t>
      </w:r>
      <w:r w:rsidR="00071736" w:rsidRPr="002C1806">
        <w:t>intervention</w:t>
      </w:r>
      <w:r w:rsidR="00E31A89" w:rsidRPr="002C1806">
        <w:t xml:space="preserve"> is provided and groups at risk are identified</w:t>
      </w:r>
      <w:r w:rsidR="00721E87" w:rsidRPr="002C1806">
        <w:t>. S</w:t>
      </w:r>
      <w:r w:rsidRPr="002C1806">
        <w:t xml:space="preserve">uggestions are also made </w:t>
      </w:r>
      <w:r w:rsidR="00566159" w:rsidRPr="002C1806">
        <w:t xml:space="preserve">to target </w:t>
      </w:r>
      <w:r w:rsidRPr="002C1806">
        <w:t xml:space="preserve">specific </w:t>
      </w:r>
      <w:r w:rsidR="00F16277" w:rsidRPr="002C1806">
        <w:t xml:space="preserve">factors </w:t>
      </w:r>
      <w:r w:rsidRPr="002C1806">
        <w:t xml:space="preserve">focal </w:t>
      </w:r>
      <w:r w:rsidR="00F16277" w:rsidRPr="002C1806">
        <w:t xml:space="preserve">to </w:t>
      </w:r>
      <w:r w:rsidRPr="002C1806">
        <w:t xml:space="preserve">strategy and </w:t>
      </w:r>
      <w:r w:rsidR="00071736" w:rsidRPr="002C1806">
        <w:t>policy</w:t>
      </w:r>
      <w:r w:rsidRPr="002C1806">
        <w:t xml:space="preserve"> development, such as PSC, </w:t>
      </w:r>
      <w:r w:rsidR="00E31A89" w:rsidRPr="002C1806">
        <w:t xml:space="preserve">and reducing </w:t>
      </w:r>
      <w:r w:rsidRPr="002C1806">
        <w:t xml:space="preserve">working hours and harassment as they will </w:t>
      </w:r>
      <w:r w:rsidR="00071736" w:rsidRPr="002C1806">
        <w:t>likely</w:t>
      </w:r>
      <w:r w:rsidRPr="002C1806">
        <w:t xml:space="preserve"> make the most impact on health and </w:t>
      </w:r>
      <w:r w:rsidR="00071736" w:rsidRPr="002C1806">
        <w:t>productivity</w:t>
      </w:r>
      <w:r w:rsidR="00F16277" w:rsidRPr="002C1806">
        <w:t xml:space="preserve"> outcomes. </w:t>
      </w:r>
      <w:r w:rsidRPr="002C1806">
        <w:t xml:space="preserve">The results from this national surveillance project shifts attention away from lag indicators, such as compensation claims, and brings Australia up to international best practice standards for proactive psychosocial risk </w:t>
      </w:r>
      <w:r w:rsidR="00071736" w:rsidRPr="002C1806">
        <w:t>prevention</w:t>
      </w:r>
      <w:r w:rsidRPr="002C1806">
        <w:t xml:space="preserve"> and intervention</w:t>
      </w:r>
      <w:r w:rsidR="00F16277" w:rsidRPr="002C1806">
        <w:t xml:space="preserve"> policy implications</w:t>
      </w:r>
      <w:r w:rsidRPr="002C1806">
        <w:t>, providing a science driven basis for improving working conditions and worker wellbeing.</w:t>
      </w:r>
      <w:r w:rsidR="00F16277" w:rsidRPr="002C1806">
        <w:t xml:space="preserve"> </w:t>
      </w:r>
      <w:r w:rsidR="00131D8A" w:rsidRPr="002C1806">
        <w:t xml:space="preserve">For the first time national standards, industry and occupational risks </w:t>
      </w:r>
      <w:r w:rsidR="00AE0115" w:rsidRPr="002C1806">
        <w:t>are</w:t>
      </w:r>
      <w:r w:rsidR="00131D8A" w:rsidRPr="002C1806">
        <w:t xml:space="preserve"> established with</w:t>
      </w:r>
      <w:r w:rsidR="00087234" w:rsidRPr="002C1806">
        <w:t xml:space="preserve"> important implications </w:t>
      </w:r>
      <w:r w:rsidR="00F16277" w:rsidRPr="002C1806">
        <w:t>for Australian workers, unions, employers, employer associations, community groups</w:t>
      </w:r>
      <w:r w:rsidR="00721E87" w:rsidRPr="002C1806">
        <w:t>, practitioners, policy makers</w:t>
      </w:r>
      <w:r w:rsidR="00F16277" w:rsidRPr="002C1806">
        <w:t xml:space="preserve"> and other key stakeholders</w:t>
      </w:r>
      <w:r w:rsidR="00721E87" w:rsidRPr="002C1806">
        <w:t>.</w:t>
      </w:r>
    </w:p>
    <w:p w:rsidR="00186610" w:rsidRPr="00064808" w:rsidRDefault="00186610" w:rsidP="00064808">
      <w:pPr>
        <w:pStyle w:val="Heading1"/>
      </w:pPr>
      <w:bookmarkStart w:id="23" w:name="_Toc343502408"/>
      <w:r w:rsidRPr="00064808">
        <w:lastRenderedPageBreak/>
        <w:t>Introduction</w:t>
      </w:r>
      <w:bookmarkEnd w:id="23"/>
    </w:p>
    <w:p w:rsidR="00F36638" w:rsidRPr="002C1806" w:rsidRDefault="00F36638" w:rsidP="002C1806">
      <w:r w:rsidRPr="002C1806">
        <w:t>There has been increasing</w:t>
      </w:r>
      <w:r w:rsidR="0076164D" w:rsidRPr="002C1806">
        <w:t xml:space="preserve"> recognition in Australia and internationally of the urgent need to address work factors that influence employee health and wellbeing with a particular focus on developi</w:t>
      </w:r>
      <w:r w:rsidR="00243E26" w:rsidRPr="002C1806">
        <w:t xml:space="preserve">ng strategies for worker injury </w:t>
      </w:r>
      <w:r w:rsidR="0076164D" w:rsidRPr="002C1806">
        <w:t>prevention (European Agency for Safety and Health at Work, 2007; Häusser, Mojzisch, Niesel, &amp; Schulz-Hardt, 2010; LaMontagne, Keegal, Vallance, Ostry, &amp; Wolfe, 2008; Leka &amp; Jain, 2010; Leka, Jain, Cox, &amp; Kortum, 2011</w:t>
      </w:r>
      <w:r w:rsidR="007771EA" w:rsidRPr="002C1806">
        <w:t>).</w:t>
      </w:r>
      <w:r w:rsidRPr="002C1806">
        <w:t xml:space="preserve"> Work related stress represents a ‘huge cost’ for worker health and productivity (European Agency for Safety and Health at Work, 2009) and more broadly is regarded as an important social determinant of global health (Commission on Social Determinants of Health, 2008). By 2020, stress-related illnesses such as depression and cardiovascular disease are forecast to be the leading causes of the global disease</w:t>
      </w:r>
      <w:r w:rsidR="00422714">
        <w:t xml:space="preserve"> burden (Murray &amp; Lopez, 1996).</w:t>
      </w:r>
    </w:p>
    <w:p w:rsidR="0076164D" w:rsidRPr="002C1806" w:rsidRDefault="0076164D" w:rsidP="002C1806">
      <w:r w:rsidRPr="002C1806">
        <w:t xml:space="preserve">The increased need to protect worker psychological wellbeing has arisen due to the recognition of the potential negative outcomes of psychosocial risk at work (Johnstone, Quinlan, &amp; McNamara, 2011). </w:t>
      </w:r>
      <w:r w:rsidR="008F2DD4" w:rsidRPr="002C1806">
        <w:t>These</w:t>
      </w:r>
      <w:r w:rsidRPr="002C1806">
        <w:t xml:space="preserve"> </w:t>
      </w:r>
      <w:r w:rsidR="00870AFB" w:rsidRPr="002C1806">
        <w:t xml:space="preserve">outcomes </w:t>
      </w:r>
      <w:r w:rsidRPr="002C1806">
        <w:t xml:space="preserve">include increased rates of psychological illnesses such as depression (Murray &amp; Lopez, 1996), </w:t>
      </w:r>
      <w:r w:rsidR="00F36638" w:rsidRPr="002C1806">
        <w:t xml:space="preserve">physical health problems (Leka &amp; Jain, 2010), </w:t>
      </w:r>
      <w:r w:rsidRPr="002C1806">
        <w:t>declines in productivity due to work stress and poor worker health (LaMontagne</w:t>
      </w:r>
      <w:r w:rsidR="00AA68B5" w:rsidRPr="002C1806">
        <w:t xml:space="preserve"> et al.,</w:t>
      </w:r>
      <w:r w:rsidRPr="002C1806">
        <w:t xml:space="preserve"> 2008; McTernan, Dollard, </w:t>
      </w:r>
      <w:r w:rsidR="00A53D79" w:rsidRPr="002C1806">
        <w:t xml:space="preserve">&amp; </w:t>
      </w:r>
      <w:r w:rsidRPr="002C1806">
        <w:t>LaMontagne</w:t>
      </w:r>
      <w:r w:rsidR="00AA68B5" w:rsidRPr="002C1806">
        <w:t>,</w:t>
      </w:r>
      <w:r w:rsidRPr="002C1806">
        <w:t xml:space="preserve"> in review), and rising costs associated with work-related injuries and workers’ compensation claims (Comcare &amp; Safety Rehabilitation and </w:t>
      </w:r>
      <w:r w:rsidR="00422714">
        <w:t>Compensation Commission, 2009).</w:t>
      </w:r>
    </w:p>
    <w:p w:rsidR="00F36638" w:rsidRPr="002C1806" w:rsidRDefault="00F36638" w:rsidP="002C1806">
      <w:r w:rsidRPr="002C1806">
        <w:t xml:space="preserve">There are several factors contributing to the </w:t>
      </w:r>
      <w:r w:rsidR="00A53D79" w:rsidRPr="002C1806">
        <w:t>emergence</w:t>
      </w:r>
      <w:r w:rsidRPr="002C1806">
        <w:t xml:space="preserve"> of psychosocial</w:t>
      </w:r>
      <w:r w:rsidR="007771EA" w:rsidRPr="002C1806">
        <w:t xml:space="preserve"> risk as a</w:t>
      </w:r>
      <w:r w:rsidRPr="002C1806">
        <w:t xml:space="preserve"> </w:t>
      </w:r>
      <w:r w:rsidR="00A53D79" w:rsidRPr="002C1806">
        <w:t xml:space="preserve">recognised </w:t>
      </w:r>
      <w:r w:rsidR="00ED5BDB" w:rsidRPr="002C1806">
        <w:t xml:space="preserve">work health and safety </w:t>
      </w:r>
      <w:r w:rsidRPr="002C1806">
        <w:t>i</w:t>
      </w:r>
      <w:r w:rsidR="007771EA" w:rsidRPr="002C1806">
        <w:t xml:space="preserve">ssue around the world. </w:t>
      </w:r>
      <w:r w:rsidRPr="002C1806">
        <w:t xml:space="preserve">First, globalisation is increasing competition and is </w:t>
      </w:r>
      <w:r w:rsidR="00A53D79" w:rsidRPr="002C1806">
        <w:t xml:space="preserve">perpetuating organisational change, </w:t>
      </w:r>
      <w:r w:rsidRPr="002C1806">
        <w:t>downsizing, job insecurity, work intensification, longer working hours and reduced resources (Green &amp; McIntosh, 2001; Houtman, Goudswaard, Evers, &amp; van de Bovenkamp, 2005; TNO Quality of Life, 2008)</w:t>
      </w:r>
      <w:r w:rsidR="007771EA" w:rsidRPr="002C1806">
        <w:t>.</w:t>
      </w:r>
      <w:r w:rsidRPr="002C1806">
        <w:t xml:space="preserve"> Increasing demands and reduced resources are thought to </w:t>
      </w:r>
      <w:r w:rsidR="004B65F4" w:rsidRPr="002C1806">
        <w:t xml:space="preserve">be a factor in the rise of </w:t>
      </w:r>
      <w:r w:rsidRPr="002C1806">
        <w:t xml:space="preserve">bullying and harassment </w:t>
      </w:r>
      <w:r w:rsidR="004B65F4" w:rsidRPr="002C1806">
        <w:t xml:space="preserve">as a major concern </w:t>
      </w:r>
      <w:r w:rsidRPr="002C1806">
        <w:t>in the workplace (Bond, Tuckey, &amp; Dollard, 2010).</w:t>
      </w:r>
      <w:r w:rsidR="007771EA" w:rsidRPr="002C1806">
        <w:t xml:space="preserve"> </w:t>
      </w:r>
      <w:r w:rsidRPr="002C1806">
        <w:t xml:space="preserve">Second, new technologies threaten work-life balance </w:t>
      </w:r>
      <w:r w:rsidR="004B65F4" w:rsidRPr="002C1806">
        <w:t xml:space="preserve">because of </w:t>
      </w:r>
      <w:r w:rsidR="00F126AA" w:rsidRPr="002C1806">
        <w:t>the</w:t>
      </w:r>
      <w:r w:rsidRPr="002C1806">
        <w:t xml:space="preserve"> disappearing distinction between work and family, recovery, and leisure time (TNO Quality of Life, 2008). New technologies have also increased the opportunities for service work with knowledge and informa</w:t>
      </w:r>
      <w:r w:rsidR="007771EA" w:rsidRPr="002C1806">
        <w:t xml:space="preserve">tion based employment growing. </w:t>
      </w:r>
      <w:r w:rsidRPr="002C1806">
        <w:t xml:space="preserve">Third, demographic changes mean that there are more older and migrant workers being employed that may face additional </w:t>
      </w:r>
      <w:r w:rsidR="00ED5BDB" w:rsidRPr="002C1806">
        <w:t xml:space="preserve">work health and safety </w:t>
      </w:r>
      <w:r w:rsidRPr="002C1806">
        <w:t>risks. Through regular surveillance these factors are monitored and their effects can then be better controlled through prevention and intervention.</w:t>
      </w:r>
    </w:p>
    <w:p w:rsidR="00B548F5" w:rsidRPr="002C1806" w:rsidRDefault="008947D1" w:rsidP="002C1806">
      <w:r w:rsidRPr="002C1806">
        <w:t>In Australia, worker</w:t>
      </w:r>
      <w:r w:rsidR="00ED5BDB" w:rsidRPr="002C1806">
        <w:t>s’</w:t>
      </w:r>
      <w:r w:rsidRPr="002C1806">
        <w:t xml:space="preserve"> compensation statistics show a </w:t>
      </w:r>
      <w:r w:rsidR="00BC24CA" w:rsidRPr="002C1806">
        <w:t xml:space="preserve">relatively </w:t>
      </w:r>
      <w:r w:rsidRPr="002C1806">
        <w:t xml:space="preserve">consistent increasing trend in the rate of mental stress claims and associated costs. </w:t>
      </w:r>
      <w:r w:rsidR="00BC24CA" w:rsidRPr="002C1806">
        <w:t xml:space="preserve">Although </w:t>
      </w:r>
      <w:r w:rsidR="00F36638" w:rsidRPr="002C1806">
        <w:t xml:space="preserve">the </w:t>
      </w:r>
      <w:r w:rsidR="00BC24CA" w:rsidRPr="002C1806">
        <w:t xml:space="preserve">frequency of stress claims somewhat decreases after </w:t>
      </w:r>
      <w:r w:rsidR="008F2DD4" w:rsidRPr="002C1806">
        <w:t>20</w:t>
      </w:r>
      <w:r w:rsidR="00BC24CA" w:rsidRPr="002C1806">
        <w:t>05-06, potentially due to changes in legislation, rates are again on the rise (</w:t>
      </w:r>
      <w:r w:rsidR="00B548F5" w:rsidRPr="002C1806">
        <w:t>Safe Work Australia</w:t>
      </w:r>
      <w:r w:rsidR="00B95DA6" w:rsidRPr="002C1806">
        <w:t>,</w:t>
      </w:r>
      <w:r w:rsidR="00BC24CA" w:rsidRPr="002C1806">
        <w:t xml:space="preserve"> 2012)</w:t>
      </w:r>
      <w:r w:rsidR="008F2DD4" w:rsidRPr="002C1806">
        <w:t>.</w:t>
      </w:r>
      <w:r w:rsidR="00BC24CA" w:rsidRPr="002C1806">
        <w:t xml:space="preserve"> </w:t>
      </w:r>
      <w:r w:rsidRPr="002C1806">
        <w:t xml:space="preserve">Data from </w:t>
      </w:r>
      <w:r w:rsidR="00BC24CA" w:rsidRPr="002C1806">
        <w:t xml:space="preserve">Safe Work Australia shows that </w:t>
      </w:r>
      <w:r w:rsidR="00301CB1" w:rsidRPr="002C1806">
        <w:t xml:space="preserve">in 2008-09 the median </w:t>
      </w:r>
      <w:r w:rsidR="00BC24CA" w:rsidRPr="002C1806">
        <w:t xml:space="preserve">time loss </w:t>
      </w:r>
      <w:r w:rsidR="00F36638" w:rsidRPr="002C1806">
        <w:t xml:space="preserve">at work </w:t>
      </w:r>
      <w:r w:rsidR="00BC24CA" w:rsidRPr="002C1806">
        <w:t xml:space="preserve">due to mental disorder claims </w:t>
      </w:r>
      <w:r w:rsidR="00301CB1" w:rsidRPr="002C1806">
        <w:t>(</w:t>
      </w:r>
      <w:r w:rsidR="00BC24CA" w:rsidRPr="002C1806">
        <w:t>11.8 weeks</w:t>
      </w:r>
      <w:r w:rsidR="00301CB1" w:rsidRPr="002C1806">
        <w:t xml:space="preserve">) </w:t>
      </w:r>
      <w:r w:rsidR="008F2DD4" w:rsidRPr="002C1806">
        <w:t xml:space="preserve">was </w:t>
      </w:r>
      <w:r w:rsidR="00301CB1" w:rsidRPr="002C1806">
        <w:t xml:space="preserve">more than three times longer than </w:t>
      </w:r>
      <w:r w:rsidR="00F36638" w:rsidRPr="002C1806">
        <w:t xml:space="preserve">the </w:t>
      </w:r>
      <w:r w:rsidR="00301CB1" w:rsidRPr="002C1806">
        <w:t xml:space="preserve">median time </w:t>
      </w:r>
      <w:r w:rsidR="00B95DA6" w:rsidRPr="002C1806">
        <w:t>los</w:t>
      </w:r>
      <w:r w:rsidR="00ED5BDB" w:rsidRPr="002C1806">
        <w:t>t</w:t>
      </w:r>
      <w:r w:rsidR="00B95DA6" w:rsidRPr="002C1806">
        <w:t xml:space="preserve"> </w:t>
      </w:r>
      <w:r w:rsidR="00301CB1" w:rsidRPr="002C1806">
        <w:t xml:space="preserve">for </w:t>
      </w:r>
      <w:r w:rsidR="00BC24CA" w:rsidRPr="002C1806">
        <w:t>all serious claims</w:t>
      </w:r>
      <w:r w:rsidR="00301CB1" w:rsidRPr="002C1806">
        <w:t xml:space="preserve"> (3.8 weeks)</w:t>
      </w:r>
      <w:r w:rsidR="00BC24CA" w:rsidRPr="002C1806">
        <w:t xml:space="preserve">. </w:t>
      </w:r>
      <w:r w:rsidR="00B548F5" w:rsidRPr="002C1806">
        <w:t>It is therefore not surprising that the median payment associated with mental disorders (</w:t>
      </w:r>
      <w:r w:rsidR="00F126AA" w:rsidRPr="002C1806">
        <w:t>AUD</w:t>
      </w:r>
      <w:r w:rsidR="00301CB1" w:rsidRPr="002C1806">
        <w:t>$</w:t>
      </w:r>
      <w:r w:rsidR="00B548F5" w:rsidRPr="002C1806">
        <w:t>18</w:t>
      </w:r>
      <w:r w:rsidR="005D624C">
        <w:t> </w:t>
      </w:r>
      <w:r w:rsidR="00B548F5" w:rsidRPr="002C1806">
        <w:t xml:space="preserve">000) for 2008-09, </w:t>
      </w:r>
      <w:r w:rsidR="00301CB1" w:rsidRPr="002C1806">
        <w:t>was</w:t>
      </w:r>
      <w:r w:rsidR="00B548F5" w:rsidRPr="002C1806">
        <w:t xml:space="preserve"> over 32</w:t>
      </w:r>
      <w:r w:rsidR="00B95DA6" w:rsidRPr="002C1806">
        <w:t xml:space="preserve"> </w:t>
      </w:r>
      <w:r w:rsidR="00E9071D" w:rsidRPr="002C1806">
        <w:t>per cent</w:t>
      </w:r>
      <w:r w:rsidR="00B548F5" w:rsidRPr="002C1806">
        <w:t xml:space="preserve"> higher than the</w:t>
      </w:r>
      <w:r w:rsidR="00BB7120" w:rsidRPr="002C1806">
        <w:t>,</w:t>
      </w:r>
      <w:r w:rsidR="00AE0115" w:rsidRPr="002C1806">
        <w:t xml:space="preserve"> </w:t>
      </w:r>
      <w:r w:rsidR="00B548F5" w:rsidRPr="002C1806">
        <w:t>median cost for all serious claims</w:t>
      </w:r>
      <w:r w:rsidR="00301CB1" w:rsidRPr="002C1806">
        <w:t xml:space="preserve"> (</w:t>
      </w:r>
      <w:r w:rsidR="003F74A1" w:rsidRPr="002C1806">
        <w:t>AUD</w:t>
      </w:r>
      <w:r w:rsidR="00301CB1" w:rsidRPr="002C1806">
        <w:t>$</w:t>
      </w:r>
      <w:r w:rsidR="003F74A1" w:rsidRPr="002C1806">
        <w:t xml:space="preserve"> </w:t>
      </w:r>
      <w:r w:rsidR="00301CB1" w:rsidRPr="002C1806">
        <w:t>12</w:t>
      </w:r>
      <w:r w:rsidR="00013215" w:rsidRPr="002C1806">
        <w:t xml:space="preserve"> </w:t>
      </w:r>
      <w:r w:rsidR="00301CB1" w:rsidRPr="002C1806">
        <w:t>200)</w:t>
      </w:r>
      <w:r w:rsidR="00B548F5" w:rsidRPr="002C1806">
        <w:t xml:space="preserve"> (Safe Work Australia</w:t>
      </w:r>
      <w:r w:rsidR="00301CB1" w:rsidRPr="002C1806">
        <w:t>, 2012</w:t>
      </w:r>
      <w:r w:rsidR="00B548F5" w:rsidRPr="002C1806">
        <w:t>).</w:t>
      </w:r>
    </w:p>
    <w:p w:rsidR="005D624C" w:rsidRDefault="005D624C">
      <w:pPr>
        <w:spacing w:after="0" w:line="240" w:lineRule="auto"/>
      </w:pPr>
      <w:r>
        <w:br w:type="page"/>
      </w:r>
    </w:p>
    <w:p w:rsidR="0076164D" w:rsidRPr="002C1806" w:rsidRDefault="0076164D" w:rsidP="002C1806">
      <w:r w:rsidRPr="002C1806">
        <w:lastRenderedPageBreak/>
        <w:t>Research has consistently identified numerous workplace factors that contribute to poor employee health</w:t>
      </w:r>
      <w:r w:rsidR="00F36638" w:rsidRPr="002C1806">
        <w:t xml:space="preserve">. </w:t>
      </w:r>
      <w:r w:rsidRPr="002C1806">
        <w:t>Psychosocial risk factors found to correlate with employee health outcomes include workload, emotional demands, role conflict, bullying and harassment, feedback, opportunities for development, sense of community, autonomy, leadership, co-worker support</w:t>
      </w:r>
      <w:r w:rsidR="00F36638" w:rsidRPr="002C1806">
        <w:t>,</w:t>
      </w:r>
      <w:r w:rsidRPr="002C1806">
        <w:t xml:space="preserve"> </w:t>
      </w:r>
      <w:r w:rsidR="00F36638" w:rsidRPr="002C1806">
        <w:t xml:space="preserve">and organisational </w:t>
      </w:r>
      <w:r w:rsidRPr="002C1806">
        <w:t xml:space="preserve">(Demerouti, </w:t>
      </w:r>
      <w:r w:rsidR="0019255B" w:rsidRPr="002C1806">
        <w:t>Nachreiner, Bakker</w:t>
      </w:r>
      <w:r w:rsidRPr="002C1806">
        <w:t>, &amp; Schaufeli, 2001; Karasek &amp; Theorell</w:t>
      </w:r>
      <w:r w:rsidR="00F36638" w:rsidRPr="002C1806">
        <w:t>, 1990). In a major review, the World Health Organisation found that the influence of psychosocial risk at work is of increasing concern globally (Leka &amp; Jain, 2010).</w:t>
      </w:r>
    </w:p>
    <w:p w:rsidR="0076164D" w:rsidRPr="002C1806" w:rsidRDefault="008F2DD4" w:rsidP="002C1806">
      <w:r w:rsidRPr="002C1806">
        <w:t>Consequently this e</w:t>
      </w:r>
      <w:r w:rsidR="0076164D" w:rsidRPr="002C1806">
        <w:t>mpirical evidence has influenced regulatory bodies and multinational organisations to recognise the important effect that psychosocial risk factors play on employee health and wellbeing, as well as engagement and productivity. The International Labour Organisation (ILO</w:t>
      </w:r>
      <w:r w:rsidR="00243E26" w:rsidRPr="002C1806">
        <w:t>)</w:t>
      </w:r>
      <w:r w:rsidR="004442E8" w:rsidRPr="002C1806">
        <w:t xml:space="preserve"> </w:t>
      </w:r>
      <w:r w:rsidR="00243E26" w:rsidRPr="002C1806">
        <w:t>(</w:t>
      </w:r>
      <w:r w:rsidR="004442E8" w:rsidRPr="002C1806">
        <w:t>International Labour Organisation,</w:t>
      </w:r>
      <w:r w:rsidR="0076164D" w:rsidRPr="002C1806">
        <w:t xml:space="preserve"> 1986) defined psychosocial risk as</w:t>
      </w:r>
      <w:r w:rsidR="00B459D1" w:rsidRPr="002C1806">
        <w:t xml:space="preserve"> </w:t>
      </w:r>
      <w:r w:rsidR="00352560" w:rsidRPr="002C1806">
        <w:t xml:space="preserve">arising from </w:t>
      </w:r>
      <w:r w:rsidR="00B459D1" w:rsidRPr="002C1806">
        <w:t>the combination of</w:t>
      </w:r>
      <w:r w:rsidR="0076164D" w:rsidRPr="002C1806">
        <w:t xml:space="preserve"> job content, work organisation and management, environmental workplace conditions, and employees’ competencies</w:t>
      </w:r>
      <w:r w:rsidR="00243E26" w:rsidRPr="002C1806">
        <w:t>, and it is</w:t>
      </w:r>
      <w:r w:rsidR="0076164D" w:rsidRPr="002C1806">
        <w:t xml:space="preserve"> the interaction of all these variables that is recognised as having a potentially hazardous effect on employee health </w:t>
      </w:r>
      <w:r w:rsidR="00422714">
        <w:t>(ILO, 1986).</w:t>
      </w:r>
    </w:p>
    <w:p w:rsidR="00301CB1" w:rsidRPr="00C108FB" w:rsidRDefault="00DD0A10" w:rsidP="00C108FB">
      <w:pPr>
        <w:pStyle w:val="Heading1"/>
      </w:pPr>
      <w:bookmarkStart w:id="24" w:name="_Toc343502409"/>
      <w:r w:rsidRPr="00C108FB">
        <w:lastRenderedPageBreak/>
        <w:t>Surveillance</w:t>
      </w:r>
      <w:r w:rsidR="00301CB1" w:rsidRPr="00C108FB">
        <w:t xml:space="preserve"> Systems</w:t>
      </w:r>
      <w:bookmarkEnd w:id="24"/>
      <w:r w:rsidR="00301CB1" w:rsidRPr="00C108FB">
        <w:t xml:space="preserve"> </w:t>
      </w:r>
    </w:p>
    <w:p w:rsidR="00050549" w:rsidRPr="004B1585" w:rsidRDefault="00050549" w:rsidP="004B1585">
      <w:pPr>
        <w:pStyle w:val="Quote"/>
      </w:pPr>
      <w:r w:rsidRPr="00B5380F">
        <w:t xml:space="preserve">“Surveillance is </w:t>
      </w:r>
      <w:proofErr w:type="gramStart"/>
      <w:r w:rsidRPr="00B5380F">
        <w:t>key</w:t>
      </w:r>
      <w:proofErr w:type="gramEnd"/>
      <w:r w:rsidRPr="00B5380F">
        <w:t xml:space="preserve"> in providing a solid evidence base to support the development of prevention and intervention </w:t>
      </w:r>
      <w:r w:rsidRPr="00C84DF9">
        <w:t>strategies</w:t>
      </w:r>
      <w:r w:rsidRPr="00B5380F">
        <w:t xml:space="preserve"> as well as a means to evaluate the effectiveness of any im</w:t>
      </w:r>
      <w:r w:rsidR="004D27D1" w:rsidRPr="00B5380F">
        <w:t>plemented policies and programs</w:t>
      </w:r>
      <w:r w:rsidR="00E4333A" w:rsidRPr="00B5380F">
        <w:t>.</w:t>
      </w:r>
      <w:r w:rsidRPr="00B5380F">
        <w:t>”</w:t>
      </w:r>
    </w:p>
    <w:p w:rsidR="001A08AD" w:rsidRPr="002C1806" w:rsidRDefault="009C2776" w:rsidP="002C1806">
      <w:r w:rsidRPr="002C1806">
        <w:t xml:space="preserve">Attention has been given to the </w:t>
      </w:r>
      <w:r w:rsidR="00F36638" w:rsidRPr="002C1806">
        <w:t xml:space="preserve">work stress </w:t>
      </w:r>
      <w:r w:rsidRPr="002C1806">
        <w:t>issue in Australia because of</w:t>
      </w:r>
      <w:r w:rsidR="001A08AD" w:rsidRPr="002C1806">
        <w:t xml:space="preserve"> rising rates of reported psychological injury claims, longer period</w:t>
      </w:r>
      <w:r w:rsidR="00F36638" w:rsidRPr="002C1806">
        <w:t>s</w:t>
      </w:r>
      <w:r w:rsidR="001A08AD" w:rsidRPr="002C1806">
        <w:t xml:space="preserve"> of time off due to psychological injury and escalating costs associated with </w:t>
      </w:r>
      <w:r w:rsidR="00F36638" w:rsidRPr="002C1806">
        <w:t xml:space="preserve">the </w:t>
      </w:r>
      <w:r w:rsidR="001A08AD" w:rsidRPr="002C1806">
        <w:t xml:space="preserve">rehabilitation of employees with work related injuries (Leka &amp; Jain, 2010; Safe Work Australia 2012). </w:t>
      </w:r>
      <w:r w:rsidRPr="002C1806">
        <w:t xml:space="preserve">But these are lag indicators of the problem. </w:t>
      </w:r>
      <w:r w:rsidR="001A08AD" w:rsidRPr="002C1806">
        <w:t xml:space="preserve">In order to </w:t>
      </w:r>
      <w:r w:rsidRPr="002C1806">
        <w:t xml:space="preserve">proactively </w:t>
      </w:r>
      <w:r w:rsidR="001A08AD" w:rsidRPr="002C1806">
        <w:t xml:space="preserve">address these issues </w:t>
      </w:r>
      <w:r w:rsidR="00AE59E0" w:rsidRPr="002C1806">
        <w:t>a strategic focus on</w:t>
      </w:r>
      <w:r w:rsidR="001A08AD" w:rsidRPr="002C1806">
        <w:t xml:space="preserve"> </w:t>
      </w:r>
      <w:r w:rsidR="00B95DA6" w:rsidRPr="002C1806">
        <w:t>identifying leading indicators of stress</w:t>
      </w:r>
      <w:r w:rsidR="00AE59E0" w:rsidRPr="002C1806">
        <w:t xml:space="preserve"> is required</w:t>
      </w:r>
      <w:r w:rsidR="00B95DA6" w:rsidRPr="002C1806">
        <w:t xml:space="preserve">, and </w:t>
      </w:r>
      <w:r w:rsidR="001A08AD" w:rsidRPr="002C1806">
        <w:t>surveillance which involves measuring workplace factors that lead to poor health o</w:t>
      </w:r>
      <w:r w:rsidR="00B95DA6" w:rsidRPr="002C1806">
        <w:t xml:space="preserve">utcomes, </w:t>
      </w:r>
      <w:r w:rsidR="007771EA" w:rsidRPr="002C1806">
        <w:t xml:space="preserve">provides the means to do this. </w:t>
      </w:r>
      <w:r w:rsidR="00AE59E0" w:rsidRPr="002C1806">
        <w:t xml:space="preserve">To date most research has been informed by </w:t>
      </w:r>
      <w:r w:rsidR="00F314AE" w:rsidRPr="002C1806">
        <w:t xml:space="preserve">studies </w:t>
      </w:r>
      <w:r w:rsidR="00AE59E0" w:rsidRPr="002C1806">
        <w:t>conducted within industries</w:t>
      </w:r>
      <w:r w:rsidR="00F36638" w:rsidRPr="002C1806">
        <w:t xml:space="preserve"> which </w:t>
      </w:r>
      <w:r w:rsidR="00E4333A">
        <w:t>can</w:t>
      </w:r>
      <w:r w:rsidR="00C03BF2" w:rsidRPr="002C1806">
        <w:t>not</w:t>
      </w:r>
      <w:r w:rsidR="00F36638" w:rsidRPr="002C1806">
        <w:t xml:space="preserve"> adequately inform national policy.</w:t>
      </w:r>
      <w:r w:rsidR="00AE59E0" w:rsidRPr="002C1806">
        <w:t xml:space="preserve"> </w:t>
      </w:r>
      <w:r w:rsidR="001A08AD" w:rsidRPr="002C1806">
        <w:t xml:space="preserve">In </w:t>
      </w:r>
      <w:r w:rsidR="008E3792" w:rsidRPr="002C1806">
        <w:t xml:space="preserve">their </w:t>
      </w:r>
      <w:r w:rsidR="001A08AD" w:rsidRPr="002C1806">
        <w:t xml:space="preserve">overview Leka </w:t>
      </w:r>
      <w:r w:rsidR="008E3792" w:rsidRPr="002C1806">
        <w:t xml:space="preserve">and </w:t>
      </w:r>
      <w:r w:rsidR="001A08AD" w:rsidRPr="002C1806">
        <w:t>Jain</w:t>
      </w:r>
      <w:r w:rsidR="008E3792" w:rsidRPr="002C1806">
        <w:t xml:space="preserve"> (</w:t>
      </w:r>
      <w:r w:rsidR="001A08AD" w:rsidRPr="002C1806">
        <w:t>2010</w:t>
      </w:r>
      <w:r w:rsidR="008E3792" w:rsidRPr="002C1806">
        <w:t>)</w:t>
      </w:r>
      <w:r w:rsidR="001A08AD" w:rsidRPr="002C1806">
        <w:t xml:space="preserve"> found that the </w:t>
      </w:r>
      <w:r w:rsidR="00DD0A10" w:rsidRPr="002C1806">
        <w:t>surveillance</w:t>
      </w:r>
      <w:r w:rsidR="001A08AD" w:rsidRPr="002C1806">
        <w:t xml:space="preserve"> of these factors at n</w:t>
      </w:r>
      <w:r w:rsidR="00DD0A10" w:rsidRPr="002C1806">
        <w:t>a</w:t>
      </w:r>
      <w:r w:rsidR="001A08AD" w:rsidRPr="002C1806">
        <w:t>tional level is growing</w:t>
      </w:r>
      <w:r w:rsidR="00554BCF" w:rsidRPr="002C1806">
        <w:t xml:space="preserve"> steadily</w:t>
      </w:r>
      <w:r w:rsidR="001A08AD" w:rsidRPr="002C1806">
        <w:t>.</w:t>
      </w:r>
    </w:p>
    <w:p w:rsidR="001A08AD" w:rsidRPr="002C1806" w:rsidRDefault="001A08AD" w:rsidP="002C1806">
      <w:r w:rsidRPr="002C1806">
        <w:t xml:space="preserve">In a </w:t>
      </w:r>
      <w:r w:rsidR="008E3792" w:rsidRPr="002C1806">
        <w:t xml:space="preserve">review </w:t>
      </w:r>
      <w:r w:rsidRPr="002C1806">
        <w:t xml:space="preserve">of </w:t>
      </w:r>
      <w:r w:rsidR="00DD0A10" w:rsidRPr="002C1806">
        <w:t>surveillance</w:t>
      </w:r>
      <w:r w:rsidRPr="002C1806">
        <w:t xml:space="preserve"> systems across the globe, Dollard, Skinner, Tuckey and Bailey (2007), identified 35 national surveillance systems of psychosocial risk across 20 countries, 16 of which were in Europe.</w:t>
      </w:r>
      <w:r w:rsidR="00FF4D2B" w:rsidRPr="002C1806">
        <w:t xml:space="preserve"> Comprehensive psychosocial risk surveillance systems were also found in t</w:t>
      </w:r>
      <w:r w:rsidRPr="002C1806">
        <w:t>he North America</w:t>
      </w:r>
      <w:r w:rsidR="00FF4D2B" w:rsidRPr="002C1806">
        <w:t xml:space="preserve">s, which </w:t>
      </w:r>
      <w:r w:rsidRPr="002C1806">
        <w:t xml:space="preserve">had several </w:t>
      </w:r>
      <w:r w:rsidR="00F36638" w:rsidRPr="002C1806">
        <w:t xml:space="preserve">systems </w:t>
      </w:r>
      <w:r w:rsidRPr="002C1806">
        <w:t xml:space="preserve">in place. </w:t>
      </w:r>
      <w:r w:rsidR="00FF4D2B" w:rsidRPr="002C1806">
        <w:t xml:space="preserve">Many systems measure a wide range of psychosocial risk and health related factors as </w:t>
      </w:r>
      <w:r w:rsidR="008A785D" w:rsidRPr="002C1806">
        <w:t xml:space="preserve">well as demographic variables. </w:t>
      </w:r>
      <w:r w:rsidRPr="002C1806">
        <w:t xml:space="preserve">Researchers </w:t>
      </w:r>
      <w:r w:rsidR="00FF4D2B" w:rsidRPr="002C1806">
        <w:t>identified</w:t>
      </w:r>
      <w:r w:rsidRPr="002C1806">
        <w:t xml:space="preserve"> seven major stress related </w:t>
      </w:r>
      <w:r w:rsidR="00FF4D2B" w:rsidRPr="002C1806">
        <w:t xml:space="preserve">workplace </w:t>
      </w:r>
      <w:r w:rsidRPr="002C1806">
        <w:t xml:space="preserve">characteristics that were </w:t>
      </w:r>
      <w:r w:rsidR="000B22E1" w:rsidRPr="002C1806">
        <w:t xml:space="preserve">commonly </w:t>
      </w:r>
      <w:r w:rsidRPr="002C1806">
        <w:t xml:space="preserve">measured within these systems </w:t>
      </w:r>
      <w:r w:rsidR="00F36638" w:rsidRPr="002C1806">
        <w:t xml:space="preserve">that </w:t>
      </w:r>
      <w:r w:rsidRPr="002C1806">
        <w:t>included autonomy, skill/task variety, job demands, social support, feedback, task i</w:t>
      </w:r>
      <w:r w:rsidR="009527F1" w:rsidRPr="002C1806">
        <w:t>dentit</w:t>
      </w:r>
      <w:r w:rsidRPr="002C1806">
        <w:t>y/meaning, job security and pay/remuneration (Dollard et al., 2007).</w:t>
      </w:r>
    </w:p>
    <w:p w:rsidR="00BD68D9" w:rsidRPr="002C1806" w:rsidRDefault="00BD68D9" w:rsidP="002C1806">
      <w:r w:rsidRPr="002C1806">
        <w:t xml:space="preserve">Organisational and </w:t>
      </w:r>
      <w:r w:rsidR="00EB4A57" w:rsidRPr="002C1806">
        <w:t>individual</w:t>
      </w:r>
      <w:r w:rsidRPr="002C1806">
        <w:t xml:space="preserve"> based approaches to address psychosocial risk factors may not be adequate in alleviating poor health outcomes</w:t>
      </w:r>
      <w:r w:rsidR="00143ADF" w:rsidRPr="002C1806">
        <w:t xml:space="preserve"> at work</w:t>
      </w:r>
      <w:r w:rsidR="008A785D" w:rsidRPr="002C1806">
        <w:t xml:space="preserve">. </w:t>
      </w:r>
      <w:r w:rsidR="00F314AE" w:rsidRPr="002C1806">
        <w:t>National s</w:t>
      </w:r>
      <w:r w:rsidR="00EB4A57" w:rsidRPr="002C1806">
        <w:t>urveillance</w:t>
      </w:r>
      <w:r w:rsidR="00BD3D5B" w:rsidRPr="002C1806">
        <w:t xml:space="preserve"> systems can be utilised by governments, unions and industry regulators as a mechanism to drive changes in org</w:t>
      </w:r>
      <w:r w:rsidR="007338C6" w:rsidRPr="002C1806">
        <w:t>anisational policies, practices</w:t>
      </w:r>
      <w:r w:rsidR="00BD3D5B" w:rsidRPr="002C1806">
        <w:t xml:space="preserve"> and procedures that ensure employers are clearly addressing psychosocial risk factors and employee psychological health. The results can be used to set benchmarks, develop codes of practice and accountability </w:t>
      </w:r>
      <w:r w:rsidR="00F314AE" w:rsidRPr="002C1806">
        <w:t xml:space="preserve">methods </w:t>
      </w:r>
      <w:r w:rsidR="00BD3D5B" w:rsidRPr="002C1806">
        <w:t>to encourage best practice standards that keep workers</w:t>
      </w:r>
      <w:r w:rsidR="008A785D" w:rsidRPr="002C1806">
        <w:t xml:space="preserve"> safe from psychological harm. </w:t>
      </w:r>
      <w:r w:rsidR="00EB4A57" w:rsidRPr="002C1806">
        <w:t>Surveillance</w:t>
      </w:r>
      <w:r w:rsidR="00BD3D5B" w:rsidRPr="002C1806">
        <w:t xml:space="preserve"> systems also provide identification of emerging trends in a rapidly changing</w:t>
      </w:r>
      <w:r w:rsidR="00F314AE" w:rsidRPr="002C1806">
        <w:t xml:space="preserve"> and</w:t>
      </w:r>
      <w:r w:rsidR="00BD3D5B" w:rsidRPr="002C1806">
        <w:t xml:space="preserve"> globally competitive environment so that </w:t>
      </w:r>
      <w:r w:rsidR="00F314AE" w:rsidRPr="002C1806">
        <w:t xml:space="preserve">resources </w:t>
      </w:r>
      <w:r w:rsidR="00BD3D5B" w:rsidRPr="002C1806">
        <w:t>at the state and federal level</w:t>
      </w:r>
      <w:r w:rsidR="00F314AE" w:rsidRPr="002C1806">
        <w:t>s</w:t>
      </w:r>
      <w:r w:rsidR="00BD3D5B" w:rsidRPr="002C1806">
        <w:t xml:space="preserve"> can </w:t>
      </w:r>
      <w:r w:rsidR="008E3792" w:rsidRPr="002C1806">
        <w:t xml:space="preserve">be funnelled to the </w:t>
      </w:r>
      <w:r w:rsidR="00BD3D5B" w:rsidRPr="002C1806">
        <w:t xml:space="preserve">most important issues. Regular </w:t>
      </w:r>
      <w:r w:rsidR="00EB4A57" w:rsidRPr="002C1806">
        <w:t>surveillance</w:t>
      </w:r>
      <w:r w:rsidR="00BD3D5B" w:rsidRPr="002C1806">
        <w:t xml:space="preserve"> also allows for evaluation of the effectiveness of </w:t>
      </w:r>
      <w:r w:rsidR="00DD0A10" w:rsidRPr="002C1806">
        <w:t>intervention</w:t>
      </w:r>
      <w:r w:rsidR="00BD3D5B" w:rsidRPr="002C1806">
        <w:t xml:space="preserve"> and prevention programs.</w:t>
      </w:r>
    </w:p>
    <w:p w:rsidR="00F314AE" w:rsidRPr="002C1806" w:rsidRDefault="00BD3D5B" w:rsidP="002C1806">
      <w:r w:rsidRPr="002C1806">
        <w:t xml:space="preserve">Australia has very limited data for </w:t>
      </w:r>
      <w:r w:rsidR="00EB4A57" w:rsidRPr="002C1806">
        <w:t>measuring</w:t>
      </w:r>
      <w:r w:rsidRPr="002C1806">
        <w:t xml:space="preserve"> </w:t>
      </w:r>
      <w:r w:rsidR="00EB4A57" w:rsidRPr="002C1806">
        <w:t>psychosocial</w:t>
      </w:r>
      <w:r w:rsidRPr="002C1806">
        <w:t xml:space="preserve"> risk f</w:t>
      </w:r>
      <w:r w:rsidR="008A785D" w:rsidRPr="002C1806">
        <w:t xml:space="preserve">actors and working conditions. </w:t>
      </w:r>
      <w:r w:rsidRPr="002C1806">
        <w:t>The most common method has been by focusing on compensation claims for psychological in</w:t>
      </w:r>
      <w:r w:rsidR="008A785D" w:rsidRPr="002C1806">
        <w:t xml:space="preserve">jury at work. </w:t>
      </w:r>
      <w:r w:rsidR="00143ADF" w:rsidRPr="002C1806">
        <w:t>As mentioned</w:t>
      </w:r>
      <w:r w:rsidRPr="002C1806">
        <w:t xml:space="preserve"> this is a lag indicator and does not provide an understanding of the factors that precede</w:t>
      </w:r>
      <w:r w:rsidR="00E700A7" w:rsidRPr="002C1806">
        <w:t xml:space="preserve"> an injury claim</w:t>
      </w:r>
      <w:r w:rsidRPr="002C1806">
        <w:t>. It also does not account for workers suffering psycholog</w:t>
      </w:r>
      <w:r w:rsidR="00E700A7" w:rsidRPr="002C1806">
        <w:t>ical issues as a result of their</w:t>
      </w:r>
      <w:r w:rsidRPr="002C1806">
        <w:t xml:space="preserve"> work that do not put forward for compensation.</w:t>
      </w:r>
      <w:r w:rsidR="00E700A7" w:rsidRPr="002C1806">
        <w:t xml:space="preserve"> The Household, Income and Labour Dynamics (HILDA) survey in Australia does provide some data on working conditions and income as well as general health and wellbeing. However, it is not comprehensive enough to identify the wide range of psychosocial risk factors at work to allow for appropriate analysis of relationships between risk factors and he</w:t>
      </w:r>
      <w:r w:rsidR="00422714">
        <w:t>alth or productivity outcomes.</w:t>
      </w:r>
    </w:p>
    <w:p w:rsidR="00E700A7" w:rsidRPr="002C1806" w:rsidRDefault="00E700A7" w:rsidP="002C1806">
      <w:r w:rsidRPr="002C1806">
        <w:lastRenderedPageBreak/>
        <w:t xml:space="preserve">The lack of effective psychosocial risk surveillance in Australia was identified by </w:t>
      </w:r>
      <w:r w:rsidR="00480295" w:rsidRPr="002C1806">
        <w:t>26</w:t>
      </w:r>
      <w:r w:rsidRPr="002C1806">
        <w:t xml:space="preserve"> experts from </w:t>
      </w:r>
      <w:r w:rsidR="00480295" w:rsidRPr="002C1806">
        <w:t xml:space="preserve">14 </w:t>
      </w:r>
      <w:r w:rsidRPr="002C1806">
        <w:t xml:space="preserve">different </w:t>
      </w:r>
      <w:r w:rsidR="00D63E52" w:rsidRPr="002C1806">
        <w:t>countries</w:t>
      </w:r>
      <w:r w:rsidRPr="002C1806">
        <w:t xml:space="preserve"> at </w:t>
      </w:r>
      <w:r w:rsidR="00FF7DF0" w:rsidRPr="002C1806">
        <w:t xml:space="preserve">a meeting </w:t>
      </w:r>
      <w:r w:rsidR="004B65F4" w:rsidRPr="002C1806">
        <w:t>(led by</w:t>
      </w:r>
      <w:r w:rsidR="007259B3" w:rsidRPr="002C1806">
        <w:t xml:space="preserve"> Professor</w:t>
      </w:r>
      <w:r w:rsidR="004B65F4" w:rsidRPr="002C1806">
        <w:t xml:space="preserve"> M</w:t>
      </w:r>
      <w:r w:rsidR="007259B3" w:rsidRPr="002C1806">
        <w:t xml:space="preserve">aureen </w:t>
      </w:r>
      <w:r w:rsidR="004B65F4" w:rsidRPr="002C1806">
        <w:t>D</w:t>
      </w:r>
      <w:r w:rsidR="007259B3" w:rsidRPr="002C1806">
        <w:t>ollard</w:t>
      </w:r>
      <w:r w:rsidR="004B65F4" w:rsidRPr="002C1806">
        <w:t xml:space="preserve">) </w:t>
      </w:r>
      <w:r w:rsidR="00FF7DF0" w:rsidRPr="002C1806">
        <w:t>during the</w:t>
      </w:r>
      <w:r w:rsidR="005D624C">
        <w:t xml:space="preserve"> </w:t>
      </w:r>
      <w:r w:rsidRPr="002C1806">
        <w:t>2nd</w:t>
      </w:r>
      <w:r w:rsidR="006D57C2" w:rsidRPr="002C1806">
        <w:t xml:space="preserve"> </w:t>
      </w:r>
      <w:r w:rsidRPr="002C1806">
        <w:t>International Commission on Occupational Health (ICOH) International Conference</w:t>
      </w:r>
      <w:r w:rsidR="00FF7DF0" w:rsidRPr="002C1806">
        <w:t xml:space="preserve"> on Psychosocial Factors at Work, held in Okayama, 2005</w:t>
      </w:r>
      <w:r w:rsidRPr="002C1806">
        <w:t>.</w:t>
      </w:r>
      <w:r w:rsidR="008E3792" w:rsidRPr="002C1806">
        <w:t xml:space="preserve"> </w:t>
      </w:r>
      <w:r w:rsidR="00F36638" w:rsidRPr="002C1806">
        <w:t xml:space="preserve">Recommendations from this workshop identified that national surveillance of psychosocial risk factors was a chief Australian national research priority and required immediate action. The outcomes from this meeting fuelled an agenda that resulted in the development of the </w:t>
      </w:r>
      <w:r w:rsidR="00480295" w:rsidRPr="002C1806">
        <w:t>AWB</w:t>
      </w:r>
      <w:r w:rsidR="00F36638" w:rsidRPr="002C1806">
        <w:t>.</w:t>
      </w:r>
    </w:p>
    <w:p w:rsidR="00BD3D5B" w:rsidRPr="002C1806" w:rsidRDefault="00E700A7" w:rsidP="002C1806">
      <w:r w:rsidRPr="002C1806">
        <w:t xml:space="preserve"> </w:t>
      </w:r>
    </w:p>
    <w:p w:rsidR="0076164D" w:rsidRDefault="0076164D" w:rsidP="00EC4877">
      <w:pPr>
        <w:spacing w:before="100" w:beforeAutospacing="1" w:after="100" w:afterAutospacing="1"/>
        <w:sectPr w:rsidR="0076164D" w:rsidSect="00834360">
          <w:headerReference w:type="default" r:id="rId13"/>
          <w:pgSz w:w="11906" w:h="16838"/>
          <w:pgMar w:top="1440" w:right="1531" w:bottom="1440" w:left="1304" w:header="709" w:footer="438" w:gutter="0"/>
          <w:cols w:space="708"/>
          <w:docGrid w:linePitch="360"/>
        </w:sectPr>
      </w:pPr>
    </w:p>
    <w:p w:rsidR="0076164D" w:rsidRPr="00437685" w:rsidRDefault="0076164D" w:rsidP="00EC4877">
      <w:pPr>
        <w:pStyle w:val="Heading1"/>
        <w:spacing w:before="100" w:beforeAutospacing="1" w:after="100" w:afterAutospacing="1"/>
      </w:pPr>
      <w:bookmarkStart w:id="25" w:name="_Toc343502410"/>
      <w:r>
        <w:lastRenderedPageBreak/>
        <w:t xml:space="preserve">The Australian Workplace Barometer </w:t>
      </w:r>
      <w:r w:rsidR="00D63E52">
        <w:t>Project</w:t>
      </w:r>
      <w:bookmarkEnd w:id="25"/>
    </w:p>
    <w:p w:rsidR="0076164D" w:rsidRPr="002C1806" w:rsidRDefault="0076164D" w:rsidP="002C1806">
      <w:r w:rsidRPr="002C1806">
        <w:t xml:space="preserve">The Australian Workplace Barometer (AWB) project aims to provide science-driven evidence of Australian work conditions and their relationships to workplace health and productivity. The AWB is a surveillance system that systematically monitors and benchmarks psychosocial risk factors in Australian workplaces and investigates their relationship to employee health and wellbeing </w:t>
      </w:r>
      <w:r w:rsidR="00F36638" w:rsidRPr="002C1806">
        <w:t xml:space="preserve">and engagement </w:t>
      </w:r>
      <w:r w:rsidRPr="002C1806">
        <w:t>outcomes. The project is supported by an ARC Discovery grant, an ARC Linkage grant, funding from Safe</w:t>
      </w:r>
      <w:r w:rsidR="007338C6" w:rsidRPr="002C1806">
        <w:t xml:space="preserve"> </w:t>
      </w:r>
      <w:r w:rsidRPr="002C1806">
        <w:t>Work Australia and SafeWork SA, and involves the collaboration of industry experts and academics from across Australia and international institutions. The AWB tool was developed at the Centre for Applied Psychological Research (CAPR) located at the University of South Au</w:t>
      </w:r>
      <w:r w:rsidR="00033B49">
        <w:t>stralia (Dollard et al., 2009).</w:t>
      </w:r>
    </w:p>
    <w:p w:rsidR="00AE09FE" w:rsidRPr="002C1806" w:rsidRDefault="00AE09FE" w:rsidP="002C1806">
      <w:r w:rsidRPr="002C1806">
        <w:t>The main objectives of the AWB project are to:</w:t>
      </w:r>
    </w:p>
    <w:p w:rsidR="00F42E97" w:rsidRPr="00FA3C3A" w:rsidRDefault="00E4333A" w:rsidP="0023074F">
      <w:pPr>
        <w:pStyle w:val="ListParagraph"/>
        <w:numPr>
          <w:ilvl w:val="0"/>
          <w:numId w:val="16"/>
        </w:numPr>
        <w:rPr>
          <w:rFonts w:ascii="Arial" w:hAnsi="Arial" w:cs="Arial"/>
        </w:rPr>
      </w:pPr>
      <w:r>
        <w:rPr>
          <w:rFonts w:ascii="Arial" w:hAnsi="Arial" w:cs="Arial"/>
        </w:rPr>
        <w:t>p</w:t>
      </w:r>
      <w:r w:rsidR="00F42E97" w:rsidRPr="00FA3C3A">
        <w:rPr>
          <w:rFonts w:ascii="Arial" w:hAnsi="Arial" w:cs="Arial"/>
        </w:rPr>
        <w:t>rovide nationally representative data on psychosocial risk levels and working conditions</w:t>
      </w:r>
    </w:p>
    <w:p w:rsidR="00AE09FE" w:rsidRPr="00FA3C3A" w:rsidRDefault="00E4333A" w:rsidP="0023074F">
      <w:pPr>
        <w:pStyle w:val="ListParagraph"/>
        <w:numPr>
          <w:ilvl w:val="0"/>
          <w:numId w:val="16"/>
        </w:numPr>
        <w:rPr>
          <w:rFonts w:ascii="Arial" w:hAnsi="Arial" w:cs="Arial"/>
        </w:rPr>
      </w:pPr>
      <w:r>
        <w:rPr>
          <w:rFonts w:ascii="Arial" w:hAnsi="Arial" w:cs="Arial"/>
        </w:rPr>
        <w:t>b</w:t>
      </w:r>
      <w:r w:rsidR="00AE09FE" w:rsidRPr="00FA3C3A">
        <w:rPr>
          <w:rFonts w:ascii="Arial" w:hAnsi="Arial" w:cs="Arial"/>
        </w:rPr>
        <w:t>uild upon existing knowledge and understanding of psychosocial risk factors such as bullying and harassment, and work-family conflict</w:t>
      </w:r>
    </w:p>
    <w:p w:rsidR="00AE09FE" w:rsidRPr="00FA3C3A" w:rsidRDefault="00E4333A" w:rsidP="0023074F">
      <w:pPr>
        <w:pStyle w:val="ListParagraph"/>
        <w:numPr>
          <w:ilvl w:val="0"/>
          <w:numId w:val="16"/>
        </w:numPr>
        <w:rPr>
          <w:rFonts w:ascii="Arial" w:hAnsi="Arial" w:cs="Arial"/>
        </w:rPr>
      </w:pPr>
      <w:r>
        <w:rPr>
          <w:rFonts w:ascii="Arial" w:hAnsi="Arial" w:cs="Arial"/>
        </w:rPr>
        <w:t>i</w:t>
      </w:r>
      <w:r w:rsidR="00AE09FE" w:rsidRPr="00FA3C3A">
        <w:rPr>
          <w:rFonts w:ascii="Arial" w:hAnsi="Arial" w:cs="Arial"/>
        </w:rPr>
        <w:t>nvestigate relationships between psychosocial risk and workplace outcomes such as employee health and productivity</w:t>
      </w:r>
    </w:p>
    <w:p w:rsidR="00AE09FE" w:rsidRPr="00FA3C3A" w:rsidRDefault="00E4333A" w:rsidP="0023074F">
      <w:pPr>
        <w:pStyle w:val="ListParagraph"/>
        <w:numPr>
          <w:ilvl w:val="0"/>
          <w:numId w:val="16"/>
        </w:numPr>
        <w:rPr>
          <w:rFonts w:ascii="Arial" w:hAnsi="Arial" w:cs="Arial"/>
        </w:rPr>
      </w:pPr>
      <w:r>
        <w:rPr>
          <w:rFonts w:ascii="Arial" w:hAnsi="Arial" w:cs="Arial"/>
        </w:rPr>
        <w:t>d</w:t>
      </w:r>
      <w:r w:rsidR="00AE09FE" w:rsidRPr="00FA3C3A">
        <w:rPr>
          <w:rFonts w:ascii="Arial" w:hAnsi="Arial" w:cs="Arial"/>
        </w:rPr>
        <w:t xml:space="preserve">etermine the cost of poor employee wellbeing to businesses based on aspects such as </w:t>
      </w:r>
      <w:r w:rsidR="00E671F9" w:rsidRPr="00FA3C3A">
        <w:rPr>
          <w:rFonts w:ascii="Arial" w:hAnsi="Arial" w:cs="Arial"/>
        </w:rPr>
        <w:t xml:space="preserve">depression, </w:t>
      </w:r>
      <w:r w:rsidR="00AE09FE" w:rsidRPr="00FA3C3A">
        <w:rPr>
          <w:rFonts w:ascii="Arial" w:hAnsi="Arial" w:cs="Arial"/>
        </w:rPr>
        <w:t>absenteeism and presenteeism</w:t>
      </w:r>
    </w:p>
    <w:p w:rsidR="00AE09FE" w:rsidRPr="00FA3C3A" w:rsidRDefault="00E4333A" w:rsidP="0023074F">
      <w:pPr>
        <w:pStyle w:val="ListParagraph"/>
        <w:numPr>
          <w:ilvl w:val="0"/>
          <w:numId w:val="16"/>
        </w:numPr>
        <w:rPr>
          <w:rFonts w:ascii="Arial" w:hAnsi="Arial" w:cs="Arial"/>
        </w:rPr>
      </w:pPr>
      <w:r>
        <w:rPr>
          <w:rFonts w:ascii="Arial" w:hAnsi="Arial" w:cs="Arial"/>
        </w:rPr>
        <w:t>i</w:t>
      </w:r>
      <w:r w:rsidR="00AE09FE" w:rsidRPr="00FA3C3A">
        <w:rPr>
          <w:rFonts w:ascii="Arial" w:hAnsi="Arial" w:cs="Arial"/>
        </w:rPr>
        <w:t>dentify industries and occupations at risk</w:t>
      </w:r>
      <w:r w:rsidR="00480295" w:rsidRPr="00FA3C3A">
        <w:rPr>
          <w:rFonts w:ascii="Arial" w:hAnsi="Arial" w:cs="Arial"/>
        </w:rPr>
        <w:t>, and</w:t>
      </w:r>
    </w:p>
    <w:p w:rsidR="00AE09FE" w:rsidRPr="00FA3C3A" w:rsidRDefault="00E4333A" w:rsidP="0023074F">
      <w:pPr>
        <w:pStyle w:val="ListParagraph"/>
        <w:numPr>
          <w:ilvl w:val="0"/>
          <w:numId w:val="16"/>
        </w:numPr>
        <w:rPr>
          <w:rFonts w:ascii="Arial" w:hAnsi="Arial" w:cs="Arial"/>
        </w:rPr>
      </w:pPr>
      <w:proofErr w:type="gramStart"/>
      <w:r>
        <w:rPr>
          <w:rFonts w:ascii="Arial" w:hAnsi="Arial" w:cs="Arial"/>
        </w:rPr>
        <w:t>p</w:t>
      </w:r>
      <w:r w:rsidR="00AE09FE" w:rsidRPr="00FA3C3A">
        <w:rPr>
          <w:rFonts w:ascii="Arial" w:hAnsi="Arial" w:cs="Arial"/>
        </w:rPr>
        <w:t>rovide</w:t>
      </w:r>
      <w:proofErr w:type="gramEnd"/>
      <w:r w:rsidR="00AE09FE" w:rsidRPr="00FA3C3A">
        <w:rPr>
          <w:rFonts w:ascii="Arial" w:hAnsi="Arial" w:cs="Arial"/>
        </w:rPr>
        <w:t xml:space="preserve"> evidence to support strategies for prevention and intervention</w:t>
      </w:r>
      <w:r w:rsidR="00480295" w:rsidRPr="00FA3C3A">
        <w:rPr>
          <w:rFonts w:ascii="Arial" w:hAnsi="Arial" w:cs="Arial"/>
        </w:rPr>
        <w:t>.</w:t>
      </w:r>
    </w:p>
    <w:p w:rsidR="0036175E" w:rsidRPr="002C1806" w:rsidRDefault="0036175E" w:rsidP="002C1806">
      <w:r w:rsidRPr="002C1806">
        <w:t xml:space="preserve">The AWB incorporates a combination of well-known psychometric measures </w:t>
      </w:r>
      <w:r w:rsidR="00F36638" w:rsidRPr="002C1806">
        <w:t xml:space="preserve">and </w:t>
      </w:r>
      <w:r w:rsidRPr="002C1806">
        <w:t>assess</w:t>
      </w:r>
      <w:r w:rsidR="00F36638" w:rsidRPr="002C1806">
        <w:t>es</w:t>
      </w:r>
      <w:r w:rsidRPr="002C1806">
        <w:t xml:space="preserve"> a wide range of psychosocial risk factors and health related outcomes. The results from the AWB will assist </w:t>
      </w:r>
      <w:r w:rsidR="00F60092" w:rsidRPr="002C1806">
        <w:t xml:space="preserve">in </w:t>
      </w:r>
      <w:r w:rsidRPr="002C1806">
        <w:t>identify</w:t>
      </w:r>
      <w:r w:rsidR="00F60092" w:rsidRPr="002C1806">
        <w:t>ing</w:t>
      </w:r>
      <w:r w:rsidRPr="002C1806">
        <w:t xml:space="preserve"> lead indicators of employee psychological health and wellbeing</w:t>
      </w:r>
      <w:r w:rsidR="00A55743" w:rsidRPr="002C1806">
        <w:t xml:space="preserve">. It will also assist in identifying the prevalence of </w:t>
      </w:r>
      <w:r w:rsidRPr="002C1806">
        <w:t>outcomes such as sickness absence,</w:t>
      </w:r>
      <w:r w:rsidR="00A55743" w:rsidRPr="002C1806">
        <w:t xml:space="preserve"> depression</w:t>
      </w:r>
      <w:r w:rsidRPr="002C1806">
        <w:t xml:space="preserve"> and workers</w:t>
      </w:r>
      <w:r w:rsidR="007338C6" w:rsidRPr="002C1806">
        <w:t>’</w:t>
      </w:r>
      <w:r w:rsidRPr="002C1806">
        <w:t xml:space="preserve"> compensation. Action can then be taken to tackle leading risk indicators, provide increased support for workers most at risk, implement better injury prevention strategies, as well as improve work conditions and health outcomes for all working Australians.</w:t>
      </w:r>
    </w:p>
    <w:p w:rsidR="0077624E" w:rsidRPr="00033B49" w:rsidRDefault="0077624E" w:rsidP="00033B49">
      <w:pPr>
        <w:pStyle w:val="Heading2"/>
        <w:rPr>
          <w:rStyle w:val="IntenseEmphasis"/>
          <w:b/>
          <w:i w:val="0"/>
        </w:rPr>
      </w:pPr>
      <w:bookmarkStart w:id="26" w:name="_Toc343502411"/>
      <w:r w:rsidRPr="00033B49">
        <w:rPr>
          <w:rStyle w:val="IntenseEmphasis"/>
          <w:b/>
          <w:i w:val="0"/>
        </w:rPr>
        <w:t xml:space="preserve">Theoretical basis of the </w:t>
      </w:r>
      <w:r w:rsidRPr="00033B49">
        <w:rPr>
          <w:rStyle w:val="IntenseEmphasis"/>
          <w:b/>
          <w:bCs/>
          <w:i w:val="0"/>
          <w:iCs w:val="0"/>
          <w:color w:val="000000" w:themeColor="text1"/>
        </w:rPr>
        <w:t>AWB</w:t>
      </w:r>
      <w:bookmarkEnd w:id="26"/>
    </w:p>
    <w:p w:rsidR="00050549" w:rsidRPr="004B1585" w:rsidRDefault="00050549" w:rsidP="004B1585">
      <w:pPr>
        <w:pStyle w:val="Quote"/>
        <w:rPr>
          <w:rStyle w:val="Emphasis"/>
          <w:i/>
          <w:iCs/>
        </w:rPr>
      </w:pPr>
      <w:r w:rsidRPr="004B1585">
        <w:rPr>
          <w:rStyle w:val="Emphasis"/>
          <w:i/>
          <w:iCs/>
        </w:rPr>
        <w:t>“Crucially PSC theory answers the question where do job dem</w:t>
      </w:r>
      <w:r w:rsidR="00C03BF2" w:rsidRPr="004B1585">
        <w:rPr>
          <w:rStyle w:val="Emphasis"/>
          <w:i/>
          <w:iCs/>
        </w:rPr>
        <w:t>ands and resources come from?”</w:t>
      </w:r>
    </w:p>
    <w:p w:rsidR="002F579F" w:rsidRPr="002C1806" w:rsidRDefault="0076164D" w:rsidP="002C1806">
      <w:r w:rsidRPr="002C1806">
        <w:t xml:space="preserve">The theoretical basis of the AWB is driven by Psychosocial Safety Climate (PSC) theory (Dollard, </w:t>
      </w:r>
      <w:r w:rsidR="00F34F4B" w:rsidRPr="002C1806">
        <w:t>2012</w:t>
      </w:r>
      <w:r w:rsidRPr="002C1806">
        <w:t>)</w:t>
      </w:r>
      <w:r w:rsidR="00B93EC5" w:rsidRPr="002C1806">
        <w:t>.</w:t>
      </w:r>
      <w:r w:rsidRPr="002C1806">
        <w:t xml:space="preserve"> </w:t>
      </w:r>
      <w:r w:rsidR="002F579F" w:rsidRPr="002C1806">
        <w:t>There is ample empirical evide</w:t>
      </w:r>
      <w:r w:rsidR="007338C6" w:rsidRPr="002C1806">
        <w:t>nce and large reviews that show</w:t>
      </w:r>
      <w:r w:rsidR="002F579F" w:rsidRPr="002C1806">
        <w:t xml:space="preserve"> that high levels of demands (work pressure, emotional demands) and low resources (low control, low support) are a problem for worker health (Häusser, Mojzisch, Niesel, &amp; Schulz-Hardt, 2010; LaMontagne, Keegel, Louie, &amp;</w:t>
      </w:r>
      <w:r w:rsidR="000E4FA8" w:rsidRPr="002C1806">
        <w:t xml:space="preserve"> </w:t>
      </w:r>
      <w:r w:rsidR="002F579F" w:rsidRPr="002C1806">
        <w:t xml:space="preserve">Ostry, 2010), and poor engagement (Bakker &amp; Demerouti, 2007). </w:t>
      </w:r>
      <w:r w:rsidR="00B93EC5" w:rsidRPr="002C1806">
        <w:t xml:space="preserve">Increasingly scholars have been asking the question, </w:t>
      </w:r>
      <w:r w:rsidR="006760CB" w:rsidRPr="002C1806">
        <w:t>“</w:t>
      </w:r>
      <w:r w:rsidR="00B93EC5" w:rsidRPr="002C1806">
        <w:t>where do the job level psychosocial factors emerge from?</w:t>
      </w:r>
      <w:proofErr w:type="gramStart"/>
      <w:r w:rsidR="008A785D" w:rsidRPr="002C1806">
        <w:t>”.</w:t>
      </w:r>
      <w:proofErr w:type="gramEnd"/>
      <w:r w:rsidR="00B93EC5" w:rsidRPr="002C1806">
        <w:t xml:space="preserve"> </w:t>
      </w:r>
      <w:r w:rsidR="002F579F" w:rsidRPr="002C1806">
        <w:t>We add new evidence to this stock of knowledge by proposing new theory and empirical ev</w:t>
      </w:r>
      <w:r w:rsidR="00033B49">
        <w:t>idence to answer this question.</w:t>
      </w:r>
    </w:p>
    <w:p w:rsidR="00A77DBC" w:rsidRDefault="00DF784D" w:rsidP="002C1806">
      <w:r w:rsidRPr="002C1806">
        <w:lastRenderedPageBreak/>
        <w:t xml:space="preserve">Recent research frameworks have articulated a hierarchy of causes in relation to </w:t>
      </w:r>
      <w:r w:rsidR="00480295" w:rsidRPr="002C1806">
        <w:t xml:space="preserve">work </w:t>
      </w:r>
      <w:r w:rsidRPr="002C1806">
        <w:t>health and safety (Sauter et al., 2002)</w:t>
      </w:r>
      <w:r w:rsidR="00A77DBC">
        <w:t xml:space="preserve"> with external and organisation factors likely to influence job design</w:t>
      </w:r>
      <w:r w:rsidRPr="002C1806">
        <w:t xml:space="preserve">. </w:t>
      </w:r>
      <w:r w:rsidR="00640F8F" w:rsidRPr="002C1806">
        <w:t xml:space="preserve">Psychosocial safety climate has been proposed by Australian </w:t>
      </w:r>
      <w:r w:rsidR="008E5A10" w:rsidRPr="002C1806">
        <w:t xml:space="preserve">and international </w:t>
      </w:r>
      <w:r w:rsidR="00640F8F" w:rsidRPr="002C1806">
        <w:t>researchers as the ‘cause of the causes’ of work stress</w:t>
      </w:r>
      <w:r w:rsidR="00B93EC5" w:rsidRPr="002C1806">
        <w:t xml:space="preserve">. In this regard PSC is viewed as </w:t>
      </w:r>
      <w:r w:rsidR="0090357D" w:rsidRPr="002C1806">
        <w:t>a preeminent psychosocial risk factor</w:t>
      </w:r>
      <w:r w:rsidR="00A24259" w:rsidRPr="002C1806">
        <w:t xml:space="preserve"> (Dollard &amp; </w:t>
      </w:r>
      <w:r w:rsidR="0090357D" w:rsidRPr="002C1806">
        <w:t xml:space="preserve">Bakker, 2010; </w:t>
      </w:r>
      <w:r w:rsidR="006760CB" w:rsidRPr="002C1806">
        <w:t xml:space="preserve">Dollard &amp; Karasek, 2010; </w:t>
      </w:r>
      <w:r w:rsidR="0090357D" w:rsidRPr="002C1806">
        <w:t xml:space="preserve">Hall, Dollard, &amp; Coward, 2010; </w:t>
      </w:r>
      <w:r w:rsidR="00B93EC5" w:rsidRPr="002C1806">
        <w:t>I</w:t>
      </w:r>
      <w:r w:rsidR="0019255B" w:rsidRPr="002C1806">
        <w:t>dris, Dollard, &amp; Winefield, 2011</w:t>
      </w:r>
      <w:r w:rsidR="008E5A4C">
        <w:t>).</w:t>
      </w:r>
    </w:p>
    <w:p w:rsidR="007338C6" w:rsidRPr="002C1806" w:rsidRDefault="008E5A10" w:rsidP="002C1806">
      <w:r w:rsidRPr="002C1806">
        <w:t xml:space="preserve">To date, theoretical and empirical research in the work-related stress domain has mainly focused on job design, or individual causes of work stress (Kang, Staniford, Dollard, &amp; Kompier, 2008). </w:t>
      </w:r>
      <w:r w:rsidR="007338C6" w:rsidRPr="002C1806">
        <w:t>Accordingly, interventions have been mainly pitched at these levels</w:t>
      </w:r>
      <w:r w:rsidR="00C03BF2" w:rsidRPr="002C1806">
        <w:t xml:space="preserve"> (the individual or the job design). T</w:t>
      </w:r>
      <w:r w:rsidR="007338C6" w:rsidRPr="002C1806">
        <w:t xml:space="preserve">he fact that they </w:t>
      </w:r>
      <w:r w:rsidR="00C03BF2" w:rsidRPr="002C1806">
        <w:t xml:space="preserve">often </w:t>
      </w:r>
      <w:r w:rsidR="007338C6" w:rsidRPr="002C1806">
        <w:t xml:space="preserve">do not target </w:t>
      </w:r>
      <w:r w:rsidR="00C03BF2" w:rsidRPr="002C1806">
        <w:t xml:space="preserve">organisational factors, or more distant </w:t>
      </w:r>
      <w:r w:rsidR="007338C6" w:rsidRPr="002C1806">
        <w:t>source</w:t>
      </w:r>
      <w:r w:rsidR="00C03BF2" w:rsidRPr="002C1806">
        <w:t>s of stress</w:t>
      </w:r>
      <w:r w:rsidR="007338C6" w:rsidRPr="002C1806">
        <w:t xml:space="preserve">, may be the reason that stress interventions at these levels alone appear to be ineffective. In line with the idea of a hierarchy of causes, we argue that the greatest impact on psychological health in the workplace </w:t>
      </w:r>
      <w:r w:rsidR="00C03BF2" w:rsidRPr="002C1806">
        <w:t xml:space="preserve">over time </w:t>
      </w:r>
      <w:r w:rsidR="007338C6" w:rsidRPr="002C1806">
        <w:t xml:space="preserve">should arise from targeting more </w:t>
      </w:r>
      <w:r w:rsidR="00480295" w:rsidRPr="002C1806">
        <w:t xml:space="preserve">distant </w:t>
      </w:r>
      <w:r w:rsidR="00033B49">
        <w:t>causes, such as PSC.</w:t>
      </w:r>
    </w:p>
    <w:p w:rsidR="00630D96" w:rsidRPr="002C1806" w:rsidRDefault="00DF784D" w:rsidP="002C1806">
      <w:r w:rsidRPr="002C1806">
        <w:t xml:space="preserve">Psychosocial safety climate refers to an organisation’s true priorities for the protection of worker psychological health (Dollard &amp; Bakker, 2010) that are largely reflected through enacted organisational policies, practices and procedures (Zohar &amp; Luria, 2005). PSC is </w:t>
      </w:r>
      <w:r w:rsidRPr="002C1806">
        <w:rPr>
          <w:rFonts w:eastAsia="Calibri"/>
        </w:rPr>
        <w:t xml:space="preserve">defined as ‘policies, practices, and procedures for the protection of worker psychological health and safety’ (Dollard &amp; Bakker, 2010, p. 580; Dollard, 2012). </w:t>
      </w:r>
      <w:r w:rsidR="006760CB" w:rsidRPr="002C1806">
        <w:t xml:space="preserve">PSC reflects senior management commitment, participation, and consultation in relation to stress prevention, and a communicated position from management about the value of human psychological health and safety at work (Dollard &amp; Bakker, 2010). </w:t>
      </w:r>
      <w:r w:rsidR="00EE68DC" w:rsidRPr="002C1806">
        <w:t>Psychosocial safety climate is a specific attribute of organisational climate</w:t>
      </w:r>
      <w:r w:rsidR="007338C6" w:rsidRPr="002C1806">
        <w:t>, in</w:t>
      </w:r>
      <w:r w:rsidR="00EE68DC" w:rsidRPr="002C1806">
        <w:t xml:space="preserve"> that </w:t>
      </w:r>
      <w:r w:rsidR="007338C6" w:rsidRPr="002C1806">
        <w:t xml:space="preserve">it </w:t>
      </w:r>
      <w:r w:rsidR="00EE68DC" w:rsidRPr="002C1806">
        <w:t xml:space="preserve">is </w:t>
      </w:r>
      <w:r w:rsidR="007338C6" w:rsidRPr="002C1806">
        <w:t xml:space="preserve">more </w:t>
      </w:r>
      <w:r w:rsidR="00EE68DC" w:rsidRPr="002C1806">
        <w:t>specific to the psychological health of workers</w:t>
      </w:r>
      <w:r w:rsidR="00B93EC5" w:rsidRPr="002C1806">
        <w:t xml:space="preserve"> </w:t>
      </w:r>
      <w:r w:rsidR="007338C6" w:rsidRPr="002C1806">
        <w:t xml:space="preserve">than other </w:t>
      </w:r>
      <w:r w:rsidR="00C03BF2" w:rsidRPr="002C1806">
        <w:t xml:space="preserve">organisational </w:t>
      </w:r>
      <w:r w:rsidR="007338C6" w:rsidRPr="002C1806">
        <w:t>climate</w:t>
      </w:r>
      <w:r w:rsidR="00C03BF2" w:rsidRPr="002C1806">
        <w:t xml:space="preserve"> constructs</w:t>
      </w:r>
      <w:r w:rsidR="007338C6" w:rsidRPr="002C1806">
        <w:t xml:space="preserve"> </w:t>
      </w:r>
      <w:r w:rsidR="00B93EC5" w:rsidRPr="002C1806">
        <w:t>(Dollard &amp; Bakker, 2010)</w:t>
      </w:r>
      <w:r w:rsidR="00EE68DC" w:rsidRPr="002C1806">
        <w:t>.</w:t>
      </w:r>
    </w:p>
    <w:p w:rsidR="00E671F9" w:rsidRPr="002C1806" w:rsidRDefault="00E671F9" w:rsidP="002C1806">
      <w:r w:rsidRPr="002C1806">
        <w:t>In a landmark report detailing the cost of work stress in Australia, the Productivity Commission (2010) reported that much less attention is given</w:t>
      </w:r>
      <w:r w:rsidR="007338C6" w:rsidRPr="002C1806">
        <w:t xml:space="preserve"> in</w:t>
      </w:r>
      <w:r w:rsidRPr="002C1806">
        <w:t xml:space="preserve"> </w:t>
      </w:r>
      <w:r w:rsidR="007338C6" w:rsidRPr="002C1806">
        <w:t xml:space="preserve">work health and safety </w:t>
      </w:r>
      <w:r w:rsidRPr="002C1806">
        <w:t xml:space="preserve">legislation and by workplace inspectors to work stress and psychosocial hazards </w:t>
      </w:r>
      <w:r w:rsidR="00F36638" w:rsidRPr="002C1806">
        <w:t>as it is</w:t>
      </w:r>
      <w:r w:rsidRPr="002C1806">
        <w:t xml:space="preserve"> to physical hazards. It is commonly understood that industrial </w:t>
      </w:r>
      <w:r w:rsidR="00403D08" w:rsidRPr="002C1806">
        <w:t xml:space="preserve">incidents </w:t>
      </w:r>
      <w:r w:rsidRPr="002C1806">
        <w:t>that result in industrial death and injury (such as oil spills and aeroplane crashes) arise from a poor safety climate</w:t>
      </w:r>
      <w:r w:rsidR="00CA7444" w:rsidRPr="002C1806">
        <w:t xml:space="preserve"> (Neal &amp; Griffith, 2006)</w:t>
      </w:r>
      <w:r w:rsidRPr="002C1806">
        <w:t>, with good reason. Empirical evidence and reviews suggest that safety climate</w:t>
      </w:r>
      <w:r w:rsidR="00723A04">
        <w:t xml:space="preserve"> predicts safety outcomes (i.e.</w:t>
      </w:r>
      <w:r w:rsidRPr="002C1806">
        <w:t xml:space="preserve"> injury rates, </w:t>
      </w:r>
      <w:r w:rsidR="00403D08" w:rsidRPr="002C1806">
        <w:t>incidents</w:t>
      </w:r>
      <w:r w:rsidRPr="002C1806">
        <w:t xml:space="preserve">) (Christian, </w:t>
      </w:r>
      <w:r w:rsidR="0019255B" w:rsidRPr="002C1806">
        <w:t>Bradley, Wallace, &amp; Burke,</w:t>
      </w:r>
      <w:r w:rsidRPr="002C1806">
        <w:t xml:space="preserve"> 2009). For 30 years the safety climate construct has been studied </w:t>
      </w:r>
      <w:r w:rsidR="0019255B" w:rsidRPr="002C1806">
        <w:t xml:space="preserve">extensively </w:t>
      </w:r>
      <w:r w:rsidRPr="002C1806">
        <w:t xml:space="preserve">and been proposed as </w:t>
      </w:r>
      <w:r w:rsidR="007338C6" w:rsidRPr="002C1806">
        <w:t xml:space="preserve">an underlying contributing factor towards the </w:t>
      </w:r>
      <w:r w:rsidRPr="002C1806">
        <w:t xml:space="preserve">likelihood of physical hazards injury and workplace </w:t>
      </w:r>
      <w:r w:rsidR="00403D08" w:rsidRPr="002C1806">
        <w:t xml:space="preserve">incidents </w:t>
      </w:r>
      <w:r w:rsidRPr="002C1806">
        <w:t xml:space="preserve">(Reason, 1997; Zohar, 2010). Particularly in high risk industries the safety climate construct has been </w:t>
      </w:r>
      <w:r w:rsidR="002A6A07" w:rsidRPr="002C1806">
        <w:t>very</w:t>
      </w:r>
      <w:r w:rsidRPr="002C1806">
        <w:t xml:space="preserve"> useful for promoting best </w:t>
      </w:r>
      <w:r w:rsidR="007338C6" w:rsidRPr="002C1806">
        <w:t xml:space="preserve">work health and safety </w:t>
      </w:r>
      <w:r w:rsidRPr="002C1806">
        <w:t xml:space="preserve">practice (Cox &amp; Cheyne, 2000). </w:t>
      </w:r>
      <w:r w:rsidR="0077624E" w:rsidRPr="002C1806">
        <w:t>Yet a climate construct specifically for psychological health and safety had not been identif</w:t>
      </w:r>
      <w:r w:rsidR="00033B49">
        <w:t>ied or proposed until recently.</w:t>
      </w:r>
    </w:p>
    <w:p w:rsidR="0077624E" w:rsidRPr="002C1806" w:rsidRDefault="007338C6" w:rsidP="002C1806">
      <w:r w:rsidRPr="002C1806">
        <w:t xml:space="preserve">Theories </w:t>
      </w:r>
      <w:r w:rsidR="009527F1" w:rsidRPr="002C1806">
        <w:t xml:space="preserve">help </w:t>
      </w:r>
      <w:r w:rsidRPr="002C1806">
        <w:t xml:space="preserve">shape a body of knowledge, drawing attention to </w:t>
      </w:r>
      <w:r w:rsidR="00A02B53" w:rsidRPr="002C1806">
        <w:t>an</w:t>
      </w:r>
      <w:r w:rsidRPr="002C1806">
        <w:t xml:space="preserve"> issue thus enabling dialogue about the issue, and helping to shap</w:t>
      </w:r>
      <w:r w:rsidR="008A785D" w:rsidRPr="002C1806">
        <w:t>e public policy (Pfeffer, 2010)</w:t>
      </w:r>
      <w:r w:rsidR="0077624E" w:rsidRPr="002C1806">
        <w:t xml:space="preserve">. </w:t>
      </w:r>
      <w:r w:rsidRPr="002C1806">
        <w:t>PSC</w:t>
      </w:r>
      <w:r w:rsidR="0077624E" w:rsidRPr="002C1806">
        <w:t xml:space="preserve"> theory addresses a major gap in theory that has emerged between safety climate and work stress research, making it a significant scient</w:t>
      </w:r>
      <w:r w:rsidR="00630D96" w:rsidRPr="002C1806">
        <w:t>ific and practical breakthrough</w:t>
      </w:r>
      <w:r w:rsidR="0077624E" w:rsidRPr="002C1806">
        <w:t xml:space="preserve"> in the </w:t>
      </w:r>
      <w:r w:rsidR="00403D08" w:rsidRPr="002C1806">
        <w:t xml:space="preserve">work </w:t>
      </w:r>
      <w:r w:rsidR="0077624E" w:rsidRPr="002C1806">
        <w:t>health, safet</w:t>
      </w:r>
      <w:r w:rsidR="00033B49">
        <w:t>y, and work stress literatures.</w:t>
      </w:r>
    </w:p>
    <w:p w:rsidR="0077624E" w:rsidRPr="002C1806" w:rsidRDefault="0077624E" w:rsidP="002C1806">
      <w:r w:rsidRPr="002C1806">
        <w:t xml:space="preserve">PSC theory builds on earlier work that identifies a link between </w:t>
      </w:r>
      <w:r w:rsidR="00403D08" w:rsidRPr="002C1806">
        <w:t xml:space="preserve">work </w:t>
      </w:r>
      <w:r w:rsidRPr="002C1806">
        <w:t xml:space="preserve">safety and work stress (for example, Glendon, </w:t>
      </w:r>
      <w:r w:rsidR="0019255B" w:rsidRPr="002C1806">
        <w:t>Clarke, &amp; McKenna,</w:t>
      </w:r>
      <w:r w:rsidRPr="002C1806">
        <w:t xml:space="preserve"> 2006). It is broadly consistent with organisational </w:t>
      </w:r>
      <w:r w:rsidRPr="002C1806">
        <w:lastRenderedPageBreak/>
        <w:t>health frameworks (</w:t>
      </w:r>
      <w:r w:rsidR="00723A04">
        <w:t>e.g.</w:t>
      </w:r>
      <w:r w:rsidRPr="002C1806">
        <w:t xml:space="preserve"> Cotton &amp; Hart, 2003; Wilson, </w:t>
      </w:r>
      <w:r w:rsidR="0019255B" w:rsidRPr="002C1806">
        <w:t>DeJoy, Vandenberg, Richardson, &amp; McGrath,</w:t>
      </w:r>
      <w:r w:rsidRPr="002C1806">
        <w:t xml:space="preserve"> 2004) that emphasise the important influence of organisational climate on job design and in turn psychological health and morale</w:t>
      </w:r>
      <w:r w:rsidR="002A6A07" w:rsidRPr="002C1806">
        <w:t xml:space="preserve"> (Hall et al., 2010)</w:t>
      </w:r>
      <w:r w:rsidRPr="002C1806">
        <w:t xml:space="preserve">. Although there is some research linking safety climate to the psychological health and wellbeing of workers (such as work pressure leads to job strain that in turn leads to </w:t>
      </w:r>
      <w:r w:rsidR="00403D08" w:rsidRPr="002C1806">
        <w:t>incidents</w:t>
      </w:r>
      <w:r w:rsidRPr="002C1806">
        <w:t>, near misses, in</w:t>
      </w:r>
      <w:r w:rsidR="0019255B" w:rsidRPr="002C1806">
        <w:t xml:space="preserve">juries, and errors), (Goldenhar, Williams, &amp; Swanson, </w:t>
      </w:r>
      <w:r w:rsidRPr="002C1806">
        <w:t>2003)</w:t>
      </w:r>
      <w:r w:rsidR="002A6A07" w:rsidRPr="002C1806">
        <w:t>,</w:t>
      </w:r>
      <w:r w:rsidRPr="002C1806">
        <w:t xml:space="preserve"> the </w:t>
      </w:r>
      <w:r w:rsidR="00F36638" w:rsidRPr="002C1806">
        <w:t xml:space="preserve">safety </w:t>
      </w:r>
      <w:r w:rsidRPr="002C1806">
        <w:t>climate construct has not been focally related to psychological health and wellbeing.</w:t>
      </w:r>
    </w:p>
    <w:p w:rsidR="0077624E" w:rsidRPr="002C1806" w:rsidRDefault="0077624E" w:rsidP="002C1806">
      <w:r w:rsidRPr="002C1806">
        <w:t xml:space="preserve">The definition of PSC falls within the scope of organisational climate (Reichers &amp; Schneider, 1990) but following recommendations from Schneider (2000) it is </w:t>
      </w:r>
      <w:r w:rsidR="002F1949" w:rsidRPr="002C1806">
        <w:t xml:space="preserve">more </w:t>
      </w:r>
      <w:r w:rsidRPr="002C1806">
        <w:t>specific. Therefore PSC is a facet-specific aspect of organisational climate, a climate for psychological health and safety (freedom from psychological harm). Although in the genre of safety climate, PSC is a work safety climate construct that focuses on psychological rather than physical health (Dollard, 201</w:t>
      </w:r>
      <w:r w:rsidR="00630D96" w:rsidRPr="002C1806">
        <w:t>2</w:t>
      </w:r>
      <w:r w:rsidRPr="002C1806">
        <w:t xml:space="preserve">). Moreover, Zohar and Luria (2005) argued that the best indicators of an organisation’s true priorities are enacted policies, procedures and practices. Hence PSC </w:t>
      </w:r>
      <w:r w:rsidR="00A02B53" w:rsidRPr="002C1806">
        <w:t xml:space="preserve">theory </w:t>
      </w:r>
      <w:r w:rsidRPr="002C1806">
        <w:t>focuses on perceptions of enacted organisational policies, practices, and procedures.</w:t>
      </w:r>
    </w:p>
    <w:p w:rsidR="00A24259" w:rsidRPr="002C1806" w:rsidRDefault="00F36638" w:rsidP="002C1806">
      <w:r w:rsidRPr="002C1806">
        <w:t>In sum, p</w:t>
      </w:r>
      <w:r w:rsidR="00A24259" w:rsidRPr="002C1806">
        <w:t xml:space="preserve">sychological health at work is an important </w:t>
      </w:r>
      <w:r w:rsidR="007338C6" w:rsidRPr="002C1806">
        <w:t xml:space="preserve">work health and safety </w:t>
      </w:r>
      <w:r w:rsidR="00A24259" w:rsidRPr="002C1806">
        <w:t xml:space="preserve">issue, yet the areas of </w:t>
      </w:r>
      <w:r w:rsidR="007338C6" w:rsidRPr="002C1806">
        <w:t xml:space="preserve">work health and safety </w:t>
      </w:r>
      <w:r w:rsidR="00A24259" w:rsidRPr="002C1806">
        <w:t xml:space="preserve">and work stress research have developed quite separately and in different traditions. Psychosocial safety climate is </w:t>
      </w:r>
      <w:r w:rsidR="00EE68DC" w:rsidRPr="002C1806">
        <w:t xml:space="preserve">a unifying construct </w:t>
      </w:r>
      <w:r w:rsidR="00A24259" w:rsidRPr="002C1806">
        <w:t>that</w:t>
      </w:r>
      <w:r w:rsidR="00EE68DC" w:rsidRPr="002C1806">
        <w:t xml:space="preserve"> draws together the fragmented areas of </w:t>
      </w:r>
      <w:r w:rsidR="007338C6" w:rsidRPr="002C1806">
        <w:t>work health and safety as well as</w:t>
      </w:r>
      <w:r w:rsidR="00033B49">
        <w:t xml:space="preserve"> work stress research.</w:t>
      </w:r>
    </w:p>
    <w:p w:rsidR="008B6A8D" w:rsidRPr="00E23A87" w:rsidRDefault="008B6A8D" w:rsidP="00050549">
      <w:pPr>
        <w:pStyle w:val="Heading2"/>
        <w:tabs>
          <w:tab w:val="left" w:pos="5143"/>
        </w:tabs>
        <w:spacing w:before="100" w:beforeAutospacing="1" w:after="100" w:afterAutospacing="1"/>
      </w:pPr>
      <w:bookmarkStart w:id="27" w:name="_Toc343502412"/>
      <w:r w:rsidRPr="00437685">
        <w:t>Psychosocial safety climate</w:t>
      </w:r>
      <w:r w:rsidR="00E23A87">
        <w:t xml:space="preserve"> theory</w:t>
      </w:r>
      <w:bookmarkEnd w:id="27"/>
    </w:p>
    <w:p w:rsidR="00050549" w:rsidRPr="0054001F" w:rsidRDefault="00050549" w:rsidP="00C9250F">
      <w:pPr>
        <w:pStyle w:val="Quote"/>
      </w:pPr>
      <w:r w:rsidRPr="0054001F">
        <w:t>“In high PSC contexts managers will be cognizant of risk factors and will help to shape jobs where demands are manageable, and resources adequate. Therefore if PSC is assessed, levels of demands</w:t>
      </w:r>
      <w:r w:rsidR="004D27D1" w:rsidRPr="0054001F">
        <w:t xml:space="preserve"> and resources can be predicted</w:t>
      </w:r>
      <w:r w:rsidR="002A79A9">
        <w:t>.</w:t>
      </w:r>
      <w:r w:rsidRPr="0054001F">
        <w:t>”</w:t>
      </w:r>
    </w:p>
    <w:p w:rsidR="00233C3D" w:rsidRPr="00033B49" w:rsidRDefault="00233C3D" w:rsidP="00033B49">
      <w:pPr>
        <w:pStyle w:val="Heading3"/>
        <w:rPr>
          <w:rStyle w:val="IntenseEmphasis"/>
          <w:b/>
          <w:bCs/>
          <w:i w:val="0"/>
          <w:iCs w:val="0"/>
          <w:color w:val="000000"/>
        </w:rPr>
      </w:pPr>
      <w:bookmarkStart w:id="28" w:name="_Toc343502413"/>
      <w:r w:rsidRPr="00033B49">
        <w:rPr>
          <w:rStyle w:val="IntenseEmphasis"/>
          <w:b/>
          <w:bCs/>
          <w:i w:val="0"/>
          <w:iCs w:val="0"/>
          <w:color w:val="000000"/>
        </w:rPr>
        <w:t>Climate features of PSC</w:t>
      </w:r>
      <w:bookmarkEnd w:id="28"/>
    </w:p>
    <w:p w:rsidR="00EF34AA" w:rsidRPr="002C1806" w:rsidRDefault="00233C3D" w:rsidP="002C1806">
      <w:r w:rsidRPr="002C1806">
        <w:rPr>
          <w:rFonts w:eastAsia="Calibri"/>
        </w:rPr>
        <w:t>Scholars suggest that to demonstrate climate like characteristics,</w:t>
      </w:r>
      <w:r w:rsidR="00E671F9" w:rsidRPr="002C1806">
        <w:rPr>
          <w:rFonts w:eastAsia="Calibri"/>
        </w:rPr>
        <w:t xml:space="preserve"> </w:t>
      </w:r>
      <w:r w:rsidRPr="002C1806">
        <w:rPr>
          <w:rFonts w:eastAsia="Calibri"/>
        </w:rPr>
        <w:t xml:space="preserve">self-reported responses </w:t>
      </w:r>
      <w:r w:rsidR="00EC3091" w:rsidRPr="002C1806">
        <w:rPr>
          <w:rFonts w:eastAsia="Calibri"/>
        </w:rPr>
        <w:t>may</w:t>
      </w:r>
      <w:r w:rsidRPr="002C1806">
        <w:rPr>
          <w:rFonts w:eastAsia="Calibri"/>
        </w:rPr>
        <w:t xml:space="preserve"> be aggregated to the </w:t>
      </w:r>
      <w:r w:rsidR="00CE6CF5" w:rsidRPr="002C1806">
        <w:rPr>
          <w:rFonts w:eastAsia="Calibri"/>
        </w:rPr>
        <w:t xml:space="preserve">group or </w:t>
      </w:r>
      <w:r w:rsidRPr="002C1806">
        <w:rPr>
          <w:rFonts w:eastAsia="Calibri"/>
        </w:rPr>
        <w:t>organisational level</w:t>
      </w:r>
      <w:r w:rsidR="00CE6CF5" w:rsidRPr="002C1806">
        <w:rPr>
          <w:rFonts w:eastAsia="Calibri"/>
        </w:rPr>
        <w:t xml:space="preserve"> (Neal &amp; Griffin, 2006)</w:t>
      </w:r>
      <w:r w:rsidRPr="002C1806">
        <w:rPr>
          <w:rFonts w:eastAsia="Calibri"/>
        </w:rPr>
        <w:t xml:space="preserve">. </w:t>
      </w:r>
      <w:r w:rsidRPr="002C1806">
        <w:t xml:space="preserve">Psychosocial safety climate is </w:t>
      </w:r>
      <w:r w:rsidR="00F36638" w:rsidRPr="002C1806">
        <w:t>a</w:t>
      </w:r>
      <w:r w:rsidRPr="002C1806">
        <w:t xml:space="preserve"> property of an organisation </w:t>
      </w:r>
      <w:r w:rsidR="00F36638" w:rsidRPr="002C1806">
        <w:t xml:space="preserve">and is </w:t>
      </w:r>
      <w:r w:rsidRPr="002C1806">
        <w:t xml:space="preserve">largely driven from senior management (Dollard &amp; Bakker, 2010). </w:t>
      </w:r>
      <w:r w:rsidR="00A77DBC">
        <w:t xml:space="preserve">Even worker participation in stress control is heavily influenced by workplace policy and practices. </w:t>
      </w:r>
      <w:r w:rsidRPr="002C1806">
        <w:t xml:space="preserve">As management and supervisors play a significant role in its development we expect that PSC will vary (climates will be created) between organisations, work units, and teams. Therefore in the study of PSC </w:t>
      </w:r>
      <w:r w:rsidR="00EC3091" w:rsidRPr="002C1806">
        <w:t>using</w:t>
      </w:r>
      <w:r w:rsidRPr="002C1806">
        <w:t xml:space="preserve"> self-report </w:t>
      </w:r>
      <w:r w:rsidR="00EC3091" w:rsidRPr="002C1806">
        <w:t>measures,</w:t>
      </w:r>
      <w:r w:rsidRPr="002C1806">
        <w:t xml:space="preserve"> individual perceptions of PSC should </w:t>
      </w:r>
      <w:r w:rsidR="00F36638" w:rsidRPr="002C1806">
        <w:t xml:space="preserve">ideally </w:t>
      </w:r>
      <w:r w:rsidRPr="002C1806">
        <w:t>be aggregated to the team, unit, or organisational level t</w:t>
      </w:r>
      <w:r w:rsidR="004B18AE">
        <w:t>o reflect ‘shared perceptions’.</w:t>
      </w:r>
    </w:p>
    <w:p w:rsidR="00233C3D" w:rsidRPr="002C1806" w:rsidRDefault="00233C3D" w:rsidP="002C1806">
      <w:r w:rsidRPr="002C1806">
        <w:t xml:space="preserve">Two main considerations should be given to demonstrate climate. Firstly the climate measure should vary sufficiently between units, teams, or organisations. Second there should be sufficient within-group agreement, indicating that perceptions converge within the group. Satisfying the first condition, our research suggests that the variance in PSC due to team or </w:t>
      </w:r>
      <w:r w:rsidR="005A4FB0" w:rsidRPr="002C1806">
        <w:t xml:space="preserve">work </w:t>
      </w:r>
      <w:r w:rsidRPr="002C1806">
        <w:t xml:space="preserve">unit effects is </w:t>
      </w:r>
      <w:r w:rsidR="005A4FB0" w:rsidRPr="002C1806">
        <w:t xml:space="preserve">between </w:t>
      </w:r>
      <w:r w:rsidRPr="002C1806">
        <w:t>13</w:t>
      </w:r>
      <w:r w:rsidR="007338C6" w:rsidRPr="002C1806">
        <w:t xml:space="preserve"> </w:t>
      </w:r>
      <w:r w:rsidR="00B459D1" w:rsidRPr="002C1806">
        <w:t xml:space="preserve">per cent </w:t>
      </w:r>
      <w:r w:rsidRPr="002C1806">
        <w:t>and 22</w:t>
      </w:r>
      <w:r w:rsidR="00B459D1" w:rsidRPr="002C1806">
        <w:t xml:space="preserve"> per cent </w:t>
      </w:r>
      <w:r w:rsidRPr="002C1806">
        <w:t>(</w:t>
      </w:r>
      <w:r w:rsidR="00EC3091" w:rsidRPr="002C1806">
        <w:t xml:space="preserve">in </w:t>
      </w:r>
      <w:r w:rsidRPr="002C1806">
        <w:t>Australia, Spain and Malaysia</w:t>
      </w:r>
      <w:r w:rsidR="00EC3091" w:rsidRPr="002C1806">
        <w:t xml:space="preserve"> samples</w:t>
      </w:r>
      <w:r w:rsidRPr="002C1806">
        <w:t xml:space="preserve">) (Dollard &amp; Bakker, 2010), and </w:t>
      </w:r>
      <w:r w:rsidR="00CE79D6" w:rsidRPr="002C1806">
        <w:t xml:space="preserve">variance shared between workers based </w:t>
      </w:r>
      <w:r w:rsidR="00EC3091" w:rsidRPr="002C1806">
        <w:t>within</w:t>
      </w:r>
      <w:r w:rsidR="00CE79D6" w:rsidRPr="002C1806">
        <w:t xml:space="preserve"> </w:t>
      </w:r>
      <w:r w:rsidRPr="002C1806">
        <w:t>organisation</w:t>
      </w:r>
      <w:r w:rsidR="00EC3091" w:rsidRPr="002C1806">
        <w:t>s</w:t>
      </w:r>
      <w:r w:rsidRPr="002C1806">
        <w:t xml:space="preserve"> is </w:t>
      </w:r>
      <w:r w:rsidR="005A4FB0" w:rsidRPr="002C1806">
        <w:t xml:space="preserve">approximately </w:t>
      </w:r>
      <w:r w:rsidRPr="002C1806">
        <w:t>12</w:t>
      </w:r>
      <w:r w:rsidR="00CE79D6" w:rsidRPr="002C1806">
        <w:t xml:space="preserve"> </w:t>
      </w:r>
      <w:r w:rsidR="00B459D1" w:rsidRPr="002C1806">
        <w:t xml:space="preserve">per cent </w:t>
      </w:r>
      <w:r w:rsidRPr="002C1806">
        <w:t>(</w:t>
      </w:r>
      <w:r w:rsidR="006B273A" w:rsidRPr="002C1806">
        <w:t xml:space="preserve">Australia) (Law et al., 2011). </w:t>
      </w:r>
      <w:r w:rsidRPr="002C1806">
        <w:t xml:space="preserve">In relation to the second issue, we have used the </w:t>
      </w:r>
      <w:r w:rsidRPr="002C1806">
        <w:rPr>
          <w:rFonts w:eastAsia="Calibri"/>
        </w:rPr>
        <w:t xml:space="preserve">James, Demaree, and Wolf (1984) mean </w:t>
      </w:r>
      <w:proofErr w:type="gramStart"/>
      <w:r w:rsidRPr="002C1806">
        <w:rPr>
          <w:rFonts w:eastAsia="Calibri"/>
        </w:rPr>
        <w:t>r(</w:t>
      </w:r>
      <w:proofErr w:type="gramEnd"/>
      <w:r w:rsidRPr="002C1806">
        <w:rPr>
          <w:rFonts w:eastAsia="Calibri"/>
        </w:rPr>
        <w:t xml:space="preserve">WG)(j) agreement index as a measure of within-group rating agreement. Studies that have </w:t>
      </w:r>
      <w:r w:rsidRPr="002C1806">
        <w:rPr>
          <w:rFonts w:eastAsia="Calibri"/>
        </w:rPr>
        <w:lastRenderedPageBreak/>
        <w:t xml:space="preserve">aggregated data using this measure show acceptable levels of </w:t>
      </w:r>
      <w:r w:rsidR="00F36638" w:rsidRPr="002C1806">
        <w:rPr>
          <w:rFonts w:eastAsia="Calibri"/>
        </w:rPr>
        <w:t xml:space="preserve">PSC </w:t>
      </w:r>
      <w:r w:rsidRPr="002C1806">
        <w:rPr>
          <w:rFonts w:eastAsia="Calibri"/>
        </w:rPr>
        <w:t>agreement</w:t>
      </w:r>
      <w:r w:rsidR="00F36638" w:rsidRPr="002C1806">
        <w:rPr>
          <w:rFonts w:eastAsia="Calibri"/>
        </w:rPr>
        <w:t xml:space="preserve"> within gro</w:t>
      </w:r>
      <w:r w:rsidR="00CE79D6" w:rsidRPr="002C1806">
        <w:rPr>
          <w:rFonts w:eastAsia="Calibri"/>
        </w:rPr>
        <w:t>u</w:t>
      </w:r>
      <w:r w:rsidR="00F36638" w:rsidRPr="002C1806">
        <w:rPr>
          <w:rFonts w:eastAsia="Calibri"/>
        </w:rPr>
        <w:t>ps</w:t>
      </w:r>
      <w:r w:rsidR="001579CD" w:rsidRPr="002C1806">
        <w:rPr>
          <w:rFonts w:eastAsia="Calibri"/>
        </w:rPr>
        <w:t>:</w:t>
      </w:r>
      <w:r w:rsidR="00EC3091" w:rsidRPr="002C1806">
        <w:rPr>
          <w:rFonts w:eastAsia="Calibri"/>
        </w:rPr>
        <w:t xml:space="preserve"> Dollard and Bakker </w:t>
      </w:r>
      <w:r w:rsidR="005A4FB0" w:rsidRPr="002C1806">
        <w:rPr>
          <w:rFonts w:eastAsia="Calibri"/>
        </w:rPr>
        <w:t>(</w:t>
      </w:r>
      <w:r w:rsidRPr="002C1806">
        <w:rPr>
          <w:rFonts w:eastAsia="Calibri"/>
        </w:rPr>
        <w:t>2010</w:t>
      </w:r>
      <w:r w:rsidR="005A4FB0" w:rsidRPr="002C1806">
        <w:rPr>
          <w:rFonts w:eastAsia="Calibri"/>
        </w:rPr>
        <w:t>)</w:t>
      </w:r>
      <w:r w:rsidRPr="002C1806">
        <w:rPr>
          <w:rFonts w:eastAsia="Calibri"/>
        </w:rPr>
        <w:t xml:space="preserve"> </w:t>
      </w:r>
      <w:r w:rsidR="00F36638" w:rsidRPr="002C1806">
        <w:rPr>
          <w:rFonts w:eastAsia="Calibri"/>
        </w:rPr>
        <w:t>Australia</w:t>
      </w:r>
      <w:r w:rsidR="00EC3091" w:rsidRPr="002C1806">
        <w:rPr>
          <w:rFonts w:eastAsia="Calibri"/>
        </w:rPr>
        <w:t>n education workers</w:t>
      </w:r>
      <w:r w:rsidR="00F36638" w:rsidRPr="002C1806">
        <w:rPr>
          <w:rFonts w:eastAsia="Calibri"/>
        </w:rPr>
        <w:t xml:space="preserve"> </w:t>
      </w:r>
      <w:r w:rsidR="00EC3091" w:rsidRPr="002C1806">
        <w:rPr>
          <w:rFonts w:eastAsia="Calibri"/>
        </w:rPr>
        <w:t>r(WG)(j) =.76 (SD = .</w:t>
      </w:r>
      <w:r w:rsidRPr="002C1806">
        <w:rPr>
          <w:rFonts w:eastAsia="Calibri"/>
        </w:rPr>
        <w:t xml:space="preserve">18); Law et al., </w:t>
      </w:r>
      <w:r w:rsidR="005A4FB0" w:rsidRPr="002C1806">
        <w:rPr>
          <w:rFonts w:eastAsia="Calibri"/>
        </w:rPr>
        <w:t>(</w:t>
      </w:r>
      <w:r w:rsidRPr="002C1806">
        <w:rPr>
          <w:rFonts w:eastAsia="Calibri"/>
        </w:rPr>
        <w:t>2011</w:t>
      </w:r>
      <w:r w:rsidR="005A4FB0" w:rsidRPr="002C1806">
        <w:rPr>
          <w:rFonts w:eastAsia="Calibri"/>
        </w:rPr>
        <w:t>)</w:t>
      </w:r>
      <w:r w:rsidRPr="002C1806">
        <w:rPr>
          <w:rFonts w:eastAsia="Calibri"/>
        </w:rPr>
        <w:t>,</w:t>
      </w:r>
      <w:r w:rsidR="00EC3091" w:rsidRPr="002C1806">
        <w:rPr>
          <w:rFonts w:eastAsia="Calibri"/>
        </w:rPr>
        <w:t xml:space="preserve"> AWB SA Time 1</w:t>
      </w:r>
      <w:r w:rsidRPr="002C1806">
        <w:rPr>
          <w:rFonts w:eastAsia="Calibri"/>
        </w:rPr>
        <w:t xml:space="preserve"> </w:t>
      </w:r>
      <w:r w:rsidR="005A4FB0" w:rsidRPr="002C1806">
        <w:rPr>
          <w:rFonts w:eastAsia="Calibri"/>
        </w:rPr>
        <w:t xml:space="preserve">was </w:t>
      </w:r>
      <w:r w:rsidRPr="002C1806">
        <w:rPr>
          <w:rFonts w:eastAsia="Calibri"/>
        </w:rPr>
        <w:t>r(WG)(j) = .90, SD = .18; Idris</w:t>
      </w:r>
      <w:r w:rsidR="00932D93" w:rsidRPr="002C1806">
        <w:rPr>
          <w:rFonts w:eastAsia="Calibri"/>
        </w:rPr>
        <w:t>,</w:t>
      </w:r>
      <w:r w:rsidRPr="002C1806">
        <w:rPr>
          <w:rFonts w:eastAsia="Calibri"/>
        </w:rPr>
        <w:t xml:space="preserve"> </w:t>
      </w:r>
      <w:r w:rsidR="00932D93" w:rsidRPr="002C1806">
        <w:t>Dollard, Coward, &amp; Dormann,</w:t>
      </w:r>
      <w:r w:rsidR="005A4FB0" w:rsidRPr="002C1806">
        <w:t xml:space="preserve"> (</w:t>
      </w:r>
      <w:r w:rsidRPr="002C1806">
        <w:rPr>
          <w:rFonts w:eastAsia="Calibri"/>
        </w:rPr>
        <w:t>2012</w:t>
      </w:r>
      <w:r w:rsidR="005A4FB0" w:rsidRPr="002C1806">
        <w:rPr>
          <w:rFonts w:eastAsia="Calibri"/>
        </w:rPr>
        <w:t>)</w:t>
      </w:r>
      <w:r w:rsidRPr="002C1806">
        <w:rPr>
          <w:rFonts w:eastAsia="Calibri"/>
        </w:rPr>
        <w:t xml:space="preserve">, </w:t>
      </w:r>
      <w:r w:rsidR="005A4FB0" w:rsidRPr="002C1806">
        <w:rPr>
          <w:rFonts w:eastAsia="Calibri"/>
        </w:rPr>
        <w:t xml:space="preserve">in an </w:t>
      </w:r>
      <w:r w:rsidRPr="002C1806">
        <w:rPr>
          <w:rFonts w:eastAsia="Calibri"/>
        </w:rPr>
        <w:t>Australia</w:t>
      </w:r>
      <w:r w:rsidR="005A4FB0" w:rsidRPr="002C1806">
        <w:rPr>
          <w:rFonts w:eastAsia="Calibri"/>
        </w:rPr>
        <w:t>n sample</w:t>
      </w:r>
      <w:r w:rsidRPr="002C1806">
        <w:rPr>
          <w:rFonts w:eastAsia="Calibri"/>
        </w:rPr>
        <w:t xml:space="preserve"> </w:t>
      </w:r>
      <w:r w:rsidR="00EC3091" w:rsidRPr="002C1806">
        <w:rPr>
          <w:rFonts w:eastAsia="Calibri"/>
        </w:rPr>
        <w:t xml:space="preserve">of health care workers </w:t>
      </w:r>
      <w:r w:rsidR="005A4FB0" w:rsidRPr="002C1806">
        <w:rPr>
          <w:rFonts w:eastAsia="Calibri"/>
        </w:rPr>
        <w:t xml:space="preserve">was </w:t>
      </w:r>
      <w:r w:rsidRPr="002C1806">
        <w:rPr>
          <w:rFonts w:eastAsia="Calibri"/>
        </w:rPr>
        <w:t>r(WG)(j) = .96 (SD = .21)</w:t>
      </w:r>
      <w:r w:rsidR="005A4FB0" w:rsidRPr="002C1806">
        <w:rPr>
          <w:rFonts w:eastAsia="Calibri"/>
        </w:rPr>
        <w:t>, and in</w:t>
      </w:r>
      <w:r w:rsidRPr="002C1806">
        <w:rPr>
          <w:rFonts w:eastAsia="Calibri"/>
        </w:rPr>
        <w:t xml:space="preserve"> </w:t>
      </w:r>
      <w:r w:rsidR="005A4FB0" w:rsidRPr="002C1806">
        <w:rPr>
          <w:rFonts w:eastAsia="Calibri"/>
        </w:rPr>
        <w:t xml:space="preserve">a </w:t>
      </w:r>
      <w:r w:rsidRPr="002C1806">
        <w:rPr>
          <w:rFonts w:eastAsia="Calibri"/>
        </w:rPr>
        <w:t>Malaysia</w:t>
      </w:r>
      <w:r w:rsidR="005A4FB0" w:rsidRPr="002C1806">
        <w:rPr>
          <w:rFonts w:eastAsia="Calibri"/>
        </w:rPr>
        <w:t>n sample was</w:t>
      </w:r>
      <w:r w:rsidRPr="002C1806">
        <w:rPr>
          <w:rFonts w:eastAsia="Calibri"/>
        </w:rPr>
        <w:t xml:space="preserve"> r(WG)(j) = .97 (SD = .02).</w:t>
      </w:r>
    </w:p>
    <w:p w:rsidR="00E671F9" w:rsidRPr="002C1806" w:rsidRDefault="006D529F" w:rsidP="002C1806">
      <w:r w:rsidRPr="002C1806">
        <w:t>A</w:t>
      </w:r>
      <w:r w:rsidR="00E671F9" w:rsidRPr="002C1806">
        <w:t xml:space="preserve"> </w:t>
      </w:r>
      <w:r w:rsidRPr="002C1806">
        <w:t>12–item tool has been developed</w:t>
      </w:r>
      <w:r w:rsidR="00E671F9" w:rsidRPr="002C1806">
        <w:t xml:space="preserve"> to assess PSC (Hall, Dollard, &amp; Coward, 2010)</w:t>
      </w:r>
      <w:r w:rsidR="005A4FB0" w:rsidRPr="002C1806">
        <w:t>, and shows sound psychometric properties in terms of validity and reliability</w:t>
      </w:r>
      <w:r w:rsidR="008A785D" w:rsidRPr="002C1806">
        <w:t xml:space="preserve">. </w:t>
      </w:r>
      <w:r w:rsidR="00E671F9" w:rsidRPr="002C1806">
        <w:t xml:space="preserve">Importantly PSC items have now been included in the Job Content Questionnaire-2 </w:t>
      </w:r>
      <w:r w:rsidR="00F36638" w:rsidRPr="002C1806">
        <w:t xml:space="preserve">(JCQ-2) developed </w:t>
      </w:r>
      <w:r w:rsidR="00E671F9" w:rsidRPr="002C1806">
        <w:t xml:space="preserve">by Prof Robert Karasek, University of Massachusetts. The JCQ-2 is arguably the most influential </w:t>
      </w:r>
      <w:r w:rsidR="00F36638" w:rsidRPr="002C1806">
        <w:t>international</w:t>
      </w:r>
      <w:r w:rsidR="00E671F9" w:rsidRPr="002C1806">
        <w:t xml:space="preserve"> </w:t>
      </w:r>
      <w:r w:rsidR="00F36638" w:rsidRPr="002C1806">
        <w:t xml:space="preserve">tool </w:t>
      </w:r>
      <w:r w:rsidR="00E671F9" w:rsidRPr="002C1806">
        <w:t xml:space="preserve">used to collect data in relation to </w:t>
      </w:r>
      <w:r w:rsidR="00EC3091" w:rsidRPr="002C1806">
        <w:t xml:space="preserve">workplace </w:t>
      </w:r>
      <w:r w:rsidR="004B18AE">
        <w:t>psychosocial factors.</w:t>
      </w:r>
    </w:p>
    <w:p w:rsidR="00233C3D" w:rsidRPr="003F18CA" w:rsidRDefault="00233C3D" w:rsidP="00033B49">
      <w:pPr>
        <w:pStyle w:val="Heading3"/>
        <w:rPr>
          <w:rStyle w:val="IntenseEmphasis"/>
        </w:rPr>
      </w:pPr>
      <w:bookmarkStart w:id="29" w:name="_Toc343502414"/>
      <w:r w:rsidRPr="003F18CA">
        <w:rPr>
          <w:rStyle w:val="IntenseEmphasis"/>
        </w:rPr>
        <w:t>PSC as a unique construct</w:t>
      </w:r>
      <w:bookmarkEnd w:id="29"/>
    </w:p>
    <w:p w:rsidR="00F36638" w:rsidRPr="002C1806" w:rsidRDefault="00233C3D" w:rsidP="002C1806">
      <w:pPr>
        <w:rPr>
          <w:rFonts w:eastAsia="Calibri"/>
        </w:rPr>
      </w:pPr>
      <w:r w:rsidRPr="002C1806">
        <w:rPr>
          <w:rFonts w:eastAsia="Calibri"/>
        </w:rPr>
        <w:t>It is important with the introduction of a new construct into the literature that it is accompanied by evidence that demonstrates its uniqueness. Using confirmatory factor analysis, Idris, Dollard, Coward and Dormann (2012) showed in an Australian sample (N = 126 workers in 16 teams within a primary health care organi</w:t>
      </w:r>
      <w:r w:rsidR="00F34DA3" w:rsidRPr="002C1806">
        <w:rPr>
          <w:rFonts w:eastAsia="Calibri"/>
        </w:rPr>
        <w:t>s</w:t>
      </w:r>
      <w:r w:rsidRPr="002C1806">
        <w:rPr>
          <w:rFonts w:eastAsia="Calibri"/>
        </w:rPr>
        <w:t>ation) and a Malaysian sample (N = 180 workers in</w:t>
      </w:r>
      <w:r w:rsidR="00F34DA3" w:rsidRPr="002C1806">
        <w:rPr>
          <w:rFonts w:eastAsia="Calibri"/>
        </w:rPr>
        <w:t xml:space="preserve"> 31 teams from different organis</w:t>
      </w:r>
      <w:r w:rsidRPr="002C1806">
        <w:rPr>
          <w:rFonts w:eastAsia="Calibri"/>
        </w:rPr>
        <w:t>ations) that PSC was uniquely different from related constructs, such as physical safety climate, perceived organisational support (Eisenberger</w:t>
      </w:r>
      <w:r w:rsidR="0019255B" w:rsidRPr="002C1806">
        <w:rPr>
          <w:rFonts w:eastAsia="Calibri"/>
        </w:rPr>
        <w:t>, Stinglhamber, Vandenberghe, Sucharski, &amp; Rhoades,</w:t>
      </w:r>
      <w:r w:rsidRPr="002C1806">
        <w:rPr>
          <w:rFonts w:eastAsia="Calibri"/>
        </w:rPr>
        <w:t xml:space="preserve"> 2002), and psychological safety (Edmonson, 1999). Aggregating PSC and using hierarchical linear regression, results showed that PSC was superior to these measures in predicting psychological health problems in both the Australian and Malaysian sample. </w:t>
      </w:r>
      <w:r w:rsidR="00F36638" w:rsidRPr="002C1806">
        <w:rPr>
          <w:rFonts w:eastAsia="Calibri"/>
        </w:rPr>
        <w:t xml:space="preserve">An important observation was that altering the reference from psychological health to physical health in the PSC scales rendered the new measure, physical safety climate, not as important in its relationship to psychological distress and emotional exhaustion in the both samples, compared with PSC. Further the physical safety climate was significantly higher (better) than PSC </w:t>
      </w:r>
      <w:r w:rsidR="001579CD" w:rsidRPr="002C1806">
        <w:rPr>
          <w:rFonts w:eastAsia="Calibri"/>
        </w:rPr>
        <w:t>among the</w:t>
      </w:r>
      <w:r w:rsidR="00F36638" w:rsidRPr="002C1806">
        <w:rPr>
          <w:rFonts w:eastAsia="Calibri"/>
        </w:rPr>
        <w:t xml:space="preserve"> Australian primary health care workers, as would be predicted by the Productivity Commission findings</w:t>
      </w:r>
      <w:r w:rsidR="001579CD" w:rsidRPr="002C1806">
        <w:rPr>
          <w:rFonts w:eastAsia="Calibri"/>
        </w:rPr>
        <w:t xml:space="preserve"> (less attention to psychosocial factors)</w:t>
      </w:r>
      <w:r w:rsidR="00F36638" w:rsidRPr="002C1806">
        <w:rPr>
          <w:rFonts w:eastAsia="Calibri"/>
        </w:rPr>
        <w:t>.</w:t>
      </w:r>
    </w:p>
    <w:p w:rsidR="00233C3D" w:rsidRPr="003F18CA" w:rsidRDefault="00EF34AA" w:rsidP="00033B49">
      <w:pPr>
        <w:pStyle w:val="Heading3"/>
        <w:rPr>
          <w:rStyle w:val="IntenseEmphasis"/>
        </w:rPr>
      </w:pPr>
      <w:bookmarkStart w:id="30" w:name="_Toc343502415"/>
      <w:r w:rsidRPr="003F18CA">
        <w:rPr>
          <w:rStyle w:val="IntenseEmphasis"/>
        </w:rPr>
        <w:t>PSC as a multilevel theory</w:t>
      </w:r>
      <w:bookmarkEnd w:id="30"/>
      <w:r w:rsidRPr="003F18CA">
        <w:rPr>
          <w:rStyle w:val="IntenseEmphasis"/>
        </w:rPr>
        <w:t xml:space="preserve"> </w:t>
      </w:r>
    </w:p>
    <w:p w:rsidR="00FF53B8" w:rsidRPr="00CE2B18" w:rsidRDefault="008D3B3A" w:rsidP="00CE2B18">
      <w:r w:rsidRPr="00CE2B18">
        <w:t>PSC</w:t>
      </w:r>
      <w:r w:rsidR="0076164D" w:rsidRPr="00CE2B18">
        <w:t xml:space="preserve"> is theorised to be a macro or upstream factor, and therefore a leading indicator of psychosocial work conditions, psychological health, and engagement (Law, Dollard, Tuckey, &amp; Dormann, 2011) (see Figure 1). </w:t>
      </w:r>
      <w:r w:rsidR="00A24259" w:rsidRPr="00CE2B18">
        <w:t>Next we explain how PSC as influenced by senior management affects psychosocial working conditions and in turn psychological health problems and work outcomes via mediation paths.</w:t>
      </w:r>
      <w:r w:rsidR="005A4FB0" w:rsidRPr="00CE2B18">
        <w:t xml:space="preserve"> </w:t>
      </w:r>
      <w:r w:rsidR="0076164D" w:rsidRPr="00CE2B18">
        <w:t>The following model adapted from Dollard and McTernan (2011) demonstrates the theor</w:t>
      </w:r>
      <w:r w:rsidR="004B18AE">
        <w:t>etical basis of the AWB project.</w:t>
      </w:r>
    </w:p>
    <w:p w:rsidR="00FF53B8" w:rsidRDefault="00EF58AD" w:rsidP="00437685">
      <w:pPr>
        <w:pStyle w:val="SWSABody"/>
        <w:spacing w:before="100" w:beforeAutospacing="1" w:after="100" w:afterAutospacing="1" w:line="276" w:lineRule="auto"/>
        <w:jc w:val="left"/>
      </w:pPr>
      <w:r>
        <w:rPr>
          <w:noProof/>
        </w:rPr>
        <w:lastRenderedPageBreak/>
        <w:drawing>
          <wp:inline distT="0" distB="0" distL="0" distR="0" wp14:anchorId="72B72289" wp14:editId="76B4E6D7">
            <wp:extent cx="5745480" cy="4394835"/>
            <wp:effectExtent l="0" t="0" r="7620" b="5715"/>
            <wp:docPr id="2" name="Picture 2" descr="Theoretical model showing progression from psychosocial safety climate through job demands and resources to health and work outcomes." title="Psychosocial safely climat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Bstressmodel"/>
                    <pic:cNvPicPr>
                      <a:picLocks noChangeAspect="1" noChangeArrowheads="1"/>
                    </pic:cNvPicPr>
                  </pic:nvPicPr>
                  <pic:blipFill>
                    <a:blip r:embed="rId14" cstate="print"/>
                    <a:srcRect/>
                    <a:stretch>
                      <a:fillRect/>
                    </a:stretch>
                  </pic:blipFill>
                  <pic:spPr bwMode="auto">
                    <a:xfrm>
                      <a:off x="0" y="0"/>
                      <a:ext cx="5745480" cy="4394835"/>
                    </a:xfrm>
                    <a:prstGeom prst="rect">
                      <a:avLst/>
                    </a:prstGeom>
                    <a:noFill/>
                    <a:ln w="9525">
                      <a:noFill/>
                      <a:miter lim="800000"/>
                      <a:headEnd/>
                      <a:tailEnd/>
                    </a:ln>
                  </pic:spPr>
                </pic:pic>
              </a:graphicData>
            </a:graphic>
          </wp:inline>
        </w:drawing>
      </w:r>
    </w:p>
    <w:p w:rsidR="0076164D" w:rsidRPr="006466CB" w:rsidRDefault="0076164D" w:rsidP="006466CB">
      <w:pPr>
        <w:pStyle w:val="FigureCaption"/>
      </w:pPr>
      <w:proofErr w:type="gramStart"/>
      <w:r w:rsidRPr="006466CB">
        <w:t>Figure 1.</w:t>
      </w:r>
      <w:proofErr w:type="gramEnd"/>
      <w:r w:rsidRPr="006466CB">
        <w:t xml:space="preserve"> AWB theoretical model</w:t>
      </w:r>
    </w:p>
    <w:p w:rsidR="006D529F" w:rsidRPr="00CE2B18" w:rsidRDefault="00AE4558" w:rsidP="00CE2B18">
      <w:r w:rsidRPr="00CE2B18">
        <w:t>The</w:t>
      </w:r>
      <w:r w:rsidR="008B5ED6" w:rsidRPr="00CE2B18">
        <w:t xml:space="preserve"> theoretical model of PSC extends</w:t>
      </w:r>
      <w:r w:rsidR="00084228" w:rsidRPr="00CE2B18">
        <w:t xml:space="preserve"> the</w:t>
      </w:r>
      <w:r w:rsidR="008B5ED6" w:rsidRPr="00CE2B18">
        <w:t xml:space="preserve"> Job Demands-Resources (JD-R) theory (Demerouti, </w:t>
      </w:r>
      <w:r w:rsidR="0019255B" w:rsidRPr="00CE2B18">
        <w:t xml:space="preserve">Nachreiner, </w:t>
      </w:r>
      <w:r w:rsidR="008B5ED6" w:rsidRPr="00CE2B18">
        <w:t xml:space="preserve">Bakker, &amp; Schaufeli, 2001), </w:t>
      </w:r>
      <w:r w:rsidRPr="00CE2B18">
        <w:t>which</w:t>
      </w:r>
      <w:r w:rsidR="008B5ED6" w:rsidRPr="00CE2B18">
        <w:t xml:space="preserve"> builds on earlier work stress models such as the Demand-Control model (Karasek, 1979). According to JD-R, psychosocial work </w:t>
      </w:r>
      <w:r w:rsidRPr="00CE2B18">
        <w:t>factors</w:t>
      </w:r>
      <w:r w:rsidR="008B5ED6" w:rsidRPr="00CE2B18">
        <w:t xml:space="preserve"> </w:t>
      </w:r>
      <w:r w:rsidRPr="00CE2B18">
        <w:t>can</w:t>
      </w:r>
      <w:r w:rsidR="008B5ED6" w:rsidRPr="00CE2B18">
        <w:t xml:space="preserve"> be classified in terms of job demands (that is, things that have to be done) and job resources (that is, things that </w:t>
      </w:r>
      <w:r w:rsidR="00F36638" w:rsidRPr="00CE2B18">
        <w:t>assist in achieving work goals), and can reduce job demands.</w:t>
      </w:r>
    </w:p>
    <w:p w:rsidR="00994717" w:rsidRPr="00CE2B18" w:rsidRDefault="00A24259" w:rsidP="00CE2B18">
      <w:r w:rsidRPr="00CE2B18">
        <w:t>Job Demands-Resources theory considers psychosocial work conditions, particularly job demands (</w:t>
      </w:r>
      <w:r w:rsidR="00723A04">
        <w:t>e.g.</w:t>
      </w:r>
      <w:r w:rsidRPr="00CE2B18">
        <w:t xml:space="preserve"> workload, emotional demands, bullying) </w:t>
      </w:r>
      <w:r w:rsidR="000A70B5" w:rsidRPr="00CE2B18">
        <w:t>as</w:t>
      </w:r>
      <w:r w:rsidRPr="00CE2B18">
        <w:t xml:space="preserve"> significant predictors of employee health via a health erosion pathway. </w:t>
      </w:r>
      <w:r w:rsidR="00B93EC5" w:rsidRPr="00CE2B18">
        <w:t xml:space="preserve">Coping </w:t>
      </w:r>
      <w:r w:rsidR="008B5ED6" w:rsidRPr="00CE2B18">
        <w:t>with chronic job demands leads to an erosion of a worker’s energy reserve</w:t>
      </w:r>
      <w:r w:rsidR="001579CD" w:rsidRPr="00CE2B18">
        <w:t xml:space="preserve">; </w:t>
      </w:r>
      <w:r w:rsidR="008B5ED6" w:rsidRPr="00CE2B18">
        <w:t xml:space="preserve">in turn </w:t>
      </w:r>
      <w:r w:rsidR="001579CD" w:rsidRPr="00CE2B18">
        <w:t xml:space="preserve">this </w:t>
      </w:r>
      <w:r w:rsidR="008B5ED6" w:rsidRPr="00CE2B18">
        <w:t>leads to negative responses (such as psychological distress), and in the longer term</w:t>
      </w:r>
      <w:r w:rsidR="000A70B5" w:rsidRPr="00CE2B18">
        <w:t>,</w:t>
      </w:r>
      <w:r w:rsidR="008B5ED6" w:rsidRPr="00CE2B18">
        <w:t xml:space="preserve"> psychological injury (such as depressive disorder) and health problems (including cardiovascular disease or musculoskeletal disorders)</w:t>
      </w:r>
      <w:r w:rsidR="00B93EC5" w:rsidRPr="00CE2B18">
        <w:t xml:space="preserve"> (Schaufeli &amp; Bakker, 2004)</w:t>
      </w:r>
      <w:r w:rsidR="008B5ED6" w:rsidRPr="00CE2B18">
        <w:t>.</w:t>
      </w:r>
    </w:p>
    <w:p w:rsidR="00F36638" w:rsidRPr="00CE2B18" w:rsidRDefault="00F36638" w:rsidP="00CE2B18">
      <w:r w:rsidRPr="00CE2B18">
        <w:t>A second pathway is proposed in the JD-R model. The</w:t>
      </w:r>
      <w:r w:rsidR="008A785D" w:rsidRPr="00CE2B18">
        <w:t xml:space="preserve"> motivational pathway</w:t>
      </w:r>
      <w:r w:rsidRPr="00CE2B18">
        <w:t xml:space="preserve"> describes how adequate resources (e.g. control, support, rewards, procedural justice) are motivating and lead to engagement, and in turn to positive organisational outcomes such as improved performa</w:t>
      </w:r>
      <w:r w:rsidR="006466CB">
        <w:t>nce (Bakker &amp; Demerouti, 2007).</w:t>
      </w:r>
    </w:p>
    <w:p w:rsidR="008B5ED6" w:rsidRPr="00CE2B18" w:rsidRDefault="001579CD" w:rsidP="00CE2B18">
      <w:r w:rsidRPr="00CE2B18">
        <w:t>Considering the</w:t>
      </w:r>
      <w:r w:rsidR="008B5ED6" w:rsidRPr="00CE2B18">
        <w:t xml:space="preserve"> JD-R model, </w:t>
      </w:r>
      <w:r w:rsidRPr="00CE2B18">
        <w:t xml:space="preserve">it is important to remember that </w:t>
      </w:r>
      <w:r w:rsidR="0061035F">
        <w:t>jobs are by human design</w:t>
      </w:r>
      <w:r w:rsidR="005A4FB0" w:rsidRPr="00CE2B18">
        <w:t xml:space="preserve"> and the levels and types of demands are a result of discretionary management decisions.</w:t>
      </w:r>
      <w:r w:rsidR="007F18EE" w:rsidRPr="00CE2B18">
        <w:t xml:space="preserve"> PSC </w:t>
      </w:r>
      <w:r w:rsidR="007F18EE" w:rsidRPr="00CE2B18">
        <w:lastRenderedPageBreak/>
        <w:t xml:space="preserve">reflects the level of regard for psychological health implications of working conditions. </w:t>
      </w:r>
      <w:r w:rsidR="00A77DBC">
        <w:t xml:space="preserve">PSC is a normative/ value based concept of “good work/healthy work”. </w:t>
      </w:r>
      <w:r w:rsidR="005A4FB0" w:rsidRPr="00CE2B18">
        <w:t>Managers who are concerned about worker wellbeing will design job demands that are manageable. In a high PSC organisation, work demands would likely be manageable and psychological health problems less</w:t>
      </w:r>
      <w:r w:rsidRPr="00CE2B18">
        <w:t xml:space="preserve"> prominent</w:t>
      </w:r>
      <w:r w:rsidR="005A4FB0" w:rsidRPr="00CE2B18">
        <w:t xml:space="preserve">. In </w:t>
      </w:r>
      <w:r w:rsidR="008B5ED6" w:rsidRPr="00CE2B18">
        <w:t xml:space="preserve">poor PSC </w:t>
      </w:r>
      <w:r w:rsidR="005A4FB0" w:rsidRPr="00CE2B18">
        <w:t xml:space="preserve">organisations, </w:t>
      </w:r>
      <w:r w:rsidR="007F18EE" w:rsidRPr="00CE2B18">
        <w:t>managers would not be concerned about high work-loads, or other hazardous conditions, like high levels of bullying. Th</w:t>
      </w:r>
      <w:r w:rsidRPr="00CE2B18">
        <w:t>e low PSC</w:t>
      </w:r>
      <w:r w:rsidR="007F18EE" w:rsidRPr="00CE2B18">
        <w:t xml:space="preserve"> scenario is </w:t>
      </w:r>
      <w:r w:rsidRPr="00CE2B18">
        <w:t>likely</w:t>
      </w:r>
      <w:r w:rsidR="007F18EE" w:rsidRPr="00CE2B18">
        <w:t xml:space="preserve"> to be stressful for workers. PSC reflects </w:t>
      </w:r>
      <w:r w:rsidRPr="00CE2B18">
        <w:t xml:space="preserve">a </w:t>
      </w:r>
      <w:r w:rsidR="007F18EE" w:rsidRPr="00CE2B18">
        <w:t xml:space="preserve">level of regard for worker wellbeing and clearly precedes work conditions. </w:t>
      </w:r>
      <w:r w:rsidR="008B5ED6" w:rsidRPr="00CE2B18">
        <w:t>We therefore extend JD-R theory and propose the extended health erosion hypothesis</w:t>
      </w:r>
      <w:r w:rsidR="00F36638" w:rsidRPr="00CE2B18">
        <w:t xml:space="preserve"> (see Figure 1)</w:t>
      </w:r>
      <w:r w:rsidR="008B5ED6" w:rsidRPr="00CE2B18">
        <w:t>:</w:t>
      </w:r>
    </w:p>
    <w:p w:rsidR="00FA1565" w:rsidRPr="00CE2B18" w:rsidRDefault="008B5ED6" w:rsidP="00CE2B18">
      <w:pPr>
        <w:ind w:left="720"/>
      </w:pPr>
      <w:proofErr w:type="gramStart"/>
      <w:r w:rsidRPr="004B1585">
        <w:rPr>
          <w:rStyle w:val="Strong"/>
        </w:rPr>
        <w:t>H</w:t>
      </w:r>
      <w:r w:rsidR="00084228" w:rsidRPr="004B1585">
        <w:rPr>
          <w:rStyle w:val="Strong"/>
        </w:rPr>
        <w:t xml:space="preserve">ypothesis </w:t>
      </w:r>
      <w:r w:rsidRPr="004B1585">
        <w:rPr>
          <w:rStyle w:val="Strong"/>
        </w:rPr>
        <w:t>1</w:t>
      </w:r>
      <w:r w:rsidRPr="00CE2B18">
        <w:t>.</w:t>
      </w:r>
      <w:proofErr w:type="gramEnd"/>
      <w:r w:rsidRPr="00CE2B18">
        <w:t xml:space="preserve"> </w:t>
      </w:r>
      <w:r w:rsidR="00FA1565" w:rsidRPr="00CE2B18">
        <w:rPr>
          <w:rFonts w:eastAsia="Calibri"/>
        </w:rPr>
        <w:t xml:space="preserve">PSC is </w:t>
      </w:r>
      <w:r w:rsidR="006C6443" w:rsidRPr="00CE2B18">
        <w:rPr>
          <w:rFonts w:eastAsia="Calibri"/>
        </w:rPr>
        <w:t>negatively related to job demands that in turn positively</w:t>
      </w:r>
      <w:r w:rsidR="00FA1565" w:rsidRPr="00CE2B18">
        <w:rPr>
          <w:rFonts w:eastAsia="Calibri"/>
        </w:rPr>
        <w:t xml:space="preserve"> relate to psychological health problems.</w:t>
      </w:r>
    </w:p>
    <w:p w:rsidR="008B5ED6" w:rsidRPr="00437685" w:rsidRDefault="002F596F" w:rsidP="00CE2B18">
      <w:pPr>
        <w:rPr>
          <w:lang w:val="en-GB"/>
        </w:rPr>
      </w:pPr>
      <w:r w:rsidRPr="00F83954">
        <w:rPr>
          <w:lang w:val="en-GB"/>
        </w:rPr>
        <w:t>We also expect that managers cogni</w:t>
      </w:r>
      <w:r w:rsidR="00F36638">
        <w:rPr>
          <w:lang w:val="en-GB"/>
        </w:rPr>
        <w:t>s</w:t>
      </w:r>
      <w:r w:rsidRPr="00F83954">
        <w:rPr>
          <w:lang w:val="en-GB"/>
        </w:rPr>
        <w:t>ant of psychosocial risks and concerned for worker psychological health would alloca</w:t>
      </w:r>
      <w:r w:rsidRPr="008D1759">
        <w:rPr>
          <w:lang w:val="en-GB"/>
        </w:rPr>
        <w:t xml:space="preserve">te sufficient resources. High levels of PSC would foster growth in other resources, such as </w:t>
      </w:r>
      <w:r w:rsidRPr="00DB2EC6">
        <w:rPr>
          <w:lang w:val="en-GB"/>
        </w:rPr>
        <w:t xml:space="preserve">co-worker support and local supervisor support. A management style supportive of psychological health would be attentive to organisational justice issues, and </w:t>
      </w:r>
      <w:r w:rsidR="007F18EE">
        <w:rPr>
          <w:lang w:val="en-GB"/>
        </w:rPr>
        <w:t xml:space="preserve">would </w:t>
      </w:r>
      <w:r w:rsidRPr="00DB2EC6">
        <w:rPr>
          <w:lang w:val="en-GB"/>
        </w:rPr>
        <w:t>provide adequate esteem and financial rewards. According to social exchange theory when workers perceive that their needs are being met, they will respond with greater levels of motivation, energy and commitment. These relationships are captured in the</w:t>
      </w:r>
      <w:r w:rsidR="008B5ED6" w:rsidRPr="00437685">
        <w:rPr>
          <w:lang w:val="en-GB"/>
        </w:rPr>
        <w:t xml:space="preserve"> </w:t>
      </w:r>
      <w:r w:rsidR="008B5ED6" w:rsidRPr="00437685">
        <w:rPr>
          <w:i/>
          <w:lang w:val="en-GB"/>
        </w:rPr>
        <w:t>extended motivation hypothesis</w:t>
      </w:r>
      <w:r w:rsidR="00F36638">
        <w:rPr>
          <w:i/>
          <w:lang w:val="en-GB"/>
        </w:rPr>
        <w:t xml:space="preserve"> (see Figure 1)</w:t>
      </w:r>
      <w:r w:rsidR="008B5ED6" w:rsidRPr="00437685">
        <w:rPr>
          <w:i/>
          <w:lang w:val="en-GB"/>
        </w:rPr>
        <w:t>:</w:t>
      </w:r>
    </w:p>
    <w:p w:rsidR="00FA1565" w:rsidRPr="00437685" w:rsidRDefault="008B5ED6" w:rsidP="00CE2B18">
      <w:pPr>
        <w:ind w:left="720"/>
        <w:rPr>
          <w:rFonts w:eastAsia="Calibri"/>
        </w:rPr>
      </w:pPr>
      <w:proofErr w:type="gramStart"/>
      <w:r w:rsidRPr="00E028B6">
        <w:rPr>
          <w:rStyle w:val="Strong"/>
        </w:rPr>
        <w:t>H</w:t>
      </w:r>
      <w:r w:rsidR="00084228" w:rsidRPr="00E028B6">
        <w:rPr>
          <w:rStyle w:val="Strong"/>
        </w:rPr>
        <w:t xml:space="preserve">ypothesis </w:t>
      </w:r>
      <w:r w:rsidRPr="00E028B6">
        <w:rPr>
          <w:rStyle w:val="Strong"/>
        </w:rPr>
        <w:t>2</w:t>
      </w:r>
      <w:r w:rsidRPr="00437685">
        <w:rPr>
          <w:bCs/>
          <w:lang w:val="en-GB"/>
        </w:rPr>
        <w:t>.</w:t>
      </w:r>
      <w:proofErr w:type="gramEnd"/>
      <w:r w:rsidRPr="00437685">
        <w:rPr>
          <w:bCs/>
          <w:lang w:val="en-GB"/>
        </w:rPr>
        <w:t xml:space="preserve"> </w:t>
      </w:r>
      <w:r w:rsidR="00FA1565" w:rsidRPr="00437685">
        <w:rPr>
          <w:rFonts w:eastAsia="Calibri"/>
        </w:rPr>
        <w:t>PSC</w:t>
      </w:r>
      <w:r w:rsidR="006C6443">
        <w:rPr>
          <w:rFonts w:eastAsia="Calibri"/>
        </w:rPr>
        <w:t xml:space="preserve"> is positively related to resources that in turn </w:t>
      </w:r>
      <w:r w:rsidR="00FA1565" w:rsidRPr="00437685">
        <w:rPr>
          <w:rFonts w:eastAsia="Calibri"/>
        </w:rPr>
        <w:t>positive</w:t>
      </w:r>
      <w:r w:rsidR="006C6443">
        <w:rPr>
          <w:rFonts w:eastAsia="Calibri"/>
        </w:rPr>
        <w:t>ly relate to work engagement</w:t>
      </w:r>
      <w:r w:rsidR="00FA1565" w:rsidRPr="00437685">
        <w:rPr>
          <w:rFonts w:eastAsia="Calibri"/>
        </w:rPr>
        <w:t>.</w:t>
      </w:r>
    </w:p>
    <w:p w:rsidR="00FA1565" w:rsidRPr="00437685" w:rsidRDefault="00FA1565" w:rsidP="00CE2B18">
      <w:pPr>
        <w:rPr>
          <w:rFonts w:eastAsia="Calibri"/>
        </w:rPr>
      </w:pPr>
      <w:r w:rsidRPr="00437685">
        <w:rPr>
          <w:rFonts w:eastAsia="Calibri"/>
        </w:rPr>
        <w:t xml:space="preserve">Cross-links between the health and motivation pathways </w:t>
      </w:r>
      <w:r w:rsidR="00303B50">
        <w:t>are theoretically</w:t>
      </w:r>
      <w:r w:rsidR="00303B50" w:rsidRPr="00303B50">
        <w:t xml:space="preserve"> and practically </w:t>
      </w:r>
      <w:r w:rsidR="00303B50">
        <w:t xml:space="preserve">important </w:t>
      </w:r>
      <w:r w:rsidR="00303B50" w:rsidRPr="006D529F">
        <w:t>because they may explain for example, how work performance can be impaired through the reduced health of workers (Schaufeli &amp; Bakker, 2004). Further t</w:t>
      </w:r>
      <w:r w:rsidR="00303B50" w:rsidRPr="008D1759">
        <w:t>here is</w:t>
      </w:r>
      <w:r w:rsidR="00303B50" w:rsidRPr="00DB2EC6">
        <w:rPr>
          <w:rFonts w:eastAsia="Calibri"/>
        </w:rPr>
        <w:t xml:space="preserve"> empirical support for them</w:t>
      </w:r>
      <w:r w:rsidRPr="00437685">
        <w:rPr>
          <w:rFonts w:eastAsia="Calibri"/>
        </w:rPr>
        <w:t xml:space="preserve"> (Hakanen, Bakker, &amp; Schaufeli, 2006)</w:t>
      </w:r>
      <w:r w:rsidR="0051365C" w:rsidRPr="00437685">
        <w:rPr>
          <w:rFonts w:eastAsia="Calibri"/>
        </w:rPr>
        <w:t>. I</w:t>
      </w:r>
      <w:r w:rsidRPr="00437685">
        <w:rPr>
          <w:rFonts w:eastAsia="Calibri"/>
        </w:rPr>
        <w:t xml:space="preserve">n particular the relationship between job resources such as lack of control and psychological health problems </w:t>
      </w:r>
      <w:r w:rsidR="0051365C" w:rsidRPr="00437685">
        <w:rPr>
          <w:rFonts w:eastAsia="Calibri"/>
        </w:rPr>
        <w:t xml:space="preserve">is strongly supported in the literature </w:t>
      </w:r>
      <w:r w:rsidRPr="00437685">
        <w:rPr>
          <w:rFonts w:eastAsia="Calibri"/>
        </w:rPr>
        <w:t>(Karasek &amp; Theorell, 1990).</w:t>
      </w:r>
    </w:p>
    <w:p w:rsidR="00F36638" w:rsidRPr="00437685" w:rsidRDefault="00F36638" w:rsidP="00FA3C3A">
      <w:pPr>
        <w:ind w:left="720"/>
        <w:rPr>
          <w:rFonts w:eastAsia="Calibri"/>
        </w:rPr>
      </w:pPr>
      <w:proofErr w:type="gramStart"/>
      <w:r w:rsidRPr="00E028B6">
        <w:rPr>
          <w:rStyle w:val="Strong"/>
          <w:rFonts w:eastAsia="Calibri"/>
        </w:rPr>
        <w:t>Hypothesis 3.</w:t>
      </w:r>
      <w:proofErr w:type="gramEnd"/>
      <w:r w:rsidRPr="00437685">
        <w:rPr>
          <w:rFonts w:eastAsia="Calibri"/>
        </w:rPr>
        <w:t xml:space="preserve"> PSC is </w:t>
      </w:r>
      <w:r w:rsidR="006C6443">
        <w:rPr>
          <w:rFonts w:eastAsia="Calibri"/>
        </w:rPr>
        <w:t xml:space="preserve">positively related to </w:t>
      </w:r>
      <w:r w:rsidR="006C6443" w:rsidRPr="00437685">
        <w:rPr>
          <w:rFonts w:eastAsia="Calibri"/>
        </w:rPr>
        <w:t xml:space="preserve">job resources </w:t>
      </w:r>
      <w:r w:rsidR="006C6443">
        <w:rPr>
          <w:rFonts w:eastAsia="Calibri"/>
        </w:rPr>
        <w:t xml:space="preserve">that in turn negatively relate to </w:t>
      </w:r>
      <w:r w:rsidRPr="00437685">
        <w:rPr>
          <w:rFonts w:eastAsia="Calibri"/>
        </w:rPr>
        <w:t>psychological health pro</w:t>
      </w:r>
      <w:r w:rsidR="006C6443">
        <w:rPr>
          <w:rFonts w:eastAsia="Calibri"/>
        </w:rPr>
        <w:t>blems</w:t>
      </w:r>
      <w:r w:rsidR="006466CB">
        <w:rPr>
          <w:rFonts w:eastAsia="Calibri"/>
        </w:rPr>
        <w:t>.</w:t>
      </w:r>
    </w:p>
    <w:p w:rsidR="002F1949" w:rsidRDefault="00F36638" w:rsidP="00CE2B18">
      <w:pPr>
        <w:rPr>
          <w:rFonts w:eastAsia="Calibri"/>
        </w:rPr>
      </w:pPr>
      <w:r>
        <w:rPr>
          <w:rFonts w:eastAsia="Calibri"/>
        </w:rPr>
        <w:t>These mediation hypotheses are important because they propose a work stress process PSC</w:t>
      </w:r>
      <w:r w:rsidRPr="003105E1">
        <w:rPr>
          <w:rFonts w:eastAsia="Calibri"/>
        </w:rPr>
        <w:sym w:font="Wingdings" w:char="F0E0"/>
      </w:r>
      <w:r>
        <w:rPr>
          <w:rFonts w:eastAsia="Calibri"/>
        </w:rPr>
        <w:t>work conditions</w:t>
      </w:r>
      <w:r w:rsidRPr="003105E1">
        <w:rPr>
          <w:rFonts w:eastAsia="Calibri"/>
        </w:rPr>
        <w:sym w:font="Wingdings" w:char="F0E0"/>
      </w:r>
      <w:r>
        <w:rPr>
          <w:rFonts w:eastAsia="Calibri"/>
        </w:rPr>
        <w:t>stress outcomes</w:t>
      </w:r>
      <w:r w:rsidR="00403D08">
        <w:rPr>
          <w:rFonts w:eastAsia="Calibri"/>
        </w:rPr>
        <w:t>.</w:t>
      </w:r>
    </w:p>
    <w:p w:rsidR="002F1949" w:rsidRPr="00026C9D" w:rsidRDefault="002F1949" w:rsidP="00FE4AC7">
      <w:pPr>
        <w:pStyle w:val="Heading2"/>
        <w:spacing w:before="100" w:beforeAutospacing="1" w:after="100" w:afterAutospacing="1"/>
      </w:pPr>
      <w:bookmarkStart w:id="31" w:name="_Toc343502416"/>
      <w:r w:rsidRPr="00FE4AC7">
        <w:t>Previous PSC Research</w:t>
      </w:r>
      <w:r w:rsidR="00DA0545" w:rsidRPr="00026C9D">
        <w:t xml:space="preserve"> Evidence</w:t>
      </w:r>
      <w:bookmarkEnd w:id="31"/>
    </w:p>
    <w:p w:rsidR="0031479E" w:rsidRPr="00F83954" w:rsidRDefault="002F596F" w:rsidP="00CE2B18">
      <w:r w:rsidRPr="00F83954">
        <w:t xml:space="preserve">Several studies have been conducted </w:t>
      </w:r>
      <w:r w:rsidR="00892A10" w:rsidRPr="00F83954">
        <w:t>to test</w:t>
      </w:r>
      <w:r w:rsidRPr="00F83954">
        <w:t xml:space="preserve"> these </w:t>
      </w:r>
      <w:r w:rsidR="00F36638">
        <w:t xml:space="preserve">PSC </w:t>
      </w:r>
      <w:r w:rsidRPr="00F83954">
        <w:t xml:space="preserve">theoretical premises. The first study </w:t>
      </w:r>
      <w:r w:rsidR="00221840" w:rsidRPr="00F83954">
        <w:t xml:space="preserve">was </w:t>
      </w:r>
      <w:r w:rsidRPr="00F83954">
        <w:t xml:space="preserve">by Dollard and Bakker </w:t>
      </w:r>
      <w:r w:rsidR="00221840" w:rsidRPr="00F83954">
        <w:t xml:space="preserve">(2010) </w:t>
      </w:r>
      <w:r w:rsidRPr="00F83954">
        <w:t xml:space="preserve">of </w:t>
      </w:r>
      <w:r w:rsidR="0031479E" w:rsidRPr="00437685">
        <w:rPr>
          <w:rFonts w:eastAsia="Calibri"/>
          <w:lang w:eastAsia="en-US"/>
        </w:rPr>
        <w:t>209–288</w:t>
      </w:r>
      <w:r w:rsidR="0031479E" w:rsidRPr="00F83954">
        <w:t xml:space="preserve"> employees </w:t>
      </w:r>
      <w:r w:rsidR="00892A10" w:rsidRPr="00F83954">
        <w:t>in</w:t>
      </w:r>
      <w:r w:rsidR="0031479E" w:rsidRPr="00F83954">
        <w:t xml:space="preserve"> 18 schools in an Australian state education department. Since PSC is considered a cli</w:t>
      </w:r>
      <w:r w:rsidR="0031479E" w:rsidRPr="008D1759">
        <w:t>mate construct</w:t>
      </w:r>
      <w:r w:rsidR="0031479E" w:rsidRPr="00DB2EC6">
        <w:t xml:space="preserve">, researchers first aggregated </w:t>
      </w:r>
      <w:r w:rsidR="00AC3857" w:rsidRPr="00437685">
        <w:t xml:space="preserve">individual PSC </w:t>
      </w:r>
      <w:r w:rsidR="0031479E" w:rsidRPr="00F83954">
        <w:t>survey scores to the school l</w:t>
      </w:r>
      <w:r w:rsidR="0031479E" w:rsidRPr="008D1759">
        <w:t>e</w:t>
      </w:r>
      <w:r w:rsidR="0031479E" w:rsidRPr="00DB2EC6">
        <w:t>vel. The</w:t>
      </w:r>
      <w:r w:rsidR="00A50EA7">
        <w:t xml:space="preserve"> first important result</w:t>
      </w:r>
      <w:r w:rsidR="0031479E" w:rsidRPr="00DB2EC6">
        <w:t xml:space="preserve"> noted </w:t>
      </w:r>
      <w:r w:rsidR="006C6443">
        <w:t xml:space="preserve">was </w:t>
      </w:r>
      <w:r w:rsidR="0031479E" w:rsidRPr="00DB2EC6">
        <w:t xml:space="preserve">that </w:t>
      </w:r>
      <w:r w:rsidR="00A50EA7" w:rsidRPr="00DB2EC6">
        <w:t xml:space="preserve">aggregated </w:t>
      </w:r>
      <w:r w:rsidR="0031479E" w:rsidRPr="00DB2EC6">
        <w:t xml:space="preserve">PSC </w:t>
      </w:r>
      <w:r w:rsidR="00A50EA7">
        <w:t>was</w:t>
      </w:r>
      <w:r w:rsidR="0031479E" w:rsidRPr="00DB2EC6">
        <w:t xml:space="preserve"> </w:t>
      </w:r>
      <w:r w:rsidR="006C6443">
        <w:t xml:space="preserve">negatively </w:t>
      </w:r>
      <w:r w:rsidR="0031479E" w:rsidRPr="00DB2EC6">
        <w:t xml:space="preserve">related to </w:t>
      </w:r>
      <w:r w:rsidR="0051365C" w:rsidRPr="00437685">
        <w:t xml:space="preserve">objective </w:t>
      </w:r>
      <w:r w:rsidR="0031479E" w:rsidRPr="00F83954">
        <w:t>sickness absence rates at the school</w:t>
      </w:r>
      <w:r w:rsidR="0051365C" w:rsidRPr="00437685">
        <w:t xml:space="preserve">. Since PSC was estimated using only survey respondents, and </w:t>
      </w:r>
      <w:r w:rsidR="00AC3857" w:rsidRPr="00437685">
        <w:t>given</w:t>
      </w:r>
      <w:r w:rsidR="0051365C" w:rsidRPr="00437685">
        <w:t xml:space="preserve"> it related to sickness absence rates that were for </w:t>
      </w:r>
      <w:r w:rsidR="0051365C" w:rsidRPr="00437685">
        <w:rPr>
          <w:i/>
        </w:rPr>
        <w:t>all</w:t>
      </w:r>
      <w:r w:rsidR="0051365C" w:rsidRPr="00437685">
        <w:t xml:space="preserve"> employees in the schools, and </w:t>
      </w:r>
      <w:r w:rsidR="00AC3857" w:rsidRPr="00437685">
        <w:t>this</w:t>
      </w:r>
      <w:r w:rsidR="0051365C" w:rsidRPr="00437685">
        <w:t xml:space="preserve"> latter measure was supplied by the department, results </w:t>
      </w:r>
      <w:r w:rsidR="00C14BDE">
        <w:t>that were generated</w:t>
      </w:r>
      <w:r w:rsidR="0051365C" w:rsidRPr="00437685">
        <w:t xml:space="preserve"> </w:t>
      </w:r>
      <w:r w:rsidR="00AC3857" w:rsidRPr="00437685">
        <w:t xml:space="preserve">support the notion </w:t>
      </w:r>
      <w:r w:rsidR="006C6443">
        <w:t>that</w:t>
      </w:r>
      <w:r w:rsidR="00AC3857" w:rsidRPr="00437685">
        <w:t xml:space="preserve"> PSC </w:t>
      </w:r>
      <w:r w:rsidR="006C6443">
        <w:t>is</w:t>
      </w:r>
      <w:r w:rsidR="00AC3857" w:rsidRPr="00437685">
        <w:t xml:space="preserve"> </w:t>
      </w:r>
      <w:r w:rsidR="00AC3857" w:rsidRPr="00437685">
        <w:lastRenderedPageBreak/>
        <w:t xml:space="preserve">an important pervasive robust group-level climate for health outcomes. </w:t>
      </w:r>
      <w:r w:rsidR="00A50EA7">
        <w:t>Knowing about PSC levels, one could predict sickness absence rates in the school.</w:t>
      </w:r>
    </w:p>
    <w:p w:rsidR="00084228" w:rsidRPr="00E4333A" w:rsidRDefault="0031479E" w:rsidP="00CE2B18">
      <w:pPr>
        <w:rPr>
          <w:rFonts w:eastAsia="Calibri" w:cs="Arial"/>
          <w:highlight w:val="yellow"/>
          <w:lang w:eastAsia="en-US"/>
        </w:rPr>
      </w:pPr>
      <w:r w:rsidRPr="00F83954">
        <w:t xml:space="preserve">Next </w:t>
      </w:r>
      <w:r w:rsidR="00F36638">
        <w:t xml:space="preserve">the </w:t>
      </w:r>
      <w:r w:rsidRPr="00F83954">
        <w:t xml:space="preserve">researchers tested the three hypotheses above, using </w:t>
      </w:r>
      <w:r w:rsidRPr="00437685">
        <w:rPr>
          <w:rFonts w:eastAsia="Calibri"/>
          <w:lang w:eastAsia="en-US"/>
        </w:rPr>
        <w:t xml:space="preserve">hierarchical linear modelling. Using a longitudinal design, PSC </w:t>
      </w:r>
      <w:r w:rsidR="005F1DE6" w:rsidRPr="00437685">
        <w:rPr>
          <w:rFonts w:eastAsia="Calibri"/>
          <w:lang w:eastAsia="en-US"/>
        </w:rPr>
        <w:t xml:space="preserve">as an aggregate measure </w:t>
      </w:r>
      <w:r w:rsidRPr="00437685">
        <w:rPr>
          <w:rFonts w:eastAsia="Calibri"/>
          <w:lang w:eastAsia="en-US"/>
        </w:rPr>
        <w:t xml:space="preserve">was significantly related to </w:t>
      </w:r>
      <w:r w:rsidR="005F1DE6" w:rsidRPr="00437685">
        <w:rPr>
          <w:rFonts w:eastAsia="Calibri"/>
          <w:lang w:eastAsia="en-US"/>
        </w:rPr>
        <w:t xml:space="preserve">perceived </w:t>
      </w:r>
      <w:r w:rsidRPr="00437685">
        <w:rPr>
          <w:rFonts w:eastAsia="Calibri"/>
          <w:lang w:eastAsia="en-US"/>
        </w:rPr>
        <w:t>demands (work pressure, emotional demands), resources (</w:t>
      </w:r>
      <w:r w:rsidR="005F1DE6" w:rsidRPr="00437685">
        <w:rPr>
          <w:rFonts w:eastAsia="Calibri"/>
          <w:lang w:eastAsia="en-US"/>
        </w:rPr>
        <w:t xml:space="preserve">skill discretion but not decision authority), psychological health (psychological distress, emotional exhaustion) and engagement, </w:t>
      </w:r>
      <w:r w:rsidR="00892A10" w:rsidRPr="00F83954">
        <w:rPr>
          <w:rFonts w:eastAsia="Calibri"/>
          <w:lang w:eastAsia="en-US"/>
        </w:rPr>
        <w:t xml:space="preserve">all </w:t>
      </w:r>
      <w:r w:rsidR="005F1DE6" w:rsidRPr="00437685">
        <w:rPr>
          <w:rFonts w:eastAsia="Calibri"/>
          <w:lang w:eastAsia="en-US"/>
        </w:rPr>
        <w:t xml:space="preserve">assessed </w:t>
      </w:r>
      <w:r w:rsidR="00403D08">
        <w:rPr>
          <w:rFonts w:eastAsia="Calibri"/>
          <w:lang w:eastAsia="en-US"/>
        </w:rPr>
        <w:t>10</w:t>
      </w:r>
      <w:r w:rsidR="00403D08" w:rsidRPr="00437685">
        <w:rPr>
          <w:rFonts w:eastAsia="Calibri"/>
          <w:lang w:eastAsia="en-US"/>
        </w:rPr>
        <w:t xml:space="preserve"> </w:t>
      </w:r>
      <w:r w:rsidR="005F1DE6" w:rsidRPr="00437685">
        <w:rPr>
          <w:rFonts w:eastAsia="Calibri"/>
          <w:lang w:eastAsia="en-US"/>
        </w:rPr>
        <w:t xml:space="preserve">months later. In support of Hypothesis 1 they found the </w:t>
      </w:r>
      <w:r w:rsidRPr="00437685">
        <w:rPr>
          <w:rFonts w:eastAsia="Calibri"/>
          <w:lang w:eastAsia="en-US"/>
        </w:rPr>
        <w:t>PSC</w:t>
      </w:r>
      <w:r w:rsidR="005F1DE6" w:rsidRPr="00437685">
        <w:rPr>
          <w:rFonts w:eastAsia="Calibri"/>
          <w:lang w:eastAsia="en-US"/>
        </w:rPr>
        <w:t xml:space="preserve"> </w:t>
      </w:r>
      <w:r w:rsidRPr="00437685">
        <w:rPr>
          <w:rFonts w:eastAsia="Calibri"/>
          <w:lang w:eastAsia="en-US"/>
        </w:rPr>
        <w:t>predicted change in individual psychological health problems (psychological distress,</w:t>
      </w:r>
      <w:r w:rsidR="005F1DE6" w:rsidRPr="00437685">
        <w:rPr>
          <w:rFonts w:eastAsia="Calibri"/>
          <w:lang w:eastAsia="en-US"/>
        </w:rPr>
        <w:t xml:space="preserve"> </w:t>
      </w:r>
      <w:r w:rsidRPr="00437685">
        <w:rPr>
          <w:rFonts w:eastAsia="Calibri"/>
          <w:lang w:eastAsia="en-US"/>
        </w:rPr>
        <w:t>emotional exhaustion) through its relationship with individual job demands (work</w:t>
      </w:r>
      <w:r w:rsidR="005F1DE6" w:rsidRPr="00437685">
        <w:rPr>
          <w:rFonts w:eastAsia="Calibri"/>
          <w:lang w:eastAsia="en-US"/>
        </w:rPr>
        <w:t xml:space="preserve"> </w:t>
      </w:r>
      <w:r w:rsidRPr="00437685">
        <w:rPr>
          <w:rFonts w:eastAsia="Calibri"/>
          <w:lang w:eastAsia="en-US"/>
        </w:rPr>
        <w:t xml:space="preserve">pressure and emotional demands). </w:t>
      </w:r>
      <w:r w:rsidR="005F1DE6" w:rsidRPr="00437685">
        <w:rPr>
          <w:rFonts w:eastAsia="Calibri"/>
          <w:lang w:eastAsia="en-US"/>
        </w:rPr>
        <w:t xml:space="preserve">In support of Hypothesis 2, </w:t>
      </w:r>
      <w:r w:rsidRPr="00437685">
        <w:rPr>
          <w:rFonts w:eastAsia="Calibri"/>
          <w:lang w:eastAsia="en-US"/>
        </w:rPr>
        <w:t>PSC predicted change in employee engagement,</w:t>
      </w:r>
      <w:r w:rsidR="005F1DE6" w:rsidRPr="00437685">
        <w:rPr>
          <w:rFonts w:eastAsia="Calibri"/>
          <w:lang w:eastAsia="en-US"/>
        </w:rPr>
        <w:t xml:space="preserve"> </w:t>
      </w:r>
      <w:r w:rsidRPr="00437685">
        <w:rPr>
          <w:rFonts w:eastAsia="Calibri"/>
          <w:lang w:eastAsia="en-US"/>
        </w:rPr>
        <w:t xml:space="preserve">through skill discretion. </w:t>
      </w:r>
      <w:r w:rsidR="005F1DE6" w:rsidRPr="00437685">
        <w:rPr>
          <w:rFonts w:eastAsia="Calibri"/>
          <w:lang w:eastAsia="en-US"/>
        </w:rPr>
        <w:t xml:space="preserve">Hypothesis 3 was not supported in this study. </w:t>
      </w:r>
      <w:r w:rsidR="00084228" w:rsidRPr="00437685">
        <w:rPr>
          <w:rFonts w:eastAsia="Calibri"/>
          <w:lang w:eastAsia="en-US"/>
        </w:rPr>
        <w:t xml:space="preserve">The </w:t>
      </w:r>
      <w:r w:rsidR="00084228" w:rsidRPr="00E4333A">
        <w:rPr>
          <w:rFonts w:eastAsia="Calibri" w:cs="Arial"/>
          <w:lang w:eastAsia="en-US"/>
        </w:rPr>
        <w:t xml:space="preserve">design of this study was strong because it used an aggregated measure of PSC, and a longitudinal design that controlled for </w:t>
      </w:r>
      <w:r w:rsidR="00F4060B" w:rsidRPr="00E4333A">
        <w:rPr>
          <w:rFonts w:eastAsia="Calibri" w:cs="Arial"/>
          <w:lang w:eastAsia="en-US"/>
        </w:rPr>
        <w:t>baseline measures</w:t>
      </w:r>
      <w:r w:rsidR="00F4060B" w:rsidRPr="00E4333A">
        <w:rPr>
          <w:rFonts w:cs="Arial"/>
        </w:rPr>
        <w:t xml:space="preserve"> by adjusting for the potential influence of these factors</w:t>
      </w:r>
      <w:r w:rsidR="00F4060B" w:rsidRPr="00E4333A">
        <w:rPr>
          <w:rFonts w:eastAsia="Calibri" w:cs="Arial"/>
          <w:lang w:eastAsia="en-US"/>
        </w:rPr>
        <w:t>; stronger causal conclusions can be drawn with this design compa</w:t>
      </w:r>
      <w:r w:rsidR="006466CB">
        <w:rPr>
          <w:rFonts w:eastAsia="Calibri" w:cs="Arial"/>
          <w:lang w:eastAsia="en-US"/>
        </w:rPr>
        <w:t>red to cross-sectional studies.</w:t>
      </w:r>
    </w:p>
    <w:p w:rsidR="00F36638" w:rsidRPr="00437685" w:rsidRDefault="00F36638" w:rsidP="00CE2B18">
      <w:pPr>
        <w:rPr>
          <w:rFonts w:eastAsia="Calibri"/>
        </w:rPr>
      </w:pPr>
      <w:r w:rsidRPr="00F83954">
        <w:rPr>
          <w:rFonts w:eastAsia="Calibri"/>
        </w:rPr>
        <w:t xml:space="preserve">A </w:t>
      </w:r>
      <w:r>
        <w:rPr>
          <w:rFonts w:eastAsia="Calibri"/>
        </w:rPr>
        <w:t xml:space="preserve">South Australian </w:t>
      </w:r>
      <w:r w:rsidRPr="00F83954">
        <w:rPr>
          <w:rFonts w:eastAsia="Calibri"/>
        </w:rPr>
        <w:t xml:space="preserve">cross-sectional </w:t>
      </w:r>
      <w:r w:rsidR="009527F1">
        <w:rPr>
          <w:rFonts w:eastAsia="Calibri"/>
        </w:rPr>
        <w:t xml:space="preserve">population </w:t>
      </w:r>
      <w:r>
        <w:rPr>
          <w:rFonts w:eastAsia="Calibri"/>
        </w:rPr>
        <w:t xml:space="preserve">telephone interview </w:t>
      </w:r>
      <w:r w:rsidRPr="00F83954">
        <w:rPr>
          <w:rFonts w:eastAsia="Calibri"/>
        </w:rPr>
        <w:t xml:space="preserve">study </w:t>
      </w:r>
      <w:r>
        <w:rPr>
          <w:rFonts w:eastAsia="Calibri"/>
        </w:rPr>
        <w:t xml:space="preserve">(AWB data) also tested the hypotheses. Participants were </w:t>
      </w:r>
      <w:r w:rsidRPr="00DB2EC6">
        <w:rPr>
          <w:rFonts w:eastAsia="Calibri"/>
        </w:rPr>
        <w:t>asked</w:t>
      </w:r>
      <w:r>
        <w:rPr>
          <w:rFonts w:eastAsia="Calibri"/>
        </w:rPr>
        <w:t xml:space="preserve"> </w:t>
      </w:r>
      <w:r w:rsidRPr="00DB2EC6">
        <w:rPr>
          <w:rFonts w:eastAsia="Calibri"/>
        </w:rPr>
        <w:t>to name the organisation that they worked for (92</w:t>
      </w:r>
      <w:r w:rsidR="00C14BDE">
        <w:rPr>
          <w:rFonts w:eastAsia="Calibri"/>
        </w:rPr>
        <w:t xml:space="preserve"> per cent</w:t>
      </w:r>
      <w:r w:rsidRPr="00DB2EC6">
        <w:rPr>
          <w:rFonts w:eastAsia="Calibri"/>
        </w:rPr>
        <w:t xml:space="preserve"> of participants obliged)</w:t>
      </w:r>
      <w:r>
        <w:rPr>
          <w:rFonts w:eastAsia="Calibri"/>
        </w:rPr>
        <w:t xml:space="preserve"> (</w:t>
      </w:r>
      <w:r w:rsidRPr="00F83954">
        <w:rPr>
          <w:rFonts w:eastAsia="Calibri"/>
        </w:rPr>
        <w:t>La</w:t>
      </w:r>
      <w:r>
        <w:rPr>
          <w:rFonts w:eastAsia="Calibri"/>
        </w:rPr>
        <w:t xml:space="preserve">w, Dollard, Tuckey, &amp; Dormann, </w:t>
      </w:r>
      <w:r w:rsidRPr="00F83954">
        <w:rPr>
          <w:rFonts w:eastAsia="Calibri"/>
        </w:rPr>
        <w:t>2011)</w:t>
      </w:r>
      <w:r>
        <w:rPr>
          <w:rFonts w:eastAsia="Calibri"/>
        </w:rPr>
        <w:t>.</w:t>
      </w:r>
      <w:r w:rsidRPr="00F83954">
        <w:rPr>
          <w:rFonts w:eastAsia="Calibri"/>
        </w:rPr>
        <w:t xml:space="preserve"> </w:t>
      </w:r>
      <w:r w:rsidRPr="00DB2EC6">
        <w:rPr>
          <w:rFonts w:eastAsia="Calibri"/>
        </w:rPr>
        <w:t xml:space="preserve">PSC was again aggregated to the organisational level by combining data from organisations with at least </w:t>
      </w:r>
      <w:r w:rsidR="00403D08">
        <w:rPr>
          <w:rFonts w:eastAsia="Calibri"/>
        </w:rPr>
        <w:t>four</w:t>
      </w:r>
      <w:r w:rsidR="00403D08" w:rsidRPr="00DB2EC6">
        <w:rPr>
          <w:rFonts w:eastAsia="Calibri"/>
        </w:rPr>
        <w:t xml:space="preserve"> </w:t>
      </w:r>
      <w:r w:rsidRPr="00DB2EC6">
        <w:rPr>
          <w:rFonts w:eastAsia="Calibri"/>
        </w:rPr>
        <w:t>respondents (range 4 -33). The final multi-occupational sample comprised 30 organi</w:t>
      </w:r>
      <w:r w:rsidR="006652BE">
        <w:rPr>
          <w:rFonts w:eastAsia="Calibri"/>
        </w:rPr>
        <w:t>s</w:t>
      </w:r>
      <w:r w:rsidRPr="00DB2EC6">
        <w:rPr>
          <w:rFonts w:eastAsia="Calibri"/>
        </w:rPr>
        <w:t xml:space="preserve">ations and 220 employees. Using </w:t>
      </w:r>
      <w:r w:rsidRPr="00437685">
        <w:rPr>
          <w:rFonts w:eastAsia="Calibri"/>
        </w:rPr>
        <w:t xml:space="preserve">hierarchical linear </w:t>
      </w:r>
      <w:r w:rsidRPr="00F83954">
        <w:rPr>
          <w:rFonts w:eastAsia="Calibri"/>
        </w:rPr>
        <w:t xml:space="preserve">modelling, in support of Hypothesis 1, researchers found that </w:t>
      </w:r>
      <w:r w:rsidR="00F34DA3">
        <w:rPr>
          <w:rFonts w:eastAsia="Calibri"/>
        </w:rPr>
        <w:t>organis</w:t>
      </w:r>
      <w:r w:rsidRPr="00437685">
        <w:rPr>
          <w:rFonts w:eastAsia="Calibri"/>
        </w:rPr>
        <w:t xml:space="preserve">ational PSC was negatively associated with </w:t>
      </w:r>
      <w:r w:rsidRPr="00F83954">
        <w:rPr>
          <w:rFonts w:eastAsia="Calibri"/>
        </w:rPr>
        <w:t xml:space="preserve">demands (in particular </w:t>
      </w:r>
      <w:r w:rsidRPr="00437685">
        <w:rPr>
          <w:rFonts w:eastAsia="Calibri"/>
        </w:rPr>
        <w:t>workplace b</w:t>
      </w:r>
      <w:r w:rsidRPr="00F83954">
        <w:rPr>
          <w:rFonts w:eastAsia="Calibri"/>
        </w:rPr>
        <w:t>ullying and harassment)</w:t>
      </w:r>
      <w:r w:rsidRPr="00437685">
        <w:rPr>
          <w:rFonts w:eastAsia="Calibri"/>
        </w:rPr>
        <w:t xml:space="preserve"> </w:t>
      </w:r>
      <w:r w:rsidRPr="00F83954">
        <w:rPr>
          <w:rFonts w:eastAsia="Calibri"/>
        </w:rPr>
        <w:t>that in turn related to psychological health problems</w:t>
      </w:r>
      <w:r w:rsidRPr="00437685">
        <w:rPr>
          <w:rFonts w:eastAsia="Calibri"/>
        </w:rPr>
        <w:t xml:space="preserve">. </w:t>
      </w:r>
      <w:r w:rsidRPr="00F83954">
        <w:rPr>
          <w:rFonts w:eastAsia="Calibri"/>
        </w:rPr>
        <w:t xml:space="preserve">In support of Hypothesis 2, </w:t>
      </w:r>
      <w:r w:rsidRPr="00437685">
        <w:rPr>
          <w:rFonts w:eastAsia="Calibri"/>
        </w:rPr>
        <w:t>PSC was also positively associated with</w:t>
      </w:r>
      <w:r w:rsidRPr="00F83954">
        <w:rPr>
          <w:rFonts w:eastAsia="Calibri"/>
        </w:rPr>
        <w:t xml:space="preserve"> resources (work rewards) and </w:t>
      </w:r>
      <w:r w:rsidRPr="00437685">
        <w:rPr>
          <w:rFonts w:eastAsia="Calibri"/>
        </w:rPr>
        <w:t>in turn work engagement</w:t>
      </w:r>
      <w:r w:rsidRPr="00F83954">
        <w:rPr>
          <w:rFonts w:eastAsia="Calibri"/>
        </w:rPr>
        <w:t xml:space="preserve">. Hypothesis 3 was not </w:t>
      </w:r>
      <w:r w:rsidRPr="00437685">
        <w:rPr>
          <w:rFonts w:eastAsia="Calibri"/>
        </w:rPr>
        <w:t>tested</w:t>
      </w:r>
      <w:r w:rsidR="006466CB">
        <w:rPr>
          <w:rFonts w:eastAsia="Calibri"/>
        </w:rPr>
        <w:t>.</w:t>
      </w:r>
    </w:p>
    <w:p w:rsidR="00C14BDE" w:rsidRDefault="00F36638" w:rsidP="00CE2B18">
      <w:pPr>
        <w:rPr>
          <w:rFonts w:eastAsia="Calibri"/>
          <w:lang w:val="en-US" w:eastAsia="en-US"/>
        </w:rPr>
      </w:pPr>
      <w:r w:rsidRPr="00437685">
        <w:rPr>
          <w:rFonts w:eastAsia="Calibri"/>
          <w:lang w:val="en-US" w:eastAsia="en-US"/>
        </w:rPr>
        <w:t>The</w:t>
      </w:r>
      <w:r>
        <w:rPr>
          <w:rFonts w:eastAsia="Calibri"/>
          <w:lang w:val="en-US" w:eastAsia="en-US"/>
        </w:rPr>
        <w:t xml:space="preserve"> Malaysian</w:t>
      </w:r>
      <w:r w:rsidR="009527F1">
        <w:rPr>
          <w:rFonts w:eastAsia="Calibri"/>
          <w:lang w:val="en-US" w:eastAsia="en-US"/>
        </w:rPr>
        <w:t>-Australian</w:t>
      </w:r>
      <w:r>
        <w:rPr>
          <w:rFonts w:eastAsia="Calibri"/>
          <w:lang w:val="en-US" w:eastAsia="en-US"/>
        </w:rPr>
        <w:t xml:space="preserve"> study (</w:t>
      </w:r>
      <w:r w:rsidRPr="00437685">
        <w:rPr>
          <w:rFonts w:eastAsia="Calibri"/>
          <w:lang w:val="en-US" w:eastAsia="en-US"/>
        </w:rPr>
        <w:t>Idris, Dollard, Coward</w:t>
      </w:r>
      <w:r>
        <w:rPr>
          <w:rFonts w:eastAsia="Calibri"/>
          <w:lang w:val="en-US" w:eastAsia="en-US"/>
        </w:rPr>
        <w:t>, &amp;</w:t>
      </w:r>
      <w:r w:rsidRPr="00437685">
        <w:rPr>
          <w:rFonts w:eastAsia="Calibri"/>
          <w:lang w:val="en-US" w:eastAsia="en-US"/>
        </w:rPr>
        <w:t xml:space="preserve"> Dormann</w:t>
      </w:r>
      <w:r>
        <w:rPr>
          <w:rFonts w:eastAsia="Calibri"/>
          <w:lang w:val="en-US" w:eastAsia="en-US"/>
        </w:rPr>
        <w:t xml:space="preserve">, </w:t>
      </w:r>
      <w:r w:rsidRPr="00437685">
        <w:rPr>
          <w:rFonts w:eastAsia="Calibri"/>
          <w:lang w:val="en-US" w:eastAsia="en-US"/>
        </w:rPr>
        <w:t>2012) mentioned above also supported Hypothesis 1; PSC was related to demands that in turn were related to psychological health problems</w:t>
      </w:r>
      <w:r>
        <w:rPr>
          <w:rFonts w:eastAsia="Calibri"/>
          <w:lang w:val="en-US" w:eastAsia="en-US"/>
        </w:rPr>
        <w:t xml:space="preserve">, but </w:t>
      </w:r>
      <w:r w:rsidRPr="00437685">
        <w:rPr>
          <w:rFonts w:eastAsia="Calibri"/>
          <w:lang w:val="en-US" w:eastAsia="en-US"/>
        </w:rPr>
        <w:t>onl</w:t>
      </w:r>
      <w:r w:rsidR="00C14BDE">
        <w:rPr>
          <w:rFonts w:eastAsia="Calibri"/>
          <w:lang w:val="en-US" w:eastAsia="en-US"/>
        </w:rPr>
        <w:t>y in the Malaysian sample. The results may not have been replicated in the Australian sample due to there not being a large enough sample size for the statistical analysis to find the desired effect.</w:t>
      </w:r>
    </w:p>
    <w:p w:rsidR="009005B5" w:rsidRPr="00437685" w:rsidRDefault="00D966A9" w:rsidP="00CE2B18">
      <w:pPr>
        <w:rPr>
          <w:rFonts w:eastAsia="Calibri"/>
        </w:rPr>
      </w:pPr>
      <w:r w:rsidRPr="00437685">
        <w:rPr>
          <w:rFonts w:eastAsia="Calibri"/>
        </w:rPr>
        <w:t xml:space="preserve">In an Australian study of remote area nurses, Dollard and colleagues (2012) reasoned that if PSC was a climate construct and related to fairly stable organisational functions, then knowing about levels of PSC in work units should predict work conditions and health in </w:t>
      </w:r>
      <w:r w:rsidRPr="000E4FA8">
        <w:rPr>
          <w:rFonts w:eastAsia="Calibri"/>
          <w:i/>
        </w:rPr>
        <w:t>other</w:t>
      </w:r>
      <w:r w:rsidRPr="00437685">
        <w:rPr>
          <w:rFonts w:eastAsia="Calibri"/>
        </w:rPr>
        <w:t xml:space="preserve"> workers some time later. They used</w:t>
      </w:r>
      <w:r w:rsidR="009005B5" w:rsidRPr="00437685">
        <w:rPr>
          <w:rFonts w:eastAsia="Calibri"/>
        </w:rPr>
        <w:t xml:space="preserve"> </w:t>
      </w:r>
      <w:r w:rsidRPr="00437685">
        <w:rPr>
          <w:rFonts w:eastAsia="Calibri"/>
        </w:rPr>
        <w:t xml:space="preserve">survey </w:t>
      </w:r>
      <w:r w:rsidR="009005B5" w:rsidRPr="00437685">
        <w:rPr>
          <w:rFonts w:eastAsia="Calibri"/>
        </w:rPr>
        <w:t xml:space="preserve">data from remote area nurses </w:t>
      </w:r>
      <w:r w:rsidR="00E57A49" w:rsidRPr="00F83954">
        <w:rPr>
          <w:rFonts w:eastAsia="Calibri"/>
        </w:rPr>
        <w:t xml:space="preserve">at Time 1 </w:t>
      </w:r>
      <w:r w:rsidR="009005B5" w:rsidRPr="00437685">
        <w:rPr>
          <w:rFonts w:eastAsia="Calibri"/>
        </w:rPr>
        <w:t>(</w:t>
      </w:r>
      <w:r w:rsidR="009005B5" w:rsidRPr="00437685">
        <w:rPr>
          <w:rFonts w:eastAsia="Calibri"/>
          <w:i/>
          <w:iCs/>
        </w:rPr>
        <w:t>N</w:t>
      </w:r>
      <w:r w:rsidRPr="00437685">
        <w:rPr>
          <w:rFonts w:eastAsia="Calibri"/>
          <w:i/>
          <w:iCs/>
        </w:rPr>
        <w:t xml:space="preserve"> </w:t>
      </w:r>
      <w:r w:rsidR="009005B5" w:rsidRPr="00437685">
        <w:rPr>
          <w:rFonts w:eastAsia="Calibri"/>
        </w:rPr>
        <w:t>= 202, Time 1</w:t>
      </w:r>
      <w:r w:rsidR="00E57A49" w:rsidRPr="00F83954">
        <w:rPr>
          <w:rFonts w:eastAsia="Calibri"/>
        </w:rPr>
        <w:t xml:space="preserve">) </w:t>
      </w:r>
      <w:r w:rsidR="00233256">
        <w:rPr>
          <w:rFonts w:eastAsia="Calibri"/>
        </w:rPr>
        <w:t>to assess PSC</w:t>
      </w:r>
      <w:r w:rsidR="00233256" w:rsidRPr="00F83954">
        <w:rPr>
          <w:rFonts w:eastAsia="Calibri"/>
        </w:rPr>
        <w:t xml:space="preserve"> </w:t>
      </w:r>
      <w:r w:rsidR="00E57A49" w:rsidRPr="00F83954">
        <w:rPr>
          <w:rFonts w:eastAsia="Calibri"/>
        </w:rPr>
        <w:t>aggregated to the unit level (</w:t>
      </w:r>
      <w:r w:rsidR="00E57A49" w:rsidRPr="00F83954">
        <w:rPr>
          <w:rFonts w:eastAsia="Calibri"/>
          <w:i/>
          <w:iCs/>
        </w:rPr>
        <w:t xml:space="preserve">N </w:t>
      </w:r>
      <w:r w:rsidR="00E57A49" w:rsidRPr="00F83954">
        <w:rPr>
          <w:rFonts w:eastAsia="Calibri"/>
        </w:rPr>
        <w:t>= 48)</w:t>
      </w:r>
      <w:r w:rsidR="00233256">
        <w:rPr>
          <w:rFonts w:eastAsia="Calibri"/>
        </w:rPr>
        <w:t>.</w:t>
      </w:r>
      <w:r w:rsidR="00E57A49" w:rsidRPr="00F83954">
        <w:rPr>
          <w:rFonts w:eastAsia="Calibri"/>
        </w:rPr>
        <w:t xml:space="preserve"> Then 24 months later they surveyed completely different nurses in the same </w:t>
      </w:r>
      <w:r w:rsidR="00233256">
        <w:rPr>
          <w:rFonts w:eastAsia="Calibri"/>
        </w:rPr>
        <w:t xml:space="preserve">work </w:t>
      </w:r>
      <w:r w:rsidR="00E57A49" w:rsidRPr="00F83954">
        <w:rPr>
          <w:rFonts w:eastAsia="Calibri"/>
        </w:rPr>
        <w:t>unit (</w:t>
      </w:r>
      <w:r w:rsidR="009005B5" w:rsidRPr="00437685">
        <w:rPr>
          <w:rFonts w:eastAsia="Calibri"/>
          <w:i/>
          <w:iCs/>
        </w:rPr>
        <w:t xml:space="preserve">N </w:t>
      </w:r>
      <w:r w:rsidR="009005B5" w:rsidRPr="00437685">
        <w:rPr>
          <w:rFonts w:eastAsia="Calibri"/>
        </w:rPr>
        <w:t>= 163 Time 2)</w:t>
      </w:r>
      <w:r w:rsidR="00E57A49" w:rsidRPr="00F83954">
        <w:rPr>
          <w:rFonts w:eastAsia="Calibri"/>
        </w:rPr>
        <w:t xml:space="preserve">. </w:t>
      </w:r>
      <w:r w:rsidRPr="00437685">
        <w:rPr>
          <w:rFonts w:eastAsia="Calibri"/>
        </w:rPr>
        <w:t>Remarkably, u</w:t>
      </w:r>
      <w:r w:rsidR="009005B5" w:rsidRPr="00437685">
        <w:rPr>
          <w:rFonts w:eastAsia="Calibri"/>
        </w:rPr>
        <w:t>sing hierarchical linear modelling</w:t>
      </w:r>
      <w:r w:rsidRPr="00437685">
        <w:rPr>
          <w:rFonts w:eastAsia="Calibri"/>
        </w:rPr>
        <w:t xml:space="preserve">, they </w:t>
      </w:r>
      <w:r w:rsidR="009005B5" w:rsidRPr="00437685">
        <w:rPr>
          <w:rFonts w:eastAsia="Calibri"/>
        </w:rPr>
        <w:t>found that unit psychosocial safety climate</w:t>
      </w:r>
      <w:r w:rsidR="00E57A49" w:rsidRPr="00F83954">
        <w:rPr>
          <w:rFonts w:eastAsia="Calibri"/>
        </w:rPr>
        <w:t xml:space="preserve"> </w:t>
      </w:r>
      <w:r w:rsidR="009005B5" w:rsidRPr="00437685">
        <w:rPr>
          <w:rFonts w:eastAsia="Calibri"/>
        </w:rPr>
        <w:t xml:space="preserve">predicted work conditions </w:t>
      </w:r>
      <w:r w:rsidRPr="00437685">
        <w:rPr>
          <w:rFonts w:eastAsia="Calibri"/>
        </w:rPr>
        <w:t xml:space="preserve">demands </w:t>
      </w:r>
      <w:r w:rsidR="009005B5" w:rsidRPr="00437685">
        <w:rPr>
          <w:rFonts w:eastAsia="Calibri"/>
        </w:rPr>
        <w:t>(workload</w:t>
      </w:r>
      <w:r w:rsidRPr="00437685">
        <w:rPr>
          <w:rFonts w:eastAsia="Calibri"/>
        </w:rPr>
        <w:t>) and resources (</w:t>
      </w:r>
      <w:r w:rsidR="009005B5" w:rsidRPr="00437685">
        <w:rPr>
          <w:rFonts w:eastAsia="Calibri"/>
        </w:rPr>
        <w:t>control, supervisor support)</w:t>
      </w:r>
      <w:r w:rsidRPr="00437685">
        <w:rPr>
          <w:rFonts w:eastAsia="Calibri"/>
        </w:rPr>
        <w:t xml:space="preserve"> </w:t>
      </w:r>
      <w:r w:rsidR="009005B5" w:rsidRPr="00437685">
        <w:rPr>
          <w:rFonts w:eastAsia="Calibri"/>
        </w:rPr>
        <w:t>in</w:t>
      </w:r>
      <w:r w:rsidR="00E57A49" w:rsidRPr="00F83954">
        <w:rPr>
          <w:rFonts w:eastAsia="Calibri"/>
        </w:rPr>
        <w:t xml:space="preserve"> other nurses in</w:t>
      </w:r>
      <w:r w:rsidR="009005B5" w:rsidRPr="00437685">
        <w:rPr>
          <w:rFonts w:eastAsia="Calibri"/>
        </w:rPr>
        <w:t xml:space="preserve"> the same work unit 24 months later. </w:t>
      </w:r>
      <w:r w:rsidR="00132BF4" w:rsidRPr="00437685">
        <w:rPr>
          <w:rFonts w:eastAsia="Calibri"/>
        </w:rPr>
        <w:t>There was support for Hypothesis 1 because the relationship between</w:t>
      </w:r>
      <w:r w:rsidR="009005B5" w:rsidRPr="00437685">
        <w:rPr>
          <w:rFonts w:eastAsia="Calibri"/>
        </w:rPr>
        <w:t xml:space="preserve"> unit psychosocial safety climate </w:t>
      </w:r>
      <w:r w:rsidR="00E57A49" w:rsidRPr="00F83954">
        <w:rPr>
          <w:rFonts w:eastAsia="Calibri"/>
        </w:rPr>
        <w:t xml:space="preserve">at Time 1 </w:t>
      </w:r>
      <w:r w:rsidR="009005B5" w:rsidRPr="00437685">
        <w:rPr>
          <w:rFonts w:eastAsia="Calibri"/>
        </w:rPr>
        <w:t xml:space="preserve">and psychological strain </w:t>
      </w:r>
      <w:r w:rsidR="00E57A49" w:rsidRPr="00F83954">
        <w:rPr>
          <w:rFonts w:eastAsia="Calibri"/>
        </w:rPr>
        <w:t xml:space="preserve">at Time 2 </w:t>
      </w:r>
      <w:r w:rsidR="009005B5" w:rsidRPr="00437685">
        <w:rPr>
          <w:rFonts w:eastAsia="Calibri"/>
        </w:rPr>
        <w:t>was mediated</w:t>
      </w:r>
      <w:r w:rsidR="00132BF4" w:rsidRPr="00437685">
        <w:rPr>
          <w:rFonts w:eastAsia="Calibri"/>
        </w:rPr>
        <w:t xml:space="preserve"> via</w:t>
      </w:r>
      <w:r w:rsidR="009005B5" w:rsidRPr="00437685">
        <w:rPr>
          <w:rFonts w:eastAsia="Calibri"/>
        </w:rPr>
        <w:t xml:space="preserve"> </w:t>
      </w:r>
      <w:r w:rsidR="00132BF4" w:rsidRPr="00437685">
        <w:rPr>
          <w:rFonts w:eastAsia="Calibri"/>
        </w:rPr>
        <w:t xml:space="preserve">Time 1 demands (emotional demands), and </w:t>
      </w:r>
      <w:r w:rsidR="009005B5" w:rsidRPr="00437685">
        <w:rPr>
          <w:rFonts w:eastAsia="Calibri"/>
        </w:rPr>
        <w:t xml:space="preserve">Time 2 </w:t>
      </w:r>
      <w:r w:rsidR="00132BF4" w:rsidRPr="00437685">
        <w:rPr>
          <w:rFonts w:eastAsia="Calibri"/>
        </w:rPr>
        <w:t>demands</w:t>
      </w:r>
      <w:r w:rsidR="009005B5" w:rsidRPr="00437685">
        <w:rPr>
          <w:rFonts w:eastAsia="Calibri"/>
        </w:rPr>
        <w:t xml:space="preserve"> (workload</w:t>
      </w:r>
      <w:r w:rsidR="006B2B94">
        <w:rPr>
          <w:rFonts w:eastAsia="Calibri"/>
        </w:rPr>
        <w:t xml:space="preserve">). Hypothesis 3 </w:t>
      </w:r>
      <w:r w:rsidR="00132BF4" w:rsidRPr="00437685">
        <w:rPr>
          <w:rFonts w:eastAsia="Calibri"/>
        </w:rPr>
        <w:t>was also supported as resources (</w:t>
      </w:r>
      <w:r w:rsidR="009005B5" w:rsidRPr="00437685">
        <w:rPr>
          <w:rFonts w:eastAsia="Calibri"/>
        </w:rPr>
        <w:t xml:space="preserve">job control) </w:t>
      </w:r>
      <w:r w:rsidR="00E57A49" w:rsidRPr="00F83954">
        <w:rPr>
          <w:rFonts w:eastAsia="Calibri"/>
        </w:rPr>
        <w:t xml:space="preserve">at Time 2 </w:t>
      </w:r>
      <w:r w:rsidR="00132BF4" w:rsidRPr="00437685">
        <w:rPr>
          <w:rFonts w:eastAsia="Calibri"/>
        </w:rPr>
        <w:t>also mediated the relationship</w:t>
      </w:r>
      <w:r w:rsidR="00892A10" w:rsidRPr="00F83954">
        <w:rPr>
          <w:rFonts w:eastAsia="Calibri"/>
        </w:rPr>
        <w:t xml:space="preserve"> between PSC and psychological strain</w:t>
      </w:r>
      <w:r w:rsidR="009005B5" w:rsidRPr="00437685">
        <w:rPr>
          <w:rFonts w:eastAsia="Calibri"/>
        </w:rPr>
        <w:t>.</w:t>
      </w:r>
      <w:r w:rsidR="00132BF4" w:rsidRPr="00437685">
        <w:rPr>
          <w:rFonts w:eastAsia="Calibri"/>
        </w:rPr>
        <w:t xml:space="preserve"> </w:t>
      </w:r>
      <w:r w:rsidR="006466CB">
        <w:rPr>
          <w:rFonts w:eastAsia="Calibri"/>
        </w:rPr>
        <w:t>Hypothesis 2 was not tested.</w:t>
      </w:r>
    </w:p>
    <w:p w:rsidR="00A77756" w:rsidRPr="00437685" w:rsidRDefault="00233C3D" w:rsidP="00CE2B18">
      <w:pPr>
        <w:rPr>
          <w:rFonts w:eastAsia="Calibri"/>
          <w:iCs/>
          <w:lang w:eastAsia="en-US"/>
        </w:rPr>
      </w:pPr>
      <w:r w:rsidRPr="00437685">
        <w:rPr>
          <w:rFonts w:eastAsia="Calibri"/>
        </w:rPr>
        <w:lastRenderedPageBreak/>
        <w:t>S</w:t>
      </w:r>
      <w:r w:rsidR="00132BF4" w:rsidRPr="00437685">
        <w:rPr>
          <w:rFonts w:eastAsia="Calibri"/>
        </w:rPr>
        <w:t>everal international studies support the hypothes</w:t>
      </w:r>
      <w:r w:rsidRPr="00437685">
        <w:rPr>
          <w:rFonts w:eastAsia="Calibri"/>
        </w:rPr>
        <w:t>e</w:t>
      </w:r>
      <w:r w:rsidR="006B273A">
        <w:rPr>
          <w:rFonts w:eastAsia="Calibri"/>
        </w:rPr>
        <w:t xml:space="preserve">s. </w:t>
      </w:r>
      <w:r w:rsidR="00221840" w:rsidRPr="00437685">
        <w:rPr>
          <w:rFonts w:eastAsia="Calibri"/>
          <w:iCs/>
          <w:lang w:eastAsia="en-US"/>
        </w:rPr>
        <w:t>Using a</w:t>
      </w:r>
      <w:r w:rsidR="00A77756" w:rsidRPr="00437685">
        <w:rPr>
          <w:rFonts w:eastAsia="Calibri"/>
          <w:iCs/>
          <w:lang w:eastAsia="en-US"/>
        </w:rPr>
        <w:t xml:space="preserve"> population-based sample consisting of 269 public and private employees from Malaysia, Idris and Dollard (2011) found support</w:t>
      </w:r>
      <w:r w:rsidR="00630D96" w:rsidRPr="00F83954">
        <w:rPr>
          <w:rFonts w:eastAsia="Calibri"/>
          <w:iCs/>
          <w:lang w:eastAsia="en-US"/>
        </w:rPr>
        <w:t xml:space="preserve"> </w:t>
      </w:r>
      <w:r w:rsidRPr="00437685">
        <w:rPr>
          <w:rFonts w:eastAsia="Calibri"/>
          <w:iCs/>
          <w:lang w:eastAsia="en-US"/>
        </w:rPr>
        <w:t>for</w:t>
      </w:r>
      <w:r w:rsidR="00A77756" w:rsidRPr="00437685">
        <w:rPr>
          <w:rFonts w:eastAsia="Calibri"/>
          <w:iCs/>
          <w:lang w:eastAsia="en-US"/>
        </w:rPr>
        <w:t xml:space="preserve"> Hypothesis 1</w:t>
      </w:r>
      <w:r w:rsidR="00F36638">
        <w:rPr>
          <w:rFonts w:eastAsia="Calibri"/>
          <w:iCs/>
          <w:lang w:eastAsia="en-US"/>
        </w:rPr>
        <w:t xml:space="preserve">. </w:t>
      </w:r>
      <w:r w:rsidR="00A77756" w:rsidRPr="00437685">
        <w:rPr>
          <w:rFonts w:eastAsia="Calibri"/>
          <w:iCs/>
          <w:lang w:eastAsia="en-US"/>
        </w:rPr>
        <w:t>PSC had an indirect effect on specific negative emotions (</w:t>
      </w:r>
      <w:r w:rsidR="00723A04">
        <w:rPr>
          <w:rFonts w:eastAsia="Calibri"/>
          <w:iCs/>
          <w:lang w:eastAsia="en-US"/>
        </w:rPr>
        <w:t>e.g.</w:t>
      </w:r>
      <w:r w:rsidR="00A77756" w:rsidRPr="00437685">
        <w:rPr>
          <w:rFonts w:eastAsia="Calibri"/>
          <w:iCs/>
          <w:lang w:eastAsia="en-US"/>
        </w:rPr>
        <w:t xml:space="preserve"> anger, depression) via job demands (emotional demands, role conflict). In support of Hypothesis 2, job resources (supervisor support, co-worker support) carried the </w:t>
      </w:r>
      <w:r w:rsidR="006B2B94" w:rsidRPr="00437685">
        <w:rPr>
          <w:rFonts w:eastAsia="Calibri"/>
          <w:iCs/>
          <w:lang w:eastAsia="en-US"/>
        </w:rPr>
        <w:t>influence</w:t>
      </w:r>
      <w:r w:rsidR="00A77756" w:rsidRPr="00437685">
        <w:rPr>
          <w:rFonts w:eastAsia="Calibri"/>
          <w:iCs/>
          <w:lang w:eastAsia="en-US"/>
        </w:rPr>
        <w:t xml:space="preserve"> of PSC on</w:t>
      </w:r>
      <w:r w:rsidR="006B2B94">
        <w:rPr>
          <w:rFonts w:eastAsia="Calibri"/>
          <w:iCs/>
          <w:lang w:eastAsia="en-US"/>
        </w:rPr>
        <w:t>to</w:t>
      </w:r>
      <w:r w:rsidR="00A77756" w:rsidRPr="00437685">
        <w:rPr>
          <w:rFonts w:eastAsia="Calibri"/>
          <w:iCs/>
          <w:lang w:eastAsia="en-US"/>
        </w:rPr>
        <w:t xml:space="preserve"> engagement. They used </w:t>
      </w:r>
      <w:r w:rsidR="00221840" w:rsidRPr="00437685">
        <w:rPr>
          <w:rFonts w:eastAsia="Calibri"/>
          <w:iCs/>
          <w:lang w:eastAsia="en-US"/>
        </w:rPr>
        <w:t xml:space="preserve">structural equation modelling and </w:t>
      </w:r>
      <w:r w:rsidR="00A77756" w:rsidRPr="00437685">
        <w:rPr>
          <w:rFonts w:eastAsia="Calibri"/>
          <w:iCs/>
          <w:lang w:eastAsia="en-US"/>
        </w:rPr>
        <w:t xml:space="preserve">multigroup analysis, and found that the model held in both </w:t>
      </w:r>
      <w:r w:rsidR="006466CB">
        <w:rPr>
          <w:rFonts w:eastAsia="Calibri"/>
          <w:iCs/>
          <w:lang w:eastAsia="en-US"/>
        </w:rPr>
        <w:t>the public and private sectors.</w:t>
      </w:r>
    </w:p>
    <w:p w:rsidR="00E57A49" w:rsidRDefault="00E57A49" w:rsidP="00CE2B18">
      <w:pPr>
        <w:rPr>
          <w:rFonts w:eastAsia="Calibri"/>
          <w:color w:val="000000"/>
          <w:lang w:eastAsia="en-US"/>
        </w:rPr>
      </w:pPr>
      <w:r w:rsidRPr="00F83954">
        <w:rPr>
          <w:rFonts w:eastAsia="Calibri"/>
        </w:rPr>
        <w:t xml:space="preserve">Using a different Malaysian sample, Idris, Dollard and Winefield (2011) went further and proposed that work performance could be affected </w:t>
      </w:r>
      <w:r w:rsidR="006D529F" w:rsidRPr="00F83954">
        <w:rPr>
          <w:rFonts w:eastAsia="Calibri"/>
        </w:rPr>
        <w:t>via</w:t>
      </w:r>
      <w:r w:rsidRPr="00F83954">
        <w:rPr>
          <w:rFonts w:eastAsia="Calibri"/>
        </w:rPr>
        <w:t xml:space="preserve"> both the extended health erosion pathway and the extended motivational pathway. They </w:t>
      </w:r>
      <w:r w:rsidR="00892A10" w:rsidRPr="00F83954">
        <w:rPr>
          <w:rFonts w:eastAsia="Calibri"/>
        </w:rPr>
        <w:t xml:space="preserve">used </w:t>
      </w:r>
      <w:r w:rsidRPr="00F83954">
        <w:rPr>
          <w:rFonts w:eastAsia="Calibri"/>
        </w:rPr>
        <w:t xml:space="preserve">a </w:t>
      </w:r>
      <w:r w:rsidRPr="00F83954">
        <w:rPr>
          <w:rFonts w:eastAsia="Calibri"/>
          <w:color w:val="000000"/>
          <w:lang w:eastAsia="en-US"/>
        </w:rPr>
        <w:t xml:space="preserve">random population based sample </w:t>
      </w:r>
      <w:r w:rsidR="006D529F" w:rsidRPr="00F83954">
        <w:rPr>
          <w:rFonts w:eastAsia="Calibri"/>
          <w:color w:val="000000"/>
          <w:lang w:eastAsia="en-US"/>
        </w:rPr>
        <w:t>of</w:t>
      </w:r>
      <w:r w:rsidRPr="00F83954">
        <w:rPr>
          <w:rFonts w:eastAsia="Calibri"/>
          <w:color w:val="000000"/>
          <w:lang w:eastAsia="en-US"/>
        </w:rPr>
        <w:t xml:space="preserve"> 291 </w:t>
      </w:r>
      <w:r w:rsidR="006D529F" w:rsidRPr="00F83954">
        <w:rPr>
          <w:rFonts w:eastAsia="Calibri"/>
          <w:color w:val="000000"/>
          <w:lang w:eastAsia="en-US"/>
        </w:rPr>
        <w:t xml:space="preserve">Malaysian </w:t>
      </w:r>
      <w:r w:rsidRPr="00DB7FB4">
        <w:rPr>
          <w:rFonts w:eastAsia="Calibri"/>
        </w:rPr>
        <w:t>employees (response rate 50.52</w:t>
      </w:r>
      <w:r w:rsidR="006B2B94" w:rsidRPr="00DB7FB4">
        <w:rPr>
          <w:rFonts w:eastAsia="Calibri"/>
        </w:rPr>
        <w:t xml:space="preserve"> per cent</w:t>
      </w:r>
      <w:r w:rsidRPr="00DB7FB4">
        <w:rPr>
          <w:rFonts w:eastAsia="Calibri"/>
        </w:rPr>
        <w:t>) from the State of Selang</w:t>
      </w:r>
      <w:r w:rsidR="006D529F" w:rsidRPr="00DB7FB4">
        <w:rPr>
          <w:rFonts w:eastAsia="Calibri"/>
        </w:rPr>
        <w:t xml:space="preserve">or. </w:t>
      </w:r>
      <w:r w:rsidRPr="00DB7FB4">
        <w:rPr>
          <w:rFonts w:eastAsia="Calibri"/>
        </w:rPr>
        <w:t xml:space="preserve">Cross-sectional data were analysed using structural equation modelling, and bootstrapping </w:t>
      </w:r>
      <w:r w:rsidR="006B2B94" w:rsidRPr="00DB7FB4">
        <w:rPr>
          <w:rFonts w:eastAsia="Calibri"/>
        </w:rPr>
        <w:t xml:space="preserve">in AMOS </w:t>
      </w:r>
      <w:r w:rsidR="00DB7FB4" w:rsidRPr="00DB7FB4">
        <w:rPr>
          <w:rFonts w:eastAsia="Calibri"/>
        </w:rPr>
        <w:t>(Analysis of Moment Structures), which is a statistical technique used to test the amount of influence one variable has on another through any number of mediating variables</w:t>
      </w:r>
      <w:r w:rsidRPr="00DB7FB4">
        <w:rPr>
          <w:rFonts w:eastAsia="Calibri"/>
        </w:rPr>
        <w:t>. All data was analysed at the individual level since the identity of the organisations was not known. In support of Hypothesis 1, PSC was negatively related to job demands that in turn w</w:t>
      </w:r>
      <w:r w:rsidR="00892A10" w:rsidRPr="00DB7FB4">
        <w:rPr>
          <w:rFonts w:eastAsia="Calibri"/>
        </w:rPr>
        <w:t xml:space="preserve">ere </w:t>
      </w:r>
      <w:r w:rsidRPr="00DB7FB4">
        <w:rPr>
          <w:rFonts w:eastAsia="Calibri"/>
        </w:rPr>
        <w:t>associated with burnout (i.e. exhaustion and cynicism). PSC was related to performance, but only via its direct relationship to burnout. Hypothesis</w:t>
      </w:r>
      <w:r w:rsidRPr="008D1759">
        <w:rPr>
          <w:rFonts w:eastAsia="Calibri"/>
          <w:color w:val="000000"/>
          <w:lang w:eastAsia="en-US"/>
        </w:rPr>
        <w:t xml:space="preserve"> 2 was also supported: PSC was related to performance via its positive relationship with res</w:t>
      </w:r>
      <w:r w:rsidR="006466CB">
        <w:rPr>
          <w:rFonts w:eastAsia="Calibri"/>
          <w:color w:val="000000"/>
          <w:lang w:eastAsia="en-US"/>
        </w:rPr>
        <w:t>ources and in turn engagement.</w:t>
      </w:r>
    </w:p>
    <w:p w:rsidR="00F36638" w:rsidRPr="004A31EA" w:rsidRDefault="00F36638" w:rsidP="00CE2B18">
      <w:pPr>
        <w:rPr>
          <w:rFonts w:eastAsia="Calibri"/>
          <w:bCs/>
          <w:color w:val="000000"/>
          <w:lang w:val="en-GB" w:eastAsia="en-US"/>
        </w:rPr>
      </w:pPr>
      <w:r w:rsidRPr="004A31EA">
        <w:rPr>
          <w:rFonts w:eastAsia="Calibri"/>
          <w:bCs/>
          <w:color w:val="000000"/>
          <w:lang w:val="en-GB" w:eastAsia="en-US"/>
        </w:rPr>
        <w:t>In a Spanish study of 54 different orga</w:t>
      </w:r>
      <w:r w:rsidR="00F34DA3">
        <w:rPr>
          <w:rFonts w:eastAsia="Calibri"/>
          <w:bCs/>
          <w:color w:val="000000"/>
          <w:lang w:val="en-GB" w:eastAsia="en-US"/>
        </w:rPr>
        <w:t>nis</w:t>
      </w:r>
      <w:r w:rsidRPr="004A31EA">
        <w:rPr>
          <w:rFonts w:eastAsia="Calibri"/>
          <w:bCs/>
          <w:color w:val="000000"/>
          <w:lang w:val="en-GB" w:eastAsia="en-US"/>
        </w:rPr>
        <w:t>ations and 1204 employees (</w:t>
      </w:r>
      <w:r w:rsidRPr="004A31EA">
        <w:rPr>
          <w:bCs/>
          <w:color w:val="000000"/>
          <w:lang w:val="en-GB"/>
        </w:rPr>
        <w:t>Escartín, Dollard, &amp; Zapf, in review),</w:t>
      </w:r>
      <w:r w:rsidRPr="004A31EA">
        <w:rPr>
          <w:rFonts w:eastAsia="Calibri"/>
          <w:bCs/>
          <w:color w:val="000000"/>
          <w:lang w:val="en-GB" w:eastAsia="en-US"/>
        </w:rPr>
        <w:t xml:space="preserve"> low PSC aggregated </w:t>
      </w:r>
      <w:r w:rsidR="007E16F7">
        <w:rPr>
          <w:rFonts w:eastAsia="Calibri"/>
          <w:bCs/>
          <w:color w:val="000000"/>
          <w:lang w:val="en-GB" w:eastAsia="en-US"/>
        </w:rPr>
        <w:t>to</w:t>
      </w:r>
      <w:r w:rsidRPr="004A31EA">
        <w:rPr>
          <w:rFonts w:eastAsia="Calibri"/>
          <w:bCs/>
          <w:color w:val="000000"/>
          <w:lang w:val="en-GB" w:eastAsia="en-US"/>
        </w:rPr>
        <w:t xml:space="preserve"> the organisational level was associated with higher levels of victim reports of bullying, and in turn, higher between-organisational levels of anger and emotional exhaustion. Perceived low PSC at an individual level was associated with higher reports of bullying by perpetrators themselves, and in turn higher individual exhaustion and anger, suggesting ‘bullying is bad for you’. Notably </w:t>
      </w:r>
      <w:r w:rsidR="007E16F7">
        <w:rPr>
          <w:rFonts w:eastAsia="Calibri"/>
          <w:bCs/>
          <w:color w:val="000000"/>
          <w:lang w:val="en-GB" w:eastAsia="en-US"/>
        </w:rPr>
        <w:t>l</w:t>
      </w:r>
      <w:r w:rsidRPr="004A31EA">
        <w:rPr>
          <w:rFonts w:eastAsia="Calibri"/>
          <w:bCs/>
          <w:color w:val="000000"/>
          <w:lang w:val="en-GB" w:eastAsia="en-US"/>
        </w:rPr>
        <w:t>ow PSC is a</w:t>
      </w:r>
      <w:r w:rsidR="009527F1">
        <w:rPr>
          <w:rFonts w:eastAsia="Calibri"/>
          <w:bCs/>
          <w:color w:val="000000"/>
          <w:lang w:val="en-GB" w:eastAsia="en-US"/>
        </w:rPr>
        <w:t>n underlying cause</w:t>
      </w:r>
      <w:r w:rsidR="00566159">
        <w:rPr>
          <w:rFonts w:eastAsia="Calibri"/>
          <w:bCs/>
          <w:color w:val="000000"/>
          <w:lang w:val="en-GB" w:eastAsia="en-US"/>
        </w:rPr>
        <w:t xml:space="preserve"> </w:t>
      </w:r>
      <w:r w:rsidRPr="004A31EA">
        <w:rPr>
          <w:rFonts w:eastAsia="Calibri"/>
          <w:bCs/>
          <w:color w:val="000000"/>
          <w:lang w:val="en-GB" w:eastAsia="en-US"/>
        </w:rPr>
        <w:t>o</w:t>
      </w:r>
      <w:r w:rsidR="00D65268">
        <w:rPr>
          <w:rFonts w:eastAsia="Calibri"/>
          <w:bCs/>
          <w:color w:val="000000"/>
          <w:lang w:val="en-GB" w:eastAsia="en-US"/>
        </w:rPr>
        <w:t>f</w:t>
      </w:r>
      <w:r w:rsidRPr="004A31EA">
        <w:rPr>
          <w:rFonts w:eastAsia="Calibri"/>
          <w:bCs/>
          <w:color w:val="000000"/>
          <w:lang w:val="en-GB" w:eastAsia="en-US"/>
        </w:rPr>
        <w:t xml:space="preserve"> hazardous behaviour</w:t>
      </w:r>
      <w:r w:rsidR="007E16F7">
        <w:rPr>
          <w:rFonts w:eastAsia="Calibri"/>
          <w:bCs/>
          <w:color w:val="000000"/>
          <w:lang w:val="en-GB" w:eastAsia="en-US"/>
        </w:rPr>
        <w:t xml:space="preserve"> in this case bullying</w:t>
      </w:r>
      <w:r w:rsidRPr="004A31EA">
        <w:rPr>
          <w:rFonts w:eastAsia="Calibri"/>
          <w:bCs/>
          <w:color w:val="000000"/>
          <w:lang w:val="en-GB" w:eastAsia="en-US"/>
        </w:rPr>
        <w:t>.</w:t>
      </w:r>
    </w:p>
    <w:p w:rsidR="009005B5" w:rsidRDefault="006B496D" w:rsidP="00CE2B18">
      <w:pPr>
        <w:rPr>
          <w:rFonts w:eastAsia="Calibri"/>
        </w:rPr>
      </w:pPr>
      <w:r w:rsidRPr="00437685">
        <w:rPr>
          <w:rFonts w:eastAsia="Calibri"/>
          <w:iCs/>
          <w:lang w:eastAsia="en-US"/>
        </w:rPr>
        <w:t xml:space="preserve">In summary, research to date </w:t>
      </w:r>
      <w:r w:rsidRPr="00437685">
        <w:rPr>
          <w:rFonts w:eastAsia="Calibri"/>
        </w:rPr>
        <w:t xml:space="preserve">supports the proposition that PSC is a shared construct and a property of the organisation. </w:t>
      </w:r>
      <w:r w:rsidR="00917EEF" w:rsidRPr="00437685">
        <w:rPr>
          <w:rFonts w:eastAsia="Calibri"/>
        </w:rPr>
        <w:t>Evidence backs</w:t>
      </w:r>
      <w:r w:rsidRPr="00437685">
        <w:rPr>
          <w:rFonts w:eastAsia="Calibri"/>
        </w:rPr>
        <w:t xml:space="preserve"> </w:t>
      </w:r>
      <w:r w:rsidR="00917EEF" w:rsidRPr="00437685">
        <w:rPr>
          <w:rFonts w:eastAsia="Calibri"/>
        </w:rPr>
        <w:t xml:space="preserve">PSC as a multilevel theory of work stress that combines organisation, job and individual level aspects. </w:t>
      </w:r>
      <w:r w:rsidRPr="00437685">
        <w:rPr>
          <w:rFonts w:eastAsia="Calibri"/>
        </w:rPr>
        <w:t xml:space="preserve">PSC </w:t>
      </w:r>
      <w:r w:rsidR="00917EEF" w:rsidRPr="00437685">
        <w:rPr>
          <w:rFonts w:eastAsia="Calibri"/>
        </w:rPr>
        <w:t xml:space="preserve">acts as a </w:t>
      </w:r>
      <w:r w:rsidRPr="00437685">
        <w:rPr>
          <w:rFonts w:eastAsia="Calibri"/>
        </w:rPr>
        <w:t>trigger</w:t>
      </w:r>
      <w:r w:rsidR="00917EEF" w:rsidRPr="00437685">
        <w:rPr>
          <w:rFonts w:eastAsia="Calibri"/>
        </w:rPr>
        <w:t xml:space="preserve"> for</w:t>
      </w:r>
      <w:r w:rsidRPr="00437685">
        <w:rPr>
          <w:rFonts w:eastAsia="Calibri"/>
        </w:rPr>
        <w:t xml:space="preserve"> both the health impairment and motivational pathways, thus justifying extending the JD-R model</w:t>
      </w:r>
      <w:r w:rsidR="00917EEF" w:rsidRPr="00437685">
        <w:rPr>
          <w:rFonts w:eastAsia="Calibri"/>
        </w:rPr>
        <w:t xml:space="preserve">. The findings provide evidence of PSC as </w:t>
      </w:r>
      <w:r w:rsidR="00ED6709" w:rsidRPr="00437685">
        <w:rPr>
          <w:rFonts w:eastAsia="Calibri"/>
        </w:rPr>
        <w:t xml:space="preserve">a ‘cause of the causes’ and as </w:t>
      </w:r>
      <w:r w:rsidR="00917EEF" w:rsidRPr="00437685">
        <w:rPr>
          <w:rFonts w:eastAsia="Calibri"/>
        </w:rPr>
        <w:t>a lead indicator of workplace psychosocial hazards (high demands, low resources), psychological</w:t>
      </w:r>
      <w:r w:rsidR="00ED6709" w:rsidRPr="00437685">
        <w:rPr>
          <w:rFonts w:eastAsia="Calibri"/>
        </w:rPr>
        <w:t xml:space="preserve"> </w:t>
      </w:r>
      <w:r w:rsidR="006466CB">
        <w:rPr>
          <w:rFonts w:eastAsia="Calibri"/>
        </w:rPr>
        <w:t>health and employee engagement.</w:t>
      </w:r>
    </w:p>
    <w:p w:rsidR="006B496D" w:rsidRPr="00FE4AC7" w:rsidRDefault="006B496D" w:rsidP="006466CB">
      <w:pPr>
        <w:pStyle w:val="Heading3"/>
        <w:rPr>
          <w:rStyle w:val="IntenseEmphasis"/>
        </w:rPr>
      </w:pPr>
      <w:bookmarkStart w:id="32" w:name="_Toc343502417"/>
      <w:r w:rsidRPr="00FE4AC7">
        <w:rPr>
          <w:rStyle w:val="IntenseEmphasis"/>
        </w:rPr>
        <w:t>PSC interacts with work conditions</w:t>
      </w:r>
      <w:bookmarkEnd w:id="32"/>
    </w:p>
    <w:p w:rsidR="00F36638" w:rsidRPr="00F83954" w:rsidRDefault="00F36638" w:rsidP="008240CC">
      <w:pPr>
        <w:rPr>
          <w:lang w:val="en-US"/>
        </w:rPr>
      </w:pPr>
      <w:r w:rsidRPr="00437685">
        <w:t>This report focuses on the hypotheses articulated above because they help to tackle the question “from where do stressful work conditions arise?</w:t>
      </w:r>
      <w:proofErr w:type="gramStart"/>
      <w:r w:rsidRPr="00437685">
        <w:t>”.</w:t>
      </w:r>
      <w:proofErr w:type="gramEnd"/>
      <w:r w:rsidRPr="00437685">
        <w:t xml:space="preserve"> It is important to note however that PSC also acts to moderate the relationship between work conditions, health and engagement outcomes. PSC supports employees to cope with their job demands, for example, by providing relevant policies or practices, such as flexibility in the workplace or opportunit</w:t>
      </w:r>
      <w:r>
        <w:t>ies</w:t>
      </w:r>
      <w:r w:rsidRPr="00437685">
        <w:t xml:space="preserve"> to debrief after emotionally challenging experiences. </w:t>
      </w:r>
      <w:r w:rsidR="00A77DBC">
        <w:t xml:space="preserve">Importantly </w:t>
      </w:r>
      <w:r w:rsidRPr="00F83954">
        <w:t>PSC may be viewed as</w:t>
      </w:r>
      <w:r w:rsidR="00A77DBC">
        <w:t xml:space="preserve"> </w:t>
      </w:r>
      <w:r w:rsidRPr="00F83954">
        <w:t xml:space="preserve">an organisational resource. </w:t>
      </w:r>
      <w:r w:rsidRPr="00437685">
        <w:t xml:space="preserve">Higher levels of resources to cope with demands should lead to active jobs (Karasek, 1979) and </w:t>
      </w:r>
      <w:r>
        <w:t xml:space="preserve">a </w:t>
      </w:r>
      <w:r w:rsidRPr="00437685">
        <w:t xml:space="preserve">reduction in stress. In high PSC workplaces, increased coping capacity may reduce the impact of demands on employee health outcomes. </w:t>
      </w:r>
      <w:r w:rsidRPr="00437685">
        <w:rPr>
          <w:lang w:val="en-US"/>
        </w:rPr>
        <w:t xml:space="preserve">PSC could act like a safety signal indicating to workers that when it is </w:t>
      </w:r>
      <w:r w:rsidRPr="00437685">
        <w:rPr>
          <w:lang w:val="en-US"/>
        </w:rPr>
        <w:lastRenderedPageBreak/>
        <w:t xml:space="preserve">present, that it is </w:t>
      </w:r>
      <w:r w:rsidR="00F34DA3">
        <w:rPr>
          <w:lang w:val="en-US"/>
        </w:rPr>
        <w:t>safe to utilis</w:t>
      </w:r>
      <w:r w:rsidRPr="00437685">
        <w:rPr>
          <w:lang w:val="en-US"/>
        </w:rPr>
        <w:t xml:space="preserve">e </w:t>
      </w:r>
      <w:r>
        <w:rPr>
          <w:lang w:val="en-US"/>
        </w:rPr>
        <w:t xml:space="preserve">available </w:t>
      </w:r>
      <w:r w:rsidRPr="00437685">
        <w:rPr>
          <w:lang w:val="en-US"/>
        </w:rPr>
        <w:t xml:space="preserve">resources. </w:t>
      </w:r>
      <w:r>
        <w:rPr>
          <w:lang w:val="en-US"/>
        </w:rPr>
        <w:t>It is not hard to imagine in some workplaces that accessing</w:t>
      </w:r>
      <w:r w:rsidR="00F34DA3">
        <w:rPr>
          <w:lang w:val="en-US"/>
        </w:rPr>
        <w:t xml:space="preserve"> resources (e.g. actually utilis</w:t>
      </w:r>
      <w:r>
        <w:rPr>
          <w:lang w:val="en-US"/>
        </w:rPr>
        <w:t xml:space="preserve">ing autonomy; accessing counseling) may have negative consequences. </w:t>
      </w:r>
      <w:r w:rsidR="007E16F7">
        <w:rPr>
          <w:lang w:val="en-US"/>
        </w:rPr>
        <w:t>This may occur in a low PSC scenario.</w:t>
      </w:r>
    </w:p>
    <w:p w:rsidR="00F36638" w:rsidRPr="00F83954" w:rsidRDefault="00F36638" w:rsidP="008240CC">
      <w:pPr>
        <w:rPr>
          <w:lang w:val="en-US"/>
        </w:rPr>
      </w:pPr>
      <w:r w:rsidRPr="00437685">
        <w:t xml:space="preserve">Underpinning several of the main work stress theories is the proposition that high levels of resources (control, support) will moderate the demand </w:t>
      </w:r>
      <w:r w:rsidRPr="00437685">
        <w:sym w:font="Wingdings" w:char="F0E0"/>
      </w:r>
      <w:r w:rsidRPr="00437685">
        <w:t xml:space="preserve"> psychological health relationship. Since PSC is like an organisational resource we expect that it would moderate the detrimental effects of job demands on psychological health. Empirical support for</w:t>
      </w:r>
      <w:r w:rsidR="00CE6CF5">
        <w:t xml:space="preserve"> the interaction of PSC and job demands</w:t>
      </w:r>
      <w:r w:rsidRPr="00437685">
        <w:t xml:space="preserve"> </w:t>
      </w:r>
      <w:r w:rsidR="00CE6CF5">
        <w:t>(</w:t>
      </w:r>
      <w:r w:rsidRPr="00437685">
        <w:t>PSC X D</w:t>
      </w:r>
      <w:r w:rsidR="00CE6CF5">
        <w:t>)</w:t>
      </w:r>
      <w:r w:rsidRPr="00437685">
        <w:t xml:space="preserve"> </w:t>
      </w:r>
      <w:r w:rsidRPr="00437685">
        <w:sym w:font="Wingdings" w:char="F0E0"/>
      </w:r>
      <w:r w:rsidRPr="00437685">
        <w:t xml:space="preserve"> psychological health </w:t>
      </w:r>
      <w:r w:rsidRPr="00F83954">
        <w:t>was</w:t>
      </w:r>
      <w:r w:rsidRPr="00437685">
        <w:t xml:space="preserve"> found in Dollard and Bakker (2010) and Law, Dollard et al., (2011).</w:t>
      </w:r>
      <w:r w:rsidRPr="00F83954">
        <w:t xml:space="preserve"> In a sample of police officers</w:t>
      </w:r>
      <w:r w:rsidRPr="00437685">
        <w:t xml:space="preserve"> </w:t>
      </w:r>
      <w:r>
        <w:t xml:space="preserve">from </w:t>
      </w:r>
      <w:r w:rsidR="00D65268">
        <w:t>South Australia</w:t>
      </w:r>
      <w:r>
        <w:rPr>
          <w:lang w:val="en-US"/>
        </w:rPr>
        <w:t xml:space="preserve">, </w:t>
      </w:r>
      <w:r w:rsidRPr="00437685">
        <w:rPr>
          <w:lang w:val="en-US"/>
        </w:rPr>
        <w:t xml:space="preserve">PSC at high levels </w:t>
      </w:r>
      <w:r w:rsidRPr="00F83954">
        <w:rPr>
          <w:lang w:val="en-US"/>
        </w:rPr>
        <w:t xml:space="preserve">also </w:t>
      </w:r>
      <w:r w:rsidRPr="00437685">
        <w:rPr>
          <w:lang w:val="en-US"/>
        </w:rPr>
        <w:t>moderate</w:t>
      </w:r>
      <w:r w:rsidR="007E16F7">
        <w:rPr>
          <w:lang w:val="en-US"/>
        </w:rPr>
        <w:t>d the effect bullying on post-</w:t>
      </w:r>
      <w:r w:rsidRPr="00437685">
        <w:rPr>
          <w:lang w:val="en-US"/>
        </w:rPr>
        <w:t>traumatic stress disorder (Bond, S., et al., 2010).</w:t>
      </w:r>
    </w:p>
    <w:p w:rsidR="00FF6A64" w:rsidRPr="00F83954" w:rsidRDefault="00DE2A99" w:rsidP="008240CC">
      <w:pPr>
        <w:rPr>
          <w:lang w:val="en-US"/>
        </w:rPr>
      </w:pPr>
      <w:r w:rsidRPr="00437685">
        <w:rPr>
          <w:lang w:val="en-US"/>
        </w:rPr>
        <w:t>Dollard and Karasek (2010) argued that PSC could be operationali</w:t>
      </w:r>
      <w:r w:rsidR="006652BE">
        <w:rPr>
          <w:lang w:val="en-US"/>
        </w:rPr>
        <w:t>s</w:t>
      </w:r>
      <w:r w:rsidRPr="00437685">
        <w:rPr>
          <w:lang w:val="en-US"/>
        </w:rPr>
        <w:t xml:space="preserve">ed in terms of actions taken, </w:t>
      </w:r>
      <w:r w:rsidR="00FF6A64" w:rsidRPr="00437685">
        <w:rPr>
          <w:lang w:val="en-US"/>
        </w:rPr>
        <w:t xml:space="preserve">process used </w:t>
      </w:r>
      <w:r w:rsidRPr="00437685">
        <w:rPr>
          <w:lang w:val="en-US"/>
        </w:rPr>
        <w:t>and progress made in a stress intervention project. Using a similar data set to Dollard and Bakker (2010)</w:t>
      </w:r>
      <w:r w:rsidR="00FF6A64" w:rsidRPr="00437685">
        <w:rPr>
          <w:lang w:val="en-US"/>
        </w:rPr>
        <w:t xml:space="preserve">, they found </w:t>
      </w:r>
      <w:r w:rsidRPr="00437685">
        <w:rPr>
          <w:lang w:val="en-US"/>
        </w:rPr>
        <w:t xml:space="preserve">in schools </w:t>
      </w:r>
      <w:r w:rsidR="00FF6A64" w:rsidRPr="00437685">
        <w:rPr>
          <w:lang w:val="en-US"/>
        </w:rPr>
        <w:t>with</w:t>
      </w:r>
      <w:r w:rsidRPr="00437685">
        <w:rPr>
          <w:lang w:val="en-US"/>
        </w:rPr>
        <w:t xml:space="preserve"> high levels of PSC</w:t>
      </w:r>
      <w:r w:rsidR="00914D4D">
        <w:rPr>
          <w:lang w:val="en-US"/>
        </w:rPr>
        <w:t xml:space="preserve"> as indicated by </w:t>
      </w:r>
      <w:r w:rsidR="009C7100">
        <w:rPr>
          <w:lang w:val="en-US"/>
        </w:rPr>
        <w:t xml:space="preserve">intervention </w:t>
      </w:r>
      <w:r w:rsidR="00914D4D">
        <w:rPr>
          <w:lang w:val="en-US"/>
        </w:rPr>
        <w:t>actions, process and progress</w:t>
      </w:r>
      <w:r w:rsidRPr="00437685">
        <w:rPr>
          <w:lang w:val="en-US"/>
        </w:rPr>
        <w:t xml:space="preserve">, </w:t>
      </w:r>
      <w:r w:rsidR="00914D4D">
        <w:rPr>
          <w:lang w:val="en-US"/>
        </w:rPr>
        <w:t xml:space="preserve">that </w:t>
      </w:r>
      <w:r w:rsidRPr="00437685">
        <w:rPr>
          <w:lang w:val="en-US"/>
        </w:rPr>
        <w:t>job control measured in</w:t>
      </w:r>
      <w:r w:rsidR="00FF6A64" w:rsidRPr="00437685">
        <w:rPr>
          <w:lang w:val="en-US"/>
        </w:rPr>
        <w:t xml:space="preserve"> terms of decision latitude acted to reduce the level of psychological distress and emotional exhaustion </w:t>
      </w:r>
      <w:r w:rsidR="00AF4BFB">
        <w:rPr>
          <w:lang w:val="en-US"/>
        </w:rPr>
        <w:t>over time.</w:t>
      </w:r>
      <w:r w:rsidR="00FF6A64" w:rsidRPr="00437685">
        <w:rPr>
          <w:lang w:val="en-US"/>
        </w:rPr>
        <w:t xml:space="preserve"> In groups with low PSC, the relationship between control and the outcome measures was not as strong. In other words the intervention worked by modifying the work conditions – stress outcome relationship. High PSC did not increase the level of control, but rather e</w:t>
      </w:r>
      <w:r w:rsidR="00F34DA3">
        <w:rPr>
          <w:lang w:val="en-US"/>
        </w:rPr>
        <w:t>nabled or facilitated its utilis</w:t>
      </w:r>
      <w:r w:rsidR="00FF6A64" w:rsidRPr="00437685">
        <w:rPr>
          <w:lang w:val="en-US"/>
        </w:rPr>
        <w:t xml:space="preserve">ation. Although they found evidence of </w:t>
      </w:r>
      <w:r w:rsidR="00CE6CF5">
        <w:rPr>
          <w:lang w:val="en-US"/>
        </w:rPr>
        <w:t>the interaction of PSC and resources (</w:t>
      </w:r>
      <w:r w:rsidR="00FF6A64" w:rsidRPr="00437685">
        <w:rPr>
          <w:lang w:val="en-US"/>
        </w:rPr>
        <w:t>PSC X R</w:t>
      </w:r>
      <w:r w:rsidR="00CE6CF5">
        <w:rPr>
          <w:lang w:val="en-US"/>
        </w:rPr>
        <w:t>)</w:t>
      </w:r>
      <w:r w:rsidR="00FF6A64" w:rsidRPr="00437685">
        <w:rPr>
          <w:lang w:val="en-US"/>
        </w:rPr>
        <w:sym w:font="Wingdings" w:char="F0E0"/>
      </w:r>
      <w:r w:rsidR="00FF6A64" w:rsidRPr="00437685">
        <w:rPr>
          <w:lang w:val="en-US"/>
        </w:rPr>
        <w:t xml:space="preserve"> psychological health, they did not find support for</w:t>
      </w:r>
      <w:r w:rsidR="00712485">
        <w:rPr>
          <w:lang w:val="en-US"/>
        </w:rPr>
        <w:t xml:space="preserve"> PSC and demands</w:t>
      </w:r>
      <w:r w:rsidR="00FF6A64" w:rsidRPr="00437685">
        <w:rPr>
          <w:lang w:val="en-US"/>
        </w:rPr>
        <w:t xml:space="preserve"> </w:t>
      </w:r>
      <w:r w:rsidR="00712485">
        <w:rPr>
          <w:lang w:val="en-US"/>
        </w:rPr>
        <w:t>(</w:t>
      </w:r>
      <w:r w:rsidR="00FF6A64" w:rsidRPr="00437685">
        <w:rPr>
          <w:lang w:val="en-US"/>
        </w:rPr>
        <w:t>PSC X D</w:t>
      </w:r>
      <w:r w:rsidR="00712485">
        <w:rPr>
          <w:lang w:val="en-US"/>
        </w:rPr>
        <w:t>)</w:t>
      </w:r>
      <w:r w:rsidR="00FF6A64" w:rsidRPr="00437685">
        <w:rPr>
          <w:lang w:val="en-US"/>
        </w:rPr>
        <w:sym w:font="Wingdings" w:char="F0E0"/>
      </w:r>
      <w:r w:rsidR="006466CB">
        <w:rPr>
          <w:lang w:val="en-US"/>
        </w:rPr>
        <w:t xml:space="preserve"> psychological health.</w:t>
      </w:r>
    </w:p>
    <w:p w:rsidR="00F36638" w:rsidRPr="00437685" w:rsidRDefault="00EB7F92" w:rsidP="008240CC">
      <w:pPr>
        <w:rPr>
          <w:rFonts w:eastAsia="Calibri"/>
        </w:rPr>
      </w:pPr>
      <w:r w:rsidRPr="00437685">
        <w:rPr>
          <w:rFonts w:eastAsia="Calibri"/>
        </w:rPr>
        <w:t xml:space="preserve">Using a large multi-occupational population sample of 2343 Australian workers </w:t>
      </w:r>
      <w:r w:rsidR="00F44975" w:rsidRPr="008D1759">
        <w:rPr>
          <w:rFonts w:eastAsia="Calibri"/>
        </w:rPr>
        <w:t>(</w:t>
      </w:r>
      <w:r w:rsidRPr="00437685">
        <w:rPr>
          <w:rFonts w:eastAsia="Calibri"/>
        </w:rPr>
        <w:t xml:space="preserve">from wave 1 of the AWB data, </w:t>
      </w:r>
      <w:r w:rsidR="00F44975" w:rsidRPr="008D1759">
        <w:rPr>
          <w:rFonts w:eastAsia="Calibri"/>
        </w:rPr>
        <w:t>NSW and WA</w:t>
      </w:r>
      <w:r w:rsidR="00F44975" w:rsidRPr="00DB2EC6">
        <w:rPr>
          <w:rFonts w:eastAsia="Calibri"/>
        </w:rPr>
        <w:t xml:space="preserve">), </w:t>
      </w:r>
      <w:r w:rsidRPr="00DB2EC6">
        <w:t xml:space="preserve">Hall, Dollard, Winefield, Bakker, and Dormann (2012) </w:t>
      </w:r>
      <w:r w:rsidRPr="00437685">
        <w:rPr>
          <w:rFonts w:eastAsia="Calibri"/>
        </w:rPr>
        <w:t xml:space="preserve">tested the role of psychosocial safety climate (PSC) as a moderator between </w:t>
      </w:r>
      <w:proofErr w:type="gramStart"/>
      <w:r w:rsidRPr="00437685">
        <w:rPr>
          <w:rFonts w:eastAsia="Calibri"/>
        </w:rPr>
        <w:t>job</w:t>
      </w:r>
      <w:proofErr w:type="gramEnd"/>
      <w:r w:rsidRPr="00437685">
        <w:rPr>
          <w:rFonts w:eastAsia="Calibri"/>
        </w:rPr>
        <w:t xml:space="preserve"> demands (emotional and work pressure) and worker depression. </w:t>
      </w:r>
      <w:r w:rsidR="00F44975" w:rsidRPr="008D1759">
        <w:rPr>
          <w:rFonts w:eastAsia="Calibri"/>
        </w:rPr>
        <w:t>Using m</w:t>
      </w:r>
      <w:r w:rsidR="00F44975" w:rsidRPr="00437685">
        <w:rPr>
          <w:rFonts w:eastAsia="Calibri" w:cs="Times-Roman"/>
        </w:rPr>
        <w:t>oderated structural equation modelling</w:t>
      </w:r>
      <w:r w:rsidR="009C7100">
        <w:rPr>
          <w:rFonts w:eastAsia="Calibri" w:cs="Times-Roman"/>
        </w:rPr>
        <w:t>,</w:t>
      </w:r>
      <w:r w:rsidR="00F44975" w:rsidRPr="00437685">
        <w:rPr>
          <w:rFonts w:eastAsia="Calibri" w:cs="Times-Roman"/>
        </w:rPr>
        <w:t xml:space="preserve"> </w:t>
      </w:r>
      <w:r w:rsidR="00F44975" w:rsidRPr="008D1759">
        <w:rPr>
          <w:rFonts w:eastAsia="Calibri"/>
        </w:rPr>
        <w:t>t</w:t>
      </w:r>
      <w:r w:rsidRPr="00437685">
        <w:rPr>
          <w:rFonts w:eastAsia="Calibri"/>
        </w:rPr>
        <w:t xml:space="preserve">hey found </w:t>
      </w:r>
      <w:r w:rsidR="00F44975" w:rsidRPr="008D1759">
        <w:rPr>
          <w:rFonts w:eastAsia="Calibri"/>
        </w:rPr>
        <w:t xml:space="preserve">that </w:t>
      </w:r>
      <w:r w:rsidRPr="00437685">
        <w:rPr>
          <w:rFonts w:eastAsia="Calibri"/>
        </w:rPr>
        <w:t xml:space="preserve">PSC moderated the relationship at least as well as other well known resources </w:t>
      </w:r>
      <w:r w:rsidR="001F5BA5">
        <w:rPr>
          <w:rFonts w:eastAsia="Calibri"/>
        </w:rPr>
        <w:t xml:space="preserve">i.e. job </w:t>
      </w:r>
      <w:r w:rsidRPr="00437685">
        <w:rPr>
          <w:rFonts w:eastAsia="Calibri"/>
        </w:rPr>
        <w:t xml:space="preserve">control, </w:t>
      </w:r>
      <w:r w:rsidR="001F5BA5">
        <w:rPr>
          <w:rFonts w:eastAsia="Calibri"/>
        </w:rPr>
        <w:t xml:space="preserve">and social </w:t>
      </w:r>
      <w:r w:rsidR="001F5BA5" w:rsidRPr="008D1759">
        <w:rPr>
          <w:rFonts w:eastAsia="Calibri"/>
        </w:rPr>
        <w:t>support</w:t>
      </w:r>
      <w:r w:rsidR="009C7100">
        <w:rPr>
          <w:rFonts w:eastAsia="Calibri"/>
        </w:rPr>
        <w:t xml:space="preserve">. </w:t>
      </w:r>
      <w:r w:rsidR="00F44975">
        <w:rPr>
          <w:rFonts w:eastAsia="Calibri"/>
        </w:rPr>
        <w:t>W</w:t>
      </w:r>
      <w:r w:rsidR="00F44975" w:rsidRPr="00F44975">
        <w:rPr>
          <w:rFonts w:eastAsia="Calibri"/>
        </w:rPr>
        <w:t>hen PS</w:t>
      </w:r>
      <w:r w:rsidR="00F44975">
        <w:rPr>
          <w:rFonts w:eastAsia="Calibri"/>
        </w:rPr>
        <w:t>C was low</w:t>
      </w:r>
      <w:r w:rsidR="004664CE">
        <w:rPr>
          <w:rFonts w:eastAsia="Calibri"/>
        </w:rPr>
        <w:t>,</w:t>
      </w:r>
      <w:r w:rsidR="00F44975">
        <w:rPr>
          <w:rFonts w:eastAsia="Calibri"/>
        </w:rPr>
        <w:t xml:space="preserve"> the relationship between demands and depression was significant and positive. </w:t>
      </w:r>
      <w:r w:rsidR="00F44975" w:rsidRPr="008D1759">
        <w:rPr>
          <w:rFonts w:eastAsia="Calibri"/>
        </w:rPr>
        <w:t>When PSC was high</w:t>
      </w:r>
      <w:r w:rsidR="00211800">
        <w:rPr>
          <w:rFonts w:eastAsia="Calibri"/>
        </w:rPr>
        <w:t>,</w:t>
      </w:r>
      <w:r w:rsidR="00F44975" w:rsidRPr="008D1759">
        <w:rPr>
          <w:rFonts w:eastAsia="Calibri"/>
        </w:rPr>
        <w:t xml:space="preserve"> the </w:t>
      </w:r>
      <w:r w:rsidR="00211800">
        <w:rPr>
          <w:rFonts w:eastAsia="Calibri"/>
        </w:rPr>
        <w:t>detrimental (positive)</w:t>
      </w:r>
      <w:r w:rsidR="00F44975" w:rsidRPr="00DB2EC6">
        <w:rPr>
          <w:rFonts w:eastAsia="Calibri"/>
        </w:rPr>
        <w:t xml:space="preserve"> relationship between demands and depression was reduced. </w:t>
      </w:r>
      <w:r w:rsidRPr="00437685">
        <w:rPr>
          <w:rFonts w:eastAsia="Calibri"/>
        </w:rPr>
        <w:t>They also theorised and found support for PSC as a moderator of the impact of depression on work en</w:t>
      </w:r>
      <w:r w:rsidR="00F44975" w:rsidRPr="00437685">
        <w:rPr>
          <w:rFonts w:eastAsia="Calibri"/>
        </w:rPr>
        <w:t xml:space="preserve">gagement and satisfaction. High levels of PSC reduced the </w:t>
      </w:r>
      <w:r w:rsidR="00F44975" w:rsidRPr="008D1759">
        <w:rPr>
          <w:rFonts w:eastAsia="Calibri"/>
        </w:rPr>
        <w:t xml:space="preserve">negative </w:t>
      </w:r>
      <w:r w:rsidR="00F44975" w:rsidRPr="00DB2EC6">
        <w:rPr>
          <w:rFonts w:eastAsia="Calibri"/>
        </w:rPr>
        <w:t xml:space="preserve">impact of </w:t>
      </w:r>
      <w:r w:rsidR="00F44975" w:rsidRPr="00437685">
        <w:rPr>
          <w:rFonts w:eastAsia="Calibri"/>
        </w:rPr>
        <w:t>depression on engagement</w:t>
      </w:r>
      <w:r w:rsidR="00F44975" w:rsidRPr="008D1759">
        <w:rPr>
          <w:rFonts w:eastAsia="Calibri"/>
        </w:rPr>
        <w:t xml:space="preserve"> that was </w:t>
      </w:r>
      <w:r w:rsidR="009C7100">
        <w:rPr>
          <w:rFonts w:eastAsia="Calibri"/>
        </w:rPr>
        <w:t>evident</w:t>
      </w:r>
      <w:r w:rsidR="009C7100" w:rsidRPr="008D1759">
        <w:rPr>
          <w:rFonts w:eastAsia="Calibri"/>
        </w:rPr>
        <w:t xml:space="preserve"> </w:t>
      </w:r>
      <w:r w:rsidR="00F44975" w:rsidRPr="008D1759">
        <w:rPr>
          <w:rFonts w:eastAsia="Calibri"/>
        </w:rPr>
        <w:t xml:space="preserve">under conditions of low PSC. </w:t>
      </w:r>
      <w:r w:rsidR="00F44975" w:rsidRPr="00DB2EC6">
        <w:rPr>
          <w:rFonts w:eastAsia="Calibri"/>
        </w:rPr>
        <w:t>Again this moderation effect was at least as good as other resources (</w:t>
      </w:r>
      <w:r w:rsidR="00F36638" w:rsidRPr="00DB2EC6">
        <w:rPr>
          <w:rFonts w:eastAsia="Calibri"/>
        </w:rPr>
        <w:t xml:space="preserve">control and social support). </w:t>
      </w:r>
      <w:r w:rsidR="00F36638">
        <w:rPr>
          <w:rFonts w:eastAsia="Calibri"/>
        </w:rPr>
        <w:t>These results show that PSC has a beneficial impact for handling adverse work conditions, and also for helping with handling depression on the job. This is particularly important because some depression may arise from circumstances beyond the job.</w:t>
      </w:r>
    </w:p>
    <w:p w:rsidR="00F36638" w:rsidRPr="006466CB" w:rsidRDefault="00F36638" w:rsidP="008240CC">
      <w:r w:rsidRPr="00437685">
        <w:t xml:space="preserve">Several </w:t>
      </w:r>
      <w:r w:rsidRPr="00437685">
        <w:rPr>
          <w:noProof/>
          <w:lang w:val="en-US"/>
        </w:rPr>
        <w:t>major reviews of the Demand-Control-Support models (</w:t>
      </w:r>
      <w:r w:rsidRPr="00437685">
        <w:t xml:space="preserve">van der Doef &amp; Maes, 1999; </w:t>
      </w:r>
      <w:r w:rsidRPr="00437685">
        <w:rPr>
          <w:lang w:val="de-DE"/>
        </w:rPr>
        <w:t xml:space="preserve">Häusser, et al., </w:t>
      </w:r>
      <w:r w:rsidRPr="00437685">
        <w:rPr>
          <w:noProof/>
          <w:color w:val="000000"/>
          <w:lang w:val="en-US"/>
        </w:rPr>
        <w:t>2010</w:t>
      </w:r>
      <w:r w:rsidRPr="00437685">
        <w:rPr>
          <w:noProof/>
          <w:lang w:val="en-US"/>
        </w:rPr>
        <w:t>), hav</w:t>
      </w:r>
      <w:r w:rsidR="007E16F7">
        <w:rPr>
          <w:noProof/>
          <w:lang w:val="en-US"/>
        </w:rPr>
        <w:t>e found a lack of support for the much hypothesised</w:t>
      </w:r>
      <w:r w:rsidRPr="00437685">
        <w:rPr>
          <w:noProof/>
          <w:lang w:val="en-US"/>
        </w:rPr>
        <w:t xml:space="preserve"> interaction effect</w:t>
      </w:r>
      <w:r w:rsidR="006B273A">
        <w:rPr>
          <w:noProof/>
          <w:lang w:val="en-US"/>
        </w:rPr>
        <w:t xml:space="preserve"> between demands and resources </w:t>
      </w:r>
      <w:r>
        <w:rPr>
          <w:noProof/>
          <w:lang w:val="en-US"/>
        </w:rPr>
        <w:t>(i.e. control, support)</w:t>
      </w:r>
      <w:r w:rsidR="007E16F7">
        <w:rPr>
          <w:noProof/>
          <w:lang w:val="en-US"/>
        </w:rPr>
        <w:t xml:space="preserve"> and its effect on psychological health</w:t>
      </w:r>
      <w:r w:rsidRPr="00437685">
        <w:rPr>
          <w:noProof/>
          <w:lang w:val="en-US"/>
        </w:rPr>
        <w:t xml:space="preserve">. A proposed reason is that studies </w:t>
      </w:r>
      <w:r w:rsidRPr="00437685">
        <w:t>fail to assess the context or climate (de Lange et al., 2003).</w:t>
      </w:r>
      <w:r w:rsidRPr="00437685">
        <w:rPr>
          <w:lang w:val="en-US"/>
        </w:rPr>
        <w:t xml:space="preserve"> </w:t>
      </w:r>
      <w:r w:rsidR="00D65268" w:rsidRPr="006466CB">
        <w:t>This suggests the interaction of demands by resources to reduce the negative impact of demands may only occur in high PSC contexts</w:t>
      </w:r>
      <w:r w:rsidR="006466CB" w:rsidRPr="006466CB">
        <w:t>.</w:t>
      </w:r>
    </w:p>
    <w:p w:rsidR="00F36638" w:rsidRPr="00437685" w:rsidRDefault="00F36638" w:rsidP="00053106">
      <w:pPr>
        <w:rPr>
          <w:rFonts w:eastAsia="Calibri"/>
          <w:lang w:eastAsia="en-US"/>
        </w:rPr>
      </w:pPr>
      <w:r w:rsidRPr="00437685">
        <w:rPr>
          <w:lang w:val="en-US"/>
        </w:rPr>
        <w:lastRenderedPageBreak/>
        <w:t xml:space="preserve">A study </w:t>
      </w:r>
      <w:r>
        <w:rPr>
          <w:lang w:val="en-US"/>
        </w:rPr>
        <w:t xml:space="preserve">of Australian police officers </w:t>
      </w:r>
      <w:r w:rsidR="00F34DA3">
        <w:rPr>
          <w:lang w:val="en-US"/>
        </w:rPr>
        <w:t>theoris</w:t>
      </w:r>
      <w:r w:rsidRPr="00437685">
        <w:rPr>
          <w:lang w:val="en-US"/>
        </w:rPr>
        <w:t>ed that the demand-resource interaction</w:t>
      </w:r>
      <w:r w:rsidRPr="00437685">
        <w:rPr>
          <w:rFonts w:eastAsia="Calibri"/>
          <w:lang w:eastAsia="en-US"/>
        </w:rPr>
        <w:t xml:space="preserve"> depends on the organi</w:t>
      </w:r>
      <w:r w:rsidR="006652BE">
        <w:rPr>
          <w:rFonts w:eastAsia="Calibri"/>
          <w:lang w:eastAsia="en-US"/>
        </w:rPr>
        <w:t>s</w:t>
      </w:r>
      <w:r w:rsidRPr="00437685">
        <w:rPr>
          <w:rFonts w:eastAsia="Calibri"/>
          <w:lang w:eastAsia="en-US"/>
        </w:rPr>
        <w:t>ational context; that high levels of psychosocial safety climate will enable the safe utili</w:t>
      </w:r>
      <w:r w:rsidR="003A307D">
        <w:rPr>
          <w:rFonts w:eastAsia="Calibri"/>
          <w:lang w:eastAsia="en-US"/>
        </w:rPr>
        <w:t>s</w:t>
      </w:r>
      <w:r w:rsidRPr="00437685">
        <w:rPr>
          <w:rFonts w:eastAsia="Calibri"/>
          <w:lang w:eastAsia="en-US"/>
        </w:rPr>
        <w:t>ation of resources to reduce demands</w:t>
      </w:r>
      <w:r>
        <w:rPr>
          <w:lang w:val="en-US"/>
        </w:rPr>
        <w:t xml:space="preserve"> (</w:t>
      </w:r>
      <w:r w:rsidRPr="00437685">
        <w:rPr>
          <w:lang w:val="en-US"/>
        </w:rPr>
        <w:t>Dollard, Tuckey</w:t>
      </w:r>
      <w:r>
        <w:rPr>
          <w:lang w:val="en-US"/>
        </w:rPr>
        <w:t xml:space="preserve"> &amp; Dormann, </w:t>
      </w:r>
      <w:r w:rsidRPr="00437685">
        <w:rPr>
          <w:lang w:val="en-US"/>
        </w:rPr>
        <w:t>2012)</w:t>
      </w:r>
      <w:r w:rsidRPr="00437685">
        <w:rPr>
          <w:rFonts w:eastAsia="Calibri"/>
          <w:lang w:eastAsia="en-US"/>
        </w:rPr>
        <w:t xml:space="preserve">. </w:t>
      </w:r>
      <w:r>
        <w:rPr>
          <w:rFonts w:eastAsia="Calibri"/>
          <w:lang w:eastAsia="en-US"/>
        </w:rPr>
        <w:t>Researchers</w:t>
      </w:r>
      <w:r w:rsidRPr="00437685">
        <w:rPr>
          <w:rFonts w:eastAsia="Calibri"/>
          <w:lang w:eastAsia="en-US"/>
        </w:rPr>
        <w:t xml:space="preserve"> tested this hypothesis in a sample of police constables (Time 1, </w:t>
      </w:r>
      <w:r w:rsidRPr="007E16F7">
        <w:rPr>
          <w:rFonts w:eastAsia="Calibri"/>
          <w:lang w:eastAsia="en-US"/>
        </w:rPr>
        <w:t>N</w:t>
      </w:r>
      <w:r w:rsidRPr="00437685">
        <w:rPr>
          <w:rFonts w:eastAsia="Calibri"/>
          <w:lang w:eastAsia="en-US"/>
        </w:rPr>
        <w:t xml:space="preserve"> = 319, Time</w:t>
      </w:r>
      <w:r w:rsidR="00264F49">
        <w:rPr>
          <w:rFonts w:eastAsia="Calibri"/>
          <w:lang w:eastAsia="en-US"/>
        </w:rPr>
        <w:t> </w:t>
      </w:r>
      <w:r w:rsidRPr="00437685">
        <w:rPr>
          <w:rFonts w:eastAsia="Calibri"/>
          <w:lang w:eastAsia="en-US"/>
        </w:rPr>
        <w:t xml:space="preserve">2, </w:t>
      </w:r>
      <w:r w:rsidRPr="007E16F7">
        <w:rPr>
          <w:rFonts w:eastAsia="Calibri"/>
          <w:lang w:eastAsia="en-US"/>
        </w:rPr>
        <w:t>N</w:t>
      </w:r>
      <w:r w:rsidRPr="00437685">
        <w:rPr>
          <w:rFonts w:eastAsia="Calibri"/>
          <w:lang w:eastAsia="en-US"/>
        </w:rPr>
        <w:t xml:space="preserve"> = 139), from 23 police stations. </w:t>
      </w:r>
      <w:r>
        <w:rPr>
          <w:rFonts w:eastAsia="Calibri"/>
          <w:lang w:eastAsia="en-US"/>
        </w:rPr>
        <w:t xml:space="preserve">PSC was measured by officer perceptions, aggregated to the station level. </w:t>
      </w:r>
      <w:r w:rsidRPr="00437685">
        <w:rPr>
          <w:rFonts w:eastAsia="Calibri"/>
          <w:lang w:eastAsia="en-US"/>
        </w:rPr>
        <w:t xml:space="preserve">Controlling for Time 1 levels of distress, using hierarchical linear modelling, they found that </w:t>
      </w:r>
      <w:r>
        <w:rPr>
          <w:rFonts w:eastAsia="Calibri"/>
          <w:lang w:eastAsia="en-US"/>
        </w:rPr>
        <w:t>D X R interaction only worked when there were high levels of PSC. H</w:t>
      </w:r>
      <w:r w:rsidRPr="00437685">
        <w:rPr>
          <w:rFonts w:eastAsia="Calibri"/>
          <w:lang w:eastAsia="en-US"/>
        </w:rPr>
        <w:t>igh levels of emotional resources reduced the detrimental relationship between emotional demands and workgroup distress, but only when there were high levels of psychosocial safety climate</w:t>
      </w:r>
      <w:r w:rsidRPr="00976689">
        <w:rPr>
          <w:rFonts w:eastAsia="Calibri"/>
          <w:lang w:eastAsia="en-US"/>
        </w:rPr>
        <w:t xml:space="preserve"> </w:t>
      </w:r>
      <w:r>
        <w:rPr>
          <w:rFonts w:eastAsia="Calibri"/>
          <w:lang w:eastAsia="en-US"/>
        </w:rPr>
        <w:t xml:space="preserve">in the </w:t>
      </w:r>
      <w:r w:rsidRPr="00437685">
        <w:rPr>
          <w:rFonts w:eastAsia="Calibri"/>
          <w:lang w:eastAsia="en-US"/>
        </w:rPr>
        <w:t>police station. Importantly the</w:t>
      </w:r>
      <w:r>
        <w:rPr>
          <w:rFonts w:eastAsia="Calibri"/>
          <w:lang w:eastAsia="en-US"/>
        </w:rPr>
        <w:t xml:space="preserve">se </w:t>
      </w:r>
      <w:r w:rsidRPr="00437685">
        <w:rPr>
          <w:rFonts w:eastAsia="Calibri"/>
          <w:lang w:eastAsia="en-US"/>
        </w:rPr>
        <w:t xml:space="preserve">results were </w:t>
      </w:r>
      <w:r>
        <w:rPr>
          <w:rFonts w:eastAsia="Calibri"/>
          <w:lang w:eastAsia="en-US"/>
        </w:rPr>
        <w:t>validated</w:t>
      </w:r>
      <w:r w:rsidRPr="00437685">
        <w:rPr>
          <w:rFonts w:eastAsia="Calibri"/>
          <w:lang w:eastAsia="en-US"/>
        </w:rPr>
        <w:t xml:space="preserve"> when the PSC </w:t>
      </w:r>
      <w:r>
        <w:rPr>
          <w:rFonts w:eastAsia="Calibri"/>
          <w:lang w:eastAsia="en-US"/>
        </w:rPr>
        <w:t xml:space="preserve">was also </w:t>
      </w:r>
      <w:r w:rsidRPr="00437685">
        <w:rPr>
          <w:rFonts w:eastAsia="Calibri"/>
          <w:lang w:eastAsia="en-US"/>
        </w:rPr>
        <w:t>measure</w:t>
      </w:r>
      <w:r>
        <w:rPr>
          <w:rFonts w:eastAsia="Calibri"/>
          <w:lang w:eastAsia="en-US"/>
        </w:rPr>
        <w:t>d</w:t>
      </w:r>
      <w:r w:rsidRPr="00437685">
        <w:rPr>
          <w:rFonts w:eastAsia="Calibri"/>
          <w:lang w:eastAsia="en-US"/>
        </w:rPr>
        <w:t xml:space="preserve"> </w:t>
      </w:r>
      <w:r>
        <w:rPr>
          <w:rFonts w:eastAsia="Calibri"/>
          <w:lang w:eastAsia="en-US"/>
        </w:rPr>
        <w:t>using a different s</w:t>
      </w:r>
      <w:r w:rsidRPr="00437685">
        <w:rPr>
          <w:rFonts w:eastAsia="Calibri"/>
          <w:lang w:eastAsia="en-US"/>
        </w:rPr>
        <w:t xml:space="preserve">ample of officers to those who participated at Time 2 (those who eventually left the study). </w:t>
      </w:r>
      <w:r>
        <w:rPr>
          <w:rFonts w:eastAsia="Calibri"/>
          <w:lang w:eastAsia="en-US"/>
        </w:rPr>
        <w:t xml:space="preserve">The study demonstrated that </w:t>
      </w:r>
      <w:r w:rsidRPr="00437685">
        <w:rPr>
          <w:rFonts w:eastAsia="Calibri"/>
          <w:lang w:eastAsia="en-US"/>
        </w:rPr>
        <w:t>PSC enabled resources to do their job</w:t>
      </w:r>
      <w:r>
        <w:rPr>
          <w:rFonts w:eastAsia="Calibri"/>
          <w:lang w:eastAsia="en-US"/>
        </w:rPr>
        <w:t xml:space="preserve"> (i.e. reduce the impact of demands)</w:t>
      </w:r>
      <w:r w:rsidR="006466CB">
        <w:rPr>
          <w:rFonts w:eastAsia="Calibri"/>
          <w:lang w:eastAsia="en-US"/>
        </w:rPr>
        <w:t>.</w:t>
      </w:r>
    </w:p>
    <w:p w:rsidR="00F36638" w:rsidRDefault="00F36638" w:rsidP="00053106">
      <w:r w:rsidRPr="00437685">
        <w:rPr>
          <w:rFonts w:eastAsia="Calibri"/>
        </w:rPr>
        <w:t>Finally</w:t>
      </w:r>
      <w:r>
        <w:rPr>
          <w:rFonts w:eastAsia="Calibri"/>
        </w:rPr>
        <w:t>,</w:t>
      </w:r>
      <w:r w:rsidRPr="00437685">
        <w:rPr>
          <w:rFonts w:eastAsia="Calibri"/>
        </w:rPr>
        <w:t xml:space="preserve"> PSC</w:t>
      </w:r>
      <w:r>
        <w:rPr>
          <w:rFonts w:eastAsia="Calibri"/>
        </w:rPr>
        <w:t xml:space="preserve"> </w:t>
      </w:r>
      <w:r w:rsidRPr="00437685">
        <w:rPr>
          <w:rFonts w:eastAsia="Calibri"/>
        </w:rPr>
        <w:t xml:space="preserve">moderated the negative relationship between bullying/harassment and engagement (Law et al., 2011). When PSC was low, bullying and harassment affected engagement </w:t>
      </w:r>
      <w:r>
        <w:rPr>
          <w:rFonts w:eastAsia="Calibri"/>
        </w:rPr>
        <w:t>whereby</w:t>
      </w:r>
      <w:r w:rsidRPr="00437685">
        <w:rPr>
          <w:rFonts w:eastAsia="Calibri"/>
        </w:rPr>
        <w:t xml:space="preserve"> high levels of bullying and harassment were related to low levels of engagement. </w:t>
      </w:r>
      <w:r w:rsidR="007E16F7">
        <w:rPr>
          <w:rFonts w:eastAsia="Calibri"/>
        </w:rPr>
        <w:t>H</w:t>
      </w:r>
      <w:r w:rsidRPr="00437685">
        <w:rPr>
          <w:rFonts w:eastAsia="Calibri"/>
        </w:rPr>
        <w:t xml:space="preserve">igh levels of PSC </w:t>
      </w:r>
      <w:r w:rsidR="007E16F7">
        <w:rPr>
          <w:rFonts w:eastAsia="Calibri"/>
        </w:rPr>
        <w:t xml:space="preserve">offset the impact of bullying so that </w:t>
      </w:r>
      <w:r w:rsidRPr="00437685">
        <w:rPr>
          <w:rFonts w:eastAsia="Calibri"/>
        </w:rPr>
        <w:t xml:space="preserve">the relationship </w:t>
      </w:r>
      <w:r w:rsidR="007E16F7">
        <w:rPr>
          <w:rFonts w:eastAsia="Calibri"/>
        </w:rPr>
        <w:t xml:space="preserve">between bullying and engagement </w:t>
      </w:r>
      <w:r w:rsidR="006466CB">
        <w:rPr>
          <w:rFonts w:eastAsia="Calibri"/>
        </w:rPr>
        <w:t>disappeared.</w:t>
      </w:r>
    </w:p>
    <w:p w:rsidR="00F36638" w:rsidRPr="00855891" w:rsidRDefault="00F36638" w:rsidP="00053106">
      <w:pPr>
        <w:rPr>
          <w:rFonts w:eastAsia="Calibri"/>
        </w:rPr>
      </w:pPr>
      <w:r w:rsidRPr="00855891">
        <w:rPr>
          <w:rFonts w:eastAsia="Calibri"/>
        </w:rPr>
        <w:t>A German study of 50 service car dealer employees, and some 300 interactions with clients, investigated whether higher levels of PSC within the dealerships was able to protect employees from the negative consequences of interactions with difficult customer</w:t>
      </w:r>
      <w:r w:rsidR="006652BE">
        <w:rPr>
          <w:rFonts w:eastAsia="Calibri"/>
        </w:rPr>
        <w:t>s</w:t>
      </w:r>
      <w:r w:rsidRPr="00855891">
        <w:t xml:space="preserve"> (Zimmerman</w:t>
      </w:r>
      <w:r w:rsidR="001937E7">
        <w:t>n</w:t>
      </w:r>
      <w:r w:rsidRPr="00855891">
        <w:t>, Haun, Dormann, &amp; Dollard, 2009)</w:t>
      </w:r>
      <w:r w:rsidRPr="00855891">
        <w:rPr>
          <w:rFonts w:eastAsia="Calibri"/>
        </w:rPr>
        <w:t xml:space="preserve">. PSC was assessed prior to customer interactions. Employees rated PSC, and customer behaviour, as well as their own emotional reactions. They found that employees’ negative affect was higher directly after a negative interaction with a customer. Further, a significant interaction was found between PSC and customer behaviour in predicting negative affectivity. Under conditions of low PSC, there was a positive relationship between negative customer behaviour and employee negative affectivity. Under conditions of high PSC, the relationship reduced. The study underscores the importance </w:t>
      </w:r>
      <w:r w:rsidR="006652BE">
        <w:rPr>
          <w:rFonts w:eastAsia="Calibri"/>
        </w:rPr>
        <w:t xml:space="preserve">for </w:t>
      </w:r>
      <w:r w:rsidRPr="00855891">
        <w:rPr>
          <w:rFonts w:eastAsia="Calibri"/>
        </w:rPr>
        <w:t>organisations to improve PSC to protect emp</w:t>
      </w:r>
      <w:r w:rsidR="006466CB">
        <w:rPr>
          <w:rFonts w:eastAsia="Calibri"/>
        </w:rPr>
        <w:t>loyee psychological well-being.</w:t>
      </w:r>
    </w:p>
    <w:p w:rsidR="00F36638" w:rsidRPr="00437685" w:rsidRDefault="00F36638" w:rsidP="00053106">
      <w:pPr>
        <w:rPr>
          <w:rFonts w:eastAsia="Calibri"/>
          <w:highlight w:val="yellow"/>
        </w:rPr>
      </w:pPr>
      <w:r w:rsidRPr="00437685">
        <w:rPr>
          <w:rFonts w:eastAsia="Calibri"/>
        </w:rPr>
        <w:t>In sum</w:t>
      </w:r>
      <w:r w:rsidRPr="00F83954">
        <w:rPr>
          <w:rFonts w:eastAsia="Calibri"/>
        </w:rPr>
        <w:t>mary</w:t>
      </w:r>
      <w:r w:rsidRPr="00437685">
        <w:rPr>
          <w:rFonts w:eastAsia="Calibri"/>
        </w:rPr>
        <w:t xml:space="preserve">, PSC </w:t>
      </w:r>
      <w:r>
        <w:rPr>
          <w:rFonts w:eastAsia="Calibri"/>
        </w:rPr>
        <w:t>can act to moderate the relationship between psychosocial risk factors with employee health and productivity outcomes.</w:t>
      </w:r>
    </w:p>
    <w:p w:rsidR="006B496D" w:rsidRPr="00FE4AC7" w:rsidRDefault="00D0593B" w:rsidP="006466CB">
      <w:pPr>
        <w:pStyle w:val="Heading3"/>
        <w:rPr>
          <w:rStyle w:val="IntenseEmphasis"/>
        </w:rPr>
      </w:pPr>
      <w:bookmarkStart w:id="33" w:name="_Toc343502418"/>
      <w:r w:rsidRPr="00FE4AC7">
        <w:rPr>
          <w:rStyle w:val="IntenseEmphasis"/>
        </w:rPr>
        <w:t>PSC as a target for intervention</w:t>
      </w:r>
      <w:bookmarkEnd w:id="33"/>
    </w:p>
    <w:p w:rsidR="009C7100" w:rsidRDefault="00F36638" w:rsidP="00053106">
      <w:pPr>
        <w:rPr>
          <w:lang w:val="en-GB"/>
        </w:rPr>
      </w:pPr>
      <w:r>
        <w:rPr>
          <w:lang w:val="en-GB"/>
        </w:rPr>
        <w:t xml:space="preserve">PSC theory and the empirical evidence </w:t>
      </w:r>
      <w:proofErr w:type="gramStart"/>
      <w:r>
        <w:rPr>
          <w:lang w:val="en-GB"/>
        </w:rPr>
        <w:t>highlights</w:t>
      </w:r>
      <w:proofErr w:type="gramEnd"/>
      <w:r>
        <w:rPr>
          <w:lang w:val="en-GB"/>
        </w:rPr>
        <w:t xml:space="preserve"> the dual functionality of PSC. Primarily it can </w:t>
      </w:r>
      <w:r w:rsidR="00A77DBC">
        <w:rPr>
          <w:lang w:val="en-GB"/>
        </w:rPr>
        <w:t xml:space="preserve">be used </w:t>
      </w:r>
      <w:r>
        <w:rPr>
          <w:lang w:val="en-GB"/>
        </w:rPr>
        <w:t xml:space="preserve">to prevent work stress through job design; secondarily it can </w:t>
      </w:r>
      <w:r w:rsidR="00A77DBC">
        <w:rPr>
          <w:lang w:val="en-GB"/>
        </w:rPr>
        <w:t xml:space="preserve">be used to </w:t>
      </w:r>
      <w:r>
        <w:rPr>
          <w:lang w:val="en-GB"/>
        </w:rPr>
        <w:t xml:space="preserve">prevent the adverse impact of stressors.  </w:t>
      </w:r>
      <w:r w:rsidR="008B5ED6" w:rsidRPr="00437685">
        <w:rPr>
          <w:lang w:val="en-GB"/>
        </w:rPr>
        <w:t xml:space="preserve">Based on </w:t>
      </w:r>
      <w:r w:rsidR="00D0593B" w:rsidRPr="00437685">
        <w:rPr>
          <w:lang w:val="en-GB"/>
        </w:rPr>
        <w:t>PSC</w:t>
      </w:r>
      <w:r w:rsidR="008B5ED6" w:rsidRPr="00437685">
        <w:rPr>
          <w:lang w:val="en-GB"/>
        </w:rPr>
        <w:t xml:space="preserve"> theory</w:t>
      </w:r>
      <w:r w:rsidR="00712485">
        <w:rPr>
          <w:lang w:val="en-GB"/>
        </w:rPr>
        <w:t>,</w:t>
      </w:r>
      <w:r w:rsidR="008B5ED6" w:rsidRPr="00437685">
        <w:rPr>
          <w:lang w:val="en-GB"/>
        </w:rPr>
        <w:t xml:space="preserve"> we propose that the most efficient organisational intervention target to reduce stress and increase work productivity will be to build PSC. </w:t>
      </w:r>
      <w:r w:rsidR="00AE09FE" w:rsidRPr="00F83954">
        <w:t>Primary interventions are generally concerned with strategies aimed at the or</w:t>
      </w:r>
      <w:r w:rsidR="00AE09FE" w:rsidRPr="008D1759">
        <w:t>ganisational level</w:t>
      </w:r>
      <w:r w:rsidR="00AF4BFB">
        <w:t xml:space="preserve"> such as policy and procedure. </w:t>
      </w:r>
      <w:r w:rsidR="00AE09FE" w:rsidRPr="008D1759">
        <w:t>Secondary interventions are aimed more at the job design aspects including le</w:t>
      </w:r>
      <w:r w:rsidR="00AF4BFB">
        <w:t xml:space="preserve">vels of demands and resources. </w:t>
      </w:r>
      <w:r w:rsidR="00AE09FE" w:rsidRPr="008D1759">
        <w:t xml:space="preserve">Tertiary interventions focus on the individual </w:t>
      </w:r>
      <w:r w:rsidR="009C7100">
        <w:t xml:space="preserve">and may involve enhancing </w:t>
      </w:r>
      <w:r w:rsidR="00AE09FE" w:rsidRPr="008D1759">
        <w:t>coping skills to reduce the effe</w:t>
      </w:r>
      <w:r w:rsidR="00AE09FE" w:rsidRPr="00DB2EC6">
        <w:t xml:space="preserve">cts of the psychosocial risk factors (Murphy &amp; Sauter, 2004). </w:t>
      </w:r>
      <w:r w:rsidR="00D0593B" w:rsidRPr="00437685">
        <w:rPr>
          <w:rFonts w:eastAsia="Calibri"/>
        </w:rPr>
        <w:t>Taken together the evidence above suggest</w:t>
      </w:r>
      <w:r w:rsidR="009C7100">
        <w:rPr>
          <w:rFonts w:eastAsia="Calibri"/>
        </w:rPr>
        <w:t>s that</w:t>
      </w:r>
      <w:r w:rsidR="00D0593B" w:rsidRPr="00437685">
        <w:rPr>
          <w:rFonts w:eastAsia="Calibri"/>
        </w:rPr>
        <w:t xml:space="preserve"> PSC is an efficient target for primary prevention and secondary intervention (</w:t>
      </w:r>
      <w:r w:rsidR="009C7100">
        <w:rPr>
          <w:rFonts w:eastAsia="Calibri"/>
        </w:rPr>
        <w:t xml:space="preserve">to </w:t>
      </w:r>
      <w:r w:rsidR="006466CB">
        <w:rPr>
          <w:rFonts w:eastAsia="Calibri"/>
        </w:rPr>
        <w:t>reduce impact of hazards).</w:t>
      </w:r>
    </w:p>
    <w:p w:rsidR="00F36638" w:rsidRDefault="008B5ED6" w:rsidP="00053106">
      <w:pPr>
        <w:rPr>
          <w:lang w:val="en-GB"/>
        </w:rPr>
      </w:pPr>
      <w:r w:rsidRPr="00437685">
        <w:rPr>
          <w:lang w:val="en-GB"/>
        </w:rPr>
        <w:lastRenderedPageBreak/>
        <w:t xml:space="preserve">PSC </w:t>
      </w:r>
      <w:r w:rsidR="00AE09FE" w:rsidRPr="00437685">
        <w:rPr>
          <w:lang w:val="en-GB"/>
        </w:rPr>
        <w:t xml:space="preserve">measures </w:t>
      </w:r>
      <w:r w:rsidRPr="00437685">
        <w:rPr>
          <w:lang w:val="en-GB"/>
        </w:rPr>
        <w:t xml:space="preserve">provide information about what to change in an organisation </w:t>
      </w:r>
      <w:r w:rsidR="00AE09FE" w:rsidRPr="00437685">
        <w:rPr>
          <w:lang w:val="en-GB"/>
        </w:rPr>
        <w:t xml:space="preserve">at the primary level </w:t>
      </w:r>
      <w:r w:rsidR="009C7100">
        <w:rPr>
          <w:lang w:val="en-GB"/>
        </w:rPr>
        <w:t xml:space="preserve">- </w:t>
      </w:r>
      <w:r w:rsidRPr="00437685">
        <w:rPr>
          <w:lang w:val="en-GB"/>
        </w:rPr>
        <w:t>to improve working conditions (such as management priority, communication or participation systems)</w:t>
      </w:r>
      <w:r w:rsidR="0070766D" w:rsidRPr="00437685">
        <w:rPr>
          <w:lang w:val="en-GB"/>
        </w:rPr>
        <w:t xml:space="preserve">, </w:t>
      </w:r>
      <w:r w:rsidR="009C7100">
        <w:rPr>
          <w:lang w:val="en-GB"/>
        </w:rPr>
        <w:t>and at the secondary level –</w:t>
      </w:r>
      <w:r w:rsidR="004A0483">
        <w:rPr>
          <w:lang w:val="en-GB"/>
        </w:rPr>
        <w:t xml:space="preserve"> </w:t>
      </w:r>
      <w:r w:rsidR="009C7100">
        <w:rPr>
          <w:lang w:val="en-GB"/>
        </w:rPr>
        <w:t xml:space="preserve">to </w:t>
      </w:r>
      <w:r w:rsidR="0070766D" w:rsidRPr="00437685">
        <w:rPr>
          <w:lang w:val="en-GB"/>
        </w:rPr>
        <w:t>reduce the impact of psychosocial hazards</w:t>
      </w:r>
      <w:r w:rsidR="006466CB">
        <w:rPr>
          <w:lang w:val="en-GB"/>
        </w:rPr>
        <w:t>.</w:t>
      </w:r>
    </w:p>
    <w:p w:rsidR="00F36638" w:rsidRDefault="00F36638" w:rsidP="00053106">
      <w:pPr>
        <w:rPr>
          <w:rFonts w:eastAsia="Calibri" w:cs="TimesNewRomanPSMT"/>
        </w:rPr>
      </w:pPr>
      <w:r w:rsidRPr="00F36638">
        <w:rPr>
          <w:rFonts w:eastAsia="Calibri" w:cs="TimesNewRomanPSMT"/>
        </w:rPr>
        <w:t>Moreover there is evidence that the PSC starting conditions may determine the suc</w:t>
      </w:r>
      <w:r w:rsidR="00AF4BFB">
        <w:rPr>
          <w:rFonts w:eastAsia="Calibri" w:cs="TimesNewRomanPSMT"/>
        </w:rPr>
        <w:t xml:space="preserve">cess of a stress intervention. </w:t>
      </w:r>
      <w:r w:rsidRPr="00F36638">
        <w:rPr>
          <w:rFonts w:eastAsia="Calibri" w:cs="TimesNewRomanPSMT"/>
        </w:rPr>
        <w:t>Researchers have outlined a number of process and contextual issues influencing the d</w:t>
      </w:r>
      <w:r w:rsidR="00F34DA3">
        <w:rPr>
          <w:rFonts w:eastAsia="Calibri" w:cs="TimesNewRomanPSMT"/>
        </w:rPr>
        <w:t>evelopmental stage of an organis</w:t>
      </w:r>
      <w:r w:rsidRPr="00F36638">
        <w:rPr>
          <w:rFonts w:eastAsia="Calibri" w:cs="TimesNewRomanPSMT"/>
        </w:rPr>
        <w:t>ational stress intervention (Biron, Gatrell, &amp;</w:t>
      </w:r>
      <w:r w:rsidR="0056260E">
        <w:rPr>
          <w:rFonts w:eastAsia="Calibri" w:cs="TimesNewRomanPSMT"/>
        </w:rPr>
        <w:t xml:space="preserve"> </w:t>
      </w:r>
      <w:r w:rsidRPr="00F36638">
        <w:rPr>
          <w:rFonts w:eastAsia="Calibri" w:cs="TimesNewRomanPSMT"/>
        </w:rPr>
        <w:t>Cooper, 2010; Dollard &amp; Karasek, 2010). In particular, organi</w:t>
      </w:r>
      <w:r w:rsidR="004A0483">
        <w:rPr>
          <w:rFonts w:eastAsia="Calibri" w:cs="TimesNewRomanPSMT"/>
        </w:rPr>
        <w:t>s</w:t>
      </w:r>
      <w:r w:rsidRPr="00F36638">
        <w:rPr>
          <w:rFonts w:eastAsia="Calibri" w:cs="TimesNewRomanPSMT"/>
        </w:rPr>
        <w:t xml:space="preserve">ational capacity and resource issues (financial, human, </w:t>
      </w:r>
      <w:proofErr w:type="gramStart"/>
      <w:r w:rsidRPr="00F36638">
        <w:rPr>
          <w:rFonts w:eastAsia="Calibri" w:cs="TimesNewRomanPSMT"/>
        </w:rPr>
        <w:t>expertise,</w:t>
      </w:r>
      <w:proofErr w:type="gramEnd"/>
      <w:r w:rsidRPr="00F36638">
        <w:rPr>
          <w:rFonts w:eastAsia="Calibri" w:cs="TimesNewRomanPSMT"/>
        </w:rPr>
        <w:t xml:space="preserve"> and skills) are crucial, as is the political will of stakeholders (Dollard &amp; Karasek, 2010). </w:t>
      </w:r>
      <w:r w:rsidRPr="00F36638">
        <w:rPr>
          <w:lang w:val="en-GB"/>
        </w:rPr>
        <w:t xml:space="preserve">In a participatory action work stress risk-assessment based intervention study, involving 18 different </w:t>
      </w:r>
      <w:r w:rsidR="0056260E">
        <w:rPr>
          <w:lang w:val="en-GB"/>
        </w:rPr>
        <w:t xml:space="preserve">intervention </w:t>
      </w:r>
      <w:r w:rsidRPr="00F36638">
        <w:rPr>
          <w:lang w:val="en-GB"/>
        </w:rPr>
        <w:t xml:space="preserve">work groups in two Australian public sector agencies (education and community health services), researchers found </w:t>
      </w:r>
      <w:r w:rsidRPr="00F36638">
        <w:rPr>
          <w:rFonts w:eastAsia="Calibri" w:cs="TimesNewRomanPSMT"/>
        </w:rPr>
        <w:t>strong support for the proposition that the starting condition, PSC assessed at a group level, predicts how successful the implementation of the intervention is. PSC was associated with the extent to which the intervention groups attended the capacity building sessions, the quality of the intervention</w:t>
      </w:r>
      <w:r w:rsidR="0056260E">
        <w:rPr>
          <w:rFonts w:eastAsia="Calibri" w:cs="TimesNewRomanPSMT"/>
        </w:rPr>
        <w:t xml:space="preserve"> (</w:t>
      </w:r>
      <w:r w:rsidR="00723A04">
        <w:rPr>
          <w:rFonts w:eastAsia="Calibri" w:cs="TimesNewRomanPSMT"/>
        </w:rPr>
        <w:t>e.g.</w:t>
      </w:r>
      <w:r w:rsidR="0056260E">
        <w:rPr>
          <w:rFonts w:eastAsia="Calibri" w:cs="TimesNewRomanPSMT"/>
        </w:rPr>
        <w:t xml:space="preserve"> whether trust was developed, being listened to)</w:t>
      </w:r>
      <w:r w:rsidRPr="00F36638">
        <w:rPr>
          <w:rFonts w:eastAsia="Calibri" w:cs="TimesNewRomanPSMT"/>
        </w:rPr>
        <w:t xml:space="preserve"> and the progress (</w:t>
      </w:r>
      <w:r w:rsidR="00723A04">
        <w:rPr>
          <w:rFonts w:eastAsia="Calibri" w:cs="TimesNewRomanPSMT"/>
        </w:rPr>
        <w:t>e.g.</w:t>
      </w:r>
      <w:r w:rsidR="0056260E">
        <w:rPr>
          <w:rFonts w:eastAsia="Calibri" w:cs="TimesNewRomanPSMT"/>
        </w:rPr>
        <w:t xml:space="preserve"> the extent of implementation of action plans</w:t>
      </w:r>
      <w:r w:rsidRPr="00F36638">
        <w:rPr>
          <w:rFonts w:eastAsia="Calibri" w:cs="TimesNewRomanPSMT"/>
        </w:rPr>
        <w:t>) of the intervention.</w:t>
      </w:r>
    </w:p>
    <w:p w:rsidR="00EF34AA" w:rsidRPr="00FE4AC7" w:rsidRDefault="00EF34AA" w:rsidP="006466CB">
      <w:pPr>
        <w:pStyle w:val="Heading3"/>
        <w:rPr>
          <w:rStyle w:val="IntenseEmphasis"/>
        </w:rPr>
      </w:pPr>
      <w:bookmarkStart w:id="34" w:name="_Toc343502419"/>
      <w:r w:rsidRPr="00FE4AC7">
        <w:rPr>
          <w:rStyle w:val="IntenseEmphasis"/>
        </w:rPr>
        <w:t>PSC and national health</w:t>
      </w:r>
      <w:bookmarkEnd w:id="34"/>
    </w:p>
    <w:p w:rsidR="004F4EF8" w:rsidRPr="00F83954" w:rsidRDefault="004F4EF8" w:rsidP="00CE2B18">
      <w:pPr>
        <w:rPr>
          <w:szCs w:val="22"/>
        </w:rPr>
      </w:pPr>
      <w:r w:rsidRPr="00F83954">
        <w:rPr>
          <w:szCs w:val="22"/>
        </w:rPr>
        <w:t xml:space="preserve">To date research has found worker health effects due to PSC when it has been </w:t>
      </w:r>
      <w:r w:rsidRPr="008D1759">
        <w:rPr>
          <w:szCs w:val="22"/>
        </w:rPr>
        <w:t>assessed at an individual level (Idris, Dollard, &amp; Winefield, 201</w:t>
      </w:r>
      <w:r w:rsidR="00F60846">
        <w:rPr>
          <w:szCs w:val="22"/>
        </w:rPr>
        <w:t>1</w:t>
      </w:r>
      <w:r w:rsidRPr="008D1759">
        <w:rPr>
          <w:szCs w:val="22"/>
        </w:rPr>
        <w:t>), at a work unit level (Dollard &amp; Bakker, 2010; Dollard, Tuckey, &amp; Dormann, 2012)</w:t>
      </w:r>
      <w:r w:rsidRPr="00DB2EC6">
        <w:rPr>
          <w:szCs w:val="22"/>
        </w:rPr>
        <w:t xml:space="preserve"> and at an organi</w:t>
      </w:r>
      <w:r w:rsidR="00F60846">
        <w:rPr>
          <w:szCs w:val="22"/>
        </w:rPr>
        <w:t>sational level (Law et al., 2011</w:t>
      </w:r>
      <w:r w:rsidRPr="00DB2EC6">
        <w:rPr>
          <w:szCs w:val="22"/>
        </w:rPr>
        <w:t xml:space="preserve">). Scholars have for some time investigated income inequality and absolute income as determinants of health differences between nations. Given the impact of psychosocial factors at work on worker health, it is reasonable to consider the possibility that national differences in workplace psychosocial conditions may be related to national differences in health. </w:t>
      </w:r>
      <w:r w:rsidR="00D0593B" w:rsidRPr="00DB2EC6">
        <w:rPr>
          <w:szCs w:val="22"/>
        </w:rPr>
        <w:t>Emerging research links</w:t>
      </w:r>
      <w:r w:rsidR="00EF34AA" w:rsidRPr="00DB2EC6">
        <w:rPr>
          <w:szCs w:val="22"/>
        </w:rPr>
        <w:t xml:space="preserve"> workplace</w:t>
      </w:r>
      <w:r w:rsidR="00D0593B" w:rsidRPr="00DB2EC6">
        <w:rPr>
          <w:szCs w:val="22"/>
        </w:rPr>
        <w:t xml:space="preserve"> psychosocial factors to national health</w:t>
      </w:r>
      <w:r w:rsidRPr="00DB2EC6">
        <w:rPr>
          <w:szCs w:val="22"/>
        </w:rPr>
        <w:t xml:space="preserve"> differences between countries</w:t>
      </w:r>
      <w:r w:rsidR="006466CB">
        <w:rPr>
          <w:szCs w:val="22"/>
        </w:rPr>
        <w:t>.</w:t>
      </w:r>
    </w:p>
    <w:p w:rsidR="00B20172" w:rsidRPr="00F83954" w:rsidRDefault="00F36638" w:rsidP="00CE2B18">
      <w:pPr>
        <w:rPr>
          <w:szCs w:val="22"/>
        </w:rPr>
      </w:pPr>
      <w:r>
        <w:rPr>
          <w:szCs w:val="22"/>
        </w:rPr>
        <w:t>A European study</w:t>
      </w:r>
      <w:r w:rsidR="00D0593B" w:rsidRPr="00F83954">
        <w:rPr>
          <w:szCs w:val="22"/>
        </w:rPr>
        <w:t xml:space="preserve"> </w:t>
      </w:r>
      <w:r w:rsidR="004F4EF8" w:rsidRPr="00F83954">
        <w:rPr>
          <w:szCs w:val="22"/>
        </w:rPr>
        <w:t>consider</w:t>
      </w:r>
      <w:r w:rsidR="004F4EF8" w:rsidRPr="008D1759">
        <w:rPr>
          <w:szCs w:val="22"/>
        </w:rPr>
        <w:t>ed</w:t>
      </w:r>
      <w:r w:rsidR="004F4EF8" w:rsidRPr="00DB2EC6">
        <w:rPr>
          <w:szCs w:val="22"/>
        </w:rPr>
        <w:t xml:space="preserve"> a range of factors that might explain health differences </w:t>
      </w:r>
      <w:r w:rsidR="00221442" w:rsidRPr="00F83954">
        <w:rPr>
          <w:szCs w:val="22"/>
        </w:rPr>
        <w:t>between</w:t>
      </w:r>
      <w:r w:rsidR="00D0593B" w:rsidRPr="00F83954">
        <w:rPr>
          <w:szCs w:val="22"/>
        </w:rPr>
        <w:t xml:space="preserve"> 2</w:t>
      </w:r>
      <w:r w:rsidR="00EF34AA" w:rsidRPr="00F83954">
        <w:rPr>
          <w:szCs w:val="22"/>
        </w:rPr>
        <w:t>4</w:t>
      </w:r>
      <w:r w:rsidR="00D0593B" w:rsidRPr="00F83954">
        <w:rPr>
          <w:szCs w:val="22"/>
        </w:rPr>
        <w:t xml:space="preserve"> different EU countries</w:t>
      </w:r>
      <w:r>
        <w:rPr>
          <w:szCs w:val="22"/>
        </w:rPr>
        <w:t xml:space="preserve"> </w:t>
      </w:r>
      <w:r w:rsidRPr="00F83954">
        <w:rPr>
          <w:szCs w:val="22"/>
        </w:rPr>
        <w:t>(Dollard &amp; Neser, in review)</w:t>
      </w:r>
      <w:r w:rsidR="004F4EF8" w:rsidRPr="008D1759">
        <w:rPr>
          <w:szCs w:val="22"/>
        </w:rPr>
        <w:t xml:space="preserve">. Factors </w:t>
      </w:r>
      <w:r w:rsidR="004F4EF8" w:rsidRPr="00DB2EC6">
        <w:rPr>
          <w:szCs w:val="22"/>
        </w:rPr>
        <w:t>considered were: workplace psychosocial risks, including stress, bullying and violence; psychoso</w:t>
      </w:r>
      <w:r w:rsidR="00B20172" w:rsidRPr="00DB2EC6">
        <w:rPr>
          <w:szCs w:val="22"/>
        </w:rPr>
        <w:t xml:space="preserve">cial safety climate; </w:t>
      </w:r>
      <w:r w:rsidR="00D0593B" w:rsidRPr="00DB2EC6">
        <w:rPr>
          <w:szCs w:val="22"/>
        </w:rPr>
        <w:t>union representation</w:t>
      </w:r>
      <w:r w:rsidR="00B20172" w:rsidRPr="00DB2EC6">
        <w:rPr>
          <w:szCs w:val="22"/>
        </w:rPr>
        <w:t xml:space="preserve">; corruption; income inequality; and absolute income. Importantly worker self-reported health was related to life expectancy at the national level. </w:t>
      </w:r>
      <w:r w:rsidR="0070766D" w:rsidRPr="00DB2EC6">
        <w:rPr>
          <w:szCs w:val="22"/>
        </w:rPr>
        <w:t xml:space="preserve">This </w:t>
      </w:r>
      <w:r w:rsidR="009C7100">
        <w:rPr>
          <w:szCs w:val="22"/>
        </w:rPr>
        <w:t xml:space="preserve">initial </w:t>
      </w:r>
      <w:r w:rsidR="0070766D" w:rsidRPr="00DB2EC6">
        <w:rPr>
          <w:szCs w:val="22"/>
        </w:rPr>
        <w:t xml:space="preserve">evidence provides weight to the importance of worker health </w:t>
      </w:r>
      <w:r w:rsidR="00B03B27" w:rsidRPr="00F83954">
        <w:rPr>
          <w:szCs w:val="22"/>
        </w:rPr>
        <w:t>in</w:t>
      </w:r>
      <w:r w:rsidR="0070766D" w:rsidRPr="00F83954">
        <w:rPr>
          <w:szCs w:val="22"/>
        </w:rPr>
        <w:t xml:space="preserve"> national health accounting.</w:t>
      </w:r>
      <w:r w:rsidR="00B20172" w:rsidRPr="00F83954">
        <w:rPr>
          <w:szCs w:val="22"/>
        </w:rPr>
        <w:t xml:space="preserve"> </w:t>
      </w:r>
      <w:r w:rsidR="009C7100">
        <w:rPr>
          <w:szCs w:val="22"/>
        </w:rPr>
        <w:t>Further, a</w:t>
      </w:r>
      <w:r w:rsidR="00B20172" w:rsidRPr="00F83954">
        <w:rPr>
          <w:szCs w:val="22"/>
        </w:rPr>
        <w:t>s expected PSC was related to psychosoc</w:t>
      </w:r>
      <w:r w:rsidR="00B20172" w:rsidRPr="008D1759">
        <w:rPr>
          <w:szCs w:val="22"/>
        </w:rPr>
        <w:t>ial work conditions; high levels of PSC</w:t>
      </w:r>
      <w:r w:rsidR="0070766D" w:rsidRPr="00F83954">
        <w:rPr>
          <w:rStyle w:val="FootnoteReference"/>
          <w:szCs w:val="22"/>
        </w:rPr>
        <w:footnoteReference w:id="1"/>
      </w:r>
      <w:r w:rsidR="00B20172" w:rsidRPr="00F83954">
        <w:rPr>
          <w:szCs w:val="22"/>
        </w:rPr>
        <w:t xml:space="preserve"> </w:t>
      </w:r>
      <w:r w:rsidR="000E4FA8">
        <w:rPr>
          <w:szCs w:val="22"/>
        </w:rPr>
        <w:t>were</w:t>
      </w:r>
      <w:r w:rsidR="009C7100">
        <w:rPr>
          <w:szCs w:val="22"/>
        </w:rPr>
        <w:t xml:space="preserve"> </w:t>
      </w:r>
      <w:r w:rsidR="00B20172" w:rsidRPr="00F83954">
        <w:rPr>
          <w:szCs w:val="22"/>
        </w:rPr>
        <w:t>related to lower risk of bullying, violence and stress.</w:t>
      </w:r>
      <w:r w:rsidR="00B20172" w:rsidRPr="00437685">
        <w:rPr>
          <w:szCs w:val="22"/>
        </w:rPr>
        <w:t xml:space="preserve"> Researchers found that results were consistent with a novel psychosocial pathway whereby union representation</w:t>
      </w:r>
      <w:r w:rsidR="001B661A">
        <w:rPr>
          <w:szCs w:val="22"/>
        </w:rPr>
        <w:t xml:space="preserve"> within organisations,</w:t>
      </w:r>
      <w:r w:rsidR="00B20172" w:rsidRPr="00437685">
        <w:rPr>
          <w:szCs w:val="22"/>
        </w:rPr>
        <w:t xml:space="preserve"> and psychosocial safety climate</w:t>
      </w:r>
      <w:r w:rsidR="001B661A">
        <w:rPr>
          <w:szCs w:val="22"/>
        </w:rPr>
        <w:t xml:space="preserve"> explained national differences in </w:t>
      </w:r>
      <w:r w:rsidR="00B20172" w:rsidRPr="00437685">
        <w:rPr>
          <w:szCs w:val="22"/>
        </w:rPr>
        <w:t>worker self-reported health</w:t>
      </w:r>
      <w:r w:rsidR="001B661A">
        <w:rPr>
          <w:szCs w:val="22"/>
        </w:rPr>
        <w:t xml:space="preserve">. In turn, worker health was related to national differences in </w:t>
      </w:r>
      <w:r w:rsidR="00B20172" w:rsidRPr="00437685">
        <w:rPr>
          <w:szCs w:val="22"/>
        </w:rPr>
        <w:t xml:space="preserve">life expectancy. This result was evident over and above the significant main effect of absolute income on life expectancy. </w:t>
      </w:r>
      <w:r w:rsidR="00D0593B" w:rsidRPr="00F83954">
        <w:rPr>
          <w:szCs w:val="22"/>
        </w:rPr>
        <w:t xml:space="preserve">This evidence </w:t>
      </w:r>
      <w:r w:rsidR="007B3FF5">
        <w:rPr>
          <w:szCs w:val="22"/>
        </w:rPr>
        <w:t>supports</w:t>
      </w:r>
      <w:r w:rsidR="00D0593B" w:rsidRPr="00F83954">
        <w:rPr>
          <w:szCs w:val="22"/>
        </w:rPr>
        <w:t xml:space="preserve"> </w:t>
      </w:r>
      <w:r w:rsidR="001B661A">
        <w:rPr>
          <w:szCs w:val="22"/>
        </w:rPr>
        <w:t>the</w:t>
      </w:r>
      <w:r w:rsidR="00221442" w:rsidRPr="00F83954">
        <w:rPr>
          <w:szCs w:val="22"/>
        </w:rPr>
        <w:t xml:space="preserve"> significance for </w:t>
      </w:r>
      <w:r w:rsidR="001B661A">
        <w:rPr>
          <w:szCs w:val="22"/>
        </w:rPr>
        <w:t xml:space="preserve">PSC at a national level for </w:t>
      </w:r>
      <w:r w:rsidR="00221442" w:rsidRPr="00F83954">
        <w:rPr>
          <w:szCs w:val="22"/>
        </w:rPr>
        <w:t>worker health</w:t>
      </w:r>
      <w:r w:rsidR="001B661A">
        <w:rPr>
          <w:szCs w:val="22"/>
        </w:rPr>
        <w:t xml:space="preserve">, and points to national work, </w:t>
      </w:r>
      <w:r w:rsidR="00897A0A">
        <w:rPr>
          <w:szCs w:val="22"/>
        </w:rPr>
        <w:t>work health and safety</w:t>
      </w:r>
      <w:r w:rsidR="001B661A">
        <w:rPr>
          <w:szCs w:val="22"/>
        </w:rPr>
        <w:t xml:space="preserve">, and social policy </w:t>
      </w:r>
      <w:r w:rsidR="001B661A">
        <w:rPr>
          <w:szCs w:val="22"/>
        </w:rPr>
        <w:lastRenderedPageBreak/>
        <w:t>differences between countries as an explanatory mechanism (via PSC) for between country differences in worker health.</w:t>
      </w:r>
    </w:p>
    <w:p w:rsidR="0076164D" w:rsidRPr="006C608B" w:rsidRDefault="0076164D" w:rsidP="006C608B">
      <w:pPr>
        <w:pStyle w:val="Heading2"/>
      </w:pPr>
      <w:bookmarkStart w:id="35" w:name="_Toc343502420"/>
      <w:r w:rsidRPr="006C608B">
        <w:t>Method</w:t>
      </w:r>
      <w:bookmarkEnd w:id="35"/>
    </w:p>
    <w:p w:rsidR="00AE09FE" w:rsidRPr="006466CB" w:rsidRDefault="00AE09FE" w:rsidP="006466CB">
      <w:pPr>
        <w:pStyle w:val="Heading3"/>
        <w:rPr>
          <w:rStyle w:val="IntenseEmphasis"/>
          <w:b/>
          <w:bCs/>
          <w:i w:val="0"/>
          <w:iCs w:val="0"/>
          <w:color w:val="000000"/>
        </w:rPr>
      </w:pPr>
      <w:bookmarkStart w:id="36" w:name="_Toc343502421"/>
      <w:r w:rsidRPr="006466CB">
        <w:rPr>
          <w:rStyle w:val="IntenseEmphasis"/>
          <w:b/>
          <w:bCs/>
          <w:i w:val="0"/>
          <w:iCs w:val="0"/>
          <w:color w:val="000000"/>
        </w:rPr>
        <w:t>Participants</w:t>
      </w:r>
      <w:bookmarkEnd w:id="36"/>
    </w:p>
    <w:p w:rsidR="00A97EA2" w:rsidRPr="006C608B" w:rsidRDefault="006D57C2" w:rsidP="00CE2B18">
      <w:r w:rsidRPr="006C608B">
        <w:t xml:space="preserve">Data was collected </w:t>
      </w:r>
      <w:r w:rsidR="002817CA" w:rsidRPr="006C608B">
        <w:t xml:space="preserve">from employed workers over the age of 18, randomly selected from New South Wales (NSW) (N = 1074) and Western Australia (WA) (N = </w:t>
      </w:r>
      <w:r w:rsidR="007F0528" w:rsidRPr="006C608B">
        <w:t>1156</w:t>
      </w:r>
      <w:r w:rsidR="006B273A" w:rsidRPr="006C608B">
        <w:t xml:space="preserve">) in 2009. </w:t>
      </w:r>
      <w:r w:rsidR="002817CA" w:rsidRPr="006C608B">
        <w:t xml:space="preserve">Further data collections </w:t>
      </w:r>
      <w:r w:rsidR="00C20E82" w:rsidRPr="006C608B">
        <w:t>occurred in 2010 with workers from</w:t>
      </w:r>
      <w:r w:rsidRPr="006C608B">
        <w:t xml:space="preserve"> </w:t>
      </w:r>
      <w:r w:rsidR="00477637" w:rsidRPr="006C608B">
        <w:t>NSW</w:t>
      </w:r>
      <w:r w:rsidR="00680677" w:rsidRPr="006C608B">
        <w:rPr>
          <w:rStyle w:val="FootnoteReference"/>
          <w:rFonts w:ascii="Calibri" w:hAnsi="Calibri" w:cs="Calibri"/>
        </w:rPr>
        <w:footnoteReference w:id="2"/>
      </w:r>
      <w:r w:rsidRPr="006C608B">
        <w:t xml:space="preserve"> (N = 725), </w:t>
      </w:r>
      <w:r w:rsidR="00477637" w:rsidRPr="006C608B">
        <w:t>WA</w:t>
      </w:r>
      <w:r w:rsidR="004A0483" w:rsidRPr="006C608B">
        <w:t xml:space="preserve"> </w:t>
      </w:r>
      <w:r w:rsidRPr="006C608B">
        <w:t xml:space="preserve">(N = 804), </w:t>
      </w:r>
      <w:r w:rsidR="00C20E82" w:rsidRPr="006C608B">
        <w:t xml:space="preserve">as well as participants randomly selected from </w:t>
      </w:r>
      <w:r w:rsidR="004A0483" w:rsidRPr="006C608B">
        <w:t xml:space="preserve">South Australia </w:t>
      </w:r>
      <w:r w:rsidR="00477637" w:rsidRPr="006C608B">
        <w:t xml:space="preserve">(SA) </w:t>
      </w:r>
      <w:r w:rsidRPr="006C608B">
        <w:t>(N = 1143)</w:t>
      </w:r>
      <w:r w:rsidR="006B273A" w:rsidRPr="006C608B">
        <w:t>.</w:t>
      </w:r>
      <w:r w:rsidR="00C20E82" w:rsidRPr="006C608B">
        <w:t xml:space="preserve"> In 2011 additional data was collected</w:t>
      </w:r>
      <w:r w:rsidRPr="006C608B">
        <w:t xml:space="preserve"> </w:t>
      </w:r>
      <w:r w:rsidR="00C20E82" w:rsidRPr="006C608B">
        <w:t xml:space="preserve">from </w:t>
      </w:r>
      <w:r w:rsidR="004A0483" w:rsidRPr="006C608B">
        <w:t xml:space="preserve">the Australian Capital Territory </w:t>
      </w:r>
      <w:r w:rsidR="00477637" w:rsidRPr="006C608B">
        <w:t xml:space="preserve">(ACT) </w:t>
      </w:r>
      <w:r w:rsidRPr="006C608B">
        <w:t xml:space="preserve">(N = 255), </w:t>
      </w:r>
      <w:r w:rsidR="004A0483" w:rsidRPr="006C608B">
        <w:t xml:space="preserve">Tasmania </w:t>
      </w:r>
      <w:r w:rsidRPr="006C608B">
        <w:t xml:space="preserve">(N = 416) and </w:t>
      </w:r>
      <w:r w:rsidR="004A0483" w:rsidRPr="006C608B">
        <w:t xml:space="preserve">the Northern Territory </w:t>
      </w:r>
      <w:r w:rsidR="00477637" w:rsidRPr="006C608B">
        <w:t xml:space="preserve">(NT) </w:t>
      </w:r>
      <w:r w:rsidRPr="006C608B">
        <w:t xml:space="preserve">(N = 170). This resulted in a total of </w:t>
      </w:r>
      <w:r w:rsidR="00222C8A" w:rsidRPr="006C608B">
        <w:t xml:space="preserve">5743 interviews </w:t>
      </w:r>
      <w:r w:rsidRPr="006C608B">
        <w:t>from a wide range of occupations and industries. Demographic data shows</w:t>
      </w:r>
      <w:r w:rsidR="007054F5" w:rsidRPr="006C608B">
        <w:t xml:space="preserve"> the sample </w:t>
      </w:r>
      <w:r w:rsidR="008C7214" w:rsidRPr="006C608B">
        <w:t>included</w:t>
      </w:r>
      <w:r w:rsidR="007054F5" w:rsidRPr="006C608B">
        <w:t xml:space="preserve"> </w:t>
      </w:r>
      <w:r w:rsidR="00222C8A" w:rsidRPr="006C608B">
        <w:t xml:space="preserve">approximately </w:t>
      </w:r>
      <w:r w:rsidR="007054F5" w:rsidRPr="006C608B">
        <w:t xml:space="preserve">45 per cent males and 55 per cent females with </w:t>
      </w:r>
      <w:r w:rsidR="00222C8A" w:rsidRPr="006C608B">
        <w:t>60</w:t>
      </w:r>
      <w:r w:rsidR="007054F5" w:rsidRPr="006C608B">
        <w:t xml:space="preserve"> per cent working full-time.</w:t>
      </w:r>
    </w:p>
    <w:p w:rsidR="00AE09FE" w:rsidRPr="006466CB" w:rsidRDefault="00AE09FE" w:rsidP="006466CB">
      <w:pPr>
        <w:pStyle w:val="Heading3"/>
        <w:rPr>
          <w:rStyle w:val="IntenseEmphasis"/>
          <w:b/>
          <w:bCs/>
          <w:i w:val="0"/>
          <w:iCs w:val="0"/>
          <w:color w:val="000000"/>
        </w:rPr>
      </w:pPr>
      <w:bookmarkStart w:id="37" w:name="_Toc343502422"/>
      <w:r w:rsidRPr="006466CB">
        <w:rPr>
          <w:rStyle w:val="IntenseEmphasis"/>
          <w:b/>
          <w:bCs/>
          <w:i w:val="0"/>
          <w:iCs w:val="0"/>
          <w:color w:val="000000"/>
        </w:rPr>
        <w:t>Measures</w:t>
      </w:r>
      <w:bookmarkEnd w:id="37"/>
    </w:p>
    <w:p w:rsidR="007054F5" w:rsidRDefault="008C7214" w:rsidP="00CE2B18">
      <w:pPr>
        <w:rPr>
          <w:szCs w:val="22"/>
        </w:rPr>
      </w:pPr>
      <w:r>
        <w:t>The scales select</w:t>
      </w:r>
      <w:r w:rsidR="007054F5">
        <w:t xml:space="preserve">ed for the AWB tool were taken from internationally recognised and </w:t>
      </w:r>
      <w:r w:rsidRPr="000D7D00">
        <w:rPr>
          <w:szCs w:val="22"/>
        </w:rPr>
        <w:t>psychometrically</w:t>
      </w:r>
      <w:r w:rsidR="007054F5" w:rsidRPr="000D7D00">
        <w:rPr>
          <w:szCs w:val="22"/>
        </w:rPr>
        <w:t xml:space="preserve"> validated measures to capture data on the following aspects:</w:t>
      </w:r>
    </w:p>
    <w:p w:rsidR="00437685" w:rsidRPr="00E4333A" w:rsidRDefault="00437685" w:rsidP="0023074F">
      <w:pPr>
        <w:pStyle w:val="ListParagraph"/>
        <w:numPr>
          <w:ilvl w:val="0"/>
          <w:numId w:val="17"/>
        </w:numPr>
        <w:rPr>
          <w:rFonts w:ascii="Arial" w:hAnsi="Arial" w:cs="Arial"/>
        </w:rPr>
      </w:pPr>
      <w:r w:rsidRPr="00E4333A">
        <w:rPr>
          <w:rFonts w:ascii="Arial" w:hAnsi="Arial" w:cs="Arial"/>
        </w:rPr>
        <w:t>Psychosocial Safety Climate (PSC)</w:t>
      </w:r>
    </w:p>
    <w:p w:rsidR="00437685" w:rsidRPr="00E4333A" w:rsidRDefault="00437685" w:rsidP="0023074F">
      <w:pPr>
        <w:pStyle w:val="ListParagraph"/>
        <w:numPr>
          <w:ilvl w:val="0"/>
          <w:numId w:val="17"/>
        </w:numPr>
        <w:rPr>
          <w:rFonts w:ascii="Arial" w:hAnsi="Arial" w:cs="Arial"/>
        </w:rPr>
      </w:pPr>
      <w:r w:rsidRPr="00E4333A">
        <w:rPr>
          <w:rFonts w:ascii="Arial" w:hAnsi="Arial" w:cs="Arial"/>
        </w:rPr>
        <w:t>Job demands - (work pressure, physical, emotional)</w:t>
      </w:r>
    </w:p>
    <w:p w:rsidR="00680677" w:rsidRPr="00E4333A" w:rsidRDefault="00437685" w:rsidP="0023074F">
      <w:pPr>
        <w:pStyle w:val="ListParagraph"/>
        <w:numPr>
          <w:ilvl w:val="0"/>
          <w:numId w:val="17"/>
        </w:numPr>
        <w:rPr>
          <w:rFonts w:ascii="Arial" w:hAnsi="Arial" w:cs="Arial"/>
        </w:rPr>
      </w:pPr>
      <w:r w:rsidRPr="00E4333A">
        <w:rPr>
          <w:rFonts w:ascii="Arial" w:hAnsi="Arial" w:cs="Arial"/>
        </w:rPr>
        <w:t xml:space="preserve">Organisational </w:t>
      </w:r>
      <w:r w:rsidR="00680677" w:rsidRPr="00E4333A">
        <w:rPr>
          <w:rFonts w:ascii="Arial" w:hAnsi="Arial" w:cs="Arial"/>
        </w:rPr>
        <w:t>Change</w:t>
      </w:r>
    </w:p>
    <w:p w:rsidR="00437685" w:rsidRPr="00E4333A" w:rsidRDefault="00680677" w:rsidP="0023074F">
      <w:pPr>
        <w:pStyle w:val="ListParagraph"/>
        <w:numPr>
          <w:ilvl w:val="0"/>
          <w:numId w:val="17"/>
        </w:numPr>
        <w:rPr>
          <w:rFonts w:ascii="Arial" w:hAnsi="Arial" w:cs="Arial"/>
        </w:rPr>
      </w:pPr>
      <w:r w:rsidRPr="00E4333A">
        <w:rPr>
          <w:rFonts w:ascii="Arial" w:hAnsi="Arial" w:cs="Arial"/>
        </w:rPr>
        <w:t>H</w:t>
      </w:r>
      <w:r w:rsidR="00437685" w:rsidRPr="00E4333A">
        <w:rPr>
          <w:rFonts w:ascii="Arial" w:hAnsi="Arial" w:cs="Arial"/>
        </w:rPr>
        <w:t>arassment</w:t>
      </w:r>
      <w:r w:rsidRPr="00E4333A">
        <w:rPr>
          <w:rFonts w:ascii="Arial" w:hAnsi="Arial" w:cs="Arial"/>
        </w:rPr>
        <w:t xml:space="preserve"> and B</w:t>
      </w:r>
      <w:r w:rsidR="00437685" w:rsidRPr="00E4333A">
        <w:rPr>
          <w:rFonts w:ascii="Arial" w:hAnsi="Arial" w:cs="Arial"/>
        </w:rPr>
        <w:t>ullying</w:t>
      </w:r>
    </w:p>
    <w:p w:rsidR="00437685" w:rsidRPr="00E4333A" w:rsidRDefault="00437685" w:rsidP="0023074F">
      <w:pPr>
        <w:pStyle w:val="ListParagraph"/>
        <w:numPr>
          <w:ilvl w:val="0"/>
          <w:numId w:val="17"/>
        </w:numPr>
        <w:rPr>
          <w:rFonts w:ascii="Arial" w:hAnsi="Arial" w:cs="Arial"/>
        </w:rPr>
      </w:pPr>
      <w:r w:rsidRPr="00E4333A">
        <w:rPr>
          <w:rFonts w:ascii="Arial" w:hAnsi="Arial" w:cs="Arial"/>
        </w:rPr>
        <w:t>Work-Family Conflict (WFC)</w:t>
      </w:r>
    </w:p>
    <w:p w:rsidR="00437685" w:rsidRPr="00E4333A" w:rsidRDefault="00437685" w:rsidP="0023074F">
      <w:pPr>
        <w:pStyle w:val="ListParagraph"/>
        <w:numPr>
          <w:ilvl w:val="0"/>
          <w:numId w:val="17"/>
        </w:numPr>
        <w:rPr>
          <w:rFonts w:ascii="Arial" w:hAnsi="Arial" w:cs="Arial"/>
        </w:rPr>
      </w:pPr>
      <w:r w:rsidRPr="00E4333A">
        <w:rPr>
          <w:rFonts w:ascii="Arial" w:hAnsi="Arial" w:cs="Arial"/>
        </w:rPr>
        <w:t>Job control - (skill discretion, decision authority, macro-decision latitude)</w:t>
      </w:r>
    </w:p>
    <w:p w:rsidR="00437685" w:rsidRPr="00E4333A" w:rsidRDefault="00437685" w:rsidP="0023074F">
      <w:pPr>
        <w:pStyle w:val="ListParagraph"/>
        <w:numPr>
          <w:ilvl w:val="0"/>
          <w:numId w:val="14"/>
        </w:numPr>
        <w:rPr>
          <w:rFonts w:ascii="Arial" w:hAnsi="Arial" w:cs="Arial"/>
        </w:rPr>
      </w:pPr>
      <w:r w:rsidRPr="00E4333A">
        <w:rPr>
          <w:rFonts w:ascii="Arial" w:hAnsi="Arial" w:cs="Arial"/>
        </w:rPr>
        <w:t>Resources - (</w:t>
      </w:r>
      <w:r w:rsidR="00680677" w:rsidRPr="00E4333A">
        <w:rPr>
          <w:rFonts w:ascii="Arial" w:hAnsi="Arial" w:cs="Arial"/>
        </w:rPr>
        <w:t xml:space="preserve">support supervisor social support, co-worker social support, </w:t>
      </w:r>
      <w:r w:rsidRPr="00E4333A">
        <w:rPr>
          <w:rFonts w:ascii="Arial" w:hAnsi="Arial" w:cs="Arial"/>
        </w:rPr>
        <w:t>justice, rewards)</w:t>
      </w:r>
    </w:p>
    <w:p w:rsidR="00437685" w:rsidRPr="00E4333A" w:rsidRDefault="00437685" w:rsidP="0023074F">
      <w:pPr>
        <w:pStyle w:val="ListParagraph"/>
        <w:numPr>
          <w:ilvl w:val="0"/>
          <w:numId w:val="14"/>
        </w:numPr>
        <w:rPr>
          <w:rFonts w:ascii="Arial" w:hAnsi="Arial" w:cs="Arial"/>
        </w:rPr>
      </w:pPr>
      <w:r w:rsidRPr="00E4333A">
        <w:rPr>
          <w:rFonts w:ascii="Arial" w:hAnsi="Arial" w:cs="Arial"/>
        </w:rPr>
        <w:t>Mental Health - (emotional exhaustion, psychological distress, depression)</w:t>
      </w:r>
    </w:p>
    <w:p w:rsidR="00437685" w:rsidRPr="00E4333A" w:rsidRDefault="00437685" w:rsidP="0023074F">
      <w:pPr>
        <w:pStyle w:val="ListParagraph"/>
        <w:numPr>
          <w:ilvl w:val="0"/>
          <w:numId w:val="14"/>
        </w:numPr>
        <w:rPr>
          <w:rFonts w:ascii="Arial" w:hAnsi="Arial" w:cs="Arial"/>
        </w:rPr>
      </w:pPr>
      <w:r w:rsidRPr="00E4333A">
        <w:rPr>
          <w:rFonts w:ascii="Arial" w:hAnsi="Arial" w:cs="Arial"/>
        </w:rPr>
        <w:t>Physical health - (general health)</w:t>
      </w:r>
    </w:p>
    <w:p w:rsidR="00437685" w:rsidRPr="00E4333A" w:rsidRDefault="00437685" w:rsidP="0023074F">
      <w:pPr>
        <w:pStyle w:val="ListParagraph"/>
        <w:numPr>
          <w:ilvl w:val="0"/>
          <w:numId w:val="14"/>
        </w:numPr>
        <w:rPr>
          <w:rFonts w:ascii="Arial" w:hAnsi="Arial" w:cs="Arial"/>
        </w:rPr>
      </w:pPr>
      <w:r w:rsidRPr="00E4333A">
        <w:rPr>
          <w:rFonts w:ascii="Arial" w:hAnsi="Arial" w:cs="Arial"/>
        </w:rPr>
        <w:t>Work outcomes - (productivity, absenteeism</w:t>
      </w:r>
      <w:r w:rsidR="00026C9D" w:rsidRPr="00E4333A">
        <w:rPr>
          <w:rFonts w:ascii="Arial" w:hAnsi="Arial" w:cs="Arial"/>
        </w:rPr>
        <w:t>, stress claims</w:t>
      </w:r>
      <w:r w:rsidRPr="00E4333A">
        <w:rPr>
          <w:rFonts w:ascii="Arial" w:hAnsi="Arial" w:cs="Arial"/>
        </w:rPr>
        <w:t>)</w:t>
      </w:r>
      <w:r w:rsidR="004A0483" w:rsidRPr="00E4333A">
        <w:rPr>
          <w:rFonts w:ascii="Arial" w:hAnsi="Arial" w:cs="Arial"/>
        </w:rPr>
        <w:t>, and</w:t>
      </w:r>
    </w:p>
    <w:p w:rsidR="00437685" w:rsidRPr="00CE2B18" w:rsidRDefault="00437685" w:rsidP="0023074F">
      <w:pPr>
        <w:pStyle w:val="ListParagraph"/>
        <w:numPr>
          <w:ilvl w:val="0"/>
          <w:numId w:val="14"/>
        </w:numPr>
        <w:rPr>
          <w:rFonts w:ascii="Arial" w:hAnsi="Arial" w:cs="Arial"/>
        </w:rPr>
      </w:pPr>
      <w:r w:rsidRPr="00E4333A">
        <w:rPr>
          <w:rFonts w:ascii="Arial" w:hAnsi="Arial" w:cs="Arial"/>
        </w:rPr>
        <w:t>Engagement - (vigour</w:t>
      </w:r>
      <w:r w:rsidR="00026C9D" w:rsidRPr="00E4333A">
        <w:rPr>
          <w:rFonts w:ascii="Arial" w:hAnsi="Arial" w:cs="Arial"/>
        </w:rPr>
        <w:t>,</w:t>
      </w:r>
      <w:r w:rsidRPr="00E4333A">
        <w:rPr>
          <w:rFonts w:ascii="Arial" w:hAnsi="Arial" w:cs="Arial"/>
        </w:rPr>
        <w:t xml:space="preserve"> dedication</w:t>
      </w:r>
      <w:r w:rsidR="00026C9D" w:rsidRPr="00E4333A">
        <w:rPr>
          <w:rFonts w:ascii="Arial" w:hAnsi="Arial" w:cs="Arial"/>
        </w:rPr>
        <w:t>,</w:t>
      </w:r>
      <w:r w:rsidRPr="00E4333A">
        <w:rPr>
          <w:rFonts w:ascii="Arial" w:hAnsi="Arial" w:cs="Arial"/>
        </w:rPr>
        <w:t xml:space="preserve"> absorption)</w:t>
      </w:r>
      <w:r w:rsidR="004A0483" w:rsidRPr="00CE2B18">
        <w:rPr>
          <w:rFonts w:ascii="Arial" w:hAnsi="Arial" w:cs="Arial"/>
        </w:rPr>
        <w:t>.</w:t>
      </w:r>
    </w:p>
    <w:p w:rsidR="00C57074" w:rsidRPr="002F6C68" w:rsidRDefault="00FF53B8" w:rsidP="00CE2B18">
      <w:pPr>
        <w:rPr>
          <w:rFonts w:eastAsia="Calibri"/>
          <w:szCs w:val="22"/>
          <w:lang w:eastAsia="en-US"/>
        </w:rPr>
      </w:pPr>
      <w:r w:rsidRPr="00437685">
        <w:rPr>
          <w:rFonts w:eastAsia="Calibri"/>
          <w:szCs w:val="22"/>
          <w:lang w:eastAsia="en-US"/>
        </w:rPr>
        <w:t>The AWB tool was developed from combining various well-known and internationally recognised psychometric measures. It includes the following measures:</w:t>
      </w:r>
    </w:p>
    <w:p w:rsidR="00FF53B8" w:rsidRPr="00CE2B18" w:rsidRDefault="00FF53B8" w:rsidP="006466CB">
      <w:pPr>
        <w:pStyle w:val="Heading3"/>
        <w:rPr>
          <w:lang w:eastAsia="en-US"/>
        </w:rPr>
      </w:pPr>
      <w:bookmarkStart w:id="38" w:name="_Toc343502423"/>
      <w:r w:rsidRPr="00CE2B18">
        <w:rPr>
          <w:lang w:eastAsia="en-US"/>
        </w:rPr>
        <w:t>Psychosocial Safety Climate</w:t>
      </w:r>
      <w:bookmarkEnd w:id="38"/>
    </w:p>
    <w:p w:rsidR="00BA6A03" w:rsidRDefault="00FF53B8" w:rsidP="00CE2B18">
      <w:pPr>
        <w:rPr>
          <w:rFonts w:eastAsia="Calibri"/>
          <w:lang w:eastAsia="en-US"/>
        </w:rPr>
      </w:pPr>
      <w:r w:rsidRPr="00437685">
        <w:rPr>
          <w:rFonts w:eastAsia="Calibri"/>
          <w:lang w:eastAsia="en-US"/>
        </w:rPr>
        <w:t>The PSC-12 (Hall, Dollard, &amp; Coward, 2010) comprises four domains each with three items; (1) senior management commitment and involvement in relation to stress prevention practices; (2) management priority measures employee perceptions of how management values employee psychological health and safety in comparison to productivity goals;</w:t>
      </w:r>
      <w:r w:rsidR="00680677">
        <w:rPr>
          <w:rFonts w:eastAsia="Calibri"/>
          <w:lang w:eastAsia="en-US"/>
        </w:rPr>
        <w:t xml:space="preserve"> </w:t>
      </w:r>
      <w:r w:rsidRPr="00437685">
        <w:rPr>
          <w:rFonts w:eastAsia="Calibri"/>
          <w:lang w:eastAsia="en-US"/>
        </w:rPr>
        <w:t>(3) organi</w:t>
      </w:r>
      <w:r w:rsidR="004A0483">
        <w:rPr>
          <w:rFonts w:eastAsia="Calibri"/>
          <w:lang w:eastAsia="en-US"/>
        </w:rPr>
        <w:t>s</w:t>
      </w:r>
      <w:r w:rsidRPr="00437685">
        <w:rPr>
          <w:rFonts w:eastAsia="Calibri"/>
          <w:lang w:eastAsia="en-US"/>
        </w:rPr>
        <w:t>ational communication, encompasses processes for employees to provide feedback on psychological wellbeing</w:t>
      </w:r>
      <w:r w:rsidR="00680677">
        <w:rPr>
          <w:rFonts w:eastAsia="Calibri"/>
          <w:lang w:eastAsia="en-US"/>
        </w:rPr>
        <w:t>; and</w:t>
      </w:r>
      <w:r w:rsidRPr="00437685">
        <w:rPr>
          <w:rFonts w:eastAsia="Calibri"/>
          <w:lang w:eastAsia="en-US"/>
        </w:rPr>
        <w:t xml:space="preserve"> (4) organisational participation, which relates to consultation regarding psychological health and safety issues with employees’ unions and </w:t>
      </w:r>
      <w:r w:rsidR="004A0483">
        <w:rPr>
          <w:rFonts w:eastAsia="Calibri"/>
          <w:lang w:eastAsia="en-US"/>
        </w:rPr>
        <w:t xml:space="preserve">Health and </w:t>
      </w:r>
      <w:r w:rsidR="004A0483">
        <w:rPr>
          <w:rFonts w:eastAsia="Calibri"/>
          <w:lang w:eastAsia="en-US"/>
        </w:rPr>
        <w:lastRenderedPageBreak/>
        <w:t>Safety</w:t>
      </w:r>
      <w:r w:rsidR="004A0483" w:rsidRPr="00437685">
        <w:rPr>
          <w:rFonts w:eastAsia="Calibri"/>
          <w:lang w:eastAsia="en-US"/>
        </w:rPr>
        <w:t xml:space="preserve"> </w:t>
      </w:r>
      <w:r w:rsidR="004A0483">
        <w:rPr>
          <w:rFonts w:eastAsia="Calibri"/>
          <w:lang w:eastAsia="en-US"/>
        </w:rPr>
        <w:t>R</w:t>
      </w:r>
      <w:r w:rsidRPr="00437685">
        <w:rPr>
          <w:rFonts w:eastAsia="Calibri"/>
          <w:lang w:eastAsia="en-US"/>
        </w:rPr>
        <w:t>epresentatives. Responses were made on</w:t>
      </w:r>
      <w:r w:rsidR="00FE4AC7" w:rsidRPr="00FE4AC7">
        <w:t xml:space="preserve"> </w:t>
      </w:r>
      <w:r w:rsidR="00BA6A03" w:rsidRPr="00437685">
        <w:rPr>
          <w:rFonts w:eastAsia="Calibri"/>
          <w:lang w:eastAsia="en-US"/>
        </w:rPr>
        <w:t>a 5-point Likert scale from 1 (</w:t>
      </w:r>
      <w:r w:rsidR="00BA6A03" w:rsidRPr="000E4FA8">
        <w:rPr>
          <w:rFonts w:eastAsia="Calibri"/>
          <w:i/>
          <w:lang w:eastAsia="en-US"/>
        </w:rPr>
        <w:t>strongly disagree</w:t>
      </w:r>
      <w:r w:rsidR="00BA6A03" w:rsidRPr="00437685">
        <w:rPr>
          <w:rFonts w:eastAsia="Calibri"/>
          <w:lang w:eastAsia="en-US"/>
        </w:rPr>
        <w:t>) to 5 (</w:t>
      </w:r>
      <w:r w:rsidR="00BA6A03" w:rsidRPr="000E4FA8">
        <w:rPr>
          <w:rFonts w:eastAsia="Calibri"/>
          <w:i/>
          <w:lang w:eastAsia="en-US"/>
        </w:rPr>
        <w:t>strongly agree</w:t>
      </w:r>
      <w:r w:rsidR="00BA6A03" w:rsidRPr="00437685">
        <w:rPr>
          <w:rFonts w:eastAsia="Calibri"/>
          <w:lang w:eastAsia="en-US"/>
        </w:rPr>
        <w:t xml:space="preserve">). </w:t>
      </w:r>
      <w:r w:rsidR="00BA6A03">
        <w:rPr>
          <w:rFonts w:eastAsia="Calibri"/>
          <w:lang w:eastAsia="en-US"/>
        </w:rPr>
        <w:t>Scores for each of the 12 items from all subscales are combined to provide the overall score ranging from a minimum 12 to maximum score of 60.</w:t>
      </w:r>
    </w:p>
    <w:p w:rsidR="00FF53B8" w:rsidRPr="00CE2B18" w:rsidRDefault="00CF4470" w:rsidP="006466CB">
      <w:pPr>
        <w:pStyle w:val="Heading3"/>
        <w:rPr>
          <w:lang w:val="en-CA" w:eastAsia="en-US"/>
        </w:rPr>
      </w:pPr>
      <w:bookmarkStart w:id="39" w:name="_Toc343502424"/>
      <w:r>
        <w:rPr>
          <w:lang w:val="en-CA" w:eastAsia="en-US"/>
        </w:rPr>
        <w:t>Job Demands</w:t>
      </w:r>
      <w:bookmarkEnd w:id="39"/>
    </w:p>
    <w:p w:rsidR="00FF53B8" w:rsidRPr="006466CB" w:rsidRDefault="00FF53B8" w:rsidP="006466CB">
      <w:pPr>
        <w:pStyle w:val="Heading4"/>
      </w:pPr>
      <w:r w:rsidRPr="006466CB">
        <w:t>Job Demands</w:t>
      </w:r>
    </w:p>
    <w:p w:rsidR="00FF53B8" w:rsidRPr="00437685" w:rsidRDefault="00FF53B8" w:rsidP="00CE2B18">
      <w:pPr>
        <w:rPr>
          <w:lang w:val="en-CA" w:eastAsia="en-US"/>
        </w:rPr>
      </w:pPr>
      <w:r w:rsidRPr="00437685">
        <w:rPr>
          <w:lang w:val="en-CA" w:eastAsia="en-US"/>
        </w:rPr>
        <w:t>Job Demands were measured with the Job Content Questionnaire (JCQ 2.0)</w:t>
      </w:r>
      <w:r w:rsidR="00B459D1">
        <w:rPr>
          <w:lang w:val="en-CA" w:eastAsia="en-US"/>
        </w:rPr>
        <w:t xml:space="preserve"> (Job Content Questionnaire Centre, 2012)</w:t>
      </w:r>
      <w:r w:rsidRPr="00437685">
        <w:rPr>
          <w:lang w:val="en-CA" w:eastAsia="en-US"/>
        </w:rPr>
        <w:t xml:space="preserve"> which includes the following subscales; physical demands (six items), work pressure (five items), and emotional demands (four items). Self-report data was recoded on reverse scored items to reflect the 4-point Likert scale from 1 (</w:t>
      </w:r>
      <w:r w:rsidRPr="00CF4470">
        <w:rPr>
          <w:i/>
          <w:lang w:val="en-CA" w:eastAsia="en-US"/>
        </w:rPr>
        <w:t>strongly disagree</w:t>
      </w:r>
      <w:r w:rsidRPr="00437685">
        <w:rPr>
          <w:lang w:val="en-CA" w:eastAsia="en-US"/>
        </w:rPr>
        <w:t>) to 4 (</w:t>
      </w:r>
      <w:r w:rsidRPr="00CF4470">
        <w:rPr>
          <w:i/>
          <w:lang w:val="en-CA" w:eastAsia="en-US"/>
        </w:rPr>
        <w:t>strongly agree</w:t>
      </w:r>
      <w:r w:rsidR="001208C2">
        <w:rPr>
          <w:lang w:val="en-CA" w:eastAsia="en-US"/>
        </w:rPr>
        <w:t>).</w:t>
      </w:r>
    </w:p>
    <w:p w:rsidR="00FF53B8" w:rsidRPr="0023074F" w:rsidRDefault="00FF53B8" w:rsidP="0023074F">
      <w:pPr>
        <w:pStyle w:val="Heading4"/>
      </w:pPr>
      <w:r w:rsidRPr="0023074F">
        <w:t>Organisational Change</w:t>
      </w:r>
    </w:p>
    <w:p w:rsidR="00FF53B8" w:rsidRPr="00437685" w:rsidRDefault="00FF53B8" w:rsidP="00CE2B18">
      <w:pPr>
        <w:rPr>
          <w:lang w:val="en-CA" w:eastAsia="en-US"/>
        </w:rPr>
      </w:pPr>
      <w:r w:rsidRPr="00437685">
        <w:rPr>
          <w:lang w:val="en-CA" w:eastAsia="en-US"/>
        </w:rPr>
        <w:t xml:space="preserve">The JCQ 2.0 was also used to measure organisational change. Five items were included, rated on the same 4-point Likert scale, asking participants to report the extent to which the given statement reflects their experiences at work. For example, </w:t>
      </w:r>
      <w:r w:rsidRPr="00437685">
        <w:rPr>
          <w:i/>
          <w:lang w:val="en-CA" w:eastAsia="en-US"/>
        </w:rPr>
        <w:t>‘In your company/organisation, there have been changes such as restructuring, downsizing, and layoffs that have significantly affected your job’.</w:t>
      </w:r>
    </w:p>
    <w:p w:rsidR="00FF53B8" w:rsidRPr="00CE2B18" w:rsidRDefault="00FF53B8" w:rsidP="0023074F">
      <w:pPr>
        <w:pStyle w:val="Heading4"/>
        <w:rPr>
          <w:lang w:val="en-CA" w:eastAsia="en-US"/>
        </w:rPr>
      </w:pPr>
      <w:r w:rsidRPr="00CE2B18">
        <w:rPr>
          <w:lang w:val="en-CA" w:eastAsia="en-US"/>
        </w:rPr>
        <w:t>Organisational Harassment</w:t>
      </w:r>
    </w:p>
    <w:p w:rsidR="00FF53B8" w:rsidRDefault="00FF53B8" w:rsidP="00CE2B18">
      <w:pPr>
        <w:rPr>
          <w:lang w:val="en-CA" w:eastAsia="en-US"/>
        </w:rPr>
      </w:pPr>
      <w:r w:rsidRPr="00437685">
        <w:rPr>
          <w:lang w:val="en-CA" w:eastAsia="en-US"/>
        </w:rPr>
        <w:t>A seven item scale employed by Richman, Flaherty and Rospenda (1996) was used to measure organisational harassment in the present study. Participants were asked to respond with the frequency that they experienced a variety of harassment situations in their workplace, from 1 (</w:t>
      </w:r>
      <w:r w:rsidRPr="00437685">
        <w:rPr>
          <w:i/>
          <w:lang w:val="en-CA" w:eastAsia="en-US"/>
        </w:rPr>
        <w:t>very rarely/ never</w:t>
      </w:r>
      <w:r w:rsidRPr="00437685">
        <w:rPr>
          <w:lang w:val="en-CA" w:eastAsia="en-US"/>
        </w:rPr>
        <w:t>) to 5 (</w:t>
      </w:r>
      <w:r w:rsidRPr="00437685">
        <w:rPr>
          <w:i/>
          <w:lang w:val="en-CA" w:eastAsia="en-US"/>
        </w:rPr>
        <w:t>very often/ always</w:t>
      </w:r>
      <w:r w:rsidRPr="00437685">
        <w:rPr>
          <w:lang w:val="en-CA" w:eastAsia="en-US"/>
        </w:rPr>
        <w:t xml:space="preserve">). </w:t>
      </w:r>
    </w:p>
    <w:p w:rsidR="00FF53B8" w:rsidRPr="00CE2B18" w:rsidRDefault="00FF53B8" w:rsidP="0023074F">
      <w:pPr>
        <w:pStyle w:val="Heading4"/>
        <w:rPr>
          <w:lang w:val="en-CA" w:eastAsia="en-US"/>
        </w:rPr>
      </w:pPr>
      <w:r w:rsidRPr="00CE2B18">
        <w:rPr>
          <w:lang w:val="en-CA" w:eastAsia="en-US"/>
        </w:rPr>
        <w:t>Bullying</w:t>
      </w:r>
    </w:p>
    <w:p w:rsidR="002C42D3" w:rsidRPr="002C42D3" w:rsidRDefault="002C42D3" w:rsidP="008A6B6D">
      <w:pPr>
        <w:rPr>
          <w:szCs w:val="22"/>
          <w:lang w:val="en-CA" w:eastAsia="en-US"/>
        </w:rPr>
      </w:pPr>
      <w:r w:rsidRPr="002C42D3">
        <w:t>Although some differences in legislation exist between each Australian state, in general bullying is defined as “</w:t>
      </w:r>
      <w:r w:rsidRPr="002C42D3">
        <w:rPr>
          <w:i/>
          <w:szCs w:val="22"/>
        </w:rPr>
        <w:t>repeated, unreasonable behaviour directed towards a worker or a group of workers, that creates a risk to health and safety</w:t>
      </w:r>
      <w:r w:rsidRPr="002C42D3">
        <w:t xml:space="preserve">” (Australian Government Productivity Commission, 2010, p.288). </w:t>
      </w:r>
      <w:r w:rsidR="00F854B0">
        <w:t>This definition is consistent with that used in this study.</w:t>
      </w:r>
    </w:p>
    <w:p w:rsidR="00F854B0" w:rsidRDefault="007B3FF5" w:rsidP="008A6B6D">
      <w:pPr>
        <w:rPr>
          <w:lang w:val="en-CA" w:eastAsia="en-US"/>
        </w:rPr>
      </w:pPr>
      <w:r>
        <w:rPr>
          <w:lang w:val="en-CA" w:eastAsia="en-US"/>
        </w:rPr>
        <w:t>A clear d</w:t>
      </w:r>
      <w:r w:rsidR="00FF53B8" w:rsidRPr="00437685">
        <w:rPr>
          <w:lang w:val="en-CA" w:eastAsia="en-US"/>
        </w:rPr>
        <w:t xml:space="preserve">efinition of bullying was </w:t>
      </w:r>
      <w:r>
        <w:rPr>
          <w:lang w:val="en-CA" w:eastAsia="en-US"/>
        </w:rPr>
        <w:t>given</w:t>
      </w:r>
      <w:r w:rsidR="00FF53B8" w:rsidRPr="00437685">
        <w:rPr>
          <w:lang w:val="en-CA" w:eastAsia="en-US"/>
        </w:rPr>
        <w:t xml:space="preserve"> for the present study as </w:t>
      </w:r>
      <w:r>
        <w:rPr>
          <w:lang w:val="en-CA" w:eastAsia="en-US"/>
        </w:rPr>
        <w:t xml:space="preserve">prior research shows wide variation in individual interpretations of bullying </w:t>
      </w:r>
      <w:r w:rsidR="00712485">
        <w:rPr>
          <w:lang w:val="en-CA" w:eastAsia="en-US"/>
        </w:rPr>
        <w:t>when participants self-label as</w:t>
      </w:r>
      <w:r>
        <w:rPr>
          <w:lang w:val="en-CA" w:eastAsia="en-US"/>
        </w:rPr>
        <w:t xml:space="preserve"> being bullied</w:t>
      </w:r>
      <w:r w:rsidR="00FF53B8" w:rsidRPr="00437685">
        <w:rPr>
          <w:lang w:val="en-CA" w:eastAsia="en-US"/>
        </w:rPr>
        <w:t>. The following was provided for the participant:</w:t>
      </w:r>
    </w:p>
    <w:p w:rsidR="00F854B0" w:rsidRPr="008A6B6D" w:rsidRDefault="00FF53B8" w:rsidP="004B18AE">
      <w:pPr>
        <w:pStyle w:val="Quote"/>
        <w:rPr>
          <w:lang w:val="en-CA" w:eastAsia="en-US"/>
        </w:rPr>
      </w:pPr>
      <w:r w:rsidRPr="008A6B6D">
        <w:rPr>
          <w:rFonts w:eastAsia="Calibri"/>
          <w:lang w:eastAsia="en-US"/>
        </w:rPr>
        <w:t>“Bullying is a problem at some work-places and for some workers. To label something, as bullying, the offensive behaviour has to occur repeatedly over a period of time, and the person confronted has to experience difficulties defending him or herself. The behaviour is not bullying if two parties of approximate equal “strength” are in conflict or the incident is an isolated event”</w:t>
      </w:r>
      <w:r w:rsidRPr="008A6B6D">
        <w:rPr>
          <w:lang w:val="en-CA" w:eastAsia="en-US"/>
        </w:rPr>
        <w:t xml:space="preserve"> (</w:t>
      </w:r>
      <w:r w:rsidRPr="008A6B6D">
        <w:rPr>
          <w:lang w:val="en-CA"/>
        </w:rPr>
        <w:t>Lindström</w:t>
      </w:r>
      <w:r w:rsidRPr="008A6B6D">
        <w:rPr>
          <w:lang w:val="en-CA" w:eastAsia="en-US"/>
        </w:rPr>
        <w:t xml:space="preserve"> et al., 2000).</w:t>
      </w:r>
    </w:p>
    <w:p w:rsidR="00473CEC" w:rsidRPr="008A6B6D" w:rsidRDefault="00FF53B8" w:rsidP="00FF53B8">
      <w:pPr>
        <w:spacing w:before="100" w:beforeAutospacing="1" w:after="100" w:afterAutospacing="1"/>
        <w:jc w:val="both"/>
        <w:rPr>
          <w:rFonts w:cs="Arial"/>
          <w:szCs w:val="22"/>
        </w:rPr>
      </w:pPr>
      <w:r w:rsidRPr="008A6B6D">
        <w:rPr>
          <w:rFonts w:cs="Arial"/>
          <w:szCs w:val="22"/>
          <w:lang w:val="en-CA" w:eastAsia="en-US"/>
        </w:rPr>
        <w:t xml:space="preserve">Further, </w:t>
      </w:r>
      <w:r w:rsidR="00D110AB" w:rsidRPr="008A6B6D">
        <w:rPr>
          <w:rFonts w:cs="Arial"/>
          <w:szCs w:val="22"/>
        </w:rPr>
        <w:t>t</w:t>
      </w:r>
      <w:r w:rsidRPr="008A6B6D">
        <w:rPr>
          <w:rFonts w:cs="Arial"/>
          <w:szCs w:val="22"/>
        </w:rPr>
        <w:t>he follo</w:t>
      </w:r>
      <w:r w:rsidR="00473CEC" w:rsidRPr="008A6B6D">
        <w:rPr>
          <w:rFonts w:cs="Arial"/>
          <w:szCs w:val="22"/>
        </w:rPr>
        <w:t>wing three questions were asked:</w:t>
      </w:r>
    </w:p>
    <w:p w:rsidR="00473CEC" w:rsidRPr="008A6B6D" w:rsidRDefault="00FF53B8" w:rsidP="0023074F">
      <w:pPr>
        <w:pStyle w:val="ListParagraph"/>
        <w:numPr>
          <w:ilvl w:val="0"/>
          <w:numId w:val="13"/>
        </w:numPr>
        <w:spacing w:before="100" w:beforeAutospacing="1" w:after="100" w:afterAutospacing="1"/>
        <w:jc w:val="both"/>
        <w:rPr>
          <w:rFonts w:ascii="Arial" w:hAnsi="Arial" w:cs="Arial"/>
          <w:lang w:val="en-CA"/>
        </w:rPr>
      </w:pPr>
      <w:r w:rsidRPr="008A6B6D">
        <w:rPr>
          <w:rFonts w:ascii="Arial" w:hAnsi="Arial" w:cs="Arial"/>
        </w:rPr>
        <w:t>‘</w:t>
      </w:r>
      <w:r w:rsidRPr="008A6B6D">
        <w:rPr>
          <w:rFonts w:ascii="Arial" w:hAnsi="Arial" w:cs="Arial"/>
          <w:i/>
        </w:rPr>
        <w:t>Have you been subjected to bullying at the workplace during the last 6 months?</w:t>
      </w:r>
      <w:r w:rsidRPr="008A6B6D">
        <w:rPr>
          <w:rFonts w:ascii="Arial" w:hAnsi="Arial" w:cs="Arial"/>
        </w:rPr>
        <w:t xml:space="preserve">’ (answer </w:t>
      </w:r>
      <w:r w:rsidRPr="008A6B6D">
        <w:rPr>
          <w:rFonts w:ascii="Arial" w:hAnsi="Arial" w:cs="Arial"/>
          <w:i/>
        </w:rPr>
        <w:t xml:space="preserve">yes </w:t>
      </w:r>
      <w:r w:rsidRPr="008A6B6D">
        <w:rPr>
          <w:rFonts w:ascii="Arial" w:hAnsi="Arial" w:cs="Arial"/>
        </w:rPr>
        <w:t xml:space="preserve">or </w:t>
      </w:r>
      <w:r w:rsidRPr="008A6B6D">
        <w:rPr>
          <w:rFonts w:ascii="Arial" w:hAnsi="Arial" w:cs="Arial"/>
          <w:i/>
        </w:rPr>
        <w:t>no</w:t>
      </w:r>
      <w:r w:rsidR="00473CEC" w:rsidRPr="008A6B6D">
        <w:rPr>
          <w:rFonts w:ascii="Arial" w:hAnsi="Arial" w:cs="Arial"/>
        </w:rPr>
        <w:t>)</w:t>
      </w:r>
    </w:p>
    <w:p w:rsidR="00473CEC" w:rsidRPr="008A6B6D" w:rsidRDefault="00FF53B8" w:rsidP="0023074F">
      <w:pPr>
        <w:pStyle w:val="ListParagraph"/>
        <w:numPr>
          <w:ilvl w:val="0"/>
          <w:numId w:val="13"/>
        </w:numPr>
        <w:spacing w:before="100" w:beforeAutospacing="1" w:after="100" w:afterAutospacing="1"/>
        <w:jc w:val="both"/>
        <w:rPr>
          <w:rFonts w:ascii="Arial" w:hAnsi="Arial" w:cs="Arial"/>
          <w:lang w:val="en-CA"/>
        </w:rPr>
      </w:pPr>
      <w:r w:rsidRPr="008A6B6D">
        <w:rPr>
          <w:rFonts w:ascii="Arial" w:hAnsi="Arial" w:cs="Arial"/>
          <w:i/>
        </w:rPr>
        <w:t>‘How often were you exposed to these bullying behaviours overall?’</w:t>
      </w:r>
      <w:r w:rsidRPr="008A6B6D">
        <w:rPr>
          <w:rFonts w:ascii="Arial" w:hAnsi="Arial" w:cs="Arial"/>
        </w:rPr>
        <w:t xml:space="preserve"> (5-point scale from 0 (</w:t>
      </w:r>
      <w:r w:rsidRPr="008A6B6D">
        <w:rPr>
          <w:rFonts w:ascii="Arial" w:hAnsi="Arial" w:cs="Arial"/>
          <w:i/>
        </w:rPr>
        <w:t>never</w:t>
      </w:r>
      <w:r w:rsidRPr="008A6B6D">
        <w:rPr>
          <w:rFonts w:ascii="Arial" w:hAnsi="Arial" w:cs="Arial"/>
        </w:rPr>
        <w:t>) to 4 (</w:t>
      </w:r>
      <w:r w:rsidRPr="008A6B6D">
        <w:rPr>
          <w:rFonts w:ascii="Arial" w:hAnsi="Arial" w:cs="Arial"/>
          <w:i/>
        </w:rPr>
        <w:t>daily</w:t>
      </w:r>
      <w:r w:rsidR="00473CEC" w:rsidRPr="008A6B6D">
        <w:rPr>
          <w:rFonts w:ascii="Arial" w:hAnsi="Arial" w:cs="Arial"/>
        </w:rPr>
        <w:t>)), and</w:t>
      </w:r>
    </w:p>
    <w:p w:rsidR="00FF53B8" w:rsidRPr="008A6B6D" w:rsidRDefault="00FF53B8" w:rsidP="0023074F">
      <w:pPr>
        <w:pStyle w:val="ListParagraph"/>
        <w:numPr>
          <w:ilvl w:val="0"/>
          <w:numId w:val="13"/>
        </w:numPr>
        <w:spacing w:before="100" w:beforeAutospacing="1" w:after="100" w:afterAutospacing="1"/>
        <w:jc w:val="both"/>
        <w:rPr>
          <w:rFonts w:ascii="Arial" w:hAnsi="Arial" w:cs="Arial"/>
          <w:lang w:val="en-CA"/>
        </w:rPr>
      </w:pPr>
      <w:r w:rsidRPr="008A6B6D">
        <w:rPr>
          <w:rFonts w:ascii="Arial" w:hAnsi="Arial" w:cs="Arial"/>
          <w:i/>
        </w:rPr>
        <w:lastRenderedPageBreak/>
        <w:t>‘How long were you exposed to these bullying behaviours overall?’</w:t>
      </w:r>
      <w:r w:rsidRPr="008A6B6D">
        <w:rPr>
          <w:rFonts w:ascii="Arial" w:hAnsi="Arial" w:cs="Arial"/>
        </w:rPr>
        <w:t xml:space="preserve"> (5-point scale from 1: </w:t>
      </w:r>
      <w:r w:rsidRPr="008A6B6D">
        <w:rPr>
          <w:rFonts w:ascii="Arial" w:hAnsi="Arial" w:cs="Arial"/>
          <w:i/>
        </w:rPr>
        <w:t>less than one month</w:t>
      </w:r>
      <w:r w:rsidRPr="008A6B6D">
        <w:rPr>
          <w:rFonts w:ascii="Arial" w:hAnsi="Arial" w:cs="Arial"/>
        </w:rPr>
        <w:t xml:space="preserve"> to 5: </w:t>
      </w:r>
      <w:r w:rsidRPr="008A6B6D">
        <w:rPr>
          <w:rFonts w:ascii="Arial" w:hAnsi="Arial" w:cs="Arial"/>
          <w:i/>
        </w:rPr>
        <w:t>more than 2 years</w:t>
      </w:r>
      <w:r w:rsidRPr="008A6B6D">
        <w:rPr>
          <w:rFonts w:ascii="Arial" w:hAnsi="Arial" w:cs="Arial"/>
        </w:rPr>
        <w:t xml:space="preserve">). </w:t>
      </w:r>
    </w:p>
    <w:p w:rsidR="00FF53B8" w:rsidRPr="008A6B6D" w:rsidRDefault="00FF53B8" w:rsidP="0023074F">
      <w:pPr>
        <w:pStyle w:val="Heading4"/>
      </w:pPr>
      <w:r w:rsidRPr="008A6B6D">
        <w:t>Work-Family Conflict</w:t>
      </w:r>
    </w:p>
    <w:p w:rsidR="00FF53B8" w:rsidRDefault="00FF53B8" w:rsidP="008A6B6D">
      <w:r w:rsidRPr="00437685">
        <w:t xml:space="preserve">Work-Family Conflict was measured by asking participants about how work affected their home lives. Five items measuring time and strain-based conflict from Netemeyer, Boles and McMurrian’s (1996) work-family conflict scale were selected for use in the present study. An example of the former includes </w:t>
      </w:r>
      <w:r w:rsidRPr="00437685">
        <w:rPr>
          <w:i/>
        </w:rPr>
        <w:t>‘My job produces strain that makes it difficult to fulfil family duties’</w:t>
      </w:r>
      <w:r w:rsidRPr="00437685">
        <w:t>, whil</w:t>
      </w:r>
      <w:r w:rsidR="00477637">
        <w:t>e</w:t>
      </w:r>
      <w:r w:rsidRPr="00437685">
        <w:t xml:space="preserve"> the later included </w:t>
      </w:r>
      <w:r w:rsidRPr="00437685">
        <w:rPr>
          <w:i/>
        </w:rPr>
        <w:t>‘The amount of time my job takes up makes it difficult to fulfil my family responsibilities’</w:t>
      </w:r>
      <w:r w:rsidRPr="00437685">
        <w:t>. Responses to the items were made on a 7-point Likert scale from 1 (</w:t>
      </w:r>
      <w:r w:rsidRPr="00437685">
        <w:rPr>
          <w:i/>
        </w:rPr>
        <w:t>strongly disagree</w:t>
      </w:r>
      <w:r w:rsidRPr="00437685">
        <w:t>) to 7 (</w:t>
      </w:r>
      <w:r w:rsidRPr="00437685">
        <w:rPr>
          <w:i/>
        </w:rPr>
        <w:t>strongly agree</w:t>
      </w:r>
      <w:r w:rsidRPr="00437685">
        <w:t xml:space="preserve">). </w:t>
      </w:r>
    </w:p>
    <w:p w:rsidR="000E2FFA" w:rsidRPr="008A6B6D" w:rsidRDefault="000E2FFA" w:rsidP="0023074F">
      <w:pPr>
        <w:pStyle w:val="Heading4"/>
      </w:pPr>
      <w:r w:rsidRPr="008A6B6D">
        <w:t>Working hours</w:t>
      </w:r>
    </w:p>
    <w:p w:rsidR="000E2FFA" w:rsidRDefault="000E2FFA" w:rsidP="008A6B6D">
      <w:pPr>
        <w:rPr>
          <w:lang w:val="en-CA"/>
        </w:rPr>
      </w:pPr>
      <w:r w:rsidRPr="000E2FFA">
        <w:rPr>
          <w:lang w:val="en-CA"/>
        </w:rPr>
        <w:t xml:space="preserve">Working hours was measured in this study using a single item which asked participants to report how many hours they worked in the last seven days. </w:t>
      </w:r>
    </w:p>
    <w:p w:rsidR="00FF53B8" w:rsidRPr="008A6B6D" w:rsidRDefault="00FF53B8" w:rsidP="0023074F">
      <w:pPr>
        <w:pStyle w:val="Heading3"/>
      </w:pPr>
      <w:bookmarkStart w:id="40" w:name="_Toc343502425"/>
      <w:r w:rsidRPr="008A6B6D">
        <w:t>Job Resources</w:t>
      </w:r>
      <w:bookmarkEnd w:id="40"/>
    </w:p>
    <w:p w:rsidR="00FF53B8" w:rsidRPr="008A6B6D" w:rsidRDefault="00FF53B8" w:rsidP="0023074F">
      <w:pPr>
        <w:pStyle w:val="Heading4"/>
      </w:pPr>
      <w:r w:rsidRPr="008A6B6D">
        <w:t xml:space="preserve">Job Control </w:t>
      </w:r>
    </w:p>
    <w:p w:rsidR="00FF53B8" w:rsidRPr="006A2C33" w:rsidRDefault="00FF53B8" w:rsidP="008A6B6D">
      <w:r w:rsidRPr="006A2C33">
        <w:t>Scales from the JCQ 2.0 were also used to measure the following three job control constructs; skill discretion (6 items, e.g. ‘</w:t>
      </w:r>
      <w:r w:rsidRPr="006A2C33">
        <w:rPr>
          <w:i/>
        </w:rPr>
        <w:t>I have an opportunity to develop my own special abilities</w:t>
      </w:r>
      <w:r w:rsidRPr="006A2C33">
        <w:t>’); decision authority (4 items, e.g. ‘</w:t>
      </w:r>
      <w:r w:rsidRPr="006A2C33">
        <w:rPr>
          <w:i/>
        </w:rPr>
        <w:t>My job allows me to make decisions on my own</w:t>
      </w:r>
      <w:r w:rsidRPr="006A2C33">
        <w:t>’); and macro-decision latitude (3 items, e.g. ‘</w:t>
      </w:r>
      <w:r w:rsidRPr="006A2C33">
        <w:rPr>
          <w:i/>
        </w:rPr>
        <w:t>In my company/organisation, I have significant influence over decisions made by my work team or department</w:t>
      </w:r>
      <w:r w:rsidRPr="006A2C33">
        <w:t xml:space="preserve">’). </w:t>
      </w:r>
      <w:r w:rsidR="007B3FF5" w:rsidRPr="006A2C33">
        <w:t xml:space="preserve">A </w:t>
      </w:r>
      <w:r w:rsidRPr="006A2C33">
        <w:t>Likert response format was used for all</w:t>
      </w:r>
      <w:r w:rsidRPr="006A2C33">
        <w:rPr>
          <w:lang w:val="en-CA" w:eastAsia="en-US"/>
        </w:rPr>
        <w:t xml:space="preserve"> items, with responses ranging from 1 (</w:t>
      </w:r>
      <w:r w:rsidRPr="006C608B">
        <w:rPr>
          <w:i/>
          <w:lang w:val="en-CA" w:eastAsia="en-US"/>
        </w:rPr>
        <w:t>strongly disagree</w:t>
      </w:r>
      <w:r w:rsidRPr="006A2C33">
        <w:rPr>
          <w:lang w:val="en-CA" w:eastAsia="en-US"/>
        </w:rPr>
        <w:t>) to 4 (</w:t>
      </w:r>
      <w:r w:rsidRPr="006C608B">
        <w:rPr>
          <w:i/>
          <w:lang w:val="en-CA" w:eastAsia="en-US"/>
        </w:rPr>
        <w:t>strongly agree</w:t>
      </w:r>
      <w:r w:rsidRPr="006A2C33">
        <w:rPr>
          <w:lang w:val="en-CA" w:eastAsia="en-US"/>
        </w:rPr>
        <w:t xml:space="preserve">). </w:t>
      </w:r>
    </w:p>
    <w:p w:rsidR="00FF53B8" w:rsidRPr="008A6B6D" w:rsidRDefault="00FF53B8" w:rsidP="0023074F">
      <w:pPr>
        <w:pStyle w:val="Heading4"/>
        <w:rPr>
          <w:lang w:val="en-CA" w:eastAsia="en-US"/>
        </w:rPr>
      </w:pPr>
      <w:r w:rsidRPr="008A6B6D">
        <w:rPr>
          <w:lang w:val="en-CA" w:eastAsia="en-US"/>
        </w:rPr>
        <w:t>Social Support</w:t>
      </w:r>
    </w:p>
    <w:p w:rsidR="00701CDF" w:rsidRPr="006A2C33" w:rsidRDefault="00FF53B8" w:rsidP="008A6B6D">
      <w:pPr>
        <w:rPr>
          <w:lang w:val="en-CA" w:eastAsia="en-US"/>
        </w:rPr>
      </w:pPr>
      <w:r w:rsidRPr="006A2C33">
        <w:rPr>
          <w:lang w:val="en-CA" w:eastAsia="en-US"/>
        </w:rPr>
        <w:t>Measures were taken from the JCQ 2.0 to measure both supervisor social support (3-item scale, e.g. ‘</w:t>
      </w:r>
      <w:r w:rsidR="00EE248F" w:rsidRPr="006A2C33">
        <w:rPr>
          <w:rFonts w:eastAsia="Calibri"/>
          <w:i/>
          <w:lang w:eastAsia="en-US"/>
        </w:rPr>
        <w:t xml:space="preserve">My </w:t>
      </w:r>
      <w:r w:rsidRPr="006A2C33">
        <w:rPr>
          <w:rFonts w:eastAsia="Calibri"/>
          <w:i/>
          <w:lang w:eastAsia="en-US"/>
        </w:rPr>
        <w:t>supervisor/manage</w:t>
      </w:r>
      <w:r w:rsidR="009F2F41">
        <w:rPr>
          <w:rFonts w:eastAsia="Calibri"/>
          <w:i/>
          <w:lang w:eastAsia="en-US"/>
        </w:rPr>
        <w:t>r</w:t>
      </w:r>
      <w:r w:rsidRPr="006A2C33">
        <w:rPr>
          <w:rFonts w:eastAsia="Calibri"/>
          <w:i/>
          <w:lang w:eastAsia="en-US"/>
        </w:rPr>
        <w:t xml:space="preserve"> is helpful in getting the job done</w:t>
      </w:r>
      <w:r w:rsidRPr="006A2C33">
        <w:rPr>
          <w:rFonts w:eastAsia="Calibri"/>
          <w:lang w:eastAsia="en-US"/>
        </w:rPr>
        <w:t>’</w:t>
      </w:r>
      <w:r w:rsidRPr="006A2C33">
        <w:rPr>
          <w:lang w:val="en-CA" w:eastAsia="en-US"/>
        </w:rPr>
        <w:t>), and co-worker social support (3-item scale, e.g. ‘</w:t>
      </w:r>
      <w:r w:rsidRPr="006A2C33">
        <w:rPr>
          <w:rFonts w:eastAsia="Calibri"/>
          <w:i/>
          <w:lang w:eastAsia="en-US"/>
        </w:rPr>
        <w:t>I am treated with respect by my co-workers</w:t>
      </w:r>
      <w:r w:rsidRPr="006A2C33">
        <w:rPr>
          <w:rFonts w:eastAsia="Calibri"/>
          <w:lang w:eastAsia="en-US"/>
        </w:rPr>
        <w:t>’</w:t>
      </w:r>
      <w:r w:rsidRPr="006A2C33">
        <w:rPr>
          <w:lang w:val="en-CA" w:eastAsia="en-US"/>
        </w:rPr>
        <w:t>). Responses ranged from 1 (</w:t>
      </w:r>
      <w:r w:rsidRPr="006C608B">
        <w:rPr>
          <w:i/>
          <w:lang w:val="en-CA" w:eastAsia="en-US"/>
        </w:rPr>
        <w:t>strongly disagree</w:t>
      </w:r>
      <w:r w:rsidRPr="006A2C33">
        <w:rPr>
          <w:lang w:val="en-CA" w:eastAsia="en-US"/>
        </w:rPr>
        <w:t>) to 4 (</w:t>
      </w:r>
      <w:r w:rsidRPr="006C608B">
        <w:rPr>
          <w:i/>
          <w:lang w:val="en-CA" w:eastAsia="en-US"/>
        </w:rPr>
        <w:t>strongly agree</w:t>
      </w:r>
      <w:r w:rsidRPr="006A2C33">
        <w:rPr>
          <w:lang w:val="en-CA" w:eastAsia="en-US"/>
        </w:rPr>
        <w:t>), plus an alternate option to complete if the participant did not have a supervisor or co-workers.</w:t>
      </w:r>
    </w:p>
    <w:p w:rsidR="00FF53B8" w:rsidRPr="008A6B6D" w:rsidRDefault="00FF53B8" w:rsidP="0023074F">
      <w:pPr>
        <w:pStyle w:val="Heading4"/>
        <w:rPr>
          <w:lang w:val="en-CA" w:eastAsia="en-US"/>
        </w:rPr>
      </w:pPr>
      <w:r w:rsidRPr="008A6B6D">
        <w:rPr>
          <w:lang w:val="en-CA" w:eastAsia="en-US"/>
        </w:rPr>
        <w:t>Organisational Justice</w:t>
      </w:r>
    </w:p>
    <w:p w:rsidR="00FF53B8" w:rsidRPr="006A2C33" w:rsidRDefault="00FF53B8" w:rsidP="008A6B6D">
      <w:pPr>
        <w:rPr>
          <w:lang w:val="en-CA" w:eastAsia="en-US"/>
        </w:rPr>
      </w:pPr>
      <w:r w:rsidRPr="006A2C33">
        <w:rPr>
          <w:lang w:val="en-CA" w:eastAsia="en-US"/>
        </w:rPr>
        <w:t>The JCQ 2.0 was again used to measure organisational procedural justice using a total of four items, scored on a 4-point Likert scale, ranging from 1 (</w:t>
      </w:r>
      <w:r w:rsidRPr="006C608B">
        <w:rPr>
          <w:i/>
          <w:lang w:val="en-CA" w:eastAsia="en-US"/>
        </w:rPr>
        <w:t>strongly disagree</w:t>
      </w:r>
      <w:r w:rsidRPr="006A2C33">
        <w:rPr>
          <w:lang w:val="en-CA" w:eastAsia="en-US"/>
        </w:rPr>
        <w:t>) to 4 (</w:t>
      </w:r>
      <w:r w:rsidRPr="006C608B">
        <w:rPr>
          <w:i/>
          <w:lang w:val="en-CA" w:eastAsia="en-US"/>
        </w:rPr>
        <w:t>strongly agree</w:t>
      </w:r>
      <w:r w:rsidRPr="006A2C33">
        <w:rPr>
          <w:lang w:val="en-CA" w:eastAsia="en-US"/>
        </w:rPr>
        <w:t>). An example item from this scale includes: ‘</w:t>
      </w:r>
      <w:r w:rsidRPr="006C608B">
        <w:rPr>
          <w:i/>
          <w:lang w:val="en-CA" w:eastAsia="en-US"/>
        </w:rPr>
        <w:t>In my company/ organisation, procedures are designed to provide opportunities to appeal or challenge a decision</w:t>
      </w:r>
      <w:r w:rsidRPr="006A2C33">
        <w:rPr>
          <w:lang w:val="en-CA" w:eastAsia="en-US"/>
        </w:rPr>
        <w:t>’.</w:t>
      </w:r>
    </w:p>
    <w:p w:rsidR="00FF53B8" w:rsidRPr="008A6B6D" w:rsidRDefault="00FF53B8" w:rsidP="0023074F">
      <w:pPr>
        <w:pStyle w:val="Heading4"/>
        <w:rPr>
          <w:lang w:val="en-CA" w:eastAsia="en-US"/>
        </w:rPr>
      </w:pPr>
      <w:r w:rsidRPr="008A6B6D">
        <w:rPr>
          <w:lang w:val="en-CA" w:eastAsia="en-US"/>
        </w:rPr>
        <w:t xml:space="preserve">Organisational Rewards </w:t>
      </w:r>
    </w:p>
    <w:p w:rsidR="00FF53B8" w:rsidRDefault="00FF53B8" w:rsidP="008A6B6D">
      <w:pPr>
        <w:rPr>
          <w:lang w:val="en-CA" w:eastAsia="en-US"/>
        </w:rPr>
      </w:pPr>
      <w:r w:rsidRPr="00437685">
        <w:rPr>
          <w:lang w:val="en-CA" w:eastAsia="en-US"/>
        </w:rPr>
        <w:t>The Effort-Reward Imbalance scale (ERI; Siegrist, 1996) was sourced to measure organisational rewards. Four specific items were selected for use in the present study taken from the esteem reward component (1 item), the job promotion reward component (2 items), and the job security reward component (1 item). Responses were made on a 4-point Likert scale to be consistent with above measures 1</w:t>
      </w:r>
      <w:r w:rsidR="00A32749">
        <w:rPr>
          <w:lang w:val="en-CA" w:eastAsia="en-US"/>
        </w:rPr>
        <w:t xml:space="preserve"> (</w:t>
      </w:r>
      <w:r w:rsidRPr="00437685">
        <w:rPr>
          <w:i/>
          <w:lang w:val="en-CA" w:eastAsia="en-US"/>
        </w:rPr>
        <w:t>strongly disagree</w:t>
      </w:r>
      <w:r w:rsidR="00A32749">
        <w:rPr>
          <w:i/>
          <w:lang w:val="en-CA" w:eastAsia="en-US"/>
        </w:rPr>
        <w:t>)</w:t>
      </w:r>
      <w:r w:rsidRPr="00437685">
        <w:rPr>
          <w:lang w:val="en-CA" w:eastAsia="en-US"/>
        </w:rPr>
        <w:t xml:space="preserve"> to 4</w:t>
      </w:r>
      <w:r w:rsidR="00A32749">
        <w:rPr>
          <w:lang w:val="en-CA" w:eastAsia="en-US"/>
        </w:rPr>
        <w:t xml:space="preserve"> (</w:t>
      </w:r>
      <w:r w:rsidRPr="00437685">
        <w:rPr>
          <w:i/>
          <w:lang w:val="en-CA" w:eastAsia="en-US"/>
        </w:rPr>
        <w:t>strongly agree</w:t>
      </w:r>
      <w:r w:rsidRPr="00437685">
        <w:rPr>
          <w:lang w:val="en-CA" w:eastAsia="en-US"/>
        </w:rPr>
        <w:t>).</w:t>
      </w:r>
    </w:p>
    <w:p w:rsidR="008475B9" w:rsidRDefault="008475B9">
      <w:pPr>
        <w:spacing w:after="0" w:line="240" w:lineRule="auto"/>
        <w:rPr>
          <w:lang w:val="en-CA" w:eastAsia="en-US"/>
        </w:rPr>
      </w:pPr>
      <w:r>
        <w:rPr>
          <w:lang w:val="en-CA" w:eastAsia="en-US"/>
        </w:rPr>
        <w:br w:type="page"/>
      </w:r>
    </w:p>
    <w:p w:rsidR="00FF53B8" w:rsidRPr="008A6B6D" w:rsidRDefault="00FF53B8" w:rsidP="0023074F">
      <w:pPr>
        <w:pStyle w:val="Heading3"/>
        <w:rPr>
          <w:lang w:val="en-CA" w:eastAsia="en-US"/>
        </w:rPr>
      </w:pPr>
      <w:bookmarkStart w:id="41" w:name="_Toc343502426"/>
      <w:r w:rsidRPr="008A6B6D">
        <w:rPr>
          <w:lang w:val="en-CA" w:eastAsia="en-US"/>
        </w:rPr>
        <w:lastRenderedPageBreak/>
        <w:t>Health Outcomes</w:t>
      </w:r>
      <w:bookmarkEnd w:id="41"/>
    </w:p>
    <w:p w:rsidR="00FF53B8" w:rsidRPr="008A6B6D" w:rsidRDefault="00FF53B8" w:rsidP="0023074F">
      <w:pPr>
        <w:pStyle w:val="Heading4"/>
        <w:rPr>
          <w:lang w:val="en-CA" w:eastAsia="en-US"/>
        </w:rPr>
      </w:pPr>
      <w:r w:rsidRPr="008A6B6D">
        <w:rPr>
          <w:lang w:val="en-CA" w:eastAsia="en-US"/>
        </w:rPr>
        <w:t>Emotional Exhaustion</w:t>
      </w:r>
    </w:p>
    <w:p w:rsidR="00FF53B8" w:rsidRPr="00437685" w:rsidRDefault="00FF53B8" w:rsidP="008A6B6D">
      <w:pPr>
        <w:rPr>
          <w:lang w:val="en-CA" w:eastAsia="en-US"/>
        </w:rPr>
      </w:pPr>
      <w:bookmarkStart w:id="42" w:name="_Toc324855806"/>
      <w:bookmarkStart w:id="43" w:name="_Toc324856728"/>
      <w:bookmarkStart w:id="44" w:name="_Toc324856958"/>
      <w:bookmarkStart w:id="45" w:name="_Toc325374179"/>
      <w:bookmarkStart w:id="46" w:name="_Toc328750127"/>
      <w:bookmarkStart w:id="47" w:name="_Toc328750324"/>
      <w:bookmarkStart w:id="48" w:name="_Toc335299974"/>
      <w:bookmarkStart w:id="49" w:name="_Toc335386668"/>
      <w:bookmarkStart w:id="50" w:name="_Toc339537927"/>
      <w:r w:rsidRPr="00437685">
        <w:rPr>
          <w:lang w:val="en-CA" w:eastAsia="en-US"/>
        </w:rPr>
        <w:t xml:space="preserve">Emotional exhaustion was measured through a selection of five items from the Maslach Burnout Inventory (MBI; Schaufeli, Leiter, Maslach, &amp; Jackson, 1996). Items such as </w:t>
      </w:r>
      <w:r w:rsidRPr="00437685">
        <w:rPr>
          <w:rFonts w:eastAsia="Calibri"/>
          <w:i/>
          <w:lang w:eastAsia="en-US"/>
        </w:rPr>
        <w:t>‘I feel tired when I get up in the morning and have to face another day on the job’</w:t>
      </w:r>
      <w:r w:rsidRPr="00437685">
        <w:rPr>
          <w:rFonts w:eastAsia="Calibri"/>
          <w:lang w:eastAsia="en-US"/>
        </w:rPr>
        <w:t xml:space="preserve"> </w:t>
      </w:r>
      <w:r w:rsidRPr="00437685">
        <w:rPr>
          <w:lang w:val="en-CA" w:eastAsia="en-US"/>
        </w:rPr>
        <w:t>were answered on a 7-point scale, ranging from 1 (</w:t>
      </w:r>
      <w:r w:rsidRPr="00437685">
        <w:rPr>
          <w:i/>
          <w:lang w:val="en-CA" w:eastAsia="en-US"/>
        </w:rPr>
        <w:t>never</w:t>
      </w:r>
      <w:r w:rsidRPr="00437685">
        <w:rPr>
          <w:lang w:val="en-CA" w:eastAsia="en-US"/>
        </w:rPr>
        <w:t>) to 7 (</w:t>
      </w:r>
      <w:r w:rsidR="00A32749">
        <w:rPr>
          <w:i/>
          <w:lang w:val="en-CA" w:eastAsia="en-US"/>
        </w:rPr>
        <w:t>every day</w:t>
      </w:r>
      <w:r w:rsidRPr="00437685">
        <w:rPr>
          <w:i/>
          <w:lang w:val="en-CA" w:eastAsia="en-US"/>
        </w:rPr>
        <w:t>)</w:t>
      </w:r>
      <w:r w:rsidRPr="00437685">
        <w:rPr>
          <w:lang w:val="en-CA" w:eastAsia="en-US"/>
        </w:rPr>
        <w:t>.</w:t>
      </w:r>
      <w:bookmarkEnd w:id="42"/>
      <w:bookmarkEnd w:id="43"/>
      <w:bookmarkEnd w:id="44"/>
      <w:bookmarkEnd w:id="45"/>
      <w:bookmarkEnd w:id="46"/>
      <w:bookmarkEnd w:id="47"/>
      <w:bookmarkEnd w:id="48"/>
      <w:bookmarkEnd w:id="49"/>
      <w:bookmarkEnd w:id="50"/>
    </w:p>
    <w:p w:rsidR="00FF53B8" w:rsidRPr="008A6B6D" w:rsidRDefault="00FF53B8" w:rsidP="0023074F">
      <w:pPr>
        <w:pStyle w:val="Heading4"/>
        <w:rPr>
          <w:lang w:val="en-CA" w:eastAsia="en-US"/>
        </w:rPr>
      </w:pPr>
      <w:bookmarkStart w:id="51" w:name="_Toc324855807"/>
      <w:bookmarkStart w:id="52" w:name="_Toc324856729"/>
      <w:bookmarkStart w:id="53" w:name="_Toc324856959"/>
      <w:bookmarkStart w:id="54" w:name="_Toc325374180"/>
      <w:bookmarkStart w:id="55" w:name="_Toc328750128"/>
      <w:bookmarkStart w:id="56" w:name="_Toc328750325"/>
      <w:bookmarkStart w:id="57" w:name="_Toc335299975"/>
      <w:bookmarkStart w:id="58" w:name="_Toc335386669"/>
      <w:bookmarkStart w:id="59" w:name="_Toc339537928"/>
      <w:r w:rsidRPr="008A6B6D">
        <w:rPr>
          <w:lang w:val="en-CA" w:eastAsia="en-US"/>
        </w:rPr>
        <w:t>Psychological Distress</w:t>
      </w:r>
      <w:bookmarkEnd w:id="51"/>
      <w:bookmarkEnd w:id="52"/>
      <w:bookmarkEnd w:id="53"/>
      <w:bookmarkEnd w:id="54"/>
      <w:bookmarkEnd w:id="55"/>
      <w:bookmarkEnd w:id="56"/>
      <w:bookmarkEnd w:id="57"/>
      <w:bookmarkEnd w:id="58"/>
      <w:bookmarkEnd w:id="59"/>
    </w:p>
    <w:p w:rsidR="00FF53B8" w:rsidRPr="00437685" w:rsidRDefault="00FF53B8" w:rsidP="008A6B6D">
      <w:r w:rsidRPr="00437685">
        <w:rPr>
          <w:lang w:val="en-CA" w:eastAsia="en-US"/>
        </w:rPr>
        <w:t xml:space="preserve">All 10 items from the Kessler 10 (K10; Kessler &amp; Mroczek, 1994) were included to measure psychological distress, which investigates the degree of anxiety and depressive symptoms that the participant has experienced over the last month. For example, </w:t>
      </w:r>
      <w:r w:rsidRPr="00437685">
        <w:rPr>
          <w:i/>
        </w:rPr>
        <w:t>‘</w:t>
      </w:r>
      <w:r w:rsidRPr="00437685">
        <w:rPr>
          <w:rFonts w:eastAsia="Calibri"/>
          <w:i/>
        </w:rPr>
        <w:t>In the past four weeks, about how often did you feel everything was an effort?</w:t>
      </w:r>
      <w:r w:rsidRPr="00437685">
        <w:rPr>
          <w:i/>
        </w:rPr>
        <w:t>’</w:t>
      </w:r>
      <w:r w:rsidR="00A32749">
        <w:t xml:space="preserve"> </w:t>
      </w:r>
      <w:r w:rsidRPr="00437685">
        <w:t>Responses were scored on a 5-point scale, from 1 (</w:t>
      </w:r>
      <w:r w:rsidRPr="00437685">
        <w:rPr>
          <w:i/>
        </w:rPr>
        <w:t>none of the time</w:t>
      </w:r>
      <w:r w:rsidRPr="00437685">
        <w:t>) to 5 (</w:t>
      </w:r>
      <w:r w:rsidRPr="00437685">
        <w:rPr>
          <w:i/>
        </w:rPr>
        <w:t>all of the time</w:t>
      </w:r>
      <w:r w:rsidR="00B452BB">
        <w:t>).</w:t>
      </w:r>
    </w:p>
    <w:p w:rsidR="000E2FFA" w:rsidRPr="008A6B6D" w:rsidRDefault="000E2FFA" w:rsidP="0023074F">
      <w:pPr>
        <w:pStyle w:val="Heading4"/>
        <w:rPr>
          <w:lang w:val="en-CA" w:eastAsia="en-US"/>
        </w:rPr>
      </w:pPr>
      <w:r w:rsidRPr="008A6B6D">
        <w:rPr>
          <w:lang w:val="en-CA" w:eastAsia="en-US"/>
        </w:rPr>
        <w:t>Recovery</w:t>
      </w:r>
    </w:p>
    <w:p w:rsidR="000E2FFA" w:rsidRPr="008A6B6D" w:rsidRDefault="000E2FFA" w:rsidP="008A6B6D">
      <w:pPr>
        <w:rPr>
          <w:i/>
          <w:lang w:val="en-CA" w:eastAsia="en-US"/>
        </w:rPr>
      </w:pPr>
      <w:r w:rsidRPr="006C608B">
        <w:rPr>
          <w:lang w:val="en-CA" w:eastAsia="en-US"/>
        </w:rPr>
        <w:t xml:space="preserve">Five items from the inter-shift recovery section of the Occupational Fatigue Exhaustion Recovery Scale (OFER15; Winwood, Winefield, Dawson, &amp; Lushington, 2005) were employed to measure the </w:t>
      </w:r>
      <w:r w:rsidR="007B3FF5" w:rsidRPr="006C608B">
        <w:rPr>
          <w:lang w:val="en-CA" w:eastAsia="en-US"/>
        </w:rPr>
        <w:t>worker</w:t>
      </w:r>
      <w:r w:rsidRPr="006C608B">
        <w:rPr>
          <w:lang w:val="en-CA" w:eastAsia="en-US"/>
        </w:rPr>
        <w:t xml:space="preserve"> ability to recover between work periods. Items such as </w:t>
      </w:r>
      <w:r w:rsidRPr="008A6B6D">
        <w:rPr>
          <w:i/>
          <w:lang w:val="en-CA" w:eastAsia="en-US"/>
        </w:rPr>
        <w:t xml:space="preserve">‘I never have enough time between work periods to recover my energy completely’ </w:t>
      </w:r>
      <w:r w:rsidRPr="006C608B">
        <w:rPr>
          <w:lang w:val="en-CA" w:eastAsia="en-US"/>
        </w:rPr>
        <w:t>were answered on a 7-point Likert scale, ranging from 1 (</w:t>
      </w:r>
      <w:r w:rsidRPr="006C608B">
        <w:rPr>
          <w:i/>
          <w:lang w:val="en-CA" w:eastAsia="en-US"/>
        </w:rPr>
        <w:t>strongly disagree</w:t>
      </w:r>
      <w:r w:rsidRPr="006C608B">
        <w:rPr>
          <w:lang w:val="en-CA" w:eastAsia="en-US"/>
        </w:rPr>
        <w:t>) to 7 (</w:t>
      </w:r>
      <w:r w:rsidRPr="006C608B">
        <w:rPr>
          <w:i/>
          <w:lang w:val="en-CA" w:eastAsia="en-US"/>
        </w:rPr>
        <w:t>strongly agree</w:t>
      </w:r>
      <w:r w:rsidRPr="006C608B">
        <w:rPr>
          <w:lang w:val="en-CA" w:eastAsia="en-US"/>
        </w:rPr>
        <w:t>).</w:t>
      </w:r>
    </w:p>
    <w:p w:rsidR="00FF53B8" w:rsidRPr="008A6B6D" w:rsidRDefault="00FF53B8" w:rsidP="0023074F">
      <w:pPr>
        <w:pStyle w:val="Heading4"/>
        <w:rPr>
          <w:lang w:val="en-CA" w:eastAsia="en-US"/>
        </w:rPr>
      </w:pPr>
      <w:r w:rsidRPr="008A6B6D">
        <w:rPr>
          <w:lang w:val="en-CA" w:eastAsia="en-US"/>
        </w:rPr>
        <w:t>Depression</w:t>
      </w:r>
    </w:p>
    <w:p w:rsidR="00FF53B8" w:rsidRPr="008A6B6D" w:rsidRDefault="00FF53B8" w:rsidP="008A6B6D">
      <w:pPr>
        <w:rPr>
          <w:i/>
          <w:lang w:val="en-CA" w:eastAsia="en-US"/>
        </w:rPr>
      </w:pPr>
      <w:r w:rsidRPr="006C608B">
        <w:rPr>
          <w:lang w:val="en-CA" w:eastAsia="en-US"/>
        </w:rPr>
        <w:t>Depression was measured using all items from the Patient Health Questionnaire (PHQ-9; Spitzer, Kroenke, &amp; Williams, 1999). These nine items apply to the nine criteria for clinical diagnoses of depressive episodes in the DSM-IV, for example</w:t>
      </w:r>
      <w:r w:rsidRPr="008A6B6D">
        <w:rPr>
          <w:i/>
          <w:lang w:val="en-CA" w:eastAsia="en-US"/>
        </w:rPr>
        <w:t xml:space="preserve"> </w:t>
      </w:r>
      <w:r w:rsidRPr="008A6B6D">
        <w:rPr>
          <w:rFonts w:eastAsia="Calibri"/>
          <w:i/>
          <w:lang w:eastAsia="en-US"/>
        </w:rPr>
        <w:t>‘</w:t>
      </w:r>
      <w:proofErr w:type="gramStart"/>
      <w:r w:rsidRPr="008A6B6D">
        <w:rPr>
          <w:rFonts w:eastAsia="Calibri"/>
          <w:i/>
          <w:lang w:eastAsia="en-US"/>
        </w:rPr>
        <w:t>During</w:t>
      </w:r>
      <w:proofErr w:type="gramEnd"/>
      <w:r w:rsidRPr="008A6B6D">
        <w:rPr>
          <w:rFonts w:eastAsia="Calibri"/>
          <w:i/>
          <w:lang w:eastAsia="en-US"/>
        </w:rPr>
        <w:t xml:space="preserve"> the last month, how often were you bothered by little interest or pleasure in doing things?’</w:t>
      </w:r>
      <w:r w:rsidRPr="006C608B">
        <w:rPr>
          <w:lang w:val="en-CA" w:eastAsia="en-US"/>
        </w:rPr>
        <w:t xml:space="preserve"> These items are all scored on a 4-point Likert scale 1 (</w:t>
      </w:r>
      <w:r w:rsidRPr="006C608B">
        <w:rPr>
          <w:i/>
          <w:lang w:val="en-CA" w:eastAsia="en-US"/>
        </w:rPr>
        <w:t>not at all</w:t>
      </w:r>
      <w:r w:rsidRPr="006C608B">
        <w:rPr>
          <w:lang w:val="en-CA" w:eastAsia="en-US"/>
        </w:rPr>
        <w:t>) to 4 (</w:t>
      </w:r>
      <w:r w:rsidRPr="006C608B">
        <w:rPr>
          <w:i/>
          <w:lang w:val="en-CA" w:eastAsia="en-US"/>
        </w:rPr>
        <w:t>nearly every day</w:t>
      </w:r>
      <w:r w:rsidRPr="006C608B">
        <w:rPr>
          <w:lang w:val="en-CA" w:eastAsia="en-US"/>
        </w:rPr>
        <w:t>).</w:t>
      </w:r>
    </w:p>
    <w:p w:rsidR="000E2FFA" w:rsidRPr="008A6B6D" w:rsidRDefault="000E2FFA" w:rsidP="0023074F">
      <w:pPr>
        <w:pStyle w:val="Heading4"/>
        <w:rPr>
          <w:lang w:val="en-CA" w:eastAsia="en-US"/>
        </w:rPr>
      </w:pPr>
      <w:r w:rsidRPr="008A6B6D">
        <w:rPr>
          <w:lang w:val="en-CA" w:eastAsia="en-US"/>
        </w:rPr>
        <w:t>General Physical Health</w:t>
      </w:r>
    </w:p>
    <w:p w:rsidR="000E2FFA" w:rsidRPr="006C608B" w:rsidRDefault="000E2FFA" w:rsidP="008A6B6D">
      <w:pPr>
        <w:rPr>
          <w:lang w:val="en-CA" w:eastAsia="en-US"/>
        </w:rPr>
      </w:pPr>
      <w:r w:rsidRPr="006C608B">
        <w:rPr>
          <w:lang w:val="en-CA" w:eastAsia="en-US"/>
        </w:rPr>
        <w:t xml:space="preserve">Nine items from the University of Queensland </w:t>
      </w:r>
      <w:r w:rsidR="0043538F" w:rsidRPr="006C608B">
        <w:rPr>
          <w:lang w:val="en-CA" w:eastAsia="en-US"/>
        </w:rPr>
        <w:t xml:space="preserve">Work Outcomes Research Cost-Benefit (WORC) </w:t>
      </w:r>
      <w:r w:rsidRPr="006C608B">
        <w:rPr>
          <w:lang w:val="en-CA" w:eastAsia="en-US"/>
        </w:rPr>
        <w:t>project (QIDS-SR, Rush et al., 2003; Section A – Health) were used to measure the participant’s current physical health. Items included ailments such as musculoskeletal problems experienced in the last week, as measured on a 4-point scale</w:t>
      </w:r>
      <w:r w:rsidR="00A32749" w:rsidRPr="006C608B">
        <w:rPr>
          <w:lang w:val="en-CA" w:eastAsia="en-US"/>
        </w:rPr>
        <w:t>,</w:t>
      </w:r>
      <w:r w:rsidRPr="006C608B">
        <w:rPr>
          <w:lang w:val="en-CA" w:eastAsia="en-US"/>
        </w:rPr>
        <w:t xml:space="preserve"> </w:t>
      </w:r>
      <w:r w:rsidR="00A32749" w:rsidRPr="006C608B">
        <w:rPr>
          <w:lang w:val="en-CA" w:eastAsia="en-US"/>
        </w:rPr>
        <w:t>1 (not at all/never) to 4 (a lot).</w:t>
      </w:r>
      <w:r w:rsidR="007B3FF5" w:rsidRPr="006C608B">
        <w:rPr>
          <w:lang w:val="en-CA" w:eastAsia="en-US"/>
        </w:rPr>
        <w:t xml:space="preserve"> </w:t>
      </w:r>
      <w:r w:rsidRPr="006C608B">
        <w:rPr>
          <w:lang w:val="en-CA" w:eastAsia="en-US"/>
        </w:rPr>
        <w:t>For example,</w:t>
      </w:r>
      <w:r w:rsidRPr="008A6B6D">
        <w:rPr>
          <w:i/>
          <w:lang w:val="en-CA" w:eastAsia="en-US"/>
        </w:rPr>
        <w:t xml:space="preserve"> ‘During the last 7 days, how much were you bothered by headaches?</w:t>
      </w:r>
      <w:proofErr w:type="gramStart"/>
      <w:r w:rsidRPr="008A6B6D">
        <w:rPr>
          <w:i/>
          <w:lang w:val="en-CA" w:eastAsia="en-US"/>
        </w:rPr>
        <w:t>’.</w:t>
      </w:r>
      <w:proofErr w:type="gramEnd"/>
      <w:r w:rsidRPr="008A6B6D">
        <w:rPr>
          <w:i/>
          <w:lang w:val="en-CA" w:eastAsia="en-US"/>
        </w:rPr>
        <w:t xml:space="preserve"> </w:t>
      </w:r>
      <w:r w:rsidRPr="006C608B">
        <w:rPr>
          <w:lang w:val="en-CA" w:eastAsia="en-US"/>
        </w:rPr>
        <w:t>In addition, one global item (the SF1) was included to measure general health from the MOS Short Form 36 (SF36; Ware &amp; Sherbourne, 1992). The SF1 asks</w:t>
      </w:r>
      <w:r w:rsidRPr="008A6B6D">
        <w:rPr>
          <w:i/>
          <w:lang w:val="en-CA" w:eastAsia="en-US"/>
        </w:rPr>
        <w:t xml:space="preserve"> ‘In general, would you say your health is…?’ </w:t>
      </w:r>
      <w:r w:rsidRPr="006C608B">
        <w:rPr>
          <w:lang w:val="en-CA" w:eastAsia="en-US"/>
        </w:rPr>
        <w:t>to which individuals assess their own physical and mental health, responding on a 5-point scale from 1 (</w:t>
      </w:r>
      <w:r w:rsidRPr="006C608B">
        <w:rPr>
          <w:i/>
          <w:lang w:val="en-CA" w:eastAsia="en-US"/>
        </w:rPr>
        <w:t>poor</w:t>
      </w:r>
      <w:r w:rsidRPr="006C608B">
        <w:rPr>
          <w:lang w:val="en-CA" w:eastAsia="en-US"/>
        </w:rPr>
        <w:t>) to 5 (</w:t>
      </w:r>
      <w:r w:rsidRPr="006C608B">
        <w:rPr>
          <w:i/>
          <w:lang w:val="en-CA" w:eastAsia="en-US"/>
        </w:rPr>
        <w:t>excellent</w:t>
      </w:r>
      <w:r w:rsidRPr="006C608B">
        <w:rPr>
          <w:lang w:val="en-CA" w:eastAsia="en-US"/>
        </w:rPr>
        <w:t>).</w:t>
      </w:r>
    </w:p>
    <w:p w:rsidR="009B146F" w:rsidRPr="008A6B6D" w:rsidRDefault="009B146F" w:rsidP="0023074F">
      <w:pPr>
        <w:pStyle w:val="Heading4"/>
        <w:rPr>
          <w:lang w:val="en-CA" w:eastAsia="en-US"/>
        </w:rPr>
      </w:pPr>
      <w:r w:rsidRPr="008A6B6D">
        <w:rPr>
          <w:lang w:val="en-CA" w:eastAsia="en-US"/>
        </w:rPr>
        <w:t>Work Stress Claims</w:t>
      </w:r>
    </w:p>
    <w:p w:rsidR="009B146F" w:rsidRPr="009B146F" w:rsidRDefault="009B146F" w:rsidP="008A6B6D">
      <w:pPr>
        <w:rPr>
          <w:lang w:val="en-CA" w:eastAsia="en-US"/>
        </w:rPr>
      </w:pPr>
      <w:r w:rsidRPr="009B146F">
        <w:t>Stress claims are worker’s compensation claims made for psychological conditions, such as depression, that arise largely from work conditions.</w:t>
      </w:r>
      <w:r>
        <w:t xml:space="preserve"> </w:t>
      </w:r>
      <w:r w:rsidRPr="009B146F">
        <w:rPr>
          <w:lang w:val="en-CA" w:eastAsia="en-US"/>
        </w:rPr>
        <w:t>To measure worker’s compensation claims, participants were asked to answer yes or no to the following question, ‘</w:t>
      </w:r>
      <w:r w:rsidRPr="006C608B">
        <w:rPr>
          <w:i/>
          <w:lang w:val="en-CA" w:eastAsia="en-US"/>
        </w:rPr>
        <w:t>Have you ever put in a worker’s compensation claim</w:t>
      </w:r>
      <w:r w:rsidRPr="009B146F">
        <w:rPr>
          <w:lang w:val="en-CA" w:eastAsia="en-US"/>
        </w:rPr>
        <w:t>’ and if yes, the participant was then asked ‘</w:t>
      </w:r>
      <w:r w:rsidR="006C608B">
        <w:rPr>
          <w:i/>
          <w:lang w:val="en-CA" w:eastAsia="en-US"/>
        </w:rPr>
        <w:t>W</w:t>
      </w:r>
      <w:r w:rsidRPr="006C608B">
        <w:rPr>
          <w:i/>
          <w:lang w:val="en-CA" w:eastAsia="en-US"/>
        </w:rPr>
        <w:t>as this claim for a stress or psychological injury related problem</w:t>
      </w:r>
      <w:r w:rsidRPr="009B146F">
        <w:rPr>
          <w:lang w:val="en-CA" w:eastAsia="en-US"/>
        </w:rPr>
        <w:t>?’</w:t>
      </w:r>
    </w:p>
    <w:p w:rsidR="008475B9" w:rsidRDefault="008475B9">
      <w:pPr>
        <w:spacing w:after="0" w:line="240" w:lineRule="auto"/>
        <w:rPr>
          <w:rFonts w:ascii="Arial Bold" w:eastAsia="Calibri" w:hAnsi="Arial Bold"/>
          <w:b/>
          <w:bCs/>
          <w:color w:val="000000"/>
          <w:sz w:val="24"/>
          <w:szCs w:val="26"/>
          <w:lang w:val="en-CA" w:eastAsia="en-US"/>
        </w:rPr>
      </w:pPr>
      <w:r>
        <w:rPr>
          <w:lang w:val="en-CA" w:eastAsia="en-US"/>
        </w:rPr>
        <w:br w:type="page"/>
      </w:r>
    </w:p>
    <w:p w:rsidR="00FF53B8" w:rsidRPr="008A6B6D" w:rsidRDefault="00FF53B8" w:rsidP="0023074F">
      <w:pPr>
        <w:pStyle w:val="Heading3"/>
        <w:rPr>
          <w:lang w:val="en-CA" w:eastAsia="en-US"/>
        </w:rPr>
      </w:pPr>
      <w:bookmarkStart w:id="60" w:name="_Toc343502427"/>
      <w:r w:rsidRPr="008A6B6D">
        <w:rPr>
          <w:lang w:val="en-CA" w:eastAsia="en-US"/>
        </w:rPr>
        <w:lastRenderedPageBreak/>
        <w:t>Motivational Outcomes</w:t>
      </w:r>
      <w:bookmarkEnd w:id="60"/>
    </w:p>
    <w:p w:rsidR="000E2FFA" w:rsidRPr="008A6B6D" w:rsidRDefault="000E2FFA" w:rsidP="0023074F">
      <w:pPr>
        <w:pStyle w:val="Heading4"/>
        <w:rPr>
          <w:lang w:val="en-CA" w:eastAsia="en-US"/>
        </w:rPr>
      </w:pPr>
      <w:r w:rsidRPr="008A6B6D">
        <w:rPr>
          <w:lang w:val="en-CA" w:eastAsia="en-US"/>
        </w:rPr>
        <w:t>Absenteeism</w:t>
      </w:r>
    </w:p>
    <w:p w:rsidR="000E2FFA" w:rsidRPr="000E2FFA" w:rsidRDefault="000E2FFA" w:rsidP="008A6B6D">
      <w:pPr>
        <w:rPr>
          <w:lang w:val="en-CA" w:eastAsia="en-US"/>
        </w:rPr>
      </w:pPr>
      <w:r w:rsidRPr="000E2FFA">
        <w:rPr>
          <w:lang w:val="en-CA" w:eastAsia="en-US"/>
        </w:rPr>
        <w:t>Two items from the World Health Organisation Work Performance Questionnaire (HPQ</w:t>
      </w:r>
      <w:r w:rsidRPr="00932D93">
        <w:rPr>
          <w:lang w:val="en-CA" w:eastAsia="en-US"/>
        </w:rPr>
        <w:t>; Kessler et al., 2003</w:t>
      </w:r>
      <w:r w:rsidRPr="000E2FFA">
        <w:rPr>
          <w:lang w:val="en-CA" w:eastAsia="en-US"/>
        </w:rPr>
        <w:t>) were used to measure absenteeism. In specific, sickness absence was the measure used for results in this report, which refers to the rate of absenteeism based solely on illness (psychological and physical). The items were ‘</w:t>
      </w:r>
      <w:r w:rsidRPr="006C608B">
        <w:rPr>
          <w:i/>
          <w:lang w:val="en-CA" w:eastAsia="en-US"/>
        </w:rPr>
        <w:t>How many hours does your employer expect you to work in a typical 7-day week</w:t>
      </w:r>
      <w:r w:rsidRPr="000E2FFA">
        <w:rPr>
          <w:lang w:val="en-CA" w:eastAsia="en-US"/>
        </w:rPr>
        <w:t>?’ and ‘</w:t>
      </w:r>
      <w:r w:rsidRPr="006C608B">
        <w:rPr>
          <w:i/>
          <w:lang w:val="en-CA" w:eastAsia="en-US"/>
        </w:rPr>
        <w:t>In the past 4 weeks (28 days), how many days did you miss an entire work day because of problems with your physical or mental health</w:t>
      </w:r>
      <w:r w:rsidRPr="000E2FFA">
        <w:rPr>
          <w:lang w:val="en-CA" w:eastAsia="en-US"/>
        </w:rPr>
        <w:t xml:space="preserve">?’ A ratio was created between the two items to create a percentage absence </w:t>
      </w:r>
      <w:r w:rsidR="008778BA" w:rsidRPr="000E2FFA">
        <w:rPr>
          <w:lang w:val="en-CA" w:eastAsia="en-US"/>
        </w:rPr>
        <w:t xml:space="preserve">due to sickness </w:t>
      </w:r>
      <w:r w:rsidR="008778BA">
        <w:rPr>
          <w:lang w:val="en-CA" w:eastAsia="en-US"/>
        </w:rPr>
        <w:t>over</w:t>
      </w:r>
      <w:r w:rsidR="008778BA" w:rsidRPr="000E2FFA">
        <w:rPr>
          <w:lang w:val="en-CA" w:eastAsia="en-US"/>
        </w:rPr>
        <w:t xml:space="preserve"> </w:t>
      </w:r>
      <w:r w:rsidRPr="000E2FFA">
        <w:rPr>
          <w:lang w:val="en-CA" w:eastAsia="en-US"/>
        </w:rPr>
        <w:t xml:space="preserve">expected monthly </w:t>
      </w:r>
      <w:r w:rsidR="008778BA">
        <w:rPr>
          <w:lang w:val="en-CA" w:eastAsia="en-US"/>
        </w:rPr>
        <w:t xml:space="preserve">hours of </w:t>
      </w:r>
      <w:r w:rsidRPr="000E2FFA">
        <w:rPr>
          <w:lang w:val="en-CA" w:eastAsia="en-US"/>
        </w:rPr>
        <w:t xml:space="preserve">work, </w:t>
      </w:r>
      <w:r w:rsidR="008778BA">
        <w:rPr>
          <w:lang w:val="en-CA" w:eastAsia="en-US"/>
        </w:rPr>
        <w:t>adjusting</w:t>
      </w:r>
      <w:r w:rsidR="008778BA" w:rsidRPr="000E2FFA">
        <w:rPr>
          <w:lang w:val="en-CA" w:eastAsia="en-US"/>
        </w:rPr>
        <w:t xml:space="preserve"> </w:t>
      </w:r>
      <w:r w:rsidRPr="000E2FFA">
        <w:rPr>
          <w:lang w:val="en-CA" w:eastAsia="en-US"/>
        </w:rPr>
        <w:t>for the possibility of negative scores due to working longer than expected hours.</w:t>
      </w:r>
    </w:p>
    <w:p w:rsidR="000E2FFA" w:rsidRPr="008A6B6D" w:rsidRDefault="000E2FFA" w:rsidP="0023074F">
      <w:pPr>
        <w:pStyle w:val="Heading4"/>
        <w:rPr>
          <w:lang w:val="en-CA" w:eastAsia="en-US"/>
        </w:rPr>
      </w:pPr>
      <w:r w:rsidRPr="008A6B6D">
        <w:rPr>
          <w:lang w:val="en-CA" w:eastAsia="en-US"/>
        </w:rPr>
        <w:t>Presenteeism</w:t>
      </w:r>
    </w:p>
    <w:p w:rsidR="000E2FFA" w:rsidRPr="000E2FFA" w:rsidRDefault="000E2FFA" w:rsidP="008A6B6D">
      <w:pPr>
        <w:rPr>
          <w:lang w:val="en-CA" w:eastAsia="en-US"/>
        </w:rPr>
      </w:pPr>
      <w:r w:rsidRPr="000E2FFA">
        <w:rPr>
          <w:lang w:val="en-CA" w:eastAsia="en-US"/>
        </w:rPr>
        <w:t xml:space="preserve">One item that investigates job performance from the World Health Organisation Work Performance Questionnaire (HPQ; Kessler et al., 2003) was used to measure presenteeism. </w:t>
      </w:r>
      <w:r w:rsidR="008778BA">
        <w:rPr>
          <w:lang w:val="en-CA" w:eastAsia="en-US"/>
        </w:rPr>
        <w:t>This was</w:t>
      </w:r>
      <w:r w:rsidRPr="000E2FFA">
        <w:rPr>
          <w:lang w:val="en-CA" w:eastAsia="en-US"/>
        </w:rPr>
        <w:t xml:space="preserve"> ‘</w:t>
      </w:r>
      <w:r w:rsidRPr="006C608B">
        <w:rPr>
          <w:i/>
          <w:lang w:val="en-CA" w:eastAsia="en-US"/>
        </w:rPr>
        <w:t>how would you rate your overall job performance on the days you worked during the past 4 weeks</w:t>
      </w:r>
      <w:r w:rsidR="006C608B">
        <w:rPr>
          <w:lang w:val="en-CA" w:eastAsia="en-US"/>
        </w:rPr>
        <w:t>?’</w:t>
      </w:r>
      <w:r w:rsidRPr="000E2FFA">
        <w:rPr>
          <w:lang w:val="en-CA" w:eastAsia="en-US"/>
        </w:rPr>
        <w:t xml:space="preserve"> It was answered on a scale from 0 to 10, where 0 is the worst performance and 10 is the performance of a top worker. The reported number was multiplied by 10 to produce a percentage of </w:t>
      </w:r>
      <w:r w:rsidR="009B146F">
        <w:rPr>
          <w:lang w:val="en-CA" w:eastAsia="en-US"/>
        </w:rPr>
        <w:t>productivity, with a low score indicating the worker is more prone to ‘presenteeism’</w:t>
      </w:r>
      <w:r w:rsidR="00B452BB">
        <w:rPr>
          <w:lang w:val="en-CA" w:eastAsia="en-US"/>
        </w:rPr>
        <w:t>.</w:t>
      </w:r>
    </w:p>
    <w:p w:rsidR="00FF53B8" w:rsidRPr="008A6B6D" w:rsidRDefault="00FF53B8" w:rsidP="0023074F">
      <w:pPr>
        <w:pStyle w:val="Heading4"/>
        <w:rPr>
          <w:lang w:val="en-CA" w:eastAsia="en-US"/>
        </w:rPr>
      </w:pPr>
      <w:r w:rsidRPr="008A6B6D">
        <w:rPr>
          <w:lang w:val="en-CA" w:eastAsia="en-US"/>
        </w:rPr>
        <w:t xml:space="preserve">Engagement </w:t>
      </w:r>
    </w:p>
    <w:p w:rsidR="000A70B5" w:rsidRDefault="00FF53B8" w:rsidP="008A6B6D">
      <w:pPr>
        <w:rPr>
          <w:i/>
          <w:lang w:val="en-CA" w:eastAsia="en-US"/>
        </w:rPr>
      </w:pPr>
      <w:r w:rsidRPr="00437685">
        <w:rPr>
          <w:lang w:val="en-CA" w:eastAsia="en-US"/>
        </w:rPr>
        <w:t xml:space="preserve">Nine items from the Utrecht Work Engagement Scale – Shortened Version (UWES-9; Schaufeli, Bakker, &amp; Salanova, 2006) were employed to measure work engagement. The three subscales each consist of three items to measure a different facet of engagement; vigour, e.g. </w:t>
      </w:r>
      <w:r w:rsidRPr="00437685">
        <w:rPr>
          <w:i/>
          <w:lang w:val="en-CA" w:eastAsia="en-US"/>
        </w:rPr>
        <w:t>‘At my work, I feel bursting with energy’</w:t>
      </w:r>
      <w:r w:rsidRPr="00437685">
        <w:rPr>
          <w:lang w:val="en-CA" w:eastAsia="en-US"/>
        </w:rPr>
        <w:t xml:space="preserve">; dedication, e.g. </w:t>
      </w:r>
      <w:r w:rsidRPr="00437685">
        <w:rPr>
          <w:i/>
          <w:lang w:val="en-CA" w:eastAsia="en-US"/>
        </w:rPr>
        <w:t>‘My job inspires me’</w:t>
      </w:r>
      <w:r w:rsidRPr="00437685">
        <w:rPr>
          <w:lang w:val="en-CA" w:eastAsia="en-US"/>
        </w:rPr>
        <w:t xml:space="preserve">; and absorption, e.g. </w:t>
      </w:r>
      <w:r w:rsidRPr="00437685">
        <w:rPr>
          <w:i/>
          <w:lang w:val="en-CA" w:eastAsia="en-US"/>
        </w:rPr>
        <w:t>‘I get carried away when I am working’</w:t>
      </w:r>
      <w:r w:rsidRPr="00437685">
        <w:rPr>
          <w:lang w:val="en-CA" w:eastAsia="en-US"/>
        </w:rPr>
        <w:t>. These items were all measured on a 7-point scale which ranged from 1 (</w:t>
      </w:r>
      <w:r w:rsidRPr="00437685">
        <w:rPr>
          <w:i/>
          <w:lang w:val="en-CA" w:eastAsia="en-US"/>
        </w:rPr>
        <w:t>never</w:t>
      </w:r>
      <w:r w:rsidRPr="00437685">
        <w:rPr>
          <w:lang w:val="en-CA" w:eastAsia="en-US"/>
        </w:rPr>
        <w:t>) to 7 (</w:t>
      </w:r>
      <w:r w:rsidRPr="00437685">
        <w:rPr>
          <w:i/>
          <w:lang w:val="en-CA" w:eastAsia="en-US"/>
        </w:rPr>
        <w:t>every d</w:t>
      </w:r>
      <w:r w:rsidR="00356905">
        <w:rPr>
          <w:i/>
          <w:lang w:val="en-CA" w:eastAsia="en-US"/>
        </w:rPr>
        <w:t>ay).</w:t>
      </w:r>
    </w:p>
    <w:p w:rsidR="00AE09FE" w:rsidRPr="006C608B" w:rsidRDefault="006D57C2" w:rsidP="0023074F">
      <w:pPr>
        <w:pStyle w:val="Heading2"/>
        <w:rPr>
          <w:rStyle w:val="IntenseEmphasis"/>
        </w:rPr>
      </w:pPr>
      <w:bookmarkStart w:id="61" w:name="_Toc343502428"/>
      <w:r w:rsidRPr="006C608B">
        <w:rPr>
          <w:rStyle w:val="IntenseEmphasis"/>
        </w:rPr>
        <w:t>Procedure</w:t>
      </w:r>
      <w:bookmarkEnd w:id="61"/>
    </w:p>
    <w:p w:rsidR="006D57C2" w:rsidRDefault="006D57C2" w:rsidP="008A6B6D">
      <w:r w:rsidRPr="000D7D00">
        <w:t xml:space="preserve">Computer assisted telephone interviewing (CATI) system was used to contact participants </w:t>
      </w:r>
      <w:r w:rsidR="007054F5" w:rsidRPr="000D7D00">
        <w:t xml:space="preserve">identified </w:t>
      </w:r>
      <w:r w:rsidRPr="000D7D00">
        <w:t>v</w:t>
      </w:r>
      <w:r w:rsidR="006A37D1">
        <w:t xml:space="preserve">ia the Electronic White Pages. </w:t>
      </w:r>
      <w:r w:rsidR="007054F5" w:rsidRPr="000D7D00">
        <w:t>P</w:t>
      </w:r>
      <w:r w:rsidRPr="000D7D00">
        <w:t>articipants were sent an introductory letter</w:t>
      </w:r>
      <w:r w:rsidR="007054F5" w:rsidRPr="000D7D00">
        <w:t xml:space="preserve"> providing details of the study</w:t>
      </w:r>
      <w:r w:rsidRPr="000D7D00">
        <w:t xml:space="preserve"> </w:t>
      </w:r>
      <w:r w:rsidR="007054F5" w:rsidRPr="000D7D00">
        <w:t xml:space="preserve">and advised that they will be contacted. </w:t>
      </w:r>
      <w:r w:rsidR="008C7214" w:rsidRPr="000D7D00">
        <w:t>The data w</w:t>
      </w:r>
      <w:r w:rsidR="000A70B5">
        <w:t>ere</w:t>
      </w:r>
      <w:r w:rsidR="008C7214" w:rsidRPr="000D7D00">
        <w:t xml:space="preserve"> weighted based on factors including age, </w:t>
      </w:r>
      <w:r w:rsidR="00477637">
        <w:t>sex</w:t>
      </w:r>
      <w:r w:rsidR="008C7214" w:rsidRPr="000D7D00">
        <w:t xml:space="preserve">, number of phone numbers in the white pages and number of members of the household, to establish representativeness of the sample to the wider </w:t>
      </w:r>
      <w:r w:rsidR="007B3FF5">
        <w:t xml:space="preserve">state or </w:t>
      </w:r>
      <w:r w:rsidR="008C7214" w:rsidRPr="000D7D00">
        <w:t>Australian population. The analysis utilised a cross-sectional design to establish correlational relationships in order to provide implications for policy development.</w:t>
      </w:r>
    </w:p>
    <w:p w:rsidR="00AE09FE" w:rsidRPr="006C608B" w:rsidRDefault="00AE09FE" w:rsidP="0023074F">
      <w:pPr>
        <w:pStyle w:val="Heading2"/>
        <w:rPr>
          <w:rStyle w:val="IntenseEmphasis"/>
        </w:rPr>
      </w:pPr>
      <w:bookmarkStart w:id="62" w:name="_Toc343502429"/>
      <w:r w:rsidRPr="006C608B">
        <w:rPr>
          <w:rStyle w:val="IntenseEmphasis"/>
        </w:rPr>
        <w:t>Statistical analysis</w:t>
      </w:r>
      <w:bookmarkEnd w:id="62"/>
    </w:p>
    <w:p w:rsidR="00395A1C" w:rsidRDefault="008C7214" w:rsidP="008A6B6D">
      <w:r w:rsidRPr="000D7D00">
        <w:t>The main statistical analys</w:t>
      </w:r>
      <w:r w:rsidR="000A70B5">
        <w:t>e</w:t>
      </w:r>
      <w:r w:rsidRPr="000D7D00">
        <w:t xml:space="preserve">s utilised </w:t>
      </w:r>
      <w:r w:rsidR="000A70B5">
        <w:t xml:space="preserve">the </w:t>
      </w:r>
      <w:r w:rsidRPr="000D7D00">
        <w:t>S</w:t>
      </w:r>
      <w:r w:rsidRPr="00437685">
        <w:t>tatistical Package for the Social Sciences</w:t>
      </w:r>
      <w:r w:rsidRPr="000D7D00">
        <w:t xml:space="preserve"> (SPSS) program. Correlations were conducted to </w:t>
      </w:r>
      <w:r w:rsidRPr="00437685">
        <w:t xml:space="preserve">measure of the degree of linear relationship between two variables. Regression analyses were also used to model the relationship between </w:t>
      </w:r>
      <w:r w:rsidR="00F42E97" w:rsidRPr="00437685">
        <w:t>dependent variable</w:t>
      </w:r>
      <w:r w:rsidRPr="00437685">
        <w:t xml:space="preserve">s such as health outcomes and one or more </w:t>
      </w:r>
      <w:r w:rsidR="00F42E97" w:rsidRPr="00437685">
        <w:t>explanatory variables</w:t>
      </w:r>
      <w:r w:rsidRPr="00437685">
        <w:t xml:space="preserve"> denoted such as demands or resources.</w:t>
      </w:r>
      <w:r w:rsidR="00356905">
        <w:t xml:space="preserve"> Structural equation modelling</w:t>
      </w:r>
      <w:r w:rsidR="00DB7FB4">
        <w:t xml:space="preserve"> (SEM) was conducted using AMOS</w:t>
      </w:r>
      <w:r w:rsidR="00356905">
        <w:t xml:space="preserve"> in order to establish the model presented in Figure </w:t>
      </w:r>
      <w:r w:rsidR="00520F0E">
        <w:t>1</w:t>
      </w:r>
      <w:r w:rsidR="00356905">
        <w:t>.</w:t>
      </w:r>
    </w:p>
    <w:p w:rsidR="00395A1C" w:rsidRDefault="00395A1C" w:rsidP="008A6B6D">
      <w:pPr>
        <w:sectPr w:rsidR="00395A1C" w:rsidSect="00856B6A">
          <w:pgSz w:w="11906" w:h="16838"/>
          <w:pgMar w:top="1135" w:right="1531" w:bottom="1135" w:left="1304" w:header="709" w:footer="709" w:gutter="0"/>
          <w:cols w:space="708"/>
          <w:docGrid w:linePitch="360"/>
        </w:sectPr>
      </w:pPr>
    </w:p>
    <w:p w:rsidR="00A3720E" w:rsidRPr="00156806" w:rsidRDefault="00A3720E" w:rsidP="00A3720E">
      <w:pPr>
        <w:pStyle w:val="Heading1"/>
        <w:spacing w:before="100" w:beforeAutospacing="1" w:after="120"/>
      </w:pPr>
      <w:bookmarkStart w:id="63" w:name="_Toc343502430"/>
      <w:r w:rsidRPr="00156806">
        <w:lastRenderedPageBreak/>
        <w:t>Demographic data for AWB population</w:t>
      </w:r>
      <w:bookmarkEnd w:id="63"/>
    </w:p>
    <w:p w:rsidR="00A3720E" w:rsidRPr="009F2F41" w:rsidRDefault="00A3720E" w:rsidP="00A3720E">
      <w:pPr>
        <w:spacing w:after="120"/>
        <w:jc w:val="both"/>
        <w:rPr>
          <w:rFonts w:cs="Arial"/>
          <w:szCs w:val="22"/>
        </w:rPr>
      </w:pPr>
      <w:r w:rsidRPr="009F2F41">
        <w:rPr>
          <w:rFonts w:cs="Arial"/>
          <w:szCs w:val="22"/>
        </w:rPr>
        <w:t xml:space="preserve">See Table 1 for details relating to age, gender and other demographic information for the sample population. </w:t>
      </w:r>
    </w:p>
    <w:p w:rsidR="00A3720E" w:rsidRPr="00611178" w:rsidRDefault="00A3720E" w:rsidP="00A3720E">
      <w:pPr>
        <w:pStyle w:val="FigureCaption"/>
      </w:pPr>
      <w:proofErr w:type="gramStart"/>
      <w:r w:rsidRPr="00611178">
        <w:t>Table 1.</w:t>
      </w:r>
      <w:proofErr w:type="gramEnd"/>
      <w:r w:rsidRPr="00611178">
        <w:t xml:space="preserve"> Demographics of participants by state (not weighted)</w:t>
      </w:r>
    </w:p>
    <w:tbl>
      <w:tblPr>
        <w:tblW w:w="14944" w:type="dxa"/>
        <w:tblBorders>
          <w:top w:val="single" w:sz="12" w:space="0" w:color="auto"/>
          <w:bottom w:val="single" w:sz="4" w:space="0" w:color="auto"/>
          <w:insideH w:val="single" w:sz="4" w:space="0" w:color="auto"/>
        </w:tblBorders>
        <w:tblLayout w:type="fixed"/>
        <w:tblLook w:val="04A0" w:firstRow="1" w:lastRow="0" w:firstColumn="1" w:lastColumn="0" w:noHBand="0" w:noVBand="1"/>
      </w:tblPr>
      <w:tblGrid>
        <w:gridCol w:w="2322"/>
        <w:gridCol w:w="1683"/>
        <w:gridCol w:w="1160"/>
        <w:gridCol w:w="646"/>
        <w:gridCol w:w="362"/>
        <w:gridCol w:w="580"/>
        <w:gridCol w:w="1682"/>
        <w:gridCol w:w="1008"/>
        <w:gridCol w:w="1008"/>
        <w:gridCol w:w="1008"/>
        <w:gridCol w:w="1160"/>
        <w:gridCol w:w="1162"/>
        <w:gridCol w:w="1163"/>
      </w:tblGrid>
      <w:tr w:rsidR="00A3720E" w:rsidRPr="001B577D" w:rsidTr="006A5A5C">
        <w:trPr>
          <w:trHeight w:val="20"/>
        </w:trPr>
        <w:tc>
          <w:tcPr>
            <w:tcW w:w="2322" w:type="dxa"/>
            <w:tcBorders>
              <w:top w:val="single" w:sz="12"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3851" w:type="dxa"/>
            <w:gridSpan w:val="4"/>
            <w:tcBorders>
              <w:top w:val="single" w:sz="12" w:space="0" w:color="auto"/>
              <w:left w:val="nil"/>
              <w:bottom w:val="single" w:sz="4" w:space="0" w:color="auto"/>
              <w:right w:val="nil"/>
            </w:tcBorders>
            <w:vAlign w:val="center"/>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Data collected 2009 to 2011*</w:t>
            </w:r>
          </w:p>
        </w:tc>
        <w:tc>
          <w:tcPr>
            <w:tcW w:w="580" w:type="dxa"/>
            <w:tcBorders>
              <w:top w:val="single" w:sz="12" w:space="0" w:color="auto"/>
              <w:left w:val="nil"/>
              <w:bottom w:val="nil"/>
              <w:right w:val="nil"/>
            </w:tcBorders>
            <w:vAlign w:val="center"/>
          </w:tcPr>
          <w:p w:rsidR="00A3720E" w:rsidRPr="001B577D" w:rsidRDefault="00A3720E" w:rsidP="006A5A5C">
            <w:pPr>
              <w:spacing w:before="120" w:after="0" w:line="240" w:lineRule="auto"/>
              <w:jc w:val="center"/>
              <w:rPr>
                <w:rFonts w:ascii="Calibri" w:eastAsia="MS Mincho" w:hAnsi="Calibri"/>
                <w:sz w:val="18"/>
                <w:szCs w:val="18"/>
                <w:lang w:eastAsia="en-US"/>
              </w:rPr>
            </w:pPr>
          </w:p>
        </w:tc>
        <w:tc>
          <w:tcPr>
            <w:tcW w:w="8191" w:type="dxa"/>
            <w:gridSpan w:val="7"/>
            <w:tcBorders>
              <w:top w:val="single" w:sz="12" w:space="0" w:color="auto"/>
              <w:left w:val="nil"/>
              <w:bottom w:val="single" w:sz="4" w:space="0" w:color="auto"/>
              <w:right w:val="nil"/>
            </w:tcBorders>
            <w:vAlign w:val="center"/>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Data collected 2010 to 2011**</w:t>
            </w:r>
          </w:p>
        </w:tc>
      </w:tr>
      <w:tr w:rsidR="00A3720E" w:rsidRPr="001B577D" w:rsidTr="006A5A5C">
        <w:trPr>
          <w:trHeight w:val="20"/>
        </w:trPr>
        <w:tc>
          <w:tcPr>
            <w:tcW w:w="2322" w:type="dxa"/>
            <w:tcBorders>
              <w:top w:val="nil"/>
              <w:left w:val="nil"/>
              <w:bottom w:val="nil"/>
              <w:right w:val="nil"/>
            </w:tcBorders>
          </w:tcPr>
          <w:p w:rsidR="00A3720E" w:rsidRPr="001B577D" w:rsidRDefault="00A3720E" w:rsidP="006A5A5C">
            <w:pPr>
              <w:spacing w:after="0" w:line="240" w:lineRule="auto"/>
              <w:ind w:left="1418"/>
              <w:jc w:val="center"/>
              <w:rPr>
                <w:rFonts w:ascii="Calibri" w:eastAsia="MS Mincho" w:hAnsi="Calibri"/>
                <w:sz w:val="18"/>
                <w:szCs w:val="18"/>
                <w:lang w:eastAsia="en-US"/>
              </w:rPr>
            </w:pPr>
          </w:p>
        </w:tc>
        <w:tc>
          <w:tcPr>
            <w:tcW w:w="1683" w:type="dxa"/>
            <w:tcBorders>
              <w:top w:val="nil"/>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Australia</w:t>
            </w:r>
          </w:p>
          <w:p w:rsidR="00A3720E" w:rsidRPr="001B577D"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w:t>
            </w:r>
            <w:r w:rsidRPr="00EC6B1F">
              <w:rPr>
                <w:rFonts w:ascii="Calibri" w:eastAsia="MS Mincho" w:hAnsi="Calibri"/>
                <w:i/>
                <w:sz w:val="18"/>
                <w:szCs w:val="18"/>
                <w:lang w:eastAsia="en-US"/>
              </w:rPr>
              <w:t>N</w:t>
            </w:r>
            <w:r>
              <w:rPr>
                <w:rFonts w:ascii="Calibri" w:eastAsia="MS Mincho" w:hAnsi="Calibri"/>
                <w:sz w:val="18"/>
                <w:szCs w:val="18"/>
                <w:lang w:eastAsia="en-US"/>
              </w:rPr>
              <w:t xml:space="preserve"> = 4214)</w:t>
            </w:r>
            <w:r w:rsidRPr="002115A3">
              <w:rPr>
                <w:rFonts w:ascii="Calibri" w:eastAsia="MS Mincho" w:hAnsi="Calibri"/>
                <w:sz w:val="18"/>
                <w:szCs w:val="18"/>
                <w:vertAlign w:val="superscript"/>
                <w:lang w:eastAsia="en-US"/>
              </w:rPr>
              <w:t>a</w:t>
            </w:r>
          </w:p>
        </w:tc>
        <w:tc>
          <w:tcPr>
            <w:tcW w:w="1160" w:type="dxa"/>
            <w:tcBorders>
              <w:top w:val="nil"/>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NSW</w:t>
            </w:r>
          </w:p>
          <w:p w:rsidR="00A3720E"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 xml:space="preserve"> Time 1 </w:t>
            </w:r>
          </w:p>
          <w:p w:rsidR="00A3720E" w:rsidRPr="00270EDF"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w:t>
            </w:r>
            <w:r>
              <w:rPr>
                <w:rFonts w:ascii="Calibri" w:eastAsia="MS Mincho" w:hAnsi="Calibri"/>
                <w:i/>
                <w:sz w:val="18"/>
                <w:szCs w:val="18"/>
                <w:lang w:eastAsia="en-US"/>
              </w:rPr>
              <w:t xml:space="preserve">N </w:t>
            </w:r>
            <w:r>
              <w:rPr>
                <w:rFonts w:ascii="Calibri" w:eastAsia="MS Mincho" w:hAnsi="Calibri"/>
                <w:sz w:val="18"/>
                <w:szCs w:val="18"/>
                <w:lang w:eastAsia="en-US"/>
              </w:rPr>
              <w:t>= 1074)</w:t>
            </w:r>
          </w:p>
        </w:tc>
        <w:tc>
          <w:tcPr>
            <w:tcW w:w="1008" w:type="dxa"/>
            <w:gridSpan w:val="2"/>
            <w:tcBorders>
              <w:top w:val="nil"/>
              <w:left w:val="nil"/>
              <w:bottom w:val="single" w:sz="4" w:space="0" w:color="auto"/>
              <w:right w:val="nil"/>
            </w:tcBorders>
            <w:hideMark/>
          </w:tcPr>
          <w:p w:rsidR="00A3720E"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 xml:space="preserve">WA </w:t>
            </w:r>
          </w:p>
          <w:p w:rsidR="00A3720E"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 xml:space="preserve">Time 1 </w:t>
            </w:r>
          </w:p>
          <w:p w:rsidR="00A3720E" w:rsidRPr="00CB7DCB"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w:t>
            </w:r>
            <w:r>
              <w:rPr>
                <w:rFonts w:ascii="Calibri" w:eastAsia="MS Mincho" w:hAnsi="Calibri"/>
                <w:i/>
                <w:sz w:val="18"/>
                <w:szCs w:val="18"/>
                <w:lang w:eastAsia="en-US"/>
              </w:rPr>
              <w:t xml:space="preserve">N </w:t>
            </w:r>
            <w:r>
              <w:rPr>
                <w:rFonts w:ascii="Calibri" w:eastAsia="MS Mincho" w:hAnsi="Calibri"/>
                <w:sz w:val="18"/>
                <w:szCs w:val="18"/>
                <w:lang w:eastAsia="en-US"/>
              </w:rPr>
              <w:t>= 1156)</w:t>
            </w:r>
          </w:p>
        </w:tc>
        <w:tc>
          <w:tcPr>
            <w:tcW w:w="580" w:type="dxa"/>
            <w:tcBorders>
              <w:top w:val="nil"/>
              <w:left w:val="nil"/>
              <w:bottom w:val="nil"/>
              <w:right w:val="nil"/>
            </w:tcBorders>
            <w:hideMark/>
          </w:tcPr>
          <w:p w:rsidR="00A3720E" w:rsidRPr="001B577D" w:rsidRDefault="00A3720E" w:rsidP="006A5A5C">
            <w:pPr>
              <w:spacing w:before="120" w:after="0" w:line="240" w:lineRule="auto"/>
              <w:jc w:val="center"/>
              <w:rPr>
                <w:rFonts w:ascii="Calibri" w:eastAsia="MS Mincho" w:hAnsi="Calibri"/>
                <w:sz w:val="18"/>
                <w:szCs w:val="18"/>
                <w:lang w:eastAsia="en-US"/>
              </w:rPr>
            </w:pPr>
          </w:p>
        </w:tc>
        <w:tc>
          <w:tcPr>
            <w:tcW w:w="1682" w:type="dxa"/>
            <w:tcBorders>
              <w:top w:val="single" w:sz="4" w:space="0" w:color="auto"/>
              <w:left w:val="nil"/>
              <w:bottom w:val="single" w:sz="4" w:space="0" w:color="auto"/>
              <w:right w:val="nil"/>
            </w:tcBorders>
          </w:tcPr>
          <w:p w:rsidR="00A3720E" w:rsidRDefault="00A3720E" w:rsidP="006A5A5C">
            <w:pPr>
              <w:spacing w:before="240" w:after="0" w:line="240" w:lineRule="auto"/>
              <w:jc w:val="center"/>
              <w:rPr>
                <w:rFonts w:ascii="Calibri" w:eastAsia="MS Mincho" w:hAnsi="Calibri"/>
                <w:sz w:val="18"/>
                <w:szCs w:val="18"/>
                <w:lang w:eastAsia="en-US"/>
              </w:rPr>
            </w:pPr>
            <w:r>
              <w:rPr>
                <w:rFonts w:ascii="Calibri" w:eastAsia="MS Mincho" w:hAnsi="Calibri"/>
                <w:sz w:val="18"/>
                <w:szCs w:val="18"/>
                <w:lang w:eastAsia="en-US"/>
              </w:rPr>
              <w:t xml:space="preserve">Australia </w:t>
            </w:r>
          </w:p>
          <w:p w:rsidR="00A3720E" w:rsidRPr="001B577D"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w:t>
            </w:r>
            <w:r w:rsidRPr="00EC6B1F">
              <w:rPr>
                <w:rFonts w:ascii="Calibri" w:eastAsia="MS Mincho" w:hAnsi="Calibri"/>
                <w:i/>
                <w:sz w:val="18"/>
                <w:szCs w:val="18"/>
                <w:lang w:eastAsia="en-US"/>
              </w:rPr>
              <w:t>N</w:t>
            </w:r>
            <w:r>
              <w:rPr>
                <w:rFonts w:ascii="Calibri" w:eastAsia="MS Mincho" w:hAnsi="Calibri"/>
                <w:sz w:val="18"/>
                <w:szCs w:val="18"/>
                <w:lang w:eastAsia="en-US"/>
              </w:rPr>
              <w:t xml:space="preserve"> = 3513)</w:t>
            </w:r>
            <w:r w:rsidRPr="002115A3">
              <w:rPr>
                <w:rFonts w:ascii="Calibri" w:eastAsia="MS Mincho" w:hAnsi="Calibri"/>
                <w:sz w:val="18"/>
                <w:szCs w:val="18"/>
                <w:vertAlign w:val="superscript"/>
                <w:lang w:eastAsia="en-US"/>
              </w:rPr>
              <w:t>b</w:t>
            </w:r>
          </w:p>
        </w:tc>
        <w:tc>
          <w:tcPr>
            <w:tcW w:w="1008" w:type="dxa"/>
            <w:tcBorders>
              <w:top w:val="single" w:sz="4" w:space="0" w:color="auto"/>
              <w:left w:val="nil"/>
              <w:bottom w:val="single" w:sz="4" w:space="0" w:color="auto"/>
              <w:right w:val="nil"/>
            </w:tcBorders>
            <w:hideMark/>
          </w:tcPr>
          <w:p w:rsidR="00A3720E"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NSW</w:t>
            </w:r>
          </w:p>
          <w:p w:rsidR="00A3720E"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Time 2</w:t>
            </w:r>
          </w:p>
          <w:p w:rsidR="00A3720E" w:rsidRPr="001B577D" w:rsidRDefault="00A3720E" w:rsidP="006A5A5C">
            <w:pPr>
              <w:spacing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t>
            </w:r>
            <w:r w:rsidRPr="001B577D">
              <w:rPr>
                <w:rFonts w:ascii="Calibri" w:eastAsia="MS Mincho" w:hAnsi="Calibri"/>
                <w:i/>
                <w:sz w:val="18"/>
                <w:szCs w:val="18"/>
                <w:lang w:eastAsia="en-US"/>
              </w:rPr>
              <w:t xml:space="preserve">N = </w:t>
            </w:r>
            <w:r w:rsidRPr="001B577D">
              <w:rPr>
                <w:rFonts w:ascii="Calibri" w:eastAsia="MS Mincho" w:hAnsi="Calibri"/>
                <w:sz w:val="18"/>
                <w:szCs w:val="18"/>
                <w:lang w:eastAsia="en-US"/>
              </w:rPr>
              <w:t>725)</w:t>
            </w:r>
          </w:p>
        </w:tc>
        <w:tc>
          <w:tcPr>
            <w:tcW w:w="1008" w:type="dxa"/>
            <w:tcBorders>
              <w:top w:val="single" w:sz="4" w:space="0" w:color="auto"/>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WA</w:t>
            </w:r>
          </w:p>
          <w:p w:rsidR="00A3720E" w:rsidRDefault="00A3720E" w:rsidP="006A5A5C">
            <w:pPr>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Time 2</w:t>
            </w:r>
          </w:p>
          <w:p w:rsidR="00A3720E" w:rsidRPr="001B577D" w:rsidRDefault="00A3720E" w:rsidP="006A5A5C">
            <w:pPr>
              <w:spacing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t>
            </w:r>
            <w:r w:rsidRPr="001B577D">
              <w:rPr>
                <w:rFonts w:ascii="Calibri" w:eastAsia="MS Mincho" w:hAnsi="Calibri"/>
                <w:i/>
                <w:sz w:val="18"/>
                <w:szCs w:val="18"/>
                <w:lang w:eastAsia="en-US"/>
              </w:rPr>
              <w:t xml:space="preserve">N = </w:t>
            </w:r>
            <w:r w:rsidRPr="001B577D">
              <w:rPr>
                <w:rFonts w:ascii="Calibri" w:eastAsia="MS Mincho" w:hAnsi="Calibri"/>
                <w:sz w:val="18"/>
                <w:szCs w:val="18"/>
                <w:lang w:eastAsia="en-US"/>
              </w:rPr>
              <w:t>804)</w:t>
            </w:r>
          </w:p>
        </w:tc>
        <w:tc>
          <w:tcPr>
            <w:tcW w:w="1008"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SA</w:t>
            </w:r>
          </w:p>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t>
            </w:r>
            <w:r w:rsidRPr="001B577D">
              <w:rPr>
                <w:rFonts w:ascii="Calibri" w:eastAsia="MS Mincho" w:hAnsi="Calibri"/>
                <w:i/>
                <w:sz w:val="18"/>
                <w:szCs w:val="18"/>
                <w:lang w:eastAsia="en-US"/>
              </w:rPr>
              <w:t xml:space="preserve">N = </w:t>
            </w:r>
            <w:r w:rsidRPr="001B577D">
              <w:rPr>
                <w:rFonts w:ascii="Calibri" w:eastAsia="MS Mincho" w:hAnsi="Calibri"/>
                <w:sz w:val="18"/>
                <w:szCs w:val="18"/>
                <w:lang w:eastAsia="en-US"/>
              </w:rPr>
              <w:t>1143)</w:t>
            </w:r>
          </w:p>
        </w:tc>
        <w:tc>
          <w:tcPr>
            <w:tcW w:w="1160"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ACT</w:t>
            </w:r>
          </w:p>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t>
            </w:r>
            <w:r w:rsidRPr="001B577D">
              <w:rPr>
                <w:rFonts w:ascii="Calibri" w:eastAsia="MS Mincho" w:hAnsi="Calibri"/>
                <w:i/>
                <w:sz w:val="18"/>
                <w:szCs w:val="18"/>
                <w:lang w:eastAsia="en-US"/>
              </w:rPr>
              <w:t xml:space="preserve">N = </w:t>
            </w:r>
            <w:r w:rsidRPr="001B577D">
              <w:rPr>
                <w:rFonts w:ascii="Calibri" w:eastAsia="MS Mincho" w:hAnsi="Calibri"/>
                <w:sz w:val="18"/>
                <w:szCs w:val="18"/>
                <w:lang w:eastAsia="en-US"/>
              </w:rPr>
              <w:t>255)</w:t>
            </w:r>
          </w:p>
        </w:tc>
        <w:tc>
          <w:tcPr>
            <w:tcW w:w="1162"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TAS</w:t>
            </w:r>
          </w:p>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t>
            </w:r>
            <w:r w:rsidRPr="001B577D">
              <w:rPr>
                <w:rFonts w:ascii="Calibri" w:eastAsia="MS Mincho" w:hAnsi="Calibri"/>
                <w:i/>
                <w:sz w:val="18"/>
                <w:szCs w:val="18"/>
                <w:lang w:eastAsia="en-US"/>
              </w:rPr>
              <w:t xml:space="preserve">N = </w:t>
            </w:r>
            <w:r w:rsidRPr="001B577D">
              <w:rPr>
                <w:rFonts w:ascii="Calibri" w:eastAsia="MS Mincho" w:hAnsi="Calibri"/>
                <w:sz w:val="18"/>
                <w:szCs w:val="18"/>
                <w:lang w:eastAsia="en-US"/>
              </w:rPr>
              <w:t>416)</w:t>
            </w:r>
          </w:p>
        </w:tc>
        <w:tc>
          <w:tcPr>
            <w:tcW w:w="1163"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NT</w:t>
            </w:r>
          </w:p>
          <w:p w:rsidR="00A3720E" w:rsidRPr="001B577D" w:rsidRDefault="00A3720E" w:rsidP="006A5A5C">
            <w:pPr>
              <w:spacing w:before="120"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w:t>
            </w:r>
            <w:r w:rsidRPr="001B577D">
              <w:rPr>
                <w:rFonts w:ascii="Calibri" w:eastAsia="MS Mincho" w:hAnsi="Calibri"/>
                <w:i/>
                <w:sz w:val="18"/>
                <w:szCs w:val="18"/>
                <w:lang w:eastAsia="en-US"/>
              </w:rPr>
              <w:t xml:space="preserve">N = </w:t>
            </w:r>
            <w:r w:rsidRPr="001B577D">
              <w:rPr>
                <w:rFonts w:ascii="Calibri" w:eastAsia="MS Mincho" w:hAnsi="Calibri"/>
                <w:sz w:val="18"/>
                <w:szCs w:val="18"/>
                <w:lang w:eastAsia="en-US"/>
              </w:rPr>
              <w:t>170)</w:t>
            </w:r>
          </w:p>
        </w:tc>
      </w:tr>
      <w:tr w:rsidR="00A3720E" w:rsidRPr="001B577D" w:rsidTr="006A5A5C">
        <w:trPr>
          <w:trHeight w:val="20"/>
        </w:trPr>
        <w:tc>
          <w:tcPr>
            <w:tcW w:w="2322" w:type="dxa"/>
            <w:tcBorders>
              <w:top w:val="nil"/>
              <w:left w:val="nil"/>
              <w:bottom w:val="nil"/>
              <w:right w:val="nil"/>
            </w:tcBorders>
          </w:tcPr>
          <w:p w:rsidR="00A3720E" w:rsidRPr="001B577D" w:rsidRDefault="00A3720E" w:rsidP="006A5A5C">
            <w:pPr>
              <w:spacing w:after="0" w:line="240" w:lineRule="auto"/>
              <w:ind w:left="1418"/>
              <w:jc w:val="center"/>
              <w:rPr>
                <w:rFonts w:ascii="Calibri" w:eastAsia="MS Mincho" w:hAnsi="Calibri"/>
                <w:sz w:val="18"/>
                <w:szCs w:val="18"/>
                <w:lang w:eastAsia="en-US"/>
              </w:rPr>
            </w:pPr>
          </w:p>
        </w:tc>
        <w:tc>
          <w:tcPr>
            <w:tcW w:w="1683" w:type="dxa"/>
            <w:tcBorders>
              <w:top w:val="single" w:sz="4" w:space="0" w:color="auto"/>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p>
        </w:tc>
        <w:tc>
          <w:tcPr>
            <w:tcW w:w="1160" w:type="dxa"/>
            <w:tcBorders>
              <w:top w:val="single" w:sz="4" w:space="0" w:color="auto"/>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2009</w:t>
            </w:r>
          </w:p>
        </w:tc>
        <w:tc>
          <w:tcPr>
            <w:tcW w:w="1008" w:type="dxa"/>
            <w:gridSpan w:val="2"/>
            <w:tcBorders>
              <w:top w:val="nil"/>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2009</w:t>
            </w:r>
          </w:p>
        </w:tc>
        <w:tc>
          <w:tcPr>
            <w:tcW w:w="580" w:type="dxa"/>
            <w:tcBorders>
              <w:top w:val="nil"/>
              <w:left w:val="nil"/>
              <w:bottom w:val="nil"/>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p>
        </w:tc>
        <w:tc>
          <w:tcPr>
            <w:tcW w:w="1682" w:type="dxa"/>
            <w:tcBorders>
              <w:top w:val="single" w:sz="4" w:space="0" w:color="auto"/>
              <w:left w:val="nil"/>
              <w:bottom w:val="single" w:sz="4" w:space="0" w:color="auto"/>
              <w:right w:val="nil"/>
            </w:tcBorders>
          </w:tcPr>
          <w:p w:rsidR="00A3720E" w:rsidRDefault="00A3720E" w:rsidP="006A5A5C">
            <w:pPr>
              <w:spacing w:before="120" w:after="0" w:line="240" w:lineRule="auto"/>
              <w:jc w:val="center"/>
              <w:rPr>
                <w:rFonts w:ascii="Calibri" w:eastAsia="MS Mincho" w:hAnsi="Calibri"/>
                <w:sz w:val="18"/>
                <w:szCs w:val="18"/>
                <w:lang w:eastAsia="en-US"/>
              </w:rPr>
            </w:pPr>
          </w:p>
        </w:tc>
        <w:tc>
          <w:tcPr>
            <w:tcW w:w="1008"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2010</w:t>
            </w:r>
          </w:p>
        </w:tc>
        <w:tc>
          <w:tcPr>
            <w:tcW w:w="1008"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2010</w:t>
            </w:r>
          </w:p>
        </w:tc>
        <w:tc>
          <w:tcPr>
            <w:tcW w:w="1008"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2010</w:t>
            </w:r>
          </w:p>
        </w:tc>
        <w:tc>
          <w:tcPr>
            <w:tcW w:w="1160"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2011</w:t>
            </w:r>
          </w:p>
        </w:tc>
        <w:tc>
          <w:tcPr>
            <w:tcW w:w="1162"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2011</w:t>
            </w:r>
          </w:p>
        </w:tc>
        <w:tc>
          <w:tcPr>
            <w:tcW w:w="1163" w:type="dxa"/>
            <w:tcBorders>
              <w:top w:val="single" w:sz="4" w:space="0" w:color="auto"/>
              <w:left w:val="nil"/>
              <w:bottom w:val="single" w:sz="4" w:space="0" w:color="auto"/>
              <w:right w:val="nil"/>
            </w:tcBorders>
          </w:tcPr>
          <w:p w:rsidR="00A3720E" w:rsidRPr="001B577D" w:rsidRDefault="00A3720E" w:rsidP="006A5A5C">
            <w:pPr>
              <w:spacing w:before="120" w:after="0" w:line="240" w:lineRule="auto"/>
              <w:jc w:val="center"/>
              <w:rPr>
                <w:rFonts w:ascii="Calibri" w:eastAsia="MS Mincho" w:hAnsi="Calibri"/>
                <w:sz w:val="18"/>
                <w:szCs w:val="18"/>
                <w:lang w:eastAsia="en-US"/>
              </w:rPr>
            </w:pPr>
            <w:r>
              <w:rPr>
                <w:rFonts w:ascii="Calibri" w:eastAsia="MS Mincho" w:hAnsi="Calibri"/>
                <w:sz w:val="18"/>
                <w:szCs w:val="18"/>
                <w:lang w:eastAsia="en-US"/>
              </w:rPr>
              <w:t>2011</w:t>
            </w:r>
          </w:p>
        </w:tc>
      </w:tr>
      <w:tr w:rsidR="00A3720E" w:rsidRPr="001B577D" w:rsidTr="006A5A5C">
        <w:trPr>
          <w:trHeight w:val="20"/>
        </w:trPr>
        <w:tc>
          <w:tcPr>
            <w:tcW w:w="2322" w:type="dxa"/>
            <w:tcBorders>
              <w:top w:val="nil"/>
              <w:left w:val="nil"/>
              <w:bottom w:val="nil"/>
              <w:right w:val="nil"/>
            </w:tcBorders>
            <w:hideMark/>
          </w:tcPr>
          <w:p w:rsidR="00A3720E" w:rsidRDefault="00A3720E" w:rsidP="006A5A5C">
            <w:pPr>
              <w:spacing w:after="0" w:line="240" w:lineRule="auto"/>
              <w:rPr>
                <w:rFonts w:ascii="Calibri" w:eastAsia="MS Mincho" w:hAnsi="Calibri"/>
                <w:sz w:val="18"/>
                <w:szCs w:val="18"/>
                <w:lang w:eastAsia="en-US"/>
              </w:rPr>
            </w:pPr>
          </w:p>
          <w:p w:rsidR="00A3720E" w:rsidRPr="001B577D" w:rsidRDefault="00A3720E" w:rsidP="006A5A5C">
            <w:pPr>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Age (years)</w:t>
            </w:r>
          </w:p>
        </w:tc>
        <w:tc>
          <w:tcPr>
            <w:tcW w:w="1683"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72"/>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t>45.66</w:t>
            </w:r>
          </w:p>
        </w:tc>
        <w:tc>
          <w:tcPr>
            <w:tcW w:w="1160"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50"/>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t>45.47</w:t>
            </w:r>
          </w:p>
        </w:tc>
        <w:tc>
          <w:tcPr>
            <w:tcW w:w="1008" w:type="dxa"/>
            <w:gridSpan w:val="2"/>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250"/>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t>45.66</w:t>
            </w:r>
          </w:p>
        </w:tc>
        <w:tc>
          <w:tcPr>
            <w:tcW w:w="580" w:type="dxa"/>
            <w:tcBorders>
              <w:top w:val="nil"/>
              <w:left w:val="nil"/>
              <w:bottom w:val="nil"/>
              <w:right w:val="nil"/>
            </w:tcBorders>
          </w:tcPr>
          <w:p w:rsidR="00A3720E" w:rsidRPr="001B577D" w:rsidRDefault="00A3720E" w:rsidP="006A5A5C">
            <w:pPr>
              <w:spacing w:after="0" w:line="240" w:lineRule="auto"/>
              <w:jc w:val="center"/>
              <w:rPr>
                <w:rFonts w:ascii="Calibri" w:eastAsia="MS Mincho" w:hAnsi="Calibri"/>
                <w:sz w:val="18"/>
                <w:szCs w:val="18"/>
                <w:lang w:eastAsia="en-US"/>
              </w:rPr>
            </w:pPr>
          </w:p>
        </w:tc>
        <w:tc>
          <w:tcPr>
            <w:tcW w:w="1682"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35"/>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46.62</w:t>
            </w:r>
          </w:p>
        </w:tc>
        <w:tc>
          <w:tcPr>
            <w:tcW w:w="1008"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54"/>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47.53</w:t>
            </w:r>
          </w:p>
        </w:tc>
        <w:tc>
          <w:tcPr>
            <w:tcW w:w="1008"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38"/>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47.92</w:t>
            </w:r>
          </w:p>
        </w:tc>
        <w:tc>
          <w:tcPr>
            <w:tcW w:w="1008"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55"/>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46.09</w:t>
            </w:r>
          </w:p>
        </w:tc>
        <w:tc>
          <w:tcPr>
            <w:tcW w:w="1160"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07"/>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45.27</w:t>
            </w:r>
          </w:p>
        </w:tc>
        <w:tc>
          <w:tcPr>
            <w:tcW w:w="1162"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281"/>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45.85</w:t>
            </w:r>
          </w:p>
        </w:tc>
        <w:tc>
          <w:tcPr>
            <w:tcW w:w="1163" w:type="dxa"/>
            <w:tcBorders>
              <w:top w:val="single" w:sz="4" w:space="0" w:color="auto"/>
              <w:left w:val="nil"/>
              <w:bottom w:val="nil"/>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tabs>
                <w:tab w:val="left" w:pos="320"/>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M</w:t>
            </w:r>
            <w:r>
              <w:rPr>
                <w:rFonts w:ascii="Calibri" w:eastAsia="MS Mincho" w:hAnsi="Calibri"/>
                <w:sz w:val="18"/>
                <w:szCs w:val="18"/>
                <w:lang w:eastAsia="en-US"/>
              </w:rPr>
              <w:tab/>
            </w:r>
            <w:r w:rsidRPr="001B577D">
              <w:rPr>
                <w:rFonts w:ascii="Calibri" w:eastAsia="MS Mincho" w:hAnsi="Calibri"/>
                <w:sz w:val="18"/>
                <w:szCs w:val="18"/>
                <w:lang w:eastAsia="en-US"/>
              </w:rPr>
              <w:t>44.15</w:t>
            </w:r>
          </w:p>
        </w:tc>
      </w:tr>
      <w:tr w:rsidR="00A3720E" w:rsidRPr="001B577D" w:rsidTr="006A5A5C">
        <w:trPr>
          <w:trHeight w:val="20"/>
        </w:trPr>
        <w:tc>
          <w:tcPr>
            <w:tcW w:w="2322" w:type="dxa"/>
            <w:tcBorders>
              <w:top w:val="nil"/>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683" w:type="dxa"/>
            <w:tcBorders>
              <w:top w:val="nil"/>
              <w:left w:val="nil"/>
              <w:bottom w:val="nil"/>
              <w:right w:val="nil"/>
            </w:tcBorders>
          </w:tcPr>
          <w:p w:rsidR="00A3720E" w:rsidRPr="001B577D" w:rsidRDefault="00A3720E" w:rsidP="006A5A5C">
            <w:pPr>
              <w:tabs>
                <w:tab w:val="left" w:pos="372"/>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t>12.22</w:t>
            </w:r>
          </w:p>
        </w:tc>
        <w:tc>
          <w:tcPr>
            <w:tcW w:w="1160" w:type="dxa"/>
            <w:tcBorders>
              <w:top w:val="nil"/>
              <w:left w:val="nil"/>
              <w:bottom w:val="nil"/>
              <w:right w:val="nil"/>
            </w:tcBorders>
          </w:tcPr>
          <w:p w:rsidR="00A3720E" w:rsidRPr="001B577D" w:rsidRDefault="00A3720E" w:rsidP="006A5A5C">
            <w:pPr>
              <w:tabs>
                <w:tab w:val="left" w:pos="350"/>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t>12.17</w:t>
            </w:r>
          </w:p>
        </w:tc>
        <w:tc>
          <w:tcPr>
            <w:tcW w:w="1008" w:type="dxa"/>
            <w:gridSpan w:val="2"/>
            <w:tcBorders>
              <w:top w:val="nil"/>
              <w:left w:val="nil"/>
              <w:bottom w:val="nil"/>
              <w:right w:val="nil"/>
            </w:tcBorders>
          </w:tcPr>
          <w:p w:rsidR="00A3720E" w:rsidRPr="001B577D" w:rsidRDefault="00A3720E" w:rsidP="006A5A5C">
            <w:pPr>
              <w:tabs>
                <w:tab w:val="left" w:pos="215"/>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t>12.45</w:t>
            </w:r>
          </w:p>
        </w:tc>
        <w:tc>
          <w:tcPr>
            <w:tcW w:w="580" w:type="dxa"/>
            <w:tcBorders>
              <w:top w:val="nil"/>
              <w:left w:val="nil"/>
              <w:bottom w:val="nil"/>
              <w:right w:val="nil"/>
            </w:tcBorders>
          </w:tcPr>
          <w:p w:rsidR="00A3720E" w:rsidRPr="001B577D" w:rsidRDefault="00A3720E" w:rsidP="006A5A5C">
            <w:pPr>
              <w:spacing w:after="0" w:line="240" w:lineRule="auto"/>
              <w:jc w:val="center"/>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left" w:pos="344"/>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11.85</w:t>
            </w:r>
          </w:p>
        </w:tc>
        <w:tc>
          <w:tcPr>
            <w:tcW w:w="1008" w:type="dxa"/>
            <w:tcBorders>
              <w:top w:val="nil"/>
              <w:left w:val="nil"/>
              <w:bottom w:val="nil"/>
              <w:right w:val="nil"/>
            </w:tcBorders>
          </w:tcPr>
          <w:p w:rsidR="00A3720E" w:rsidRPr="001B577D" w:rsidRDefault="00A3720E" w:rsidP="006A5A5C">
            <w:pPr>
              <w:tabs>
                <w:tab w:val="left" w:pos="367"/>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11.29</w:t>
            </w:r>
          </w:p>
        </w:tc>
        <w:tc>
          <w:tcPr>
            <w:tcW w:w="1008" w:type="dxa"/>
            <w:tcBorders>
              <w:top w:val="nil"/>
              <w:left w:val="nil"/>
              <w:bottom w:val="nil"/>
              <w:right w:val="nil"/>
            </w:tcBorders>
          </w:tcPr>
          <w:p w:rsidR="00A3720E" w:rsidRPr="001B577D" w:rsidRDefault="00A3720E" w:rsidP="006A5A5C">
            <w:pPr>
              <w:tabs>
                <w:tab w:val="left" w:pos="315"/>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11.49</w:t>
            </w:r>
          </w:p>
        </w:tc>
        <w:tc>
          <w:tcPr>
            <w:tcW w:w="1008" w:type="dxa"/>
            <w:tcBorders>
              <w:top w:val="nil"/>
              <w:left w:val="nil"/>
              <w:bottom w:val="nil"/>
              <w:right w:val="nil"/>
            </w:tcBorders>
          </w:tcPr>
          <w:p w:rsidR="00A3720E" w:rsidRPr="001B577D" w:rsidRDefault="00A3720E" w:rsidP="006A5A5C">
            <w:pPr>
              <w:tabs>
                <w:tab w:val="left" w:pos="309"/>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12.36</w:t>
            </w:r>
          </w:p>
        </w:tc>
        <w:tc>
          <w:tcPr>
            <w:tcW w:w="1160" w:type="dxa"/>
            <w:tcBorders>
              <w:top w:val="nil"/>
              <w:left w:val="nil"/>
              <w:bottom w:val="nil"/>
              <w:right w:val="nil"/>
            </w:tcBorders>
          </w:tcPr>
          <w:p w:rsidR="00A3720E" w:rsidRPr="001B577D" w:rsidRDefault="00A3720E" w:rsidP="006A5A5C">
            <w:pPr>
              <w:tabs>
                <w:tab w:val="left" w:pos="303"/>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12.46</w:t>
            </w:r>
          </w:p>
        </w:tc>
        <w:tc>
          <w:tcPr>
            <w:tcW w:w="1162" w:type="dxa"/>
            <w:tcBorders>
              <w:top w:val="nil"/>
              <w:left w:val="nil"/>
              <w:bottom w:val="nil"/>
              <w:right w:val="nil"/>
            </w:tcBorders>
          </w:tcPr>
          <w:p w:rsidR="00A3720E" w:rsidRPr="001B577D" w:rsidRDefault="00A3720E" w:rsidP="006A5A5C">
            <w:pPr>
              <w:tabs>
                <w:tab w:val="left" w:pos="281"/>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11.58</w:t>
            </w:r>
          </w:p>
        </w:tc>
        <w:tc>
          <w:tcPr>
            <w:tcW w:w="1163" w:type="dxa"/>
            <w:tcBorders>
              <w:top w:val="nil"/>
              <w:left w:val="nil"/>
              <w:bottom w:val="nil"/>
              <w:right w:val="nil"/>
            </w:tcBorders>
          </w:tcPr>
          <w:p w:rsidR="00A3720E" w:rsidRPr="001B577D" w:rsidRDefault="00A3720E" w:rsidP="006A5A5C">
            <w:pPr>
              <w:tabs>
                <w:tab w:val="left" w:pos="320"/>
              </w:tabs>
              <w:spacing w:after="0" w:line="240" w:lineRule="auto"/>
              <w:jc w:val="center"/>
              <w:rPr>
                <w:rFonts w:ascii="Calibri" w:eastAsia="MS Mincho" w:hAnsi="Calibri"/>
                <w:sz w:val="18"/>
                <w:szCs w:val="18"/>
                <w:lang w:eastAsia="en-US"/>
              </w:rPr>
            </w:pPr>
            <w:r>
              <w:rPr>
                <w:rFonts w:ascii="Calibri" w:eastAsia="MS Mincho" w:hAnsi="Calibri"/>
                <w:sz w:val="18"/>
                <w:szCs w:val="18"/>
                <w:lang w:eastAsia="en-US"/>
              </w:rPr>
              <w:t>SD</w:t>
            </w:r>
            <w:r>
              <w:rPr>
                <w:rFonts w:ascii="Calibri" w:eastAsia="MS Mincho" w:hAnsi="Calibri"/>
                <w:sz w:val="18"/>
                <w:szCs w:val="18"/>
                <w:lang w:eastAsia="en-US"/>
              </w:rPr>
              <w:tab/>
            </w:r>
            <w:r w:rsidRPr="001B577D">
              <w:rPr>
                <w:rFonts w:ascii="Calibri" w:eastAsia="MS Mincho" w:hAnsi="Calibri"/>
                <w:sz w:val="18"/>
                <w:szCs w:val="18"/>
                <w:lang w:eastAsia="en-US"/>
              </w:rPr>
              <w:t>11.20</w:t>
            </w:r>
          </w:p>
        </w:tc>
      </w:tr>
      <w:tr w:rsidR="00A3720E" w:rsidRPr="001B577D" w:rsidTr="006A5A5C">
        <w:trPr>
          <w:trHeight w:val="20"/>
        </w:trPr>
        <w:tc>
          <w:tcPr>
            <w:tcW w:w="2322" w:type="dxa"/>
            <w:tcBorders>
              <w:top w:val="nil"/>
              <w:left w:val="nil"/>
              <w:bottom w:val="nil"/>
              <w:right w:val="nil"/>
            </w:tcBorders>
          </w:tcPr>
          <w:p w:rsidR="00A3720E" w:rsidRPr="001B577D" w:rsidRDefault="00A3720E" w:rsidP="006A5A5C">
            <w:pPr>
              <w:spacing w:after="0" w:line="240" w:lineRule="auto"/>
              <w:jc w:val="center"/>
              <w:rPr>
                <w:rFonts w:ascii="Calibri" w:eastAsia="MS Mincho" w:hAnsi="Calibri"/>
                <w:sz w:val="18"/>
                <w:szCs w:val="18"/>
                <w:lang w:eastAsia="en-US"/>
              </w:rPr>
            </w:pPr>
          </w:p>
        </w:tc>
        <w:tc>
          <w:tcPr>
            <w:tcW w:w="3489" w:type="dxa"/>
            <w:gridSpan w:val="3"/>
            <w:tcBorders>
              <w:top w:val="nil"/>
              <w:left w:val="nil"/>
              <w:bottom w:val="single" w:sz="4" w:space="0" w:color="auto"/>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spacing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Percentage (%) of sample</w:t>
            </w:r>
          </w:p>
        </w:tc>
        <w:tc>
          <w:tcPr>
            <w:tcW w:w="942" w:type="dxa"/>
            <w:gridSpan w:val="2"/>
            <w:tcBorders>
              <w:top w:val="nil"/>
              <w:left w:val="nil"/>
              <w:bottom w:val="nil"/>
              <w:right w:val="nil"/>
            </w:tcBorders>
          </w:tcPr>
          <w:p w:rsidR="00A3720E" w:rsidRPr="001B577D" w:rsidRDefault="00A3720E" w:rsidP="006A5A5C">
            <w:pPr>
              <w:spacing w:after="0" w:line="240" w:lineRule="auto"/>
              <w:jc w:val="center"/>
              <w:rPr>
                <w:rFonts w:ascii="Calibri" w:eastAsia="MS Mincho" w:hAnsi="Calibri"/>
                <w:sz w:val="18"/>
                <w:szCs w:val="18"/>
                <w:lang w:eastAsia="en-US"/>
              </w:rPr>
            </w:pPr>
          </w:p>
        </w:tc>
        <w:tc>
          <w:tcPr>
            <w:tcW w:w="8191" w:type="dxa"/>
            <w:gridSpan w:val="7"/>
            <w:tcBorders>
              <w:top w:val="nil"/>
              <w:left w:val="nil"/>
              <w:bottom w:val="single" w:sz="4" w:space="0" w:color="auto"/>
              <w:right w:val="nil"/>
            </w:tcBorders>
          </w:tcPr>
          <w:p w:rsidR="00A3720E" w:rsidRDefault="00A3720E" w:rsidP="006A5A5C">
            <w:pPr>
              <w:spacing w:after="0" w:line="240" w:lineRule="auto"/>
              <w:jc w:val="center"/>
              <w:rPr>
                <w:rFonts w:ascii="Calibri" w:eastAsia="MS Mincho" w:hAnsi="Calibri"/>
                <w:sz w:val="18"/>
                <w:szCs w:val="18"/>
                <w:lang w:eastAsia="en-US"/>
              </w:rPr>
            </w:pPr>
          </w:p>
          <w:p w:rsidR="00A3720E" w:rsidRPr="001B577D" w:rsidRDefault="00A3720E" w:rsidP="006A5A5C">
            <w:pPr>
              <w:spacing w:after="0" w:line="240" w:lineRule="auto"/>
              <w:jc w:val="center"/>
              <w:rPr>
                <w:rFonts w:ascii="Calibri" w:eastAsia="MS Mincho" w:hAnsi="Calibri"/>
                <w:sz w:val="18"/>
                <w:szCs w:val="18"/>
                <w:lang w:eastAsia="en-US"/>
              </w:rPr>
            </w:pPr>
            <w:r w:rsidRPr="001B577D">
              <w:rPr>
                <w:rFonts w:ascii="Calibri" w:eastAsia="MS Mincho" w:hAnsi="Calibri"/>
                <w:sz w:val="18"/>
                <w:szCs w:val="18"/>
                <w:lang w:eastAsia="en-US"/>
              </w:rPr>
              <w:t>Percentage (%) of sample</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Gender</w:t>
            </w:r>
          </w:p>
        </w:tc>
        <w:tc>
          <w:tcPr>
            <w:tcW w:w="1683"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160"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008" w:type="dxa"/>
            <w:gridSpan w:val="2"/>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580" w:type="dxa"/>
            <w:tcBorders>
              <w:top w:val="nil"/>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682"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008"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008"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008"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160"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162"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c>
          <w:tcPr>
            <w:tcW w:w="1163" w:type="dxa"/>
            <w:tcBorders>
              <w:top w:val="single" w:sz="4" w:space="0" w:color="auto"/>
              <w:left w:val="nil"/>
              <w:bottom w:val="nil"/>
              <w:right w:val="nil"/>
            </w:tcBorders>
          </w:tcPr>
          <w:p w:rsidR="00A3720E" w:rsidRPr="001B577D" w:rsidRDefault="00A3720E" w:rsidP="006A5A5C">
            <w:pPr>
              <w:spacing w:after="0" w:line="240" w:lineRule="auto"/>
              <w:rPr>
                <w:rFonts w:ascii="Calibri" w:eastAsia="MS Mincho" w:hAnsi="Calibri"/>
                <w:sz w:val="18"/>
                <w:szCs w:val="18"/>
                <w:lang w:eastAsia="en-US"/>
              </w:rPr>
            </w:pP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eastAsia="MS Mincho" w:hAnsi="Calibri"/>
                <w:sz w:val="18"/>
                <w:szCs w:val="18"/>
                <w:lang w:eastAsia="en-US"/>
              </w:rPr>
            </w:pPr>
            <w:r w:rsidRPr="001B577D">
              <w:rPr>
                <w:rFonts w:ascii="Calibri" w:eastAsia="MS Mincho" w:hAnsi="Calibri"/>
                <w:sz w:val="18"/>
                <w:szCs w:val="18"/>
                <w:lang w:eastAsia="en-US"/>
              </w:rPr>
              <w:t>Men</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45.</w:t>
            </w:r>
            <w:r>
              <w:rPr>
                <w:rFonts w:ascii="Calibri" w:eastAsia="MS Mincho" w:hAnsi="Calibri"/>
                <w:sz w:val="18"/>
                <w:szCs w:val="18"/>
                <w:lang w:eastAsia="en-US"/>
              </w:rPr>
              <w:t>7</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44.7</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47.1</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45.5</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43.6</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47.3</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44.5</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49.8</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45.7</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44.7</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eastAsia="MS Mincho" w:hAnsi="Calibri"/>
                <w:sz w:val="18"/>
                <w:szCs w:val="18"/>
                <w:lang w:eastAsia="en-US"/>
              </w:rPr>
            </w:pPr>
            <w:r w:rsidRPr="001B577D">
              <w:rPr>
                <w:rFonts w:ascii="Calibri" w:eastAsia="MS Mincho" w:hAnsi="Calibri"/>
                <w:sz w:val="18"/>
                <w:szCs w:val="18"/>
                <w:lang w:eastAsia="en-US"/>
              </w:rPr>
              <w:t>Women</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54.3</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55.3</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52.9</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54.5</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56.4</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52.7</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55.5</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50.2</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54.3</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55.3</w:t>
            </w:r>
          </w:p>
        </w:tc>
      </w:tr>
      <w:tr w:rsidR="00A3720E" w:rsidRPr="001B577D" w:rsidTr="006A5A5C">
        <w:trPr>
          <w:trHeight w:val="20"/>
        </w:trPr>
        <w:tc>
          <w:tcPr>
            <w:tcW w:w="2322" w:type="dxa"/>
            <w:tcBorders>
              <w:top w:val="nil"/>
              <w:left w:val="nil"/>
              <w:bottom w:val="nil"/>
              <w:right w:val="nil"/>
            </w:tcBorders>
            <w:hideMark/>
          </w:tcPr>
          <w:p w:rsidR="00A3720E" w:rsidRDefault="00A3720E" w:rsidP="006A5A5C">
            <w:pPr>
              <w:spacing w:after="0" w:line="240" w:lineRule="auto"/>
              <w:rPr>
                <w:rFonts w:ascii="Calibri" w:eastAsia="MS Mincho" w:hAnsi="Calibri"/>
                <w:sz w:val="18"/>
                <w:szCs w:val="18"/>
                <w:lang w:eastAsia="en-US"/>
              </w:rPr>
            </w:pPr>
          </w:p>
          <w:p w:rsidR="00A3720E" w:rsidRPr="001B577D" w:rsidRDefault="00A3720E" w:rsidP="006A5A5C">
            <w:pPr>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Indigenous Australian (ATSI)</w:t>
            </w:r>
          </w:p>
        </w:tc>
        <w:tc>
          <w:tcPr>
            <w:tcW w:w="168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No / Not stated</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98.1</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98.2</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98.0</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98.4</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98.2</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99.2</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99.6</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99.0</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97.3</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90.8</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Pr>
                <w:rFonts w:ascii="Calibri" w:hAnsi="Calibri"/>
                <w:color w:val="000000"/>
                <w:sz w:val="18"/>
                <w:szCs w:val="18"/>
                <w:lang w:eastAsia="en-US"/>
              </w:rPr>
              <w:t>ATSI</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1.9</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1.8</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2.0</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1.6</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1.8</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0.8</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0.4</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1.0</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2.7</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9.2</w:t>
            </w:r>
          </w:p>
        </w:tc>
      </w:tr>
      <w:tr w:rsidR="00A3720E" w:rsidRPr="001B577D" w:rsidTr="006A5A5C">
        <w:trPr>
          <w:trHeight w:val="20"/>
        </w:trPr>
        <w:tc>
          <w:tcPr>
            <w:tcW w:w="2322" w:type="dxa"/>
            <w:tcBorders>
              <w:top w:val="nil"/>
              <w:left w:val="nil"/>
              <w:bottom w:val="nil"/>
              <w:right w:val="nil"/>
            </w:tcBorders>
            <w:hideMark/>
          </w:tcPr>
          <w:p w:rsidR="00A3720E" w:rsidRDefault="00A3720E" w:rsidP="006A5A5C">
            <w:pPr>
              <w:spacing w:after="0" w:line="240" w:lineRule="auto"/>
              <w:rPr>
                <w:rFonts w:ascii="Calibri" w:eastAsia="MS Mincho" w:hAnsi="Calibri"/>
                <w:sz w:val="18"/>
                <w:szCs w:val="18"/>
                <w:lang w:eastAsia="en-US"/>
              </w:rPr>
            </w:pPr>
          </w:p>
          <w:p w:rsidR="00A3720E" w:rsidRPr="001B577D" w:rsidRDefault="00A3720E" w:rsidP="006A5A5C">
            <w:pPr>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Marital Status</w:t>
            </w:r>
          </w:p>
        </w:tc>
        <w:tc>
          <w:tcPr>
            <w:tcW w:w="168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Married</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58.7</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57.4</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59.0</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60.5</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61.2</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63.1</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59.1</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59.2</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63.7</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50.0</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Living with partner</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10.2</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10.6</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9.9</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9.5</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8.8</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8.8</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9.8</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8.2</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8.9</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17.6</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Separated</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3.6</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3.2</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3.2</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3.6</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4.0</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2.5</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3.3</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5.9</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3.4</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7.1</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Divorced</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9.1</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9.3</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8.6</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9.5</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9.8</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9.6</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10.2</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8.2</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8.2</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7.1</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Widowed</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2.0</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2.7</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2.2</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2.0</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2.9</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2.4</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1.8</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1.6</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1.0</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1.8</w:t>
            </w: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hAnsi="Calibri"/>
                <w:color w:val="000000"/>
                <w:sz w:val="18"/>
                <w:szCs w:val="18"/>
                <w:lang w:eastAsia="en-US"/>
              </w:rPr>
            </w:pPr>
            <w:r w:rsidRPr="001B577D">
              <w:rPr>
                <w:rFonts w:ascii="Calibri" w:hAnsi="Calibri"/>
                <w:color w:val="000000"/>
                <w:sz w:val="18"/>
                <w:szCs w:val="18"/>
                <w:lang w:eastAsia="en-US"/>
              </w:rPr>
              <w:t>Never married / Refused</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16.4</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16.8</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17.1</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14.9</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13.2</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13.7</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15.8</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16.9</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14.9</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16.5</w:t>
            </w:r>
          </w:p>
        </w:tc>
      </w:tr>
      <w:tr w:rsidR="00A3720E" w:rsidRPr="001B577D" w:rsidTr="006A5A5C">
        <w:trPr>
          <w:trHeight w:val="20"/>
        </w:trPr>
        <w:tc>
          <w:tcPr>
            <w:tcW w:w="2322" w:type="dxa"/>
            <w:tcBorders>
              <w:top w:val="nil"/>
              <w:left w:val="nil"/>
              <w:bottom w:val="nil"/>
              <w:right w:val="nil"/>
            </w:tcBorders>
            <w:hideMark/>
          </w:tcPr>
          <w:p w:rsidR="00A3720E" w:rsidRDefault="00A3720E" w:rsidP="006A5A5C">
            <w:pPr>
              <w:spacing w:after="0" w:line="240" w:lineRule="auto"/>
              <w:rPr>
                <w:rFonts w:ascii="Calibri" w:eastAsia="MS Mincho" w:hAnsi="Calibri"/>
                <w:sz w:val="18"/>
                <w:szCs w:val="18"/>
                <w:lang w:eastAsia="en-US"/>
              </w:rPr>
            </w:pPr>
          </w:p>
          <w:p w:rsidR="00A3720E" w:rsidRPr="001B577D" w:rsidRDefault="00A3720E" w:rsidP="006A5A5C">
            <w:pPr>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Education level</w:t>
            </w:r>
          </w:p>
        </w:tc>
        <w:tc>
          <w:tcPr>
            <w:tcW w:w="168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r>
      <w:tr w:rsidR="00A3720E" w:rsidRPr="001B577D" w:rsidTr="006A5A5C">
        <w:trPr>
          <w:trHeight w:val="20"/>
        </w:trPr>
        <w:tc>
          <w:tcPr>
            <w:tcW w:w="2322" w:type="dxa"/>
            <w:tcBorders>
              <w:top w:val="nil"/>
              <w:left w:val="nil"/>
              <w:bottom w:val="nil"/>
              <w:right w:val="nil"/>
            </w:tcBorders>
            <w:hideMark/>
          </w:tcPr>
          <w:p w:rsidR="00A3720E" w:rsidRPr="001B577D" w:rsidRDefault="00A3720E" w:rsidP="006A5A5C">
            <w:pPr>
              <w:spacing w:after="0" w:line="240" w:lineRule="auto"/>
              <w:ind w:left="142"/>
              <w:rPr>
                <w:rFonts w:ascii="Calibri" w:eastAsia="MS Mincho" w:hAnsi="Calibri"/>
                <w:sz w:val="18"/>
                <w:szCs w:val="18"/>
                <w:lang w:eastAsia="en-US"/>
              </w:rPr>
            </w:pPr>
            <w:r w:rsidRPr="001B577D">
              <w:rPr>
                <w:rFonts w:ascii="Calibri" w:eastAsia="MS Mincho" w:hAnsi="Calibri"/>
                <w:sz w:val="18"/>
                <w:szCs w:val="18"/>
                <w:lang w:eastAsia="en-US"/>
              </w:rPr>
              <w:t>Bachelor degree or higher</w:t>
            </w:r>
          </w:p>
        </w:tc>
        <w:tc>
          <w:tcPr>
            <w:tcW w:w="1683" w:type="dxa"/>
            <w:tcBorders>
              <w:top w:val="nil"/>
              <w:left w:val="nil"/>
              <w:bottom w:val="nil"/>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33.7</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35.8</w:t>
            </w:r>
          </w:p>
        </w:tc>
        <w:tc>
          <w:tcPr>
            <w:tcW w:w="1008" w:type="dxa"/>
            <w:gridSpan w:val="2"/>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33.3</w:t>
            </w:r>
          </w:p>
        </w:tc>
        <w:tc>
          <w:tcPr>
            <w:tcW w:w="58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34.6</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37.1</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36.8</w:t>
            </w:r>
          </w:p>
        </w:tc>
        <w:tc>
          <w:tcPr>
            <w:tcW w:w="1008"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27.7</w:t>
            </w:r>
          </w:p>
        </w:tc>
        <w:tc>
          <w:tcPr>
            <w:tcW w:w="1160"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50.2</w:t>
            </w:r>
          </w:p>
        </w:tc>
        <w:tc>
          <w:tcPr>
            <w:tcW w:w="1162"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33.9</w:t>
            </w:r>
          </w:p>
        </w:tc>
        <w:tc>
          <w:tcPr>
            <w:tcW w:w="1163" w:type="dxa"/>
            <w:tcBorders>
              <w:top w:val="nil"/>
              <w:left w:val="nil"/>
              <w:bottom w:val="nil"/>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38.8</w:t>
            </w:r>
          </w:p>
        </w:tc>
      </w:tr>
      <w:tr w:rsidR="00A3720E" w:rsidRPr="001B577D" w:rsidTr="006A5A5C">
        <w:trPr>
          <w:trHeight w:val="20"/>
        </w:trPr>
        <w:tc>
          <w:tcPr>
            <w:tcW w:w="2322" w:type="dxa"/>
            <w:tcBorders>
              <w:top w:val="nil"/>
              <w:left w:val="nil"/>
              <w:bottom w:val="single" w:sz="4" w:space="0" w:color="auto"/>
              <w:right w:val="nil"/>
            </w:tcBorders>
            <w:hideMark/>
          </w:tcPr>
          <w:p w:rsidR="00A3720E" w:rsidRPr="001B577D" w:rsidRDefault="00A3720E" w:rsidP="006A5A5C">
            <w:pPr>
              <w:spacing w:after="0" w:line="240" w:lineRule="auto"/>
              <w:ind w:left="142"/>
              <w:rPr>
                <w:rFonts w:ascii="Calibri" w:eastAsia="MS Mincho" w:hAnsi="Calibri"/>
                <w:sz w:val="18"/>
                <w:szCs w:val="18"/>
                <w:lang w:eastAsia="en-US"/>
              </w:rPr>
            </w:pPr>
            <w:r w:rsidRPr="001B577D">
              <w:rPr>
                <w:rFonts w:ascii="Calibri" w:eastAsia="MS Mincho" w:hAnsi="Calibri"/>
                <w:sz w:val="18"/>
                <w:szCs w:val="18"/>
                <w:lang w:eastAsia="en-US"/>
              </w:rPr>
              <w:t>Below bachelor level</w:t>
            </w:r>
          </w:p>
        </w:tc>
        <w:tc>
          <w:tcPr>
            <w:tcW w:w="1683" w:type="dxa"/>
            <w:tcBorders>
              <w:top w:val="nil"/>
              <w:left w:val="nil"/>
              <w:bottom w:val="single" w:sz="4" w:space="0" w:color="auto"/>
              <w:right w:val="nil"/>
            </w:tcBorders>
            <w:hideMark/>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66.3</w:t>
            </w:r>
          </w:p>
        </w:tc>
        <w:tc>
          <w:tcPr>
            <w:tcW w:w="1160"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64.2</w:t>
            </w:r>
          </w:p>
        </w:tc>
        <w:tc>
          <w:tcPr>
            <w:tcW w:w="1008" w:type="dxa"/>
            <w:gridSpan w:val="2"/>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Pr>
                <w:rFonts w:ascii="Calibri" w:eastAsia="MS Mincho" w:hAnsi="Calibri"/>
                <w:sz w:val="18"/>
                <w:szCs w:val="18"/>
                <w:lang w:eastAsia="en-US"/>
              </w:rPr>
              <w:t>66.7</w:t>
            </w:r>
          </w:p>
        </w:tc>
        <w:tc>
          <w:tcPr>
            <w:tcW w:w="580"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p>
        </w:tc>
        <w:tc>
          <w:tcPr>
            <w:tcW w:w="1682"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65.4</w:t>
            </w:r>
          </w:p>
        </w:tc>
        <w:tc>
          <w:tcPr>
            <w:tcW w:w="1008"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62.9</w:t>
            </w:r>
          </w:p>
        </w:tc>
        <w:tc>
          <w:tcPr>
            <w:tcW w:w="1008"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63.2</w:t>
            </w:r>
          </w:p>
        </w:tc>
        <w:tc>
          <w:tcPr>
            <w:tcW w:w="1008"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72.3</w:t>
            </w:r>
          </w:p>
        </w:tc>
        <w:tc>
          <w:tcPr>
            <w:tcW w:w="1160"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49.8</w:t>
            </w:r>
          </w:p>
        </w:tc>
        <w:tc>
          <w:tcPr>
            <w:tcW w:w="1162"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66.1</w:t>
            </w:r>
          </w:p>
        </w:tc>
        <w:tc>
          <w:tcPr>
            <w:tcW w:w="1163" w:type="dxa"/>
            <w:tcBorders>
              <w:top w:val="nil"/>
              <w:left w:val="nil"/>
              <w:bottom w:val="single" w:sz="4" w:space="0" w:color="auto"/>
              <w:right w:val="nil"/>
            </w:tcBorders>
          </w:tcPr>
          <w:p w:rsidR="00A3720E" w:rsidRPr="001B577D" w:rsidRDefault="00A3720E" w:rsidP="006A5A5C">
            <w:pPr>
              <w:tabs>
                <w:tab w:val="decimal" w:pos="600"/>
              </w:tabs>
              <w:spacing w:after="0" w:line="240" w:lineRule="auto"/>
              <w:rPr>
                <w:rFonts w:ascii="Calibri" w:eastAsia="MS Mincho" w:hAnsi="Calibri"/>
                <w:sz w:val="18"/>
                <w:szCs w:val="18"/>
                <w:lang w:eastAsia="en-US"/>
              </w:rPr>
            </w:pPr>
            <w:r w:rsidRPr="001B577D">
              <w:rPr>
                <w:rFonts w:ascii="Calibri" w:eastAsia="MS Mincho" w:hAnsi="Calibri"/>
                <w:sz w:val="18"/>
                <w:szCs w:val="18"/>
                <w:lang w:eastAsia="en-US"/>
              </w:rPr>
              <w:t>61.2</w:t>
            </w:r>
          </w:p>
        </w:tc>
      </w:tr>
    </w:tbl>
    <w:p w:rsidR="00A3720E" w:rsidRPr="002115A3" w:rsidRDefault="00A3720E" w:rsidP="00A3720E">
      <w:pPr>
        <w:spacing w:before="120"/>
        <w:jc w:val="both"/>
        <w:rPr>
          <w:rFonts w:ascii="Calibri" w:hAnsi="Calibri"/>
          <w:sz w:val="16"/>
          <w:szCs w:val="16"/>
        </w:rPr>
      </w:pPr>
      <w:r>
        <w:rPr>
          <w:rFonts w:ascii="Calibri" w:hAnsi="Calibri"/>
          <w:sz w:val="16"/>
          <w:szCs w:val="16"/>
        </w:rPr>
        <w:t>Note:</w:t>
      </w:r>
      <w:r w:rsidRPr="002115A3">
        <w:rPr>
          <w:rFonts w:ascii="Calibri" w:hAnsi="Calibri"/>
          <w:sz w:val="16"/>
          <w:szCs w:val="16"/>
        </w:rPr>
        <w:t xml:space="preserve"> Statistics are drawn from the total number of interviews (N = 5,743) which includes six states over two waves of data collection from 2009 to 2011; </w:t>
      </w:r>
      <w:r>
        <w:rPr>
          <w:rFonts w:ascii="Calibri" w:eastAsia="MS Mincho" w:hAnsi="Calibri"/>
          <w:sz w:val="16"/>
          <w:szCs w:val="16"/>
          <w:lang w:eastAsia="en-US"/>
        </w:rPr>
        <w:t>*</w:t>
      </w:r>
      <w:r w:rsidRPr="002115A3">
        <w:rPr>
          <w:rFonts w:ascii="Calibri" w:eastAsia="MS Mincho" w:hAnsi="Calibri"/>
          <w:sz w:val="16"/>
          <w:szCs w:val="16"/>
          <w:lang w:eastAsia="en-US"/>
        </w:rPr>
        <w:t xml:space="preserve">includes NSW and WA Time 1 (2009) and all other states; </w:t>
      </w:r>
      <w:r>
        <w:rPr>
          <w:rFonts w:ascii="Calibri" w:eastAsia="MS Mincho" w:hAnsi="Calibri"/>
          <w:sz w:val="16"/>
          <w:szCs w:val="16"/>
          <w:lang w:eastAsia="en-US"/>
        </w:rPr>
        <w:t>*</w:t>
      </w:r>
      <w:r w:rsidRPr="002115A3">
        <w:rPr>
          <w:rFonts w:ascii="Calibri" w:hAnsi="Calibri"/>
          <w:sz w:val="16"/>
          <w:szCs w:val="16"/>
        </w:rPr>
        <w:t>includes NSW and WA Time 2 (2010) and all other states.</w:t>
      </w:r>
    </w:p>
    <w:p w:rsidR="001F2022" w:rsidRDefault="001F2022" w:rsidP="0099272D">
      <w:pPr>
        <w:spacing w:before="120"/>
        <w:jc w:val="both"/>
        <w:rPr>
          <w:rFonts w:ascii="Calibri" w:hAnsi="Calibri"/>
        </w:rPr>
        <w:sectPr w:rsidR="001F2022" w:rsidSect="00156806">
          <w:pgSz w:w="16838" w:h="11906" w:orient="landscape"/>
          <w:pgMar w:top="1304" w:right="1135" w:bottom="1531" w:left="1135" w:header="709" w:footer="709" w:gutter="0"/>
          <w:cols w:space="708"/>
          <w:docGrid w:linePitch="360"/>
        </w:sectPr>
      </w:pPr>
    </w:p>
    <w:p w:rsidR="00A3720E" w:rsidRPr="00611178" w:rsidRDefault="00A3720E" w:rsidP="00A3720E">
      <w:pPr>
        <w:pStyle w:val="FigureCaption"/>
      </w:pPr>
      <w:proofErr w:type="gramStart"/>
      <w:r w:rsidRPr="00611178">
        <w:lastRenderedPageBreak/>
        <w:t>Table 2.</w:t>
      </w:r>
      <w:proofErr w:type="gramEnd"/>
      <w:r w:rsidRPr="00611178">
        <w:t xml:space="preserve"> Individual and Employment Characteristics: Comparison between AWB and ABS data as a percentage of overall </w:t>
      </w:r>
      <w:proofErr w:type="gramStart"/>
      <w:r w:rsidRPr="00611178">
        <w:t>sample</w:t>
      </w:r>
      <w:proofErr w:type="gramEnd"/>
    </w:p>
    <w:tbl>
      <w:tblPr>
        <w:tblW w:w="0" w:type="auto"/>
        <w:tblBorders>
          <w:top w:val="single" w:sz="12" w:space="0" w:color="auto"/>
          <w:bottom w:val="single" w:sz="4" w:space="0" w:color="auto"/>
          <w:insideH w:val="single" w:sz="4" w:space="0" w:color="auto"/>
        </w:tblBorders>
        <w:tblLayout w:type="fixed"/>
        <w:tblLook w:val="04A0" w:firstRow="1" w:lastRow="0" w:firstColumn="1" w:lastColumn="0" w:noHBand="0" w:noVBand="1"/>
      </w:tblPr>
      <w:tblGrid>
        <w:gridCol w:w="4361"/>
        <w:gridCol w:w="1417"/>
        <w:gridCol w:w="284"/>
        <w:gridCol w:w="1417"/>
      </w:tblGrid>
      <w:tr w:rsidR="00A3720E" w:rsidRPr="00875C84" w:rsidTr="006A5A5C">
        <w:trPr>
          <w:trHeight w:val="496"/>
        </w:trPr>
        <w:tc>
          <w:tcPr>
            <w:tcW w:w="4361" w:type="dxa"/>
            <w:tcBorders>
              <w:top w:val="single" w:sz="12" w:space="0" w:color="auto"/>
              <w:bottom w:val="nil"/>
            </w:tcBorders>
            <w:shd w:val="clear" w:color="auto" w:fill="auto"/>
          </w:tcPr>
          <w:p w:rsidR="00A3720E" w:rsidRPr="00875C84" w:rsidRDefault="00A3720E" w:rsidP="006A5A5C">
            <w:pPr>
              <w:spacing w:after="0" w:line="240" w:lineRule="auto"/>
              <w:rPr>
                <w:rFonts w:asciiTheme="minorHAnsi" w:hAnsiTheme="minorHAnsi" w:cstheme="minorHAnsi"/>
                <w:szCs w:val="22"/>
              </w:rPr>
            </w:pPr>
          </w:p>
        </w:tc>
        <w:tc>
          <w:tcPr>
            <w:tcW w:w="1417" w:type="dxa"/>
            <w:tcBorders>
              <w:top w:val="single" w:sz="12" w:space="0" w:color="auto"/>
              <w:bottom w:val="single" w:sz="4" w:space="0" w:color="auto"/>
            </w:tcBorders>
          </w:tcPr>
          <w:p w:rsidR="00A3720E" w:rsidRPr="00875C84" w:rsidRDefault="00A3720E" w:rsidP="006A5A5C">
            <w:pPr>
              <w:spacing w:after="0" w:line="240" w:lineRule="auto"/>
              <w:jc w:val="center"/>
              <w:rPr>
                <w:rFonts w:asciiTheme="minorHAnsi" w:hAnsiTheme="minorHAnsi" w:cstheme="minorHAnsi"/>
                <w:szCs w:val="22"/>
              </w:rPr>
            </w:pPr>
            <w:r w:rsidRPr="00875C84">
              <w:rPr>
                <w:rFonts w:asciiTheme="minorHAnsi" w:hAnsiTheme="minorHAnsi" w:cstheme="minorHAnsi"/>
                <w:szCs w:val="22"/>
              </w:rPr>
              <w:t>AWB</w:t>
            </w:r>
          </w:p>
        </w:tc>
        <w:tc>
          <w:tcPr>
            <w:tcW w:w="284" w:type="dxa"/>
            <w:tcBorders>
              <w:top w:val="single" w:sz="12" w:space="0" w:color="auto"/>
              <w:bottom w:val="single" w:sz="4" w:space="0" w:color="auto"/>
            </w:tcBorders>
          </w:tcPr>
          <w:p w:rsidR="00A3720E" w:rsidRPr="00875C84" w:rsidRDefault="00A3720E" w:rsidP="006A5A5C">
            <w:pPr>
              <w:spacing w:after="0" w:line="240" w:lineRule="auto"/>
              <w:jc w:val="center"/>
              <w:rPr>
                <w:rFonts w:asciiTheme="minorHAnsi" w:hAnsiTheme="minorHAnsi" w:cstheme="minorHAnsi"/>
                <w:szCs w:val="22"/>
              </w:rPr>
            </w:pPr>
          </w:p>
        </w:tc>
        <w:tc>
          <w:tcPr>
            <w:tcW w:w="1417" w:type="dxa"/>
            <w:tcBorders>
              <w:top w:val="single" w:sz="12" w:space="0" w:color="auto"/>
              <w:bottom w:val="single" w:sz="4" w:space="0" w:color="auto"/>
            </w:tcBorders>
            <w:shd w:val="clear" w:color="auto" w:fill="auto"/>
          </w:tcPr>
          <w:p w:rsidR="00A3720E" w:rsidRPr="00875C84" w:rsidRDefault="00A3720E" w:rsidP="006A5A5C">
            <w:pPr>
              <w:spacing w:after="0" w:line="240" w:lineRule="auto"/>
              <w:jc w:val="center"/>
              <w:rPr>
                <w:rFonts w:asciiTheme="minorHAnsi" w:hAnsiTheme="minorHAnsi" w:cstheme="minorHAnsi"/>
                <w:szCs w:val="22"/>
              </w:rPr>
            </w:pPr>
            <w:r w:rsidRPr="00875C84">
              <w:rPr>
                <w:rFonts w:asciiTheme="minorHAnsi" w:hAnsiTheme="minorHAnsi" w:cstheme="minorHAnsi"/>
                <w:szCs w:val="22"/>
              </w:rPr>
              <w:t>ABS</w:t>
            </w:r>
          </w:p>
        </w:tc>
      </w:tr>
      <w:tr w:rsidR="00A3720E" w:rsidRPr="00875C84" w:rsidTr="006A5A5C">
        <w:trPr>
          <w:trHeight w:val="281"/>
        </w:trPr>
        <w:tc>
          <w:tcPr>
            <w:tcW w:w="4361" w:type="dxa"/>
            <w:tcBorders>
              <w:top w:val="nil"/>
              <w:bottom w:val="nil"/>
            </w:tcBorders>
            <w:shd w:val="clear" w:color="auto" w:fill="auto"/>
          </w:tcPr>
          <w:p w:rsidR="00A3720E" w:rsidRPr="009047A3" w:rsidRDefault="00A3720E" w:rsidP="006A5A5C">
            <w:pPr>
              <w:spacing w:after="0" w:line="240" w:lineRule="auto"/>
              <w:rPr>
                <w:rFonts w:asciiTheme="minorHAnsi" w:hAnsiTheme="minorHAnsi" w:cstheme="minorHAnsi"/>
                <w:i/>
                <w:szCs w:val="22"/>
              </w:rPr>
            </w:pPr>
            <w:r w:rsidRPr="009047A3">
              <w:rPr>
                <w:rFonts w:asciiTheme="minorHAnsi" w:hAnsiTheme="minorHAnsi" w:cstheme="minorHAnsi"/>
                <w:i/>
                <w:szCs w:val="22"/>
              </w:rPr>
              <w:t>Individual Characteristics:</w:t>
            </w:r>
          </w:p>
        </w:tc>
        <w:tc>
          <w:tcPr>
            <w:tcW w:w="1417" w:type="dxa"/>
            <w:tcBorders>
              <w:top w:val="single" w:sz="4" w:space="0" w:color="auto"/>
              <w:bottom w:val="nil"/>
            </w:tcBorders>
          </w:tcPr>
          <w:p w:rsidR="00A3720E" w:rsidRPr="00875C84" w:rsidRDefault="00A3720E" w:rsidP="006A5A5C">
            <w:pPr>
              <w:spacing w:after="0" w:line="240" w:lineRule="auto"/>
              <w:rPr>
                <w:rFonts w:asciiTheme="minorHAnsi" w:hAnsiTheme="minorHAnsi" w:cstheme="minorHAnsi"/>
                <w:szCs w:val="22"/>
              </w:rPr>
            </w:pPr>
          </w:p>
        </w:tc>
        <w:tc>
          <w:tcPr>
            <w:tcW w:w="284" w:type="dxa"/>
            <w:tcBorders>
              <w:top w:val="single" w:sz="4" w:space="0" w:color="auto"/>
              <w:bottom w:val="nil"/>
            </w:tcBorders>
          </w:tcPr>
          <w:p w:rsidR="00A3720E" w:rsidRPr="00875C84" w:rsidRDefault="00A3720E" w:rsidP="006A5A5C">
            <w:pPr>
              <w:spacing w:after="0" w:line="240" w:lineRule="auto"/>
              <w:rPr>
                <w:rFonts w:asciiTheme="minorHAnsi" w:hAnsiTheme="minorHAnsi" w:cstheme="minorHAnsi"/>
                <w:szCs w:val="22"/>
              </w:rPr>
            </w:pPr>
          </w:p>
        </w:tc>
        <w:tc>
          <w:tcPr>
            <w:tcW w:w="1417" w:type="dxa"/>
            <w:tcBorders>
              <w:top w:val="single" w:sz="4" w:space="0" w:color="auto"/>
              <w:bottom w:val="nil"/>
            </w:tcBorders>
            <w:shd w:val="clear" w:color="auto" w:fill="auto"/>
          </w:tcPr>
          <w:p w:rsidR="00A3720E" w:rsidRPr="00875C84" w:rsidRDefault="00A3720E" w:rsidP="006A5A5C">
            <w:pPr>
              <w:spacing w:after="0" w:line="240" w:lineRule="auto"/>
              <w:rPr>
                <w:rFonts w:asciiTheme="minorHAnsi" w:hAnsiTheme="minorHAnsi" w:cstheme="minorHAnsi"/>
                <w:szCs w:val="22"/>
              </w:rPr>
            </w:pP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142"/>
              <w:rPr>
                <w:rFonts w:asciiTheme="minorHAnsi" w:hAnsiTheme="minorHAnsi" w:cstheme="minorHAnsi"/>
                <w:szCs w:val="22"/>
                <w:lang w:eastAsia="en-US"/>
              </w:rPr>
            </w:pPr>
            <w:r w:rsidRPr="00875C84">
              <w:rPr>
                <w:rFonts w:asciiTheme="minorHAnsi" w:hAnsiTheme="minorHAnsi" w:cstheme="minorHAnsi"/>
                <w:szCs w:val="22"/>
              </w:rPr>
              <w:t>Gender</w:t>
            </w:r>
          </w:p>
        </w:tc>
        <w:tc>
          <w:tcPr>
            <w:tcW w:w="1417" w:type="dxa"/>
            <w:tcBorders>
              <w:top w:val="nil"/>
              <w:bottom w:val="nil"/>
            </w:tcBorders>
          </w:tcPr>
          <w:p w:rsidR="00A3720E" w:rsidRPr="00875C84" w:rsidRDefault="00A3720E" w:rsidP="006A5A5C">
            <w:pPr>
              <w:spacing w:after="0" w:line="240" w:lineRule="auto"/>
              <w:rPr>
                <w:rFonts w:asciiTheme="minorHAnsi" w:hAnsiTheme="minorHAnsi" w:cstheme="minorHAnsi"/>
                <w:szCs w:val="22"/>
              </w:rPr>
            </w:pPr>
          </w:p>
        </w:tc>
        <w:tc>
          <w:tcPr>
            <w:tcW w:w="284" w:type="dxa"/>
            <w:tcBorders>
              <w:top w:val="nil"/>
              <w:bottom w:val="nil"/>
            </w:tcBorders>
          </w:tcPr>
          <w:p w:rsidR="00A3720E" w:rsidRPr="00875C84" w:rsidRDefault="00A3720E" w:rsidP="006A5A5C">
            <w:pPr>
              <w:spacing w:after="0" w:line="240" w:lineRule="auto"/>
              <w:rPr>
                <w:rFonts w:asciiTheme="minorHAnsi" w:hAnsiTheme="minorHAnsi" w:cstheme="minorHAnsi"/>
                <w:szCs w:val="22"/>
              </w:rPr>
            </w:pPr>
          </w:p>
        </w:tc>
        <w:tc>
          <w:tcPr>
            <w:tcW w:w="1417" w:type="dxa"/>
            <w:tcBorders>
              <w:top w:val="nil"/>
              <w:bottom w:val="nil"/>
            </w:tcBorders>
            <w:shd w:val="clear" w:color="auto" w:fill="auto"/>
          </w:tcPr>
          <w:p w:rsidR="00A3720E" w:rsidRPr="00875C84" w:rsidRDefault="00A3720E" w:rsidP="006A5A5C">
            <w:pPr>
              <w:spacing w:after="0" w:line="240" w:lineRule="auto"/>
              <w:rPr>
                <w:rFonts w:asciiTheme="minorHAnsi" w:hAnsiTheme="minorHAnsi" w:cstheme="minorHAnsi"/>
                <w:szCs w:val="22"/>
              </w:rPr>
            </w:pP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Men</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45.7</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50.1</w:t>
            </w:r>
          </w:p>
        </w:tc>
      </w:tr>
      <w:tr w:rsidR="00A3720E" w:rsidRPr="00875C84" w:rsidTr="006A5A5C">
        <w:trPr>
          <w:trHeight w:val="455"/>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Women</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54.3</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49.9</w:t>
            </w: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142"/>
              <w:rPr>
                <w:rFonts w:asciiTheme="minorHAnsi" w:hAnsiTheme="minorHAnsi" w:cstheme="minorHAnsi"/>
                <w:szCs w:val="22"/>
                <w:lang w:eastAsia="en-US"/>
              </w:rPr>
            </w:pPr>
            <w:r w:rsidRPr="00875C84">
              <w:rPr>
                <w:rFonts w:asciiTheme="minorHAnsi" w:hAnsiTheme="minorHAnsi" w:cstheme="minorHAnsi"/>
                <w:szCs w:val="22"/>
              </w:rPr>
              <w:t>Education level</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rPr>
            </w:pPr>
          </w:p>
        </w:tc>
        <w:tc>
          <w:tcPr>
            <w:tcW w:w="284" w:type="dxa"/>
            <w:tcBorders>
              <w:top w:val="nil"/>
              <w:bottom w:val="nil"/>
            </w:tcBorders>
          </w:tcPr>
          <w:p w:rsidR="00A3720E" w:rsidRPr="00875C84" w:rsidRDefault="00A3720E" w:rsidP="006A5A5C">
            <w:pPr>
              <w:tabs>
                <w:tab w:val="decimal" w:pos="600"/>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Bachelor degree or higher</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33.7</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23.8</w:t>
            </w:r>
          </w:p>
        </w:tc>
      </w:tr>
      <w:tr w:rsidR="00A3720E" w:rsidRPr="00875C84" w:rsidTr="006A5A5C">
        <w:trPr>
          <w:trHeight w:val="454"/>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Below bachelor level</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66.3</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76.2</w:t>
            </w: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142"/>
              <w:rPr>
                <w:rFonts w:asciiTheme="minorHAnsi" w:hAnsiTheme="minorHAnsi" w:cstheme="minorHAnsi"/>
                <w:szCs w:val="22"/>
                <w:lang w:eastAsia="en-US"/>
              </w:rPr>
            </w:pPr>
            <w:r w:rsidRPr="00875C84">
              <w:rPr>
                <w:rFonts w:asciiTheme="minorHAnsi" w:hAnsiTheme="minorHAnsi" w:cstheme="minorHAnsi"/>
                <w:szCs w:val="22"/>
              </w:rPr>
              <w:t xml:space="preserve">Country of </w:t>
            </w:r>
            <w:r>
              <w:rPr>
                <w:rFonts w:asciiTheme="minorHAnsi" w:hAnsiTheme="minorHAnsi" w:cstheme="minorHAnsi"/>
                <w:szCs w:val="22"/>
              </w:rPr>
              <w:t>b</w:t>
            </w:r>
            <w:r w:rsidRPr="00875C84">
              <w:rPr>
                <w:rFonts w:asciiTheme="minorHAnsi" w:hAnsiTheme="minorHAnsi" w:cstheme="minorHAnsi"/>
                <w:szCs w:val="22"/>
              </w:rPr>
              <w:t>irth</w:t>
            </w:r>
          </w:p>
        </w:tc>
        <w:tc>
          <w:tcPr>
            <w:tcW w:w="1417" w:type="dxa"/>
            <w:tcBorders>
              <w:top w:val="nil"/>
              <w:bottom w:val="nil"/>
            </w:tcBorders>
          </w:tcPr>
          <w:p w:rsidR="00A3720E" w:rsidRPr="00875C84" w:rsidRDefault="00A3720E" w:rsidP="006A5A5C">
            <w:pPr>
              <w:tabs>
                <w:tab w:val="decimal" w:pos="453"/>
                <w:tab w:val="decimal" w:pos="601"/>
              </w:tabs>
              <w:spacing w:after="0" w:line="240" w:lineRule="auto"/>
              <w:rPr>
                <w:rFonts w:asciiTheme="minorHAnsi" w:hAnsiTheme="minorHAnsi" w:cstheme="minorHAnsi"/>
                <w:szCs w:val="22"/>
              </w:rPr>
            </w:pP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Australia</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77.3</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72.4</w:t>
            </w:r>
          </w:p>
        </w:tc>
      </w:tr>
      <w:tr w:rsidR="00A3720E" w:rsidRPr="00875C84" w:rsidTr="006A5A5C">
        <w:trPr>
          <w:trHeight w:val="729"/>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Outside Australia</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22.7</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27.6</w:t>
            </w:r>
          </w:p>
        </w:tc>
      </w:tr>
      <w:tr w:rsidR="00A3720E" w:rsidRPr="00875C84" w:rsidTr="006A5A5C">
        <w:trPr>
          <w:trHeight w:val="293"/>
        </w:trPr>
        <w:tc>
          <w:tcPr>
            <w:tcW w:w="4361" w:type="dxa"/>
            <w:tcBorders>
              <w:top w:val="nil"/>
              <w:bottom w:val="nil"/>
            </w:tcBorders>
            <w:shd w:val="clear" w:color="auto" w:fill="auto"/>
          </w:tcPr>
          <w:p w:rsidR="00A3720E" w:rsidRPr="009047A3" w:rsidRDefault="00A3720E" w:rsidP="006A5A5C">
            <w:pPr>
              <w:spacing w:after="0" w:line="240" w:lineRule="auto"/>
              <w:rPr>
                <w:rFonts w:asciiTheme="minorHAnsi" w:hAnsiTheme="minorHAnsi" w:cstheme="minorHAnsi"/>
                <w:i/>
                <w:szCs w:val="22"/>
                <w:lang w:eastAsia="en-US"/>
              </w:rPr>
            </w:pPr>
            <w:r w:rsidRPr="009047A3">
              <w:rPr>
                <w:rFonts w:asciiTheme="minorHAnsi" w:hAnsiTheme="minorHAnsi" w:cstheme="minorHAnsi"/>
                <w:i/>
                <w:szCs w:val="22"/>
              </w:rPr>
              <w:t>Job Characteristics</w:t>
            </w:r>
            <w:r>
              <w:rPr>
                <w:rFonts w:asciiTheme="minorHAnsi" w:hAnsiTheme="minorHAnsi" w:cstheme="minorHAnsi"/>
                <w:i/>
                <w:szCs w:val="22"/>
              </w:rPr>
              <w:t>:</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rPr>
            </w:pP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rPr>
            </w:pPr>
          </w:p>
        </w:tc>
      </w:tr>
      <w:tr w:rsidR="00A3720E" w:rsidRPr="00875C84" w:rsidTr="006A5A5C">
        <w:trPr>
          <w:trHeight w:val="247"/>
        </w:trPr>
        <w:tc>
          <w:tcPr>
            <w:tcW w:w="4361" w:type="dxa"/>
            <w:tcBorders>
              <w:top w:val="nil"/>
              <w:bottom w:val="nil"/>
            </w:tcBorders>
            <w:shd w:val="clear" w:color="auto" w:fill="auto"/>
          </w:tcPr>
          <w:p w:rsidR="00A3720E" w:rsidRPr="00875C84" w:rsidRDefault="00A3720E" w:rsidP="006A5A5C">
            <w:pPr>
              <w:spacing w:after="0" w:line="240" w:lineRule="auto"/>
              <w:ind w:left="142"/>
              <w:rPr>
                <w:rFonts w:asciiTheme="minorHAnsi" w:hAnsiTheme="minorHAnsi" w:cstheme="minorHAnsi"/>
                <w:szCs w:val="22"/>
                <w:lang w:eastAsia="en-US"/>
              </w:rPr>
            </w:pPr>
            <w:r w:rsidRPr="00875C84">
              <w:rPr>
                <w:rFonts w:asciiTheme="minorHAnsi" w:hAnsiTheme="minorHAnsi" w:cstheme="minorHAnsi"/>
                <w:szCs w:val="22"/>
              </w:rPr>
              <w:t>Working hours</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r>
      <w:tr w:rsidR="00A3720E" w:rsidRPr="00875C84" w:rsidTr="006A5A5C">
        <w:trPr>
          <w:trHeight w:val="195"/>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Full-time</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71.8</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70.4</w:t>
            </w:r>
          </w:p>
        </w:tc>
      </w:tr>
      <w:tr w:rsidR="00A3720E" w:rsidRPr="00875C84" w:rsidTr="006A5A5C">
        <w:trPr>
          <w:trHeight w:val="411"/>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Part-time</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28.2</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29.6</w:t>
            </w: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142"/>
              <w:rPr>
                <w:rFonts w:asciiTheme="minorHAnsi" w:hAnsiTheme="minorHAnsi" w:cstheme="minorHAnsi"/>
                <w:szCs w:val="22"/>
                <w:lang w:eastAsia="en-US"/>
              </w:rPr>
            </w:pPr>
            <w:r w:rsidRPr="00875C84">
              <w:rPr>
                <w:rFonts w:asciiTheme="minorHAnsi" w:hAnsiTheme="minorHAnsi" w:cstheme="minorHAnsi"/>
                <w:szCs w:val="22"/>
              </w:rPr>
              <w:t>Contract type</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rPr>
            </w:pP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r>
      <w:tr w:rsidR="00A3720E" w:rsidRPr="00875C84" w:rsidTr="006A5A5C">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Permanent/fixed term</w:t>
            </w:r>
            <w:r>
              <w:rPr>
                <w:rFonts w:asciiTheme="minorHAnsi" w:hAnsiTheme="minorHAnsi" w:cstheme="minorHAnsi"/>
                <w:szCs w:val="22"/>
              </w:rPr>
              <w:t xml:space="preserve">  </w:t>
            </w:r>
            <w:r w:rsidRPr="00875C84">
              <w:rPr>
                <w:rFonts w:asciiTheme="minorHAnsi" w:hAnsiTheme="minorHAnsi" w:cstheme="minorHAnsi"/>
                <w:szCs w:val="22"/>
              </w:rPr>
              <w:t xml:space="preserve"> (with paid leave)</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85.7</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80.2</w:t>
            </w:r>
          </w:p>
        </w:tc>
      </w:tr>
      <w:tr w:rsidR="00A3720E" w:rsidRPr="00875C84" w:rsidTr="006A5A5C">
        <w:trPr>
          <w:trHeight w:val="485"/>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Pr>
                <w:rFonts w:asciiTheme="minorHAnsi" w:hAnsiTheme="minorHAnsi" w:cstheme="minorHAnsi"/>
                <w:szCs w:val="22"/>
              </w:rPr>
              <w:t>Casual  (without</w:t>
            </w:r>
            <w:r w:rsidRPr="00875C84">
              <w:rPr>
                <w:rFonts w:asciiTheme="minorHAnsi" w:hAnsiTheme="minorHAnsi" w:cstheme="minorHAnsi"/>
                <w:szCs w:val="22"/>
              </w:rPr>
              <w:t xml:space="preserve"> paid leave entitlements)</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14.3</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19.8</w:t>
            </w:r>
          </w:p>
        </w:tc>
      </w:tr>
      <w:tr w:rsidR="00A3720E" w:rsidRPr="00875C84" w:rsidTr="006A5A5C">
        <w:trPr>
          <w:trHeight w:val="241"/>
        </w:trPr>
        <w:tc>
          <w:tcPr>
            <w:tcW w:w="4361" w:type="dxa"/>
            <w:tcBorders>
              <w:top w:val="nil"/>
              <w:bottom w:val="nil"/>
            </w:tcBorders>
            <w:shd w:val="clear" w:color="auto" w:fill="auto"/>
          </w:tcPr>
          <w:p w:rsidR="00A3720E" w:rsidRPr="00875C84" w:rsidRDefault="00A3720E" w:rsidP="006A5A5C">
            <w:pPr>
              <w:spacing w:after="0" w:line="240" w:lineRule="auto"/>
              <w:ind w:left="142"/>
              <w:rPr>
                <w:rFonts w:asciiTheme="minorHAnsi" w:hAnsiTheme="minorHAnsi" w:cstheme="minorHAnsi"/>
                <w:szCs w:val="22"/>
                <w:lang w:eastAsia="en-US"/>
              </w:rPr>
            </w:pPr>
            <w:r>
              <w:rPr>
                <w:rFonts w:asciiTheme="minorHAnsi" w:hAnsiTheme="minorHAnsi" w:cstheme="minorHAnsi"/>
                <w:szCs w:val="22"/>
              </w:rPr>
              <w:t>Small-to-medium e</w:t>
            </w:r>
            <w:r w:rsidRPr="00875C84">
              <w:rPr>
                <w:rFonts w:asciiTheme="minorHAnsi" w:hAnsiTheme="minorHAnsi" w:cstheme="minorHAnsi"/>
                <w:szCs w:val="22"/>
              </w:rPr>
              <w:t xml:space="preserve">nterprise employment </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highlight w:val="cyan"/>
              </w:rPr>
            </w:pPr>
          </w:p>
        </w:tc>
      </w:tr>
      <w:tr w:rsidR="00A3720E" w:rsidRPr="00875C84" w:rsidTr="006A5A5C">
        <w:trPr>
          <w:trHeight w:val="205"/>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Small</w:t>
            </w:r>
            <w:r>
              <w:rPr>
                <w:rFonts w:asciiTheme="minorHAnsi" w:hAnsiTheme="minorHAnsi" w:cstheme="minorHAnsi"/>
                <w:szCs w:val="22"/>
              </w:rPr>
              <w:tab/>
            </w:r>
            <w:r w:rsidRPr="00875C84">
              <w:rPr>
                <w:rFonts w:asciiTheme="minorHAnsi" w:hAnsiTheme="minorHAnsi" w:cstheme="minorHAnsi"/>
                <w:szCs w:val="22"/>
              </w:rPr>
              <w:t>(up to 19 employees)</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17.0</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47.2</w:t>
            </w:r>
          </w:p>
        </w:tc>
      </w:tr>
      <w:tr w:rsidR="00A3720E" w:rsidRPr="00875C84" w:rsidTr="006A5A5C">
        <w:trPr>
          <w:trHeight w:val="137"/>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Pr>
                <w:rFonts w:asciiTheme="minorHAnsi" w:hAnsiTheme="minorHAnsi" w:cstheme="minorHAnsi"/>
                <w:szCs w:val="22"/>
              </w:rPr>
              <w:t>Medium</w:t>
            </w:r>
            <w:r>
              <w:rPr>
                <w:rFonts w:asciiTheme="minorHAnsi" w:hAnsiTheme="minorHAnsi" w:cstheme="minorHAnsi"/>
                <w:szCs w:val="22"/>
              </w:rPr>
              <w:tab/>
            </w:r>
            <w:r w:rsidRPr="00875C84">
              <w:rPr>
                <w:rFonts w:asciiTheme="minorHAnsi" w:hAnsiTheme="minorHAnsi" w:cstheme="minorHAnsi"/>
                <w:szCs w:val="22"/>
              </w:rPr>
              <w:t>( 20 – 199 )</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21.0</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23.3</w:t>
            </w:r>
          </w:p>
        </w:tc>
      </w:tr>
      <w:tr w:rsidR="00A3720E" w:rsidRPr="00875C84" w:rsidTr="006A5A5C">
        <w:trPr>
          <w:trHeight w:val="502"/>
        </w:trPr>
        <w:tc>
          <w:tcPr>
            <w:tcW w:w="4361" w:type="dxa"/>
            <w:tcBorders>
              <w:top w:val="nil"/>
              <w:bottom w:val="nil"/>
            </w:tcBorders>
            <w:shd w:val="clear" w:color="auto" w:fill="auto"/>
          </w:tcPr>
          <w:p w:rsidR="00A3720E" w:rsidRPr="00875C84" w:rsidRDefault="00A3720E" w:rsidP="006A5A5C">
            <w:pPr>
              <w:spacing w:after="0" w:line="240" w:lineRule="auto"/>
              <w:ind w:left="426"/>
              <w:rPr>
                <w:rFonts w:asciiTheme="minorHAnsi" w:hAnsiTheme="minorHAnsi" w:cstheme="minorHAnsi"/>
                <w:szCs w:val="22"/>
                <w:lang w:eastAsia="en-US"/>
              </w:rPr>
            </w:pPr>
            <w:r>
              <w:rPr>
                <w:rFonts w:asciiTheme="minorHAnsi" w:hAnsiTheme="minorHAnsi" w:cstheme="minorHAnsi"/>
                <w:szCs w:val="22"/>
              </w:rPr>
              <w:t>Large</w:t>
            </w:r>
            <w:r>
              <w:rPr>
                <w:rFonts w:asciiTheme="minorHAnsi" w:hAnsiTheme="minorHAnsi" w:cstheme="minorHAnsi"/>
                <w:szCs w:val="22"/>
              </w:rPr>
              <w:tab/>
            </w:r>
            <w:r w:rsidRPr="00875C84">
              <w:rPr>
                <w:rFonts w:asciiTheme="minorHAnsi" w:hAnsiTheme="minorHAnsi" w:cstheme="minorHAnsi"/>
                <w:szCs w:val="22"/>
              </w:rPr>
              <w:t>( 200 + )</w:t>
            </w:r>
          </w:p>
        </w:tc>
        <w:tc>
          <w:tcPr>
            <w:tcW w:w="1417" w:type="dxa"/>
            <w:tcBorders>
              <w:top w:val="nil"/>
              <w:bottom w:val="nil"/>
            </w:tcBorders>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62.0</w:t>
            </w:r>
          </w:p>
        </w:tc>
        <w:tc>
          <w:tcPr>
            <w:tcW w:w="284" w:type="dxa"/>
            <w:tcBorders>
              <w:top w:val="nil"/>
              <w:bottom w:val="nil"/>
            </w:tcBorders>
          </w:tcPr>
          <w:p w:rsidR="00A3720E" w:rsidRPr="00875C84" w:rsidRDefault="00A3720E" w:rsidP="006A5A5C">
            <w:pPr>
              <w:tabs>
                <w:tab w:val="decimal" w:pos="453"/>
              </w:tabs>
              <w:spacing w:after="0" w:line="240" w:lineRule="auto"/>
              <w:rPr>
                <w:rFonts w:asciiTheme="minorHAnsi" w:hAnsiTheme="minorHAnsi" w:cstheme="minorHAnsi"/>
                <w:szCs w:val="22"/>
                <w:highlight w:val="cyan"/>
              </w:rPr>
            </w:pPr>
          </w:p>
        </w:tc>
        <w:tc>
          <w:tcPr>
            <w:tcW w:w="1417" w:type="dxa"/>
            <w:tcBorders>
              <w:top w:val="nil"/>
              <w:bottom w:val="nil"/>
            </w:tcBorders>
            <w:shd w:val="clear" w:color="auto" w:fill="auto"/>
          </w:tcPr>
          <w:p w:rsidR="00A3720E" w:rsidRPr="00875C84" w:rsidRDefault="00A3720E" w:rsidP="006A5A5C">
            <w:pPr>
              <w:tabs>
                <w:tab w:val="decimal" w:pos="601"/>
              </w:tabs>
              <w:spacing w:after="0" w:line="240" w:lineRule="auto"/>
              <w:rPr>
                <w:rFonts w:asciiTheme="minorHAnsi" w:hAnsiTheme="minorHAnsi" w:cstheme="minorHAnsi"/>
                <w:szCs w:val="22"/>
                <w:lang w:eastAsia="en-US"/>
              </w:rPr>
            </w:pPr>
            <w:r w:rsidRPr="00875C84">
              <w:rPr>
                <w:rFonts w:asciiTheme="minorHAnsi" w:hAnsiTheme="minorHAnsi" w:cstheme="minorHAnsi"/>
                <w:szCs w:val="22"/>
              </w:rPr>
              <w:t>29.5</w:t>
            </w:r>
          </w:p>
        </w:tc>
      </w:tr>
      <w:tr w:rsidR="00A3720E" w:rsidRPr="00875C84" w:rsidTr="006A5A5C">
        <w:trPr>
          <w:trHeight w:val="788"/>
        </w:trPr>
        <w:tc>
          <w:tcPr>
            <w:tcW w:w="4361" w:type="dxa"/>
            <w:tcBorders>
              <w:top w:val="nil"/>
            </w:tcBorders>
            <w:shd w:val="clear" w:color="auto" w:fill="auto"/>
            <w:vAlign w:val="center"/>
          </w:tcPr>
          <w:p w:rsidR="00A3720E" w:rsidRPr="00875C84" w:rsidRDefault="00A3720E" w:rsidP="006A5A5C">
            <w:pPr>
              <w:spacing w:after="0" w:line="240" w:lineRule="auto"/>
              <w:ind w:left="426"/>
              <w:rPr>
                <w:rFonts w:asciiTheme="minorHAnsi" w:hAnsiTheme="minorHAnsi" w:cstheme="minorHAnsi"/>
                <w:szCs w:val="22"/>
                <w:lang w:eastAsia="en-US"/>
              </w:rPr>
            </w:pPr>
            <w:r w:rsidRPr="00875C84">
              <w:rPr>
                <w:rFonts w:asciiTheme="minorHAnsi" w:hAnsiTheme="minorHAnsi" w:cstheme="minorHAnsi"/>
                <w:szCs w:val="22"/>
              </w:rPr>
              <w:t>Yearly Income (average, AUD)</w:t>
            </w:r>
          </w:p>
        </w:tc>
        <w:tc>
          <w:tcPr>
            <w:tcW w:w="1417" w:type="dxa"/>
            <w:tcBorders>
              <w:top w:val="single" w:sz="4" w:space="0" w:color="auto"/>
            </w:tcBorders>
            <w:vAlign w:val="center"/>
          </w:tcPr>
          <w:p w:rsidR="00A3720E" w:rsidRPr="00875C84" w:rsidRDefault="00A3720E" w:rsidP="006A5A5C">
            <w:pPr>
              <w:spacing w:after="0" w:line="240" w:lineRule="auto"/>
              <w:jc w:val="center"/>
              <w:rPr>
                <w:rFonts w:asciiTheme="minorHAnsi" w:hAnsiTheme="minorHAnsi" w:cstheme="minorHAnsi"/>
                <w:szCs w:val="22"/>
                <w:lang w:eastAsia="en-US"/>
              </w:rPr>
            </w:pPr>
            <w:r w:rsidRPr="00875C84">
              <w:rPr>
                <w:rFonts w:asciiTheme="minorHAnsi" w:hAnsiTheme="minorHAnsi" w:cstheme="minorHAnsi"/>
                <w:szCs w:val="22"/>
              </w:rPr>
              <w:t>$51</w:t>
            </w:r>
            <w:r>
              <w:rPr>
                <w:rFonts w:asciiTheme="minorHAnsi" w:hAnsiTheme="minorHAnsi" w:cstheme="minorHAnsi"/>
                <w:szCs w:val="22"/>
              </w:rPr>
              <w:t xml:space="preserve"> </w:t>
            </w:r>
            <w:r w:rsidRPr="00875C84">
              <w:rPr>
                <w:rFonts w:asciiTheme="minorHAnsi" w:hAnsiTheme="minorHAnsi" w:cstheme="minorHAnsi"/>
                <w:szCs w:val="22"/>
              </w:rPr>
              <w:t>63</w:t>
            </w:r>
            <w:r>
              <w:rPr>
                <w:rFonts w:asciiTheme="minorHAnsi" w:hAnsiTheme="minorHAnsi" w:cstheme="minorHAnsi"/>
                <w:szCs w:val="22"/>
              </w:rPr>
              <w:t>6</w:t>
            </w:r>
          </w:p>
        </w:tc>
        <w:tc>
          <w:tcPr>
            <w:tcW w:w="284" w:type="dxa"/>
            <w:tcBorders>
              <w:top w:val="single" w:sz="4" w:space="0" w:color="auto"/>
            </w:tcBorders>
            <w:vAlign w:val="center"/>
          </w:tcPr>
          <w:p w:rsidR="00A3720E" w:rsidRPr="00875C84" w:rsidRDefault="00A3720E" w:rsidP="006A5A5C">
            <w:pPr>
              <w:spacing w:after="0" w:line="240" w:lineRule="auto"/>
              <w:rPr>
                <w:rFonts w:asciiTheme="minorHAnsi" w:hAnsiTheme="minorHAnsi" w:cstheme="minorHAnsi"/>
                <w:szCs w:val="22"/>
              </w:rPr>
            </w:pPr>
          </w:p>
        </w:tc>
        <w:tc>
          <w:tcPr>
            <w:tcW w:w="1417" w:type="dxa"/>
            <w:tcBorders>
              <w:top w:val="single" w:sz="4" w:space="0" w:color="auto"/>
            </w:tcBorders>
            <w:shd w:val="clear" w:color="auto" w:fill="auto"/>
            <w:vAlign w:val="center"/>
          </w:tcPr>
          <w:p w:rsidR="00A3720E" w:rsidRPr="00875C84" w:rsidRDefault="00A3720E" w:rsidP="006A5A5C">
            <w:pPr>
              <w:spacing w:after="0" w:line="240" w:lineRule="auto"/>
              <w:jc w:val="center"/>
              <w:rPr>
                <w:rFonts w:asciiTheme="minorHAnsi" w:hAnsiTheme="minorHAnsi" w:cstheme="minorHAnsi"/>
                <w:szCs w:val="22"/>
                <w:lang w:eastAsia="en-US"/>
              </w:rPr>
            </w:pPr>
            <w:r w:rsidRPr="00875C84">
              <w:rPr>
                <w:rFonts w:asciiTheme="minorHAnsi" w:hAnsiTheme="minorHAnsi" w:cstheme="minorHAnsi"/>
                <w:szCs w:val="22"/>
              </w:rPr>
              <w:t>$52</w:t>
            </w:r>
            <w:r>
              <w:rPr>
                <w:rFonts w:asciiTheme="minorHAnsi" w:hAnsiTheme="minorHAnsi" w:cstheme="minorHAnsi"/>
                <w:szCs w:val="22"/>
              </w:rPr>
              <w:t xml:space="preserve"> </w:t>
            </w:r>
            <w:r w:rsidRPr="00875C84">
              <w:rPr>
                <w:rFonts w:asciiTheme="minorHAnsi" w:hAnsiTheme="minorHAnsi" w:cstheme="minorHAnsi"/>
                <w:szCs w:val="22"/>
              </w:rPr>
              <w:t>536</w:t>
            </w:r>
          </w:p>
        </w:tc>
      </w:tr>
    </w:tbl>
    <w:p w:rsidR="00225D4B" w:rsidRDefault="00225D4B" w:rsidP="00225D4B">
      <w:pPr>
        <w:rPr>
          <w:rFonts w:ascii="Calibri" w:hAnsi="Calibri"/>
        </w:rPr>
        <w:sectPr w:rsidR="00225D4B" w:rsidSect="003765E3">
          <w:pgSz w:w="11906" w:h="16838"/>
          <w:pgMar w:top="1440" w:right="1440" w:bottom="1440" w:left="1440" w:header="708" w:footer="708" w:gutter="0"/>
          <w:cols w:space="708"/>
          <w:docGrid w:linePitch="360"/>
        </w:sectPr>
      </w:pPr>
    </w:p>
    <w:p w:rsidR="00225D4B" w:rsidRDefault="002F652E" w:rsidP="002F652E">
      <w:pPr>
        <w:jc w:val="center"/>
        <w:rPr>
          <w:rFonts w:asciiTheme="minorHAnsi" w:hAnsiTheme="minorHAnsi" w:cstheme="minorHAnsi"/>
          <w:b/>
          <w:szCs w:val="22"/>
        </w:rPr>
      </w:pPr>
      <w:r>
        <w:rPr>
          <w:rFonts w:asciiTheme="minorHAnsi" w:hAnsiTheme="minorHAnsi" w:cstheme="minorHAnsi"/>
          <w:b/>
          <w:noProof/>
          <w:szCs w:val="22"/>
        </w:rPr>
        <w:lastRenderedPageBreak/>
        <w:drawing>
          <wp:inline distT="0" distB="0" distL="0" distR="0" wp14:anchorId="1508B6BA" wp14:editId="0A56B159">
            <wp:extent cx="9777730" cy="4969510"/>
            <wp:effectExtent l="0" t="0" r="0" b="2540"/>
            <wp:docPr id="8" name="Picture 8" descr="Comparison between ages in AWB and ABS samples across industries showing similar patterns." title="Average age by industry: Pattern matching AWB and ABS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by Industry - ABS and AWB grap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77730" cy="4969510"/>
                    </a:xfrm>
                    <a:prstGeom prst="rect">
                      <a:avLst/>
                    </a:prstGeom>
                  </pic:spPr>
                </pic:pic>
              </a:graphicData>
            </a:graphic>
          </wp:inline>
        </w:drawing>
      </w:r>
    </w:p>
    <w:p w:rsidR="00225D4B" w:rsidRDefault="00225D4B" w:rsidP="00225D4B">
      <w:pPr>
        <w:rPr>
          <w:rFonts w:asciiTheme="minorHAnsi" w:hAnsiTheme="minorHAnsi" w:cstheme="minorHAnsi"/>
          <w:b/>
          <w:szCs w:val="22"/>
        </w:rPr>
      </w:pPr>
    </w:p>
    <w:p w:rsidR="00225D4B" w:rsidRPr="00611178" w:rsidRDefault="00225D4B" w:rsidP="0023074F">
      <w:pPr>
        <w:pStyle w:val="FigureCaption"/>
      </w:pPr>
      <w:proofErr w:type="gramStart"/>
      <w:r w:rsidRPr="00FB1790">
        <w:t xml:space="preserve">Figure </w:t>
      </w:r>
      <w:r w:rsidR="00DE33E8" w:rsidRPr="00FB1790">
        <w:t>2</w:t>
      </w:r>
      <w:r w:rsidRPr="00FB1790">
        <w:t>.</w:t>
      </w:r>
      <w:proofErr w:type="gramEnd"/>
      <w:r w:rsidRPr="00611178">
        <w:t xml:space="preserve"> Average age by industry: Demonstrating the close fit of the AWB data to ABS statistics</w:t>
      </w:r>
    </w:p>
    <w:p w:rsidR="00225D4B" w:rsidRDefault="00225D4B" w:rsidP="00225D4B">
      <w:pPr>
        <w:rPr>
          <w:rFonts w:asciiTheme="minorHAnsi" w:hAnsiTheme="minorHAnsi" w:cstheme="minorHAnsi"/>
          <w:b/>
          <w:noProof/>
          <w:szCs w:val="22"/>
          <w:lang w:eastAsia="ja-JP"/>
        </w:rPr>
      </w:pPr>
    </w:p>
    <w:p w:rsidR="00225D4B" w:rsidRDefault="00225D4B" w:rsidP="00225D4B">
      <w:pPr>
        <w:rPr>
          <w:rFonts w:asciiTheme="minorHAnsi" w:hAnsiTheme="minorHAnsi" w:cstheme="minorHAnsi"/>
          <w:b/>
          <w:szCs w:val="22"/>
        </w:rPr>
      </w:pPr>
      <w:r w:rsidRPr="00540975">
        <w:rPr>
          <w:rFonts w:asciiTheme="minorHAnsi" w:hAnsiTheme="minorHAnsi" w:cstheme="minorHAnsi"/>
          <w:b/>
          <w:noProof/>
          <w:szCs w:val="22"/>
        </w:rPr>
        <w:drawing>
          <wp:inline distT="0" distB="0" distL="0" distR="0" wp14:anchorId="3ADE6A84" wp14:editId="01A912DD">
            <wp:extent cx="9777730" cy="5083175"/>
            <wp:effectExtent l="0" t="0" r="0" b="3175"/>
            <wp:docPr id="18" name="Picture 4" descr="Comparison between AWB and ABS samples for percentages of sample employed across industries showing similar patterns." title="Breakdown of workers by industry: Pattern matching AWB and ABS s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 of workers by Industry - ABS and AWB grap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77730" cy="5083175"/>
                    </a:xfrm>
                    <a:prstGeom prst="rect">
                      <a:avLst/>
                    </a:prstGeom>
                  </pic:spPr>
                </pic:pic>
              </a:graphicData>
            </a:graphic>
          </wp:inline>
        </w:drawing>
      </w:r>
    </w:p>
    <w:p w:rsidR="00225D4B" w:rsidRPr="00611178" w:rsidRDefault="00225D4B" w:rsidP="0023074F">
      <w:pPr>
        <w:pStyle w:val="FigureCaption"/>
        <w:sectPr w:rsidR="00225D4B" w:rsidRPr="00611178" w:rsidSect="003765E3">
          <w:pgSz w:w="16838" w:h="11906" w:orient="landscape"/>
          <w:pgMar w:top="720" w:right="720" w:bottom="720" w:left="720" w:header="708" w:footer="708" w:gutter="0"/>
          <w:cols w:space="708"/>
          <w:docGrid w:linePitch="360"/>
        </w:sectPr>
      </w:pPr>
      <w:proofErr w:type="gramStart"/>
      <w:r w:rsidRPr="00FB1790">
        <w:t xml:space="preserve">Figure </w:t>
      </w:r>
      <w:r w:rsidR="00DE33E8" w:rsidRPr="00FB1790">
        <w:t>3</w:t>
      </w:r>
      <w:r w:rsidRPr="00FB1790">
        <w:t>.</w:t>
      </w:r>
      <w:proofErr w:type="gramEnd"/>
      <w:r w:rsidRPr="00FB1790">
        <w:t xml:space="preserve"> Breakdown</w:t>
      </w:r>
      <w:r w:rsidRPr="00611178">
        <w:t xml:space="preserve"> of workers in each sample by industry</w:t>
      </w:r>
    </w:p>
    <w:p w:rsidR="00225D4B" w:rsidRPr="006C608B" w:rsidRDefault="00225D4B" w:rsidP="0020595A">
      <w:pPr>
        <w:pStyle w:val="Heading2"/>
        <w:rPr>
          <w:rStyle w:val="IntenseEmphasis"/>
        </w:rPr>
      </w:pPr>
      <w:bookmarkStart w:id="64" w:name="_Toc343502431"/>
      <w:r w:rsidRPr="006C608B">
        <w:rPr>
          <w:rStyle w:val="IntenseEmphasis"/>
        </w:rPr>
        <w:lastRenderedPageBreak/>
        <w:t>AWB and ABS Sample Comparisons</w:t>
      </w:r>
      <w:bookmarkEnd w:id="64"/>
    </w:p>
    <w:p w:rsidR="00225D4B" w:rsidRDefault="00225D4B" w:rsidP="008A6B6D">
      <w:r>
        <w:t xml:space="preserve">The AWB sample is a good representation of working adults. In order to support the generalisability of AWB results, the following comparisons </w:t>
      </w:r>
      <w:r w:rsidR="005652FF">
        <w:t>were</w:t>
      </w:r>
      <w:r>
        <w:t xml:space="preserve"> made with population data collected by the Australian Bureau of Statistics. When the opportunity was available, data comparisons were made to ABS data that was collected in 2010, which would line</w:t>
      </w:r>
      <w:r w:rsidRPr="00993602">
        <w:t xml:space="preserve"> up in the central time period of</w:t>
      </w:r>
      <w:r>
        <w:t xml:space="preserve"> AWB</w:t>
      </w:r>
      <w:r w:rsidRPr="00993602">
        <w:t xml:space="preserve"> data collection </w:t>
      </w:r>
      <w:r>
        <w:t xml:space="preserve">(from </w:t>
      </w:r>
      <w:r w:rsidRPr="00993602">
        <w:t xml:space="preserve">2009 </w:t>
      </w:r>
      <w:r>
        <w:t>to</w:t>
      </w:r>
      <w:r w:rsidRPr="00993602">
        <w:t xml:space="preserve"> 2011).</w:t>
      </w:r>
      <w:r>
        <w:t xml:space="preserve"> Comparisons between the AWB data set and existing ABS statistics are presented in Table </w:t>
      </w:r>
      <w:r w:rsidR="00232156">
        <w:t>2</w:t>
      </w:r>
      <w:r>
        <w:t xml:space="preserve"> and Figures </w:t>
      </w:r>
      <w:r w:rsidR="00232156">
        <w:t>2</w:t>
      </w:r>
      <w:r>
        <w:t xml:space="preserve"> and </w:t>
      </w:r>
      <w:r w:rsidR="00232156">
        <w:t>3</w:t>
      </w:r>
      <w:r w:rsidR="00AC183E">
        <w:t>.</w:t>
      </w:r>
    </w:p>
    <w:p w:rsidR="00225D4B" w:rsidRPr="001B6AF9" w:rsidRDefault="00225D4B" w:rsidP="008A6B6D">
      <w:r>
        <w:t>Some data was not directly comparable with AWB variables, so further calculations based on ABS data were made. These are detailed as follows, in the or</w:t>
      </w:r>
      <w:r w:rsidR="00FB1790">
        <w:t>der they are presented in text.</w:t>
      </w:r>
    </w:p>
    <w:p w:rsidR="00225D4B" w:rsidRPr="00993602" w:rsidRDefault="00225D4B" w:rsidP="008A6B6D">
      <w:r w:rsidRPr="00B16787">
        <w:rPr>
          <w:b/>
          <w:i/>
        </w:rPr>
        <w:t>Gender:</w:t>
      </w:r>
      <w:r>
        <w:rPr>
          <w:b/>
        </w:rPr>
        <w:t xml:space="preserve"> </w:t>
      </w:r>
      <w:r>
        <w:t>Gender distributions from ABS data are reported in t</w:t>
      </w:r>
      <w:r w:rsidRPr="00993602">
        <w:t>he Survey of Employee Earnings and Hours, which was collected in May 2010</w:t>
      </w:r>
      <w:r>
        <w:t xml:space="preserve"> </w:t>
      </w:r>
      <w:r w:rsidRPr="00993602">
        <w:t>(Australian Bureau of Statistics, 2011)</w:t>
      </w:r>
      <w:r>
        <w:t xml:space="preserve">. In comparison, the </w:t>
      </w:r>
      <w:r w:rsidRPr="00993602">
        <w:t>AWB</w:t>
      </w:r>
      <w:r>
        <w:t xml:space="preserve"> displays a</w:t>
      </w:r>
      <w:r w:rsidRPr="00993602">
        <w:t xml:space="preserve"> slight overrepresentation of women</w:t>
      </w:r>
      <w:r>
        <w:t>. This effect is</w:t>
      </w:r>
      <w:r w:rsidRPr="00993602">
        <w:t xml:space="preserve"> often observed in self-report research wherein women are more likely to participate in voluntary research, whereas the census d</w:t>
      </w:r>
      <w:r>
        <w:t>ata collected by the ABS is compulsory.</w:t>
      </w:r>
    </w:p>
    <w:p w:rsidR="00225D4B" w:rsidRPr="00B16787" w:rsidRDefault="00225D4B" w:rsidP="008A6B6D">
      <w:pPr>
        <w:rPr>
          <w:b/>
        </w:rPr>
      </w:pPr>
      <w:r w:rsidRPr="00B16787">
        <w:rPr>
          <w:b/>
          <w:i/>
        </w:rPr>
        <w:t>Education level:</w:t>
      </w:r>
      <w:r>
        <w:rPr>
          <w:b/>
        </w:rPr>
        <w:t xml:space="preserve"> </w:t>
      </w:r>
      <w:r>
        <w:t>ABS data presents s</w:t>
      </w:r>
      <w:r w:rsidRPr="00993602">
        <w:t>tatistics</w:t>
      </w:r>
      <w:r>
        <w:t xml:space="preserve"> for education level in Males and Females, so subsequent calculations were made to match these levels to AWB demographics (male and female together)</w:t>
      </w:r>
      <w:r w:rsidRPr="00993602">
        <w:t xml:space="preserve">. </w:t>
      </w:r>
      <w:r>
        <w:t>The resulting 23.8</w:t>
      </w:r>
      <w:r w:rsidR="0029175B">
        <w:t xml:space="preserve"> per cent </w:t>
      </w:r>
      <w:r>
        <w:t>in ABS data is</w:t>
      </w:r>
      <w:r w:rsidRPr="00993602">
        <w:t xml:space="preserve"> lower</w:t>
      </w:r>
      <w:r>
        <w:t xml:space="preserve"> than in the </w:t>
      </w:r>
      <w:proofErr w:type="gramStart"/>
      <w:r>
        <w:t>AWB,</w:t>
      </w:r>
      <w:proofErr w:type="gramEnd"/>
      <w:r w:rsidRPr="00993602">
        <w:t xml:space="preserve"> however </w:t>
      </w:r>
      <w:r>
        <w:t>the ABS sample for education level was</w:t>
      </w:r>
      <w:r w:rsidRPr="00993602">
        <w:t xml:space="preserve"> capped at 64</w:t>
      </w:r>
      <w:r>
        <w:t xml:space="preserve"> year old workers, whereas</w:t>
      </w:r>
      <w:r w:rsidRPr="00993602">
        <w:t xml:space="preserve"> the eldest candidate in the AWB data </w:t>
      </w:r>
      <w:r w:rsidR="00EE248F">
        <w:t>was</w:t>
      </w:r>
      <w:r w:rsidRPr="00993602">
        <w:t xml:space="preserve"> </w:t>
      </w:r>
      <w:r>
        <w:t>80</w:t>
      </w:r>
      <w:r w:rsidRPr="00993602">
        <w:t xml:space="preserve">. </w:t>
      </w:r>
      <w:r>
        <w:t>This</w:t>
      </w:r>
      <w:r w:rsidRPr="00993602">
        <w:t xml:space="preserve"> may suggest a possible reason for the slight overrepresentation of bachelo</w:t>
      </w:r>
      <w:r>
        <w:t xml:space="preserve">r degree qualified individuals </w:t>
      </w:r>
      <w:r w:rsidRPr="00993602">
        <w:t>(Australian Bureau of Statistics, 2008</w:t>
      </w:r>
      <w:r w:rsidR="003765E3">
        <w:t>a</w:t>
      </w:r>
      <w:r w:rsidRPr="00993602">
        <w:t>).</w:t>
      </w:r>
    </w:p>
    <w:p w:rsidR="00225D4B" w:rsidRPr="00664820" w:rsidRDefault="00225D4B" w:rsidP="008A6B6D">
      <w:pPr>
        <w:rPr>
          <w:b/>
        </w:rPr>
      </w:pPr>
      <w:r>
        <w:rPr>
          <w:b/>
          <w:i/>
        </w:rPr>
        <w:t>Country of b</w:t>
      </w:r>
      <w:r w:rsidRPr="00664820">
        <w:rPr>
          <w:b/>
          <w:i/>
        </w:rPr>
        <w:t>irth:</w:t>
      </w:r>
      <w:r>
        <w:rPr>
          <w:b/>
        </w:rPr>
        <w:t xml:space="preserve"> </w:t>
      </w:r>
      <w:r>
        <w:t>Statistics on country of birth were obtained from statistics on employed workers from November 2010 (</w:t>
      </w:r>
      <w:r w:rsidRPr="00993602">
        <w:t>Australian Bureau of Statistics, 2010</w:t>
      </w:r>
      <w:r>
        <w:t>a</w:t>
      </w:r>
      <w:r w:rsidRPr="00993602">
        <w:t>)</w:t>
      </w:r>
      <w:r>
        <w:t>.</w:t>
      </w:r>
    </w:p>
    <w:p w:rsidR="00225D4B" w:rsidRPr="00993602" w:rsidRDefault="00225D4B" w:rsidP="008A6B6D">
      <w:pPr>
        <w:rPr>
          <w:b/>
        </w:rPr>
      </w:pPr>
      <w:r w:rsidRPr="002D2561">
        <w:rPr>
          <w:b/>
          <w:i/>
        </w:rPr>
        <w:t>Working hours:</w:t>
      </w:r>
      <w:r>
        <w:rPr>
          <w:b/>
        </w:rPr>
        <w:t xml:space="preserve"> </w:t>
      </w:r>
      <w:r w:rsidRPr="00FA5FC0">
        <w:t xml:space="preserve">The breakdown of full-time and part-time workers from ABS data in the 2010 to </w:t>
      </w:r>
      <w:r>
        <w:t>20</w:t>
      </w:r>
      <w:r w:rsidRPr="00FA5FC0">
        <w:t>11 period w</w:t>
      </w:r>
      <w:r w:rsidR="00897A0A">
        <w:t>as</w:t>
      </w:r>
      <w:r w:rsidRPr="00FA5FC0">
        <w:t xml:space="preserve"> reflected in AWB data</w:t>
      </w:r>
      <w:r>
        <w:t xml:space="preserve"> to within a small margin </w:t>
      </w:r>
      <w:r w:rsidRPr="00993602">
        <w:t>(Australian Bureau of Statistics, 2012a)</w:t>
      </w:r>
      <w:r w:rsidRPr="00FA5FC0">
        <w:t>.</w:t>
      </w:r>
      <w:r w:rsidRPr="002D2561">
        <w:t xml:space="preserve"> This, along with the following </w:t>
      </w:r>
      <w:r>
        <w:t>statistic on contract types</w:t>
      </w:r>
      <w:r w:rsidR="00EE248F">
        <w:t>,</w:t>
      </w:r>
      <w:r>
        <w:t xml:space="preserve"> suggests</w:t>
      </w:r>
      <w:r w:rsidRPr="002D2561">
        <w:t xml:space="preserve"> that AWB data is largely representative of the working Australian population</w:t>
      </w:r>
      <w:r w:rsidR="00AC183E">
        <w:t>.</w:t>
      </w:r>
    </w:p>
    <w:p w:rsidR="00225D4B" w:rsidRPr="00993602" w:rsidRDefault="00225D4B" w:rsidP="008A6B6D">
      <w:r w:rsidRPr="00E725CF">
        <w:rPr>
          <w:b/>
          <w:i/>
        </w:rPr>
        <w:t>Contract type:</w:t>
      </w:r>
      <w:r>
        <w:rPr>
          <w:b/>
        </w:rPr>
        <w:t xml:space="preserve"> </w:t>
      </w:r>
      <w:r>
        <w:t>Data on contracts were based on whether the worker was entitled to paid leave (typically, permanent and fixed term contracts) or otherwise (casual or no contract at all). ABS data on paid leave e</w:t>
      </w:r>
      <w:r w:rsidRPr="006220E0">
        <w:t xml:space="preserve">ntitlements </w:t>
      </w:r>
      <w:r>
        <w:t>from November 2010 lined up well with the AWB to within around 5</w:t>
      </w:r>
      <w:r w:rsidR="005652FF">
        <w:t xml:space="preserve"> per cent</w:t>
      </w:r>
      <w:r>
        <w:t xml:space="preserve"> </w:t>
      </w:r>
      <w:r w:rsidRPr="00993602">
        <w:t>(Australian Bureau of Statistics, 2012b)</w:t>
      </w:r>
      <w:r>
        <w:t xml:space="preserve">. </w:t>
      </w:r>
      <w:r w:rsidRPr="00380A14">
        <w:t xml:space="preserve">Nevertheless, the sample for the </w:t>
      </w:r>
      <w:r>
        <w:t>AWB</w:t>
      </w:r>
      <w:r w:rsidRPr="00380A14">
        <w:t xml:space="preserve"> study displays a marginal </w:t>
      </w:r>
      <w:r>
        <w:t>5</w:t>
      </w:r>
      <w:r w:rsidRPr="00380A14">
        <w:t xml:space="preserve"> per cent higher rate of </w:t>
      </w:r>
      <w:r>
        <w:t xml:space="preserve">employees </w:t>
      </w:r>
      <w:r w:rsidRPr="00380A14">
        <w:t>with paid leave entitlements</w:t>
      </w:r>
      <w:r>
        <w:t>. This may result from</w:t>
      </w:r>
      <w:r w:rsidRPr="00380A14">
        <w:t xml:space="preserve"> </w:t>
      </w:r>
      <w:r>
        <w:t xml:space="preserve">the </w:t>
      </w:r>
      <w:r w:rsidRPr="00380A14">
        <w:t>ABS</w:t>
      </w:r>
      <w:r>
        <w:t xml:space="preserve"> cut-off for </w:t>
      </w:r>
      <w:r w:rsidR="005652FF">
        <w:t xml:space="preserve">the </w:t>
      </w:r>
      <w:r w:rsidRPr="00380A14">
        <w:t>working population</w:t>
      </w:r>
      <w:r>
        <w:t xml:space="preserve"> being only 15</w:t>
      </w:r>
      <w:r w:rsidR="00264F49">
        <w:t> </w:t>
      </w:r>
      <w:r>
        <w:t>years and older, so</w:t>
      </w:r>
      <w:r w:rsidRPr="00380A14">
        <w:t xml:space="preserve"> more likely to include younger members with casual or temporary employment than the AWB which has a cut-off at 18 years.</w:t>
      </w:r>
    </w:p>
    <w:p w:rsidR="00225D4B" w:rsidRPr="00993602" w:rsidRDefault="00225D4B" w:rsidP="008A6B6D">
      <w:r w:rsidRPr="00C760A1">
        <w:rPr>
          <w:b/>
          <w:i/>
        </w:rPr>
        <w:t>Small to medium enterprise:</w:t>
      </w:r>
      <w:r w:rsidRPr="00993602">
        <w:rPr>
          <w:b/>
        </w:rPr>
        <w:t xml:space="preserve"> </w:t>
      </w:r>
      <w:r w:rsidRPr="00993602">
        <w:t>S</w:t>
      </w:r>
      <w:r>
        <w:t>mall to medium enterprise (SME) is defined in one of two ways; when a workplace has fewer</w:t>
      </w:r>
      <w:r w:rsidRPr="00993602">
        <w:t xml:space="preserve"> than 200 employees, or</w:t>
      </w:r>
      <w:r>
        <w:t xml:space="preserve"> when it falls short of a threshold for </w:t>
      </w:r>
      <w:r w:rsidRPr="00993602">
        <w:t>annual turnover</w:t>
      </w:r>
      <w:r>
        <w:t xml:space="preserve"> </w:t>
      </w:r>
      <w:r w:rsidRPr="00993602">
        <w:t>(Clark, Eaton, Lind, Pye, &amp; Bateman, 2011)</w:t>
      </w:r>
      <w:r>
        <w:t xml:space="preserve">. Only data on the former was collected with the AWB, so statistics for comparison of SMEs </w:t>
      </w:r>
      <w:r w:rsidR="00897A0A">
        <w:t>are</w:t>
      </w:r>
      <w:r>
        <w:t xml:space="preserve"> made based on organisation size.</w:t>
      </w:r>
      <w:r w:rsidRPr="00993602">
        <w:t xml:space="preserve"> </w:t>
      </w:r>
      <w:r>
        <w:t>Based on ABS data, the AWB sample is not particularly representative of SMEs. These accounted for around 70</w:t>
      </w:r>
      <w:r w:rsidR="005652FF">
        <w:t xml:space="preserve"> per cent of all employment </w:t>
      </w:r>
      <w:r w:rsidRPr="00993602">
        <w:t xml:space="preserve">figures </w:t>
      </w:r>
      <w:r>
        <w:t>in ABS statistics from June 2010, whilst t</w:t>
      </w:r>
      <w:r w:rsidR="005652FF">
        <w:t>he AWB reports only around a 40 per cent</w:t>
      </w:r>
      <w:r>
        <w:t xml:space="preserve"> rate of employees working </w:t>
      </w:r>
      <w:r>
        <w:lastRenderedPageBreak/>
        <w:t>in SME. When broken down further, m</w:t>
      </w:r>
      <w:r w:rsidRPr="00993602">
        <w:t>edium enterprise</w:t>
      </w:r>
      <w:r>
        <w:t xml:space="preserve"> (20-199 workers)</w:t>
      </w:r>
      <w:r w:rsidRPr="00993602">
        <w:t xml:space="preserve"> employed almost identical numbers between both AWB and ABS data</w:t>
      </w:r>
      <w:r>
        <w:t>. S</w:t>
      </w:r>
      <w:r w:rsidRPr="00993602">
        <w:t>mall enterprise</w:t>
      </w:r>
      <w:r>
        <w:t xml:space="preserve"> (</w:t>
      </w:r>
      <w:proofErr w:type="gramStart"/>
      <w:r>
        <w:t>under</w:t>
      </w:r>
      <w:proofErr w:type="gramEnd"/>
      <w:r>
        <w:t xml:space="preserve"> 19 workers) was underrepresented, suggesting that AWB data may not be as generalizable to employees in small workplaces, or self-employed individuals.</w:t>
      </w:r>
    </w:p>
    <w:p w:rsidR="00225D4B" w:rsidRDefault="00225D4B" w:rsidP="008A6B6D">
      <w:r w:rsidRPr="00655549">
        <w:rPr>
          <w:b/>
          <w:i/>
        </w:rPr>
        <w:t>Income:</w:t>
      </w:r>
      <w:r>
        <w:rPr>
          <w:b/>
        </w:rPr>
        <w:t xml:space="preserve"> </w:t>
      </w:r>
      <w:r>
        <w:t>Data on income for both ABS (May 2010) and AWB samples needed to be calculated from available statistics</w:t>
      </w:r>
      <w:r w:rsidRPr="0011538D">
        <w:t xml:space="preserve"> </w:t>
      </w:r>
      <w:r>
        <w:t xml:space="preserve">for the purpose of direct comparison. </w:t>
      </w:r>
      <w:r w:rsidRPr="00993602">
        <w:t xml:space="preserve">The figure </w:t>
      </w:r>
      <w:r>
        <w:t xml:space="preserve">for the </w:t>
      </w:r>
      <w:r w:rsidRPr="00993602">
        <w:t xml:space="preserve">mean yearly wage in ABS data </w:t>
      </w:r>
      <w:r>
        <w:t xml:space="preserve">was derived from </w:t>
      </w:r>
      <w:r w:rsidRPr="00993602">
        <w:t xml:space="preserve">average weekly total cash earnings </w:t>
      </w:r>
      <w:r>
        <w:t>(</w:t>
      </w:r>
      <w:r w:rsidRPr="00993602">
        <w:t>$1</w:t>
      </w:r>
      <w:r w:rsidR="00897A0A">
        <w:t xml:space="preserve"> </w:t>
      </w:r>
      <w:r w:rsidRPr="00993602">
        <w:t>010.30</w:t>
      </w:r>
      <w:r>
        <w:t>)</w:t>
      </w:r>
      <w:r w:rsidRPr="00993602">
        <w:t xml:space="preserve"> multiplied by 52 weeks (Australian Bureau of Statistics, 2011)</w:t>
      </w:r>
      <w:r w:rsidR="005652FF" w:rsidRPr="005652FF">
        <w:t xml:space="preserve"> </w:t>
      </w:r>
      <w:r w:rsidR="005652FF">
        <w:t xml:space="preserve">averaging </w:t>
      </w:r>
      <w:r w:rsidR="005652FF" w:rsidRPr="00875C84">
        <w:t>$52</w:t>
      </w:r>
      <w:r w:rsidR="008824B2">
        <w:t xml:space="preserve"> </w:t>
      </w:r>
      <w:r w:rsidR="005652FF" w:rsidRPr="00875C84">
        <w:t>536</w:t>
      </w:r>
      <w:r>
        <w:t xml:space="preserve">. </w:t>
      </w:r>
      <w:r w:rsidRPr="00993602">
        <w:t xml:space="preserve">AWB </w:t>
      </w:r>
      <w:r>
        <w:t xml:space="preserve">data only </w:t>
      </w:r>
      <w:r w:rsidRPr="00993602">
        <w:t xml:space="preserve">measured </w:t>
      </w:r>
      <w:r>
        <w:t xml:space="preserve">income through a categorical variable, </w:t>
      </w:r>
      <w:r w:rsidRPr="00993602">
        <w:t>with</w:t>
      </w:r>
      <w:r>
        <w:t xml:space="preserve"> the</w:t>
      </w:r>
      <w:r w:rsidRPr="00993602">
        <w:t xml:space="preserve"> median income category being $50</w:t>
      </w:r>
      <w:r w:rsidR="00E7400E">
        <w:t xml:space="preserve"> </w:t>
      </w:r>
      <w:r w:rsidRPr="00993602">
        <w:t>001 to $60</w:t>
      </w:r>
      <w:r w:rsidR="00E7400E">
        <w:t xml:space="preserve"> </w:t>
      </w:r>
      <w:r w:rsidRPr="00993602">
        <w:t xml:space="preserve">000. </w:t>
      </w:r>
      <w:r>
        <w:t xml:space="preserve">We calculated a ballpark value for the actual median income based on a conservative </w:t>
      </w:r>
      <w:r w:rsidRPr="00993602">
        <w:t>assum</w:t>
      </w:r>
      <w:r>
        <w:t>ption that fractional</w:t>
      </w:r>
      <w:r w:rsidRPr="00993602">
        <w:t xml:space="preserve"> </w:t>
      </w:r>
      <w:r>
        <w:t xml:space="preserve">divisions </w:t>
      </w:r>
      <w:r w:rsidRPr="00993602">
        <w:t xml:space="preserve">within each category </w:t>
      </w:r>
      <w:r>
        <w:t>will be</w:t>
      </w:r>
      <w:r w:rsidRPr="00993602">
        <w:t xml:space="preserve"> equal</w:t>
      </w:r>
      <w:r>
        <w:t>. We divided the interspersing value of the category (a $10</w:t>
      </w:r>
      <w:r w:rsidR="00E7400E">
        <w:t xml:space="preserve"> </w:t>
      </w:r>
      <w:r>
        <w:t>000 spread) by the percentile for the category (an 11</w:t>
      </w:r>
      <w:r w:rsidR="005652FF">
        <w:t xml:space="preserve"> per cent</w:t>
      </w:r>
      <w:r>
        <w:t xml:space="preserve"> spread), indicating that each 1</w:t>
      </w:r>
      <w:r w:rsidR="005652FF">
        <w:t xml:space="preserve"> per cent</w:t>
      </w:r>
      <w:r>
        <w:t xml:space="preserve"> value within this median income category represents roughly $909 of yearly income. The previous income categories comprised 48.2</w:t>
      </w:r>
      <w:r w:rsidR="005652FF">
        <w:t xml:space="preserve"> per cent</w:t>
      </w:r>
      <w:r>
        <w:t xml:space="preserve"> of the sample ($50</w:t>
      </w:r>
      <w:r w:rsidR="00E7400E">
        <w:t xml:space="preserve"> </w:t>
      </w:r>
      <w:r>
        <w:t>000 or less), so in adding 1.8</w:t>
      </w:r>
      <w:r w:rsidR="005652FF">
        <w:t xml:space="preserve"> per cent</w:t>
      </w:r>
      <w:r>
        <w:t xml:space="preserve"> ($1</w:t>
      </w:r>
      <w:r w:rsidR="00E7400E">
        <w:t xml:space="preserve"> </w:t>
      </w:r>
      <w:r>
        <w:t>636) we reach an estimated median</w:t>
      </w:r>
      <w:r w:rsidRPr="00993602">
        <w:t xml:space="preserve"> income</w:t>
      </w:r>
      <w:r>
        <w:t xml:space="preserve"> value of $51</w:t>
      </w:r>
      <w:r w:rsidR="00E7400E">
        <w:t xml:space="preserve"> </w:t>
      </w:r>
      <w:r>
        <w:t xml:space="preserve">636pa </w:t>
      </w:r>
      <w:r w:rsidR="00AC183E">
        <w:t>for workers sampled in the AWB.</w:t>
      </w:r>
    </w:p>
    <w:p w:rsidR="00225D4B" w:rsidRDefault="00225D4B" w:rsidP="008A6B6D">
      <w:r w:rsidRPr="00257AA6">
        <w:rPr>
          <w:b/>
          <w:i/>
        </w:rPr>
        <w:t>Average age by industry:</w:t>
      </w:r>
      <w:r>
        <w:rPr>
          <w:b/>
          <w:i/>
        </w:rPr>
        <w:t xml:space="preserve"> </w:t>
      </w:r>
      <w:r>
        <w:t xml:space="preserve">This graph is based on ABS statistics for the median age of workers in each industry during 2011 </w:t>
      </w:r>
      <w:r w:rsidRPr="00993602">
        <w:t>(Australian Bureau of Statistics, 201</w:t>
      </w:r>
      <w:r>
        <w:t>2, August</w:t>
      </w:r>
      <w:r w:rsidRPr="00993602">
        <w:t>)</w:t>
      </w:r>
      <w:r>
        <w:t>. AWB data tracks the pattern for higher and lower median ages by industry, suggesting that the sample is largely generalisable to the Australian working population. One minor difference based on sample categorisation is the slightly higher age on average (across industries) in the AWB sample. This is likely to be due largely to the m</w:t>
      </w:r>
      <w:r w:rsidR="00D83E14">
        <w:t>inimum cut-off for age being 18 </w:t>
      </w:r>
      <w:r>
        <w:t>years in the AWB, whereas the ABS defines working Australians to be 15 years and older.</w:t>
      </w:r>
    </w:p>
    <w:p w:rsidR="00225D4B" w:rsidRPr="00380A14" w:rsidRDefault="00225D4B" w:rsidP="008A6B6D">
      <w:r w:rsidRPr="005C22E7">
        <w:rPr>
          <w:b/>
          <w:i/>
        </w:rPr>
        <w:t>Breakdown of workers by industry:</w:t>
      </w:r>
      <w:r>
        <w:rPr>
          <w:b/>
        </w:rPr>
        <w:t xml:space="preserve"> </w:t>
      </w:r>
      <w:r>
        <w:t>The pattern for percentage of workers in each industry also maps well between the AWB and ABS samples</w:t>
      </w:r>
      <w:r w:rsidRPr="005C22E7">
        <w:t xml:space="preserve"> </w:t>
      </w:r>
      <w:r w:rsidRPr="00993602">
        <w:t>(Australian Bureau of Statistics, 2010</w:t>
      </w:r>
      <w:r>
        <w:t>a</w:t>
      </w:r>
      <w:r w:rsidRPr="00993602">
        <w:t>)</w:t>
      </w:r>
      <w:r>
        <w:t>. It should be noted however that the AWB collection took place under the 2006 ANZSIC set of industry classifications, however 2010 census data uses an updated form of these classifications. The only difference to be noted in this graph is that 2010 ABS data uses a combination of ‘</w:t>
      </w:r>
      <w:r w:rsidRPr="00993602">
        <w:t>Administrative support services</w:t>
      </w:r>
      <w:r>
        <w:t>’ and</w:t>
      </w:r>
      <w:r w:rsidRPr="00993602">
        <w:t xml:space="preserve"> </w:t>
      </w:r>
      <w:r>
        <w:t>‘O</w:t>
      </w:r>
      <w:r w:rsidRPr="00993602">
        <w:t>ther services</w:t>
      </w:r>
      <w:r>
        <w:t>’ to match to the AWB ‘Personal and Other Services’ category. Further, the new category in A</w:t>
      </w:r>
      <w:r w:rsidRPr="00993602">
        <w:t>NZSIC 2010</w:t>
      </w:r>
      <w:r>
        <w:t xml:space="preserve"> for ‘Professional, scientific, and technical services’ was suppressed from ABS data (and percentage distributions recalculated accordingly), as the ANZSIC 2006 classification system used for the AWB did not include this new category.</w:t>
      </w:r>
    </w:p>
    <w:p w:rsidR="00395A1C" w:rsidRDefault="00395A1C" w:rsidP="00395A1C">
      <w:pPr>
        <w:pStyle w:val="Heading1"/>
        <w:spacing w:before="100" w:beforeAutospacing="1" w:after="100" w:afterAutospacing="1"/>
      </w:pPr>
      <w:bookmarkStart w:id="65" w:name="_Toc343502432"/>
      <w:r>
        <w:lastRenderedPageBreak/>
        <w:t>Results and discussion</w:t>
      </w:r>
      <w:bookmarkEnd w:id="65"/>
    </w:p>
    <w:p w:rsidR="008B6A8D" w:rsidRPr="00E23A87" w:rsidRDefault="008B6A8D" w:rsidP="00E23A87">
      <w:pPr>
        <w:pStyle w:val="Heading2"/>
        <w:spacing w:before="100" w:beforeAutospacing="1" w:after="100" w:afterAutospacing="1"/>
        <w:rPr>
          <w:iCs/>
        </w:rPr>
      </w:pPr>
      <w:bookmarkStart w:id="66" w:name="_Toc343502433"/>
      <w:r w:rsidRPr="00E23A87">
        <w:rPr>
          <w:iCs/>
        </w:rPr>
        <w:t>Intercorrelations between variables</w:t>
      </w:r>
      <w:bookmarkEnd w:id="66"/>
    </w:p>
    <w:p w:rsidR="008B6A8D" w:rsidRPr="008B6A8D" w:rsidRDefault="008B6A8D" w:rsidP="008A6B6D">
      <w:pPr>
        <w:rPr>
          <w:rFonts w:eastAsia="SimSun"/>
          <w:lang w:eastAsia="zh-CN"/>
        </w:rPr>
      </w:pPr>
      <w:r w:rsidRPr="008B6A8D">
        <w:t xml:space="preserve">Table </w:t>
      </w:r>
      <w:r w:rsidR="00345CE7">
        <w:t>3</w:t>
      </w:r>
      <w:r w:rsidRPr="008B6A8D">
        <w:t xml:space="preserve"> shows all of the Pearson correlations between the variables. With such a large sample correlations can be expected between all measures. To </w:t>
      </w:r>
      <w:r w:rsidRPr="0073403B">
        <w:t>extract better meaning from the results</w:t>
      </w:r>
      <w:r w:rsidRPr="00BD3981">
        <w:t xml:space="preserve"> </w:t>
      </w:r>
      <w:r>
        <w:t>it is important to consider e</w:t>
      </w:r>
      <w:r w:rsidRPr="008B6A8D">
        <w:t xml:space="preserve">ffect size. </w:t>
      </w:r>
      <w:r w:rsidRPr="008B6A8D">
        <w:rPr>
          <w:rFonts w:eastAsia="SimSun"/>
          <w:lang w:eastAsia="zh-CN"/>
        </w:rPr>
        <w:t xml:space="preserve">Cohen (1992) rates a correlation coefficient </w:t>
      </w:r>
      <w:r w:rsidRPr="008B6A8D">
        <w:rPr>
          <w:rFonts w:eastAsia="SimSun"/>
          <w:i/>
          <w:lang w:eastAsia="zh-CN"/>
        </w:rPr>
        <w:t>r</w:t>
      </w:r>
      <w:r w:rsidRPr="008B6A8D">
        <w:rPr>
          <w:rFonts w:eastAsia="SimSun"/>
          <w:lang w:eastAsia="zh-CN"/>
        </w:rPr>
        <w:t xml:space="preserve">, to be weak when </w:t>
      </w:r>
      <w:r w:rsidRPr="008B6A8D">
        <w:rPr>
          <w:rFonts w:eastAsia="SimSun"/>
          <w:i/>
          <w:lang w:eastAsia="zh-CN"/>
        </w:rPr>
        <w:t>r</w:t>
      </w:r>
      <w:r w:rsidRPr="008B6A8D">
        <w:rPr>
          <w:rFonts w:eastAsia="SimSun"/>
          <w:lang w:eastAsia="zh-CN"/>
        </w:rPr>
        <w:t xml:space="preserve"> = .20, moderate when </w:t>
      </w:r>
      <w:r w:rsidRPr="008B6A8D">
        <w:rPr>
          <w:rFonts w:eastAsia="SimSun"/>
          <w:i/>
          <w:lang w:eastAsia="zh-CN"/>
        </w:rPr>
        <w:t>r</w:t>
      </w:r>
      <w:r w:rsidRPr="008B6A8D">
        <w:rPr>
          <w:rFonts w:eastAsia="SimSun"/>
          <w:lang w:eastAsia="zh-CN"/>
        </w:rPr>
        <w:t xml:space="preserve"> =.30, and strong when </w:t>
      </w:r>
      <w:r w:rsidRPr="008B6A8D">
        <w:rPr>
          <w:rFonts w:eastAsia="SimSun"/>
          <w:i/>
          <w:lang w:eastAsia="zh-CN"/>
        </w:rPr>
        <w:t>r</w:t>
      </w:r>
      <w:r w:rsidR="00AC183E">
        <w:rPr>
          <w:rFonts w:eastAsia="SimSun"/>
          <w:lang w:eastAsia="zh-CN"/>
        </w:rPr>
        <w:t xml:space="preserve"> = .50.</w:t>
      </w:r>
    </w:p>
    <w:p w:rsidR="008B6A8D" w:rsidRPr="000E4FA8" w:rsidRDefault="008B6A8D" w:rsidP="008A6B6D">
      <w:r w:rsidRPr="008B6A8D">
        <w:rPr>
          <w:rFonts w:eastAsia="SimSun"/>
          <w:lang w:eastAsia="zh-CN"/>
        </w:rPr>
        <w:t xml:space="preserve">In relation to the demographic variables, </w:t>
      </w:r>
      <w:r w:rsidRPr="008B6A8D">
        <w:t>age showed a moderate correlation with income, older workers reporting significantly highe</w:t>
      </w:r>
      <w:r w:rsidR="006A37D1">
        <w:t xml:space="preserve">r income than younger workers. </w:t>
      </w:r>
      <w:r w:rsidR="00313B8C">
        <w:t>Older workers reported higher emotional demands, higher organisational change, higher skill discretion, higher engagement and higher presenteeism.</w:t>
      </w:r>
    </w:p>
    <w:p w:rsidR="008B6A8D" w:rsidRPr="008B6A8D" w:rsidRDefault="008B6A8D" w:rsidP="008A6B6D">
      <w:r w:rsidRPr="008B6A8D">
        <w:t>In relation to gender, men reported significantly more income, and worked longer hours than women. Women had significantly less decision authority, and macro-decision latitude, and</w:t>
      </w:r>
      <w:r w:rsidR="00AC183E">
        <w:t xml:space="preserve"> more physical health problems.</w:t>
      </w:r>
    </w:p>
    <w:p w:rsidR="008B6A8D" w:rsidRPr="000E4FA8" w:rsidRDefault="008B6A8D" w:rsidP="008A6B6D">
      <w:r w:rsidRPr="008B6A8D">
        <w:t xml:space="preserve">Workers reporting higher income levels report significantly longer working hours, and higher levels of </w:t>
      </w:r>
      <w:r w:rsidR="00313B8C">
        <w:t>control (</w:t>
      </w:r>
      <w:r w:rsidRPr="008B6A8D">
        <w:t xml:space="preserve">skill discretion, </w:t>
      </w:r>
      <w:r w:rsidR="00313B8C">
        <w:t xml:space="preserve">and decision authority), </w:t>
      </w:r>
      <w:r w:rsidRPr="008B6A8D">
        <w:t>but higher levels of work-family conflict</w:t>
      </w:r>
      <w:r w:rsidR="00313B8C">
        <w:t>, and less opportunity for recovery.</w:t>
      </w:r>
    </w:p>
    <w:p w:rsidR="00F36638" w:rsidRPr="008B6A8D" w:rsidRDefault="00F36638" w:rsidP="008A6B6D">
      <w:r w:rsidRPr="008B6A8D">
        <w:t xml:space="preserve">In relation to work hours, those reporting working longer hours </w:t>
      </w:r>
      <w:r>
        <w:t xml:space="preserve">were </w:t>
      </w:r>
      <w:r w:rsidRPr="008B6A8D">
        <w:t>more likely to be men, and also report more work pressure, more work-family conflict, more exhaustion, but more control (decision authority and skill discretion), less sickness absence, and also higher levels of engagement, than those reporting fewer work hours in the past seven days.</w:t>
      </w:r>
    </w:p>
    <w:p w:rsidR="008B6A8D" w:rsidRPr="008B6A8D" w:rsidRDefault="008B6A8D" w:rsidP="008A6B6D">
      <w:r w:rsidRPr="008B6A8D">
        <w:t>Psychosocial safety climate as expected was negatively related to all of the demand measures, showing several moderate relationships.</w:t>
      </w:r>
      <w:r w:rsidR="006F16F3">
        <w:t xml:space="preserve"> </w:t>
      </w:r>
      <w:r w:rsidRPr="008B6A8D">
        <w:t>In particular high PSC was associated with low work pressure, low emotional demands, less bullying and organisational change, less work-family conflict, and less harassment</w:t>
      </w:r>
      <w:r>
        <w:t xml:space="preserve"> (strongest effect)</w:t>
      </w:r>
      <w:r w:rsidRPr="008B6A8D">
        <w:t>. PSC was positively related to the resource measures, showing a strong relationship with supervisor support, macro-decision latitude, organisational justice, and organisational rewards. Psychosocial safety climate was negatively related to all adverse health measures, showing a moderate negative relationship to emotional exhaustion. It was positively related to presenteeism, negatively related to sickness absence, and was negatively related to stress claims. PSC showed a moderate positiv</w:t>
      </w:r>
      <w:r w:rsidR="00AC183E">
        <w:t>e relationship with engagement.</w:t>
      </w:r>
    </w:p>
    <w:p w:rsidR="008B6A8D" w:rsidRDefault="008B6A8D" w:rsidP="008A6B6D">
      <w:r w:rsidRPr="008B6A8D">
        <w:t>All of the demand measures were positively related to each other, and as expected showed negative relationships to resources; as demands increased, resources decreased. In general</w:t>
      </w:r>
      <w:r w:rsidR="005D5CDC">
        <w:t>, consistent with the health erosion hypothesis,</w:t>
      </w:r>
      <w:r w:rsidRPr="008B6A8D">
        <w:t xml:space="preserve"> the demand measures were positively related to psychological health problems (psychological distress, emotional exhaustion, and depression), with nearly 50</w:t>
      </w:r>
      <w:r w:rsidR="001B577D">
        <w:t xml:space="preserve"> per cent</w:t>
      </w:r>
      <w:r w:rsidR="001B577D" w:rsidRPr="008B6A8D">
        <w:t xml:space="preserve"> </w:t>
      </w:r>
      <w:r w:rsidRPr="008B6A8D">
        <w:t xml:space="preserve">of the relationships of at least moderate size. Moderate-strong relationships were found between </w:t>
      </w:r>
      <w:r w:rsidR="004B4872">
        <w:t xml:space="preserve">both </w:t>
      </w:r>
      <w:r w:rsidRPr="008B6A8D">
        <w:t xml:space="preserve">emotional demands and work pressure, </w:t>
      </w:r>
      <w:r w:rsidR="004B4872">
        <w:t>and</w:t>
      </w:r>
      <w:r w:rsidRPr="008B6A8D">
        <w:t xml:space="preserve"> emotional exhaustion, and a strong relationship was found between work-family conflict and exhaustion. As expected, work demands in general showed fairly weak relationships to work outcome measures. Harassment showed the strongest relation to stress </w:t>
      </w:r>
      <w:r w:rsidR="004B4872">
        <w:t xml:space="preserve">compensation </w:t>
      </w:r>
      <w:r w:rsidRPr="008B6A8D">
        <w:t>claims</w:t>
      </w:r>
      <w:r w:rsidR="007C1CCA">
        <w:t xml:space="preserve"> (see Table 3)</w:t>
      </w:r>
      <w:r w:rsidRPr="008B6A8D">
        <w:t>.</w:t>
      </w:r>
    </w:p>
    <w:p w:rsidR="00B045D8" w:rsidRPr="00437685" w:rsidRDefault="00B045D8" w:rsidP="008A6B6D">
      <w:r w:rsidRPr="008B6A8D">
        <w:lastRenderedPageBreak/>
        <w:t xml:space="preserve">Resources in general showed significant but weak relationships with health problems. Organisational rewards and organisational justice were moderately related to exhaustion; higher levels of these resources were related to lower levels of exhaustion. Organisational rewards were also moderately negatively linked to psychological distress. Consistent with the motivational </w:t>
      </w:r>
      <w:r w:rsidRPr="00405823">
        <w:t>hypothesis of the JD-R model, nearly all of the resources were moderately-strongly related to</w:t>
      </w:r>
      <w:r w:rsidR="00B452BB">
        <w:t xml:space="preserve"> engagement.</w:t>
      </w:r>
    </w:p>
    <w:p w:rsidR="00B045D8" w:rsidRPr="00437685" w:rsidRDefault="00B045D8" w:rsidP="008A6B6D">
      <w:r w:rsidRPr="00437685">
        <w:t xml:space="preserve">The health outcome measures were all related to each other. As expected they showed a negative relationship to engagement; higher level of health problems were associated with lower level of engagement. These relationships were moderate for all of the </w:t>
      </w:r>
      <w:r w:rsidR="00AC183E">
        <w:t>psychological health measures.</w:t>
      </w:r>
    </w:p>
    <w:p w:rsidR="00B045D8" w:rsidRDefault="00B045D8" w:rsidP="008A6B6D">
      <w:r w:rsidRPr="00437685">
        <w:t xml:space="preserve">In relation to the work outcomes, engagement was most strongly related to PSC, resources, and psychological health measures (all moderate effects). Sickness absence was best predicted </w:t>
      </w:r>
      <w:r w:rsidR="00222C8A">
        <w:t xml:space="preserve">in individuals displaying the following characteristics; </w:t>
      </w:r>
      <w:r w:rsidRPr="00F077CA">
        <w:t xml:space="preserve">low </w:t>
      </w:r>
      <w:r w:rsidR="00222C8A" w:rsidRPr="00F077CA">
        <w:t xml:space="preserve">work </w:t>
      </w:r>
      <w:r w:rsidRPr="00F077CA">
        <w:t>hours</w:t>
      </w:r>
      <w:r w:rsidRPr="009A185F">
        <w:t>,</w:t>
      </w:r>
      <w:r w:rsidRPr="00437685">
        <w:t xml:space="preserve"> psychological distress, depression, and low engagement, all showing weak effects. Low presenteeism was associated with psychological distress, and depression; high presenteeism was associated with high engagement (moderate effect). Finally stress leave was negatively related to </w:t>
      </w:r>
      <w:r>
        <w:t>PSC, and positively related to harassment, exhaustion, and depression (all weak eff</w:t>
      </w:r>
      <w:r w:rsidR="00AC183E">
        <w:t>ects).</w:t>
      </w:r>
    </w:p>
    <w:p w:rsidR="00B045D8" w:rsidRPr="008B6A8D" w:rsidRDefault="00B045D8" w:rsidP="008B6A8D">
      <w:pPr>
        <w:spacing w:before="100" w:beforeAutospacing="1" w:after="100" w:afterAutospacing="1"/>
        <w:jc w:val="both"/>
        <w:rPr>
          <w:rFonts w:ascii="Calibri" w:hAnsi="Calibri" w:cs="Calibri"/>
          <w:szCs w:val="22"/>
        </w:rPr>
      </w:pPr>
    </w:p>
    <w:p w:rsidR="00FD6C37" w:rsidRDefault="00FD6C37" w:rsidP="00EF0253">
      <w:pPr>
        <w:spacing w:before="100" w:beforeAutospacing="1" w:after="100" w:afterAutospacing="1"/>
        <w:jc w:val="both"/>
        <w:rPr>
          <w:rStyle w:val="IntenseEmphasis"/>
        </w:rPr>
        <w:sectPr w:rsidR="00FD6C37" w:rsidSect="00856B6A">
          <w:pgSz w:w="11906" w:h="16838"/>
          <w:pgMar w:top="1135" w:right="1531" w:bottom="1135" w:left="1304" w:header="709" w:footer="709" w:gutter="0"/>
          <w:cols w:space="708"/>
          <w:docGrid w:linePitch="360"/>
        </w:sectPr>
      </w:pPr>
    </w:p>
    <w:tbl>
      <w:tblPr>
        <w:tblpPr w:leftFromText="180" w:rightFromText="180" w:vertAnchor="page" w:horzAnchor="margin" w:tblpY="1095"/>
        <w:tblW w:w="5000" w:type="pct"/>
        <w:tblLook w:val="04A0" w:firstRow="1" w:lastRow="0" w:firstColumn="1" w:lastColumn="0" w:noHBand="0" w:noVBand="1"/>
      </w:tblPr>
      <w:tblGrid>
        <w:gridCol w:w="1632"/>
        <w:gridCol w:w="636"/>
        <w:gridCol w:w="465"/>
        <w:gridCol w:w="465"/>
        <w:gridCol w:w="465"/>
        <w:gridCol w:w="465"/>
        <w:gridCol w:w="465"/>
        <w:gridCol w:w="465"/>
        <w:gridCol w:w="458"/>
        <w:gridCol w:w="465"/>
        <w:gridCol w:w="465"/>
        <w:gridCol w:w="465"/>
        <w:gridCol w:w="465"/>
        <w:gridCol w:w="465"/>
        <w:gridCol w:w="465"/>
        <w:gridCol w:w="465"/>
        <w:gridCol w:w="465"/>
        <w:gridCol w:w="465"/>
        <w:gridCol w:w="465"/>
        <w:gridCol w:w="465"/>
        <w:gridCol w:w="465"/>
        <w:gridCol w:w="465"/>
        <w:gridCol w:w="465"/>
        <w:gridCol w:w="465"/>
        <w:gridCol w:w="465"/>
        <w:gridCol w:w="465"/>
        <w:gridCol w:w="482"/>
        <w:gridCol w:w="515"/>
        <w:gridCol w:w="368"/>
      </w:tblGrid>
      <w:tr w:rsidR="00EF1C12" w:rsidRPr="001432A5" w:rsidTr="00C7051B">
        <w:trPr>
          <w:gridAfter w:val="1"/>
          <w:wAfter w:w="125" w:type="pct"/>
          <w:trHeight w:val="227"/>
        </w:trPr>
        <w:tc>
          <w:tcPr>
            <w:tcW w:w="4875" w:type="pct"/>
            <w:gridSpan w:val="28"/>
            <w:shd w:val="clear" w:color="auto" w:fill="auto"/>
            <w:vAlign w:val="center"/>
          </w:tcPr>
          <w:p w:rsidR="00EF1C12" w:rsidRPr="001432A5" w:rsidRDefault="00EF1C12" w:rsidP="00193408">
            <w:pPr>
              <w:pStyle w:val="FigureCaption"/>
              <w:rPr>
                <w:sz w:val="12"/>
                <w:szCs w:val="12"/>
              </w:rPr>
            </w:pPr>
            <w:r w:rsidRPr="008D1759">
              <w:lastRenderedPageBreak/>
              <w:t xml:space="preserve">Table </w:t>
            </w:r>
            <w:r w:rsidR="004F46B9">
              <w:t>3</w:t>
            </w:r>
            <w:r w:rsidR="00B43641">
              <w:t>.</w:t>
            </w:r>
            <w:r w:rsidRPr="008D1759">
              <w:t xml:space="preserve"> </w:t>
            </w:r>
            <w:r w:rsidRPr="00B43641">
              <w:t>Pearson intercorrelations of variables</w:t>
            </w:r>
          </w:p>
        </w:tc>
      </w:tr>
      <w:tr w:rsidR="00B479BE" w:rsidRPr="001432A5" w:rsidTr="00C7051B">
        <w:trPr>
          <w:gridAfter w:val="1"/>
          <w:wAfter w:w="125" w:type="pct"/>
          <w:trHeight w:val="227"/>
        </w:trPr>
        <w:tc>
          <w:tcPr>
            <w:tcW w:w="553" w:type="pct"/>
            <w:tcBorders>
              <w:top w:val="single" w:sz="18" w:space="0" w:color="auto"/>
            </w:tcBorders>
            <w:shd w:val="clear" w:color="auto" w:fill="auto"/>
            <w:vAlign w:val="center"/>
            <w:hideMark/>
          </w:tcPr>
          <w:p w:rsidR="00B479BE" w:rsidRPr="001432A5" w:rsidRDefault="00B479BE" w:rsidP="004F5D49">
            <w:pPr>
              <w:spacing w:before="120" w:after="0" w:line="240" w:lineRule="auto"/>
              <w:rPr>
                <w:rFonts w:ascii="Calibri" w:hAnsi="Calibri" w:cs="Calibri"/>
                <w:b/>
                <w:sz w:val="12"/>
                <w:szCs w:val="12"/>
              </w:rPr>
            </w:pPr>
            <w:r w:rsidRPr="001432A5">
              <w:rPr>
                <w:rFonts w:ascii="Calibri" w:hAnsi="Calibri" w:cs="Calibri"/>
                <w:b/>
                <w:sz w:val="12"/>
                <w:szCs w:val="12"/>
              </w:rPr>
              <w:t>Demographics</w:t>
            </w:r>
          </w:p>
        </w:tc>
        <w:tc>
          <w:tcPr>
            <w:tcW w:w="216"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3</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4</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5</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6</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7</w:t>
            </w:r>
          </w:p>
        </w:tc>
        <w:tc>
          <w:tcPr>
            <w:tcW w:w="156"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8</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9</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10</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11</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12</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13</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14</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15</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16</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17</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18</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19</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20</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21</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22</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23</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24</w:t>
            </w:r>
          </w:p>
        </w:tc>
        <w:tc>
          <w:tcPr>
            <w:tcW w:w="157"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25</w:t>
            </w:r>
          </w:p>
        </w:tc>
        <w:tc>
          <w:tcPr>
            <w:tcW w:w="164" w:type="pct"/>
            <w:tcBorders>
              <w:top w:val="single" w:sz="18" w:space="0" w:color="auto"/>
              <w:bottom w:val="single" w:sz="8" w:space="0" w:color="auto"/>
            </w:tcBorders>
            <w:shd w:val="clear" w:color="auto" w:fill="auto"/>
            <w:vAlign w:val="bottom"/>
            <w:hideMark/>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26</w:t>
            </w:r>
          </w:p>
        </w:tc>
        <w:tc>
          <w:tcPr>
            <w:tcW w:w="169" w:type="pct"/>
            <w:tcBorders>
              <w:top w:val="single" w:sz="18" w:space="0" w:color="auto"/>
              <w:bottom w:val="single" w:sz="8" w:space="0" w:color="auto"/>
            </w:tcBorders>
          </w:tcPr>
          <w:p w:rsidR="00B479BE" w:rsidRPr="001432A5" w:rsidRDefault="00B479BE" w:rsidP="004F5D49">
            <w:pPr>
              <w:spacing w:before="120" w:after="0" w:line="240" w:lineRule="auto"/>
              <w:jc w:val="center"/>
              <w:rPr>
                <w:rFonts w:ascii="Calibri" w:hAnsi="Calibri" w:cs="Calibri"/>
                <w:color w:val="000000"/>
                <w:sz w:val="12"/>
                <w:szCs w:val="12"/>
              </w:rPr>
            </w:pPr>
            <w:r w:rsidRPr="001432A5">
              <w:rPr>
                <w:rFonts w:ascii="Calibri" w:hAnsi="Calibri" w:cs="Calibri"/>
                <w:color w:val="000000"/>
                <w:sz w:val="12"/>
                <w:szCs w:val="12"/>
              </w:rPr>
              <w:t>27</w:t>
            </w: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1. Age</w:t>
            </w:r>
          </w:p>
        </w:tc>
        <w:tc>
          <w:tcPr>
            <w:tcW w:w="216" w:type="pct"/>
            <w:tcBorders>
              <w:top w:val="single" w:sz="8" w:space="0" w:color="auto"/>
            </w:tcBorders>
            <w:shd w:val="clear" w:color="auto" w:fill="auto"/>
            <w:noWrap/>
            <w:hideMark/>
          </w:tcPr>
          <w:p w:rsidR="00B479BE" w:rsidRPr="001432A5" w:rsidRDefault="00B479BE" w:rsidP="001B577D">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tcBorders>
              <w:top w:val="single" w:sz="8" w:space="0" w:color="auto"/>
            </w:tcBorders>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Borders>
              <w:top w:val="single" w:sz="8" w:space="0" w:color="auto"/>
            </w:tcBorders>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2. Gender</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3. Income</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.34†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4. Hours worked</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tcPr>
          <w:p w:rsidR="00B479BE" w:rsidRPr="001432A5" w:rsidRDefault="00B479BE" w:rsidP="004F5D49">
            <w:pPr>
              <w:spacing w:after="0" w:line="240" w:lineRule="auto"/>
              <w:rPr>
                <w:rFonts w:ascii="Calibri" w:hAnsi="Calibri" w:cs="Calibri"/>
                <w:b/>
                <w:color w:val="000000"/>
                <w:sz w:val="12"/>
                <w:szCs w:val="12"/>
              </w:rPr>
            </w:pPr>
            <w:r w:rsidRPr="001432A5">
              <w:rPr>
                <w:rFonts w:ascii="Calibri" w:hAnsi="Calibri" w:cs="Calibri"/>
                <w:b/>
                <w:color w:val="000000"/>
                <w:sz w:val="12"/>
                <w:szCs w:val="12"/>
              </w:rPr>
              <w:t>Psychosocial Safety Climate</w:t>
            </w:r>
          </w:p>
        </w:tc>
        <w:tc>
          <w:tcPr>
            <w:tcW w:w="216" w:type="pct"/>
            <w:shd w:val="clear" w:color="auto" w:fill="auto"/>
            <w:noWrap/>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highlight w:val="yellow"/>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highlight w:val="yellow"/>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highlight w:val="yellow"/>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highlight w:val="yellow"/>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5. </w:t>
            </w:r>
            <w:r w:rsidR="004F5D49" w:rsidRPr="001432A5">
              <w:rPr>
                <w:rFonts w:ascii="Calibri" w:hAnsi="Calibri" w:cs="Calibri"/>
                <w:color w:val="000000"/>
                <w:sz w:val="12"/>
                <w:szCs w:val="12"/>
              </w:rPr>
              <w:t>PSC</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b/>
                <w:color w:val="000000"/>
                <w:sz w:val="12"/>
                <w:szCs w:val="12"/>
              </w:rPr>
              <w:t>Job Demands</w:t>
            </w:r>
          </w:p>
        </w:tc>
        <w:tc>
          <w:tcPr>
            <w:tcW w:w="216" w:type="pct"/>
            <w:shd w:val="clear" w:color="auto" w:fill="auto"/>
            <w:noWrap/>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6. Work Pressure</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7. Emotional Demands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8. Physical Demands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9. Organisational Change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10. Bullying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11. Harassment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.29†</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12. Work-family Conflict</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.43†</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tcPr>
          <w:p w:rsidR="00B479BE" w:rsidRPr="001432A5" w:rsidRDefault="00B479BE" w:rsidP="004F5D49">
            <w:pPr>
              <w:spacing w:after="0" w:line="240" w:lineRule="auto"/>
              <w:rPr>
                <w:rFonts w:ascii="Calibri" w:hAnsi="Calibri" w:cs="Calibri"/>
                <w:b/>
                <w:color w:val="000000"/>
                <w:sz w:val="12"/>
                <w:szCs w:val="12"/>
              </w:rPr>
            </w:pPr>
            <w:r w:rsidRPr="001432A5">
              <w:rPr>
                <w:rFonts w:ascii="Calibri" w:hAnsi="Calibri" w:cs="Calibri"/>
                <w:b/>
                <w:color w:val="000000"/>
                <w:sz w:val="12"/>
                <w:szCs w:val="12"/>
              </w:rPr>
              <w:t>Job Resources</w:t>
            </w:r>
          </w:p>
        </w:tc>
        <w:tc>
          <w:tcPr>
            <w:tcW w:w="216" w:type="pct"/>
            <w:shd w:val="clear" w:color="auto" w:fill="auto"/>
            <w:noWrap/>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13. Supervisor Support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.52†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-.17†</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14. Co-worker Support</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15. Skill Discretion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16. Decision Authority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17. Macro-decision Latitude</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.53†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18. Organisational Justice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.63†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w:t>
            </w:r>
            <w:r w:rsidR="006F16F3">
              <w:rPr>
                <w:rFonts w:ascii="Calibri" w:eastAsia="Calibri" w:hAnsi="Calibri" w:cs="Calibri"/>
                <w:sz w:val="12"/>
                <w:szCs w:val="12"/>
                <w:lang w:eastAsia="en-US"/>
              </w:rPr>
              <w:t>0</w:t>
            </w:r>
            <w:r w:rsidRPr="001432A5">
              <w:rPr>
                <w:rFonts w:ascii="Calibri" w:eastAsia="Calibri" w:hAnsi="Calibri" w:cs="Calibri"/>
                <w:sz w:val="12"/>
                <w:szCs w:val="12"/>
                <w:lang w:eastAsia="en-US"/>
              </w:rPr>
              <w:t>†</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.56†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19. Organisational Rewards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.50†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-.2</w:t>
            </w:r>
            <w:r w:rsidR="006F16F3">
              <w:rPr>
                <w:rFonts w:ascii="Calibri" w:eastAsia="Calibri" w:hAnsi="Calibri" w:cs="Calibri"/>
                <w:sz w:val="12"/>
                <w:szCs w:val="12"/>
                <w:lang w:eastAsia="en-US"/>
              </w:rPr>
              <w:t>0</w:t>
            </w:r>
            <w:r w:rsidRPr="001432A5">
              <w:rPr>
                <w:rFonts w:ascii="Calibri" w:eastAsia="Calibri" w:hAnsi="Calibri" w:cs="Calibri"/>
                <w:sz w:val="12"/>
                <w:szCs w:val="12"/>
                <w:lang w:eastAsia="en-US"/>
              </w:rPr>
              <w:t>†</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tcPr>
          <w:p w:rsidR="00B479BE" w:rsidRPr="001432A5" w:rsidRDefault="00B479BE" w:rsidP="004F5D49">
            <w:pPr>
              <w:spacing w:after="0" w:line="240" w:lineRule="auto"/>
              <w:rPr>
                <w:rFonts w:ascii="Calibri" w:hAnsi="Calibri" w:cs="Calibri"/>
                <w:b/>
                <w:color w:val="000000"/>
                <w:sz w:val="12"/>
                <w:szCs w:val="12"/>
              </w:rPr>
            </w:pPr>
            <w:r w:rsidRPr="001432A5">
              <w:rPr>
                <w:rFonts w:ascii="Calibri" w:hAnsi="Calibri" w:cs="Calibri"/>
                <w:b/>
                <w:color w:val="000000"/>
                <w:sz w:val="12"/>
                <w:szCs w:val="12"/>
              </w:rPr>
              <w:t>Health Problems</w:t>
            </w:r>
          </w:p>
        </w:tc>
        <w:tc>
          <w:tcPr>
            <w:tcW w:w="216" w:type="pct"/>
            <w:shd w:val="clear" w:color="auto" w:fill="auto"/>
            <w:noWrap/>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20. Psychological Distress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.29†</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-.15†</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 xml:space="preserve">21. Exhaustion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eastAsia="Calibri" w:hAnsi="Calibri" w:cs="Calibri"/>
                <w:sz w:val="12"/>
                <w:szCs w:val="12"/>
                <w:lang w:eastAsia="en-US"/>
              </w:rPr>
              <w:t>-.09†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.41†</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eastAsia="Calibri" w:hAnsi="Calibri" w:cs="Calibri"/>
                <w:sz w:val="12"/>
                <w:szCs w:val="12"/>
                <w:lang w:eastAsia="en-US"/>
              </w:rPr>
              <w:t>.24†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.19†</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.27†</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.50†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-.22†</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-.10†</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-.04*</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-.16†</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-.23†</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-.28†</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-.31†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.51†</w:t>
            </w:r>
          </w:p>
        </w:tc>
        <w:tc>
          <w:tcPr>
            <w:tcW w:w="157" w:type="pct"/>
            <w:shd w:val="clear" w:color="auto" w:fill="auto"/>
            <w:noWrap/>
            <w:hideMark/>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eastAsia="Calibri" w:hAnsi="Calibri" w:cs="Calibri"/>
                <w:sz w:val="12"/>
                <w:szCs w:val="12"/>
                <w:lang w:eastAsia="en-US"/>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tcPr>
          <w:p w:rsidR="00B479BE" w:rsidRPr="001432A5" w:rsidRDefault="00B479BE" w:rsidP="004F5D49">
            <w:pPr>
              <w:spacing w:after="0" w:line="240" w:lineRule="auto"/>
              <w:rPr>
                <w:rFonts w:ascii="Calibri" w:hAnsi="Calibri" w:cs="Calibri"/>
                <w:color w:val="000000"/>
                <w:sz w:val="12"/>
                <w:szCs w:val="12"/>
              </w:rPr>
            </w:pPr>
            <w:r w:rsidRPr="001432A5">
              <w:rPr>
                <w:rFonts w:ascii="Calibri" w:hAnsi="Calibri" w:cs="Calibri"/>
                <w:color w:val="000000"/>
                <w:sz w:val="12"/>
                <w:szCs w:val="12"/>
              </w:rPr>
              <w:t>22. Recovery</w:t>
            </w:r>
          </w:p>
        </w:tc>
        <w:tc>
          <w:tcPr>
            <w:tcW w:w="216" w:type="pct"/>
            <w:shd w:val="clear" w:color="auto" w:fill="auto"/>
            <w:noWrap/>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r w:rsidRPr="001432A5">
              <w:rPr>
                <w:rFonts w:ascii="Calibri" w:hAnsi="Calibri" w:cs="Calibri"/>
                <w:sz w:val="12"/>
                <w:szCs w:val="12"/>
              </w:rPr>
              <w:t>-.04*</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-.02</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-.18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-.21</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.30</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-.41</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-.42</w:t>
            </w:r>
            <w:r w:rsidRPr="001432A5">
              <w:rPr>
                <w:rFonts w:ascii="Calibri" w:hAnsi="Calibri" w:cs="Calibri"/>
                <w:color w:val="000000"/>
                <w:sz w:val="12"/>
                <w:szCs w:val="12"/>
              </w:rPr>
              <w:t>†</w:t>
            </w: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r w:rsidRPr="001432A5">
              <w:rPr>
                <w:rFonts w:ascii="Calibri" w:hAnsi="Calibri" w:cs="Calibri"/>
                <w:sz w:val="12"/>
                <w:szCs w:val="12"/>
              </w:rPr>
              <w:t>-.22</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-.20</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-.18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-.28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-.58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.18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.13</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-.01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.11</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.18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.27</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.30</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-.38</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sz w:val="12"/>
                <w:szCs w:val="12"/>
              </w:rPr>
              <w:t>-.62</w:t>
            </w:r>
            <w:r w:rsidRPr="001432A5">
              <w:rPr>
                <w:rFonts w:ascii="Calibri" w:hAnsi="Calibri" w:cs="Calibri"/>
                <w:color w:val="000000"/>
                <w:sz w:val="12"/>
                <w:szCs w:val="12"/>
              </w:rPr>
              <w:t>†</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r w:rsidRPr="001432A5">
              <w:rPr>
                <w:rFonts w:ascii="Calibri" w:hAnsi="Calibri" w:cs="Calibri"/>
                <w:color w:val="000000"/>
                <w:sz w:val="12"/>
                <w:szCs w:val="12"/>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B479BE" w:rsidP="001738C4">
            <w:pPr>
              <w:spacing w:after="0" w:line="240" w:lineRule="auto"/>
              <w:rPr>
                <w:rFonts w:ascii="Calibri" w:hAnsi="Calibri" w:cs="Calibri"/>
                <w:color w:val="000000"/>
                <w:sz w:val="12"/>
                <w:szCs w:val="12"/>
              </w:rPr>
            </w:pPr>
            <w:r w:rsidRPr="001432A5">
              <w:rPr>
                <w:rFonts w:ascii="Calibri" w:hAnsi="Calibri" w:cs="Calibri"/>
                <w:color w:val="000000"/>
                <w:sz w:val="12"/>
                <w:szCs w:val="12"/>
              </w:rPr>
              <w:t>2</w:t>
            </w:r>
            <w:r w:rsidR="001738C4">
              <w:rPr>
                <w:rFonts w:ascii="Calibri" w:hAnsi="Calibri" w:cs="Calibri"/>
                <w:color w:val="000000"/>
                <w:sz w:val="12"/>
                <w:szCs w:val="12"/>
              </w:rPr>
              <w:t>3</w:t>
            </w:r>
            <w:r w:rsidRPr="001432A5">
              <w:rPr>
                <w:rFonts w:ascii="Calibri" w:hAnsi="Calibri" w:cs="Calibri"/>
                <w:color w:val="000000"/>
                <w:sz w:val="12"/>
                <w:szCs w:val="12"/>
              </w:rPr>
              <w:t xml:space="preserve">. Depression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.28†</w:t>
            </w:r>
          </w:p>
        </w:tc>
        <w:tc>
          <w:tcPr>
            <w:tcW w:w="156" w:type="pct"/>
            <w:shd w:val="clear" w:color="auto" w:fill="auto"/>
            <w:noWrap/>
            <w:hideMark/>
          </w:tcPr>
          <w:p w:rsidR="00B479BE" w:rsidRPr="001432A5" w:rsidRDefault="00B479BE" w:rsidP="000E4FA8">
            <w:pPr>
              <w:tabs>
                <w:tab w:val="decimal" w:pos="32"/>
              </w:tabs>
              <w:spacing w:after="0" w:line="240" w:lineRule="auto"/>
              <w:ind w:right="-76"/>
              <w:rPr>
                <w:rFonts w:ascii="Calibri" w:hAnsi="Calibri" w:cs="Calibri"/>
                <w:color w:val="000000"/>
                <w:sz w:val="12"/>
                <w:szCs w:val="12"/>
              </w:rPr>
            </w:pPr>
            <w:r w:rsidRPr="001432A5">
              <w:rPr>
                <w:rFonts w:ascii="Calibri" w:hAnsi="Calibri" w:cs="Calibri"/>
                <w:color w:val="000000"/>
                <w:sz w:val="12"/>
                <w:szCs w:val="12"/>
              </w:rPr>
              <w:t>.11†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.76†</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.51†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-.42†</w:t>
            </w:r>
          </w:p>
        </w:tc>
        <w:tc>
          <w:tcPr>
            <w:tcW w:w="157" w:type="pct"/>
            <w:shd w:val="clear" w:color="auto" w:fill="auto"/>
            <w:noWrap/>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w:t>
            </w:r>
          </w:p>
        </w:tc>
        <w:tc>
          <w:tcPr>
            <w:tcW w:w="157" w:type="pct"/>
            <w:shd w:val="clear" w:color="auto" w:fill="auto"/>
            <w:noWrap/>
          </w:tcPr>
          <w:p w:rsidR="00B479BE" w:rsidRPr="001432A5" w:rsidRDefault="00B479BE" w:rsidP="004F5D49">
            <w:pPr>
              <w:spacing w:after="0" w:line="240" w:lineRule="auto"/>
              <w:jc w:val="right"/>
              <w:rPr>
                <w:rFonts w:ascii="Calibri" w:hAnsi="Calibri" w:cs="Calibri"/>
                <w:color w:val="000000"/>
                <w:sz w:val="12"/>
                <w:szCs w:val="12"/>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hideMark/>
          </w:tcPr>
          <w:p w:rsidR="00B479BE" w:rsidRPr="001432A5" w:rsidRDefault="001738C4" w:rsidP="004F5D49">
            <w:pPr>
              <w:spacing w:after="0" w:line="240" w:lineRule="auto"/>
              <w:rPr>
                <w:rFonts w:ascii="Calibri" w:hAnsi="Calibri" w:cs="Calibri"/>
                <w:color w:val="000000"/>
                <w:sz w:val="12"/>
                <w:szCs w:val="12"/>
              </w:rPr>
            </w:pPr>
            <w:r>
              <w:rPr>
                <w:rFonts w:ascii="Calibri" w:hAnsi="Calibri" w:cs="Calibri"/>
                <w:color w:val="000000"/>
                <w:sz w:val="12"/>
                <w:szCs w:val="12"/>
              </w:rPr>
              <w:t>24</w:t>
            </w:r>
            <w:r w:rsidR="00B479BE" w:rsidRPr="001432A5">
              <w:rPr>
                <w:rFonts w:ascii="Calibri" w:hAnsi="Calibri" w:cs="Calibri"/>
                <w:color w:val="000000"/>
                <w:sz w:val="12"/>
                <w:szCs w:val="12"/>
              </w:rPr>
              <w:t xml:space="preserve">. Physical Health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-.16†</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.24†</w:t>
            </w:r>
          </w:p>
        </w:tc>
        <w:tc>
          <w:tcPr>
            <w:tcW w:w="156" w:type="pct"/>
            <w:shd w:val="clear" w:color="auto" w:fill="auto"/>
            <w:noWrap/>
            <w:hideMark/>
          </w:tcPr>
          <w:p w:rsidR="00B479BE" w:rsidRPr="001432A5" w:rsidRDefault="00B479BE" w:rsidP="000E4FA8">
            <w:pPr>
              <w:tabs>
                <w:tab w:val="decimal" w:pos="32"/>
              </w:tabs>
              <w:spacing w:after="0" w:line="240" w:lineRule="auto"/>
              <w:ind w:right="-76"/>
              <w:rPr>
                <w:rFonts w:ascii="Calibri" w:hAnsi="Calibri" w:cs="Calibri"/>
                <w:color w:val="000000"/>
                <w:sz w:val="12"/>
                <w:szCs w:val="12"/>
              </w:rPr>
            </w:pPr>
            <w:r w:rsidRPr="001432A5">
              <w:rPr>
                <w:rFonts w:ascii="Calibri" w:hAnsi="Calibri" w:cs="Calibri"/>
                <w:color w:val="000000"/>
                <w:sz w:val="12"/>
                <w:szCs w:val="12"/>
              </w:rPr>
              <w:t>.17†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.48†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.49†</w:t>
            </w:r>
          </w:p>
        </w:tc>
        <w:tc>
          <w:tcPr>
            <w:tcW w:w="157" w:type="pct"/>
            <w:shd w:val="clear" w:color="auto" w:fill="auto"/>
            <w:noWrap/>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w:t>
            </w: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gridAfter w:val="1"/>
          <w:wAfter w:w="125" w:type="pct"/>
          <w:trHeight w:val="227"/>
        </w:trPr>
        <w:tc>
          <w:tcPr>
            <w:tcW w:w="553" w:type="pct"/>
            <w:shd w:val="clear" w:color="auto" w:fill="auto"/>
          </w:tcPr>
          <w:p w:rsidR="00B479BE" w:rsidRPr="001432A5" w:rsidRDefault="00B479BE" w:rsidP="004F5D49">
            <w:pPr>
              <w:spacing w:after="0" w:line="240" w:lineRule="auto"/>
              <w:rPr>
                <w:rFonts w:ascii="Calibri" w:hAnsi="Calibri" w:cs="Calibri"/>
                <w:b/>
                <w:color w:val="000000"/>
                <w:sz w:val="12"/>
                <w:szCs w:val="12"/>
              </w:rPr>
            </w:pPr>
            <w:r w:rsidRPr="001432A5">
              <w:rPr>
                <w:rFonts w:ascii="Calibri" w:hAnsi="Calibri" w:cs="Calibri"/>
                <w:b/>
                <w:color w:val="000000"/>
                <w:sz w:val="12"/>
                <w:szCs w:val="12"/>
              </w:rPr>
              <w:t>Work Outcomes</w:t>
            </w:r>
          </w:p>
        </w:tc>
        <w:tc>
          <w:tcPr>
            <w:tcW w:w="216" w:type="pct"/>
            <w:shd w:val="clear" w:color="auto" w:fill="auto"/>
            <w:noWrap/>
          </w:tcPr>
          <w:p w:rsidR="00B479BE" w:rsidRPr="001432A5" w:rsidRDefault="00B479BE" w:rsidP="000E4FA8">
            <w:pPr>
              <w:tabs>
                <w:tab w:val="decimal" w:pos="32"/>
              </w:tabs>
              <w:spacing w:after="0" w:line="240" w:lineRule="auto"/>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6" w:type="pct"/>
            <w:shd w:val="clear" w:color="auto" w:fill="auto"/>
            <w:noWrap/>
          </w:tcPr>
          <w:p w:rsidR="00B479BE" w:rsidRPr="001432A5" w:rsidRDefault="00B479BE" w:rsidP="000E4FA8">
            <w:pPr>
              <w:tabs>
                <w:tab w:val="decimal" w:pos="32"/>
              </w:tabs>
              <w:spacing w:after="0" w:line="240" w:lineRule="auto"/>
              <w:ind w:right="-76"/>
              <w:jc w:val="center"/>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57"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4" w:type="pct"/>
            <w:shd w:val="clear" w:color="auto" w:fill="auto"/>
            <w:noWrap/>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c>
          <w:tcPr>
            <w:tcW w:w="169" w:type="pct"/>
          </w:tcPr>
          <w:p w:rsidR="00B479BE" w:rsidRPr="001432A5" w:rsidRDefault="00B479BE" w:rsidP="004F5D49">
            <w:pPr>
              <w:tabs>
                <w:tab w:val="decimal" w:pos="32"/>
              </w:tabs>
              <w:spacing w:after="0" w:line="240" w:lineRule="auto"/>
              <w:rPr>
                <w:rFonts w:ascii="Calibri" w:eastAsia="Calibri" w:hAnsi="Calibri" w:cs="Calibri"/>
                <w:sz w:val="12"/>
                <w:szCs w:val="12"/>
                <w:lang w:eastAsia="en-US"/>
              </w:rPr>
            </w:pPr>
          </w:p>
        </w:tc>
      </w:tr>
      <w:tr w:rsidR="00B479BE" w:rsidRPr="001432A5" w:rsidTr="00C7051B">
        <w:trPr>
          <w:trHeight w:val="227"/>
        </w:trPr>
        <w:tc>
          <w:tcPr>
            <w:tcW w:w="553" w:type="pct"/>
            <w:shd w:val="clear" w:color="auto" w:fill="auto"/>
            <w:hideMark/>
          </w:tcPr>
          <w:p w:rsidR="00B479BE" w:rsidRPr="001432A5" w:rsidRDefault="001738C4" w:rsidP="004F5D49">
            <w:pPr>
              <w:spacing w:after="0" w:line="240" w:lineRule="auto"/>
              <w:rPr>
                <w:rFonts w:ascii="Calibri" w:hAnsi="Calibri" w:cs="Calibri"/>
                <w:color w:val="000000"/>
                <w:sz w:val="12"/>
                <w:szCs w:val="12"/>
              </w:rPr>
            </w:pPr>
            <w:r>
              <w:rPr>
                <w:rFonts w:ascii="Calibri" w:hAnsi="Calibri" w:cs="Calibri"/>
                <w:color w:val="000000"/>
                <w:sz w:val="12"/>
                <w:szCs w:val="12"/>
              </w:rPr>
              <w:t>25</w:t>
            </w:r>
            <w:r w:rsidR="00B479BE" w:rsidRPr="001432A5">
              <w:rPr>
                <w:rFonts w:ascii="Calibri" w:hAnsi="Calibri" w:cs="Calibri"/>
                <w:color w:val="000000"/>
                <w:sz w:val="12"/>
                <w:szCs w:val="12"/>
              </w:rPr>
              <w:t xml:space="preserve">. Engagement </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.12†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-.01</w:t>
            </w:r>
          </w:p>
        </w:tc>
        <w:tc>
          <w:tcPr>
            <w:tcW w:w="156" w:type="pct"/>
            <w:shd w:val="clear" w:color="auto" w:fill="auto"/>
            <w:noWrap/>
            <w:hideMark/>
          </w:tcPr>
          <w:p w:rsidR="00B479BE" w:rsidRPr="001432A5" w:rsidRDefault="00B479BE" w:rsidP="000E4FA8">
            <w:pPr>
              <w:tabs>
                <w:tab w:val="decimal" w:pos="32"/>
              </w:tabs>
              <w:spacing w:after="0" w:line="240" w:lineRule="auto"/>
              <w:ind w:right="-76"/>
              <w:jc w:val="center"/>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w:t>
            </w:r>
            <w:r w:rsidR="006F16F3">
              <w:rPr>
                <w:rFonts w:ascii="Calibri" w:hAnsi="Calibri" w:cs="Calibri"/>
                <w:color w:val="000000"/>
                <w:sz w:val="12"/>
                <w:szCs w:val="12"/>
              </w:rPr>
              <w:t>0</w:t>
            </w:r>
            <w:r w:rsidRPr="001432A5">
              <w:rPr>
                <w:rFonts w:ascii="Calibri" w:hAnsi="Calibri" w:cs="Calibri"/>
                <w:color w:val="000000"/>
                <w:sz w:val="12"/>
                <w:szCs w:val="12"/>
              </w:rPr>
              <w:t>†</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.31†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-.18†</w:t>
            </w:r>
          </w:p>
        </w:tc>
        <w:tc>
          <w:tcPr>
            <w:tcW w:w="157" w:type="pct"/>
            <w:shd w:val="clear" w:color="auto" w:fill="auto"/>
            <w:noWrap/>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w:t>
            </w:r>
          </w:p>
        </w:tc>
        <w:tc>
          <w:tcPr>
            <w:tcW w:w="164" w:type="pct"/>
            <w:shd w:val="clear" w:color="auto" w:fill="auto"/>
            <w:noWrap/>
          </w:tcPr>
          <w:p w:rsidR="00B479BE" w:rsidRPr="001432A5" w:rsidRDefault="00B479BE" w:rsidP="004F5D49">
            <w:pPr>
              <w:spacing w:after="0" w:line="240" w:lineRule="auto"/>
              <w:jc w:val="right"/>
              <w:rPr>
                <w:rFonts w:ascii="Calibri" w:hAnsi="Calibri" w:cs="Calibri"/>
                <w:color w:val="000000"/>
                <w:sz w:val="12"/>
                <w:szCs w:val="12"/>
              </w:rPr>
            </w:pPr>
          </w:p>
        </w:tc>
        <w:tc>
          <w:tcPr>
            <w:tcW w:w="169" w:type="pct"/>
          </w:tcPr>
          <w:p w:rsidR="00B479BE" w:rsidRPr="001432A5" w:rsidRDefault="00B479BE" w:rsidP="004F5D49">
            <w:pPr>
              <w:spacing w:after="0" w:line="240" w:lineRule="auto"/>
              <w:jc w:val="right"/>
              <w:rPr>
                <w:rFonts w:ascii="Calibri" w:hAnsi="Calibri" w:cs="Calibri"/>
                <w:color w:val="000000"/>
                <w:sz w:val="12"/>
                <w:szCs w:val="12"/>
              </w:rPr>
            </w:pPr>
          </w:p>
        </w:tc>
        <w:tc>
          <w:tcPr>
            <w:tcW w:w="125" w:type="pct"/>
          </w:tcPr>
          <w:p w:rsidR="00B479BE" w:rsidRPr="001432A5" w:rsidRDefault="00B479BE" w:rsidP="004F5D49">
            <w:pPr>
              <w:spacing w:after="0" w:line="240" w:lineRule="auto"/>
              <w:jc w:val="right"/>
              <w:rPr>
                <w:rFonts w:ascii="Calibri" w:hAnsi="Calibri" w:cs="Calibri"/>
                <w:color w:val="000000"/>
                <w:sz w:val="12"/>
                <w:szCs w:val="12"/>
              </w:rPr>
            </w:pPr>
          </w:p>
        </w:tc>
      </w:tr>
      <w:tr w:rsidR="00B479BE" w:rsidRPr="001432A5" w:rsidTr="00C7051B">
        <w:trPr>
          <w:trHeight w:val="227"/>
        </w:trPr>
        <w:tc>
          <w:tcPr>
            <w:tcW w:w="553" w:type="pct"/>
            <w:shd w:val="clear" w:color="auto" w:fill="auto"/>
            <w:hideMark/>
          </w:tcPr>
          <w:p w:rsidR="00B479BE" w:rsidRPr="001432A5" w:rsidRDefault="001738C4" w:rsidP="004F5D49">
            <w:pPr>
              <w:spacing w:after="0" w:line="240" w:lineRule="auto"/>
              <w:rPr>
                <w:rFonts w:ascii="Calibri" w:hAnsi="Calibri" w:cs="Calibri"/>
                <w:color w:val="000000"/>
                <w:sz w:val="12"/>
                <w:szCs w:val="12"/>
              </w:rPr>
            </w:pPr>
            <w:r>
              <w:rPr>
                <w:rFonts w:ascii="Calibri" w:hAnsi="Calibri" w:cs="Calibri"/>
                <w:color w:val="000000"/>
                <w:sz w:val="12"/>
                <w:szCs w:val="12"/>
              </w:rPr>
              <w:t>26</w:t>
            </w:r>
            <w:r w:rsidR="00B479BE" w:rsidRPr="001432A5">
              <w:rPr>
                <w:rFonts w:ascii="Calibri" w:hAnsi="Calibri" w:cs="Calibri"/>
                <w:color w:val="000000"/>
                <w:sz w:val="12"/>
                <w:szCs w:val="12"/>
              </w:rPr>
              <w:t>. Absence</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w:t>
            </w:r>
            <w:r w:rsidR="006F16F3">
              <w:rPr>
                <w:rFonts w:ascii="Calibri" w:hAnsi="Calibri" w:cs="Calibri"/>
                <w:color w:val="000000"/>
                <w:sz w:val="12"/>
                <w:szCs w:val="12"/>
              </w:rPr>
              <w:t>0</w:t>
            </w:r>
            <w:r w:rsidRPr="001432A5">
              <w:rPr>
                <w:rFonts w:ascii="Calibri" w:hAnsi="Calibri" w:cs="Calibri"/>
                <w:color w:val="000000"/>
                <w:sz w:val="12"/>
                <w:szCs w:val="12"/>
              </w:rPr>
              <w:t>†</w:t>
            </w:r>
          </w:p>
        </w:tc>
        <w:tc>
          <w:tcPr>
            <w:tcW w:w="156" w:type="pct"/>
            <w:shd w:val="clear" w:color="auto" w:fill="auto"/>
            <w:noWrap/>
            <w:hideMark/>
          </w:tcPr>
          <w:p w:rsidR="00B479BE" w:rsidRPr="001432A5" w:rsidRDefault="00B479BE" w:rsidP="000E4FA8">
            <w:pPr>
              <w:tabs>
                <w:tab w:val="decimal" w:pos="32"/>
              </w:tabs>
              <w:spacing w:after="0" w:line="240" w:lineRule="auto"/>
              <w:ind w:right="-76"/>
              <w:rPr>
                <w:rFonts w:ascii="Calibri" w:hAnsi="Calibri" w:cs="Calibri"/>
                <w:color w:val="000000"/>
                <w:sz w:val="12"/>
                <w:szCs w:val="12"/>
              </w:rPr>
            </w:pPr>
            <w:r w:rsidRPr="001432A5">
              <w:rPr>
                <w:rFonts w:ascii="Calibri" w:hAnsi="Calibri" w:cs="Calibri"/>
                <w:color w:val="000000"/>
                <w:sz w:val="12"/>
                <w:szCs w:val="12"/>
              </w:rPr>
              <w:t>.01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.09†</w:t>
            </w:r>
          </w:p>
        </w:tc>
        <w:tc>
          <w:tcPr>
            <w:tcW w:w="157" w:type="pct"/>
            <w:shd w:val="clear" w:color="auto" w:fill="auto"/>
            <w:noWrap/>
            <w:hideMark/>
          </w:tcPr>
          <w:p w:rsidR="00B479BE" w:rsidRPr="001432A5" w:rsidRDefault="00B479BE" w:rsidP="000E4FA8">
            <w:pPr>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0E4FA8">
            <w:pPr>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0E4FA8">
            <w:pPr>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.21†</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-.12†</w:t>
            </w:r>
          </w:p>
        </w:tc>
        <w:tc>
          <w:tcPr>
            <w:tcW w:w="164" w:type="pct"/>
            <w:shd w:val="clear" w:color="auto" w:fill="auto"/>
            <w:noWrap/>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w:t>
            </w:r>
          </w:p>
        </w:tc>
        <w:tc>
          <w:tcPr>
            <w:tcW w:w="169" w:type="pct"/>
          </w:tcPr>
          <w:p w:rsidR="00B479BE" w:rsidRPr="001432A5" w:rsidRDefault="00B479BE" w:rsidP="004F5D49">
            <w:pPr>
              <w:spacing w:after="0" w:line="240" w:lineRule="auto"/>
              <w:jc w:val="right"/>
              <w:rPr>
                <w:rFonts w:ascii="Calibri" w:hAnsi="Calibri" w:cs="Calibri"/>
                <w:color w:val="000000"/>
                <w:sz w:val="12"/>
                <w:szCs w:val="12"/>
              </w:rPr>
            </w:pPr>
          </w:p>
        </w:tc>
        <w:tc>
          <w:tcPr>
            <w:tcW w:w="125" w:type="pct"/>
          </w:tcPr>
          <w:p w:rsidR="00B479BE" w:rsidRPr="001432A5" w:rsidRDefault="00B479BE" w:rsidP="004F5D49">
            <w:pPr>
              <w:spacing w:after="0" w:line="240" w:lineRule="auto"/>
              <w:jc w:val="right"/>
              <w:rPr>
                <w:rFonts w:ascii="Calibri" w:hAnsi="Calibri" w:cs="Calibri"/>
                <w:color w:val="000000"/>
                <w:sz w:val="12"/>
                <w:szCs w:val="12"/>
              </w:rPr>
            </w:pPr>
          </w:p>
        </w:tc>
      </w:tr>
      <w:tr w:rsidR="00B479BE" w:rsidRPr="001432A5" w:rsidTr="00C7051B">
        <w:trPr>
          <w:trHeight w:val="227"/>
        </w:trPr>
        <w:tc>
          <w:tcPr>
            <w:tcW w:w="553" w:type="pct"/>
            <w:shd w:val="clear" w:color="auto" w:fill="auto"/>
            <w:hideMark/>
          </w:tcPr>
          <w:p w:rsidR="00B479BE" w:rsidRPr="001432A5" w:rsidRDefault="001738C4" w:rsidP="004F5D49">
            <w:pPr>
              <w:spacing w:after="0" w:line="240" w:lineRule="auto"/>
              <w:rPr>
                <w:rFonts w:ascii="Calibri" w:hAnsi="Calibri" w:cs="Calibri"/>
                <w:color w:val="000000"/>
                <w:sz w:val="12"/>
                <w:szCs w:val="12"/>
              </w:rPr>
            </w:pPr>
            <w:r>
              <w:rPr>
                <w:rFonts w:ascii="Calibri" w:hAnsi="Calibri" w:cs="Calibri"/>
                <w:color w:val="000000"/>
                <w:sz w:val="12"/>
                <w:szCs w:val="12"/>
              </w:rPr>
              <w:t>27</w:t>
            </w:r>
            <w:r w:rsidR="00B479BE" w:rsidRPr="001432A5">
              <w:rPr>
                <w:rFonts w:ascii="Calibri" w:hAnsi="Calibri" w:cs="Calibri"/>
                <w:color w:val="000000"/>
                <w:sz w:val="12"/>
                <w:szCs w:val="12"/>
              </w:rPr>
              <w:t>. Presenteeism</w:t>
            </w:r>
          </w:p>
        </w:tc>
        <w:tc>
          <w:tcPr>
            <w:tcW w:w="216" w:type="pct"/>
            <w:shd w:val="clear" w:color="auto" w:fill="auto"/>
            <w:noWrap/>
            <w:hideMark/>
          </w:tcPr>
          <w:p w:rsidR="00B479BE" w:rsidRPr="001432A5" w:rsidRDefault="00B479BE" w:rsidP="000E4FA8">
            <w:pPr>
              <w:tabs>
                <w:tab w:val="decimal" w:pos="32"/>
              </w:tabs>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.14†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6" w:type="pct"/>
            <w:shd w:val="clear" w:color="auto" w:fill="auto"/>
            <w:noWrap/>
            <w:hideMark/>
          </w:tcPr>
          <w:p w:rsidR="00B479BE" w:rsidRPr="001432A5" w:rsidRDefault="00B479BE" w:rsidP="000E4FA8">
            <w:pPr>
              <w:tabs>
                <w:tab w:val="decimal" w:pos="32"/>
              </w:tabs>
              <w:spacing w:after="0" w:line="240" w:lineRule="auto"/>
              <w:ind w:right="-76"/>
              <w:rPr>
                <w:rFonts w:ascii="Calibri" w:hAnsi="Calibri" w:cs="Calibri"/>
                <w:color w:val="000000"/>
                <w:sz w:val="12"/>
                <w:szCs w:val="12"/>
              </w:rPr>
            </w:pPr>
            <w:r w:rsidRPr="001432A5">
              <w:rPr>
                <w:rFonts w:ascii="Calibri" w:hAnsi="Calibri" w:cs="Calibri"/>
                <w:color w:val="000000"/>
                <w:sz w:val="12"/>
                <w:szCs w:val="12"/>
              </w:rPr>
              <w:t>.05‡</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.04*</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.10†</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.08†</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-.17†</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.09†</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-.22†</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.26†</w:t>
            </w:r>
          </w:p>
        </w:tc>
        <w:tc>
          <w:tcPr>
            <w:tcW w:w="164" w:type="pct"/>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-.11†</w:t>
            </w:r>
          </w:p>
        </w:tc>
        <w:tc>
          <w:tcPr>
            <w:tcW w:w="169" w:type="pct"/>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w:t>
            </w:r>
          </w:p>
        </w:tc>
        <w:tc>
          <w:tcPr>
            <w:tcW w:w="125" w:type="pct"/>
          </w:tcPr>
          <w:p w:rsidR="00B479BE" w:rsidRPr="001432A5" w:rsidRDefault="00B479BE" w:rsidP="004F5D49">
            <w:pPr>
              <w:spacing w:after="0" w:line="240" w:lineRule="auto"/>
              <w:jc w:val="right"/>
              <w:rPr>
                <w:rFonts w:ascii="Calibri" w:hAnsi="Calibri" w:cs="Calibri"/>
                <w:color w:val="000000"/>
                <w:sz w:val="12"/>
                <w:szCs w:val="12"/>
              </w:rPr>
            </w:pPr>
          </w:p>
        </w:tc>
      </w:tr>
      <w:tr w:rsidR="00B479BE" w:rsidRPr="001432A5" w:rsidTr="00C7051B">
        <w:trPr>
          <w:trHeight w:val="227"/>
        </w:trPr>
        <w:tc>
          <w:tcPr>
            <w:tcW w:w="553" w:type="pct"/>
            <w:tcBorders>
              <w:bottom w:val="single" w:sz="8" w:space="0" w:color="auto"/>
            </w:tcBorders>
            <w:shd w:val="clear" w:color="auto" w:fill="auto"/>
            <w:hideMark/>
          </w:tcPr>
          <w:p w:rsidR="00B479BE" w:rsidRPr="001432A5" w:rsidRDefault="001738C4" w:rsidP="004F5D49">
            <w:pPr>
              <w:spacing w:after="0" w:line="240" w:lineRule="auto"/>
              <w:rPr>
                <w:rFonts w:ascii="Calibri" w:hAnsi="Calibri" w:cs="Calibri"/>
                <w:color w:val="000000"/>
                <w:sz w:val="12"/>
                <w:szCs w:val="12"/>
              </w:rPr>
            </w:pPr>
            <w:r>
              <w:rPr>
                <w:rFonts w:ascii="Calibri" w:hAnsi="Calibri" w:cs="Calibri"/>
                <w:color w:val="000000"/>
                <w:sz w:val="12"/>
                <w:szCs w:val="12"/>
              </w:rPr>
              <w:t>28</w:t>
            </w:r>
            <w:r w:rsidR="00B479BE" w:rsidRPr="001432A5">
              <w:rPr>
                <w:rFonts w:ascii="Calibri" w:hAnsi="Calibri" w:cs="Calibri"/>
                <w:color w:val="000000"/>
                <w:sz w:val="12"/>
                <w:szCs w:val="12"/>
              </w:rPr>
              <w:t>. Stress Claim</w:t>
            </w:r>
          </w:p>
        </w:tc>
        <w:tc>
          <w:tcPr>
            <w:tcW w:w="216" w:type="pct"/>
            <w:tcBorders>
              <w:bottom w:val="single" w:sz="8" w:space="0" w:color="auto"/>
            </w:tcBorders>
            <w:shd w:val="clear" w:color="auto" w:fill="auto"/>
            <w:noWrap/>
            <w:hideMark/>
          </w:tcPr>
          <w:p w:rsidR="00B479BE" w:rsidRPr="001432A5" w:rsidRDefault="00B479BE" w:rsidP="000E4FA8">
            <w:pPr>
              <w:tabs>
                <w:tab w:val="decimal" w:pos="32"/>
              </w:tabs>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-.07</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.01</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.02</w:t>
            </w:r>
          </w:p>
        </w:tc>
        <w:tc>
          <w:tcPr>
            <w:tcW w:w="157" w:type="pct"/>
            <w:tcBorders>
              <w:bottom w:val="single" w:sz="8" w:space="0" w:color="auto"/>
            </w:tcBorders>
            <w:shd w:val="clear" w:color="auto" w:fill="auto"/>
            <w:noWrap/>
            <w:hideMark/>
          </w:tcPr>
          <w:p w:rsidR="00B479BE" w:rsidRPr="001432A5" w:rsidRDefault="00B479BE" w:rsidP="000E4FA8">
            <w:pPr>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.06</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-.17†</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.10‡</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6" w:type="pct"/>
            <w:tcBorders>
              <w:bottom w:val="single" w:sz="8" w:space="0" w:color="auto"/>
            </w:tcBorders>
            <w:shd w:val="clear" w:color="auto" w:fill="auto"/>
            <w:noWrap/>
            <w:hideMark/>
          </w:tcPr>
          <w:p w:rsidR="00B479BE" w:rsidRPr="001432A5" w:rsidRDefault="00B479BE" w:rsidP="000E4FA8">
            <w:pPr>
              <w:tabs>
                <w:tab w:val="decimal" w:pos="32"/>
              </w:tabs>
              <w:spacing w:after="0" w:line="240" w:lineRule="auto"/>
              <w:ind w:right="-76"/>
              <w:rPr>
                <w:rFonts w:ascii="Calibri" w:hAnsi="Calibri" w:cs="Calibri"/>
                <w:color w:val="000000"/>
                <w:sz w:val="12"/>
                <w:szCs w:val="12"/>
              </w:rPr>
            </w:pPr>
            <w:r w:rsidRPr="001432A5">
              <w:rPr>
                <w:rFonts w:ascii="Calibri" w:hAnsi="Calibri" w:cs="Calibri"/>
                <w:color w:val="000000"/>
                <w:sz w:val="12"/>
                <w:szCs w:val="12"/>
              </w:rPr>
              <w:t>.05</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.07</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.09*</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.17†</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.12‡</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-.11‡</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-.15†</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-.02</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7" w:type="pct"/>
            <w:tcBorders>
              <w:bottom w:val="single" w:sz="8" w:space="0" w:color="auto"/>
            </w:tcBorders>
            <w:shd w:val="clear" w:color="auto" w:fill="auto"/>
            <w:noWrap/>
            <w:hideMark/>
          </w:tcPr>
          <w:p w:rsidR="00B479BE" w:rsidRPr="001432A5" w:rsidRDefault="00B479BE" w:rsidP="000E4FA8">
            <w:pPr>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-.07</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-.15†</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-.16†</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.21†</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-.13†</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.18†</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.06</w:t>
            </w:r>
          </w:p>
        </w:tc>
        <w:tc>
          <w:tcPr>
            <w:tcW w:w="157" w:type="pct"/>
            <w:tcBorders>
              <w:bottom w:val="single" w:sz="8" w:space="0" w:color="auto"/>
            </w:tcBorders>
            <w:shd w:val="clear" w:color="auto" w:fill="auto"/>
            <w:noWrap/>
            <w:hideMark/>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-.15†</w:t>
            </w:r>
          </w:p>
        </w:tc>
        <w:tc>
          <w:tcPr>
            <w:tcW w:w="164" w:type="pct"/>
            <w:tcBorders>
              <w:bottom w:val="single" w:sz="8" w:space="0" w:color="auto"/>
            </w:tcBorders>
            <w:shd w:val="clear" w:color="auto" w:fill="auto"/>
            <w:noWrap/>
            <w:hideMark/>
          </w:tcPr>
          <w:p w:rsidR="00B479BE" w:rsidRPr="001432A5" w:rsidRDefault="00B479BE" w:rsidP="000E4FA8">
            <w:pPr>
              <w:spacing w:after="0" w:line="240" w:lineRule="auto"/>
              <w:jc w:val="center"/>
              <w:rPr>
                <w:rFonts w:ascii="Calibri" w:hAnsi="Calibri" w:cs="Calibri"/>
                <w:color w:val="000000"/>
                <w:sz w:val="12"/>
                <w:szCs w:val="12"/>
              </w:rPr>
            </w:pPr>
            <w:r w:rsidRPr="001432A5">
              <w:rPr>
                <w:rFonts w:ascii="Calibri" w:hAnsi="Calibri" w:cs="Calibri"/>
                <w:color w:val="000000"/>
                <w:sz w:val="12"/>
                <w:szCs w:val="12"/>
              </w:rPr>
              <w:t>-.01</w:t>
            </w:r>
          </w:p>
        </w:tc>
        <w:tc>
          <w:tcPr>
            <w:tcW w:w="169" w:type="pct"/>
            <w:tcBorders>
              <w:bottom w:val="single" w:sz="8" w:space="0" w:color="auto"/>
            </w:tcBorders>
          </w:tcPr>
          <w:p w:rsidR="00B479BE" w:rsidRPr="001432A5" w:rsidRDefault="00B479BE" w:rsidP="004F5D49">
            <w:pPr>
              <w:spacing w:after="0" w:line="240" w:lineRule="auto"/>
              <w:jc w:val="right"/>
              <w:rPr>
                <w:rFonts w:ascii="Calibri" w:hAnsi="Calibri" w:cs="Calibri"/>
                <w:color w:val="000000"/>
                <w:sz w:val="12"/>
                <w:szCs w:val="12"/>
              </w:rPr>
            </w:pPr>
            <w:r w:rsidRPr="001432A5">
              <w:rPr>
                <w:rFonts w:ascii="Calibri" w:hAnsi="Calibri" w:cs="Calibri"/>
                <w:color w:val="000000"/>
                <w:sz w:val="12"/>
                <w:szCs w:val="12"/>
              </w:rPr>
              <w:t>-.11‡</w:t>
            </w:r>
          </w:p>
        </w:tc>
        <w:tc>
          <w:tcPr>
            <w:tcW w:w="125" w:type="pct"/>
          </w:tcPr>
          <w:p w:rsidR="00B479BE" w:rsidRPr="001432A5" w:rsidRDefault="00B479BE" w:rsidP="004F5D49">
            <w:pPr>
              <w:spacing w:after="0" w:line="240" w:lineRule="auto"/>
              <w:jc w:val="right"/>
              <w:rPr>
                <w:rFonts w:ascii="Calibri" w:hAnsi="Calibri" w:cs="Calibri"/>
                <w:color w:val="000000"/>
                <w:sz w:val="12"/>
                <w:szCs w:val="12"/>
              </w:rPr>
            </w:pPr>
          </w:p>
        </w:tc>
      </w:tr>
    </w:tbl>
    <w:p w:rsidR="00373828" w:rsidRPr="00980EED" w:rsidRDefault="00373828" w:rsidP="00373828">
      <w:pPr>
        <w:rPr>
          <w:rFonts w:ascii="Calibri" w:eastAsia="Calibri" w:hAnsi="Calibri" w:cs="Calibri"/>
          <w:sz w:val="20"/>
          <w:szCs w:val="20"/>
          <w:lang w:eastAsia="en-US"/>
        </w:rPr>
      </w:pPr>
      <w:r w:rsidRPr="00980EED">
        <w:rPr>
          <w:rFonts w:ascii="Calibri" w:eastAsia="Calibri" w:hAnsi="Calibri"/>
          <w:sz w:val="20"/>
          <w:szCs w:val="20"/>
          <w:lang w:eastAsia="en-US"/>
        </w:rPr>
        <w:t xml:space="preserve"> Note. * = </w:t>
      </w:r>
      <w:r w:rsidRPr="00980EED">
        <w:rPr>
          <w:rFonts w:ascii="Calibri" w:eastAsia="Calibri" w:hAnsi="Calibri"/>
          <w:i/>
          <w:sz w:val="20"/>
          <w:szCs w:val="20"/>
          <w:lang w:eastAsia="en-US"/>
        </w:rPr>
        <w:t xml:space="preserve">p </w:t>
      </w:r>
      <w:r w:rsidRPr="00980EED">
        <w:rPr>
          <w:rFonts w:ascii="Calibri" w:eastAsia="Calibri" w:hAnsi="Calibri"/>
          <w:sz w:val="20"/>
          <w:szCs w:val="20"/>
          <w:lang w:eastAsia="en-US"/>
        </w:rPr>
        <w:t xml:space="preserve">&lt; .05; </w:t>
      </w:r>
      <w:r w:rsidRPr="00980EED">
        <w:rPr>
          <w:rFonts w:ascii="Calibri" w:eastAsia="Calibri" w:hAnsi="Calibri" w:cs="Calibri"/>
          <w:sz w:val="20"/>
          <w:szCs w:val="20"/>
          <w:lang w:eastAsia="en-US"/>
        </w:rPr>
        <w:t xml:space="preserve">‡ = </w:t>
      </w:r>
      <w:r w:rsidRPr="00980EED">
        <w:rPr>
          <w:rFonts w:ascii="Calibri" w:eastAsia="Calibri" w:hAnsi="Calibri" w:cs="Calibri"/>
          <w:i/>
          <w:sz w:val="20"/>
          <w:szCs w:val="20"/>
          <w:lang w:eastAsia="en-US"/>
        </w:rPr>
        <w:t xml:space="preserve">p </w:t>
      </w:r>
      <w:r w:rsidRPr="00980EED">
        <w:rPr>
          <w:rFonts w:ascii="Calibri" w:eastAsia="Calibri" w:hAnsi="Calibri" w:cs="Calibri"/>
          <w:sz w:val="20"/>
          <w:szCs w:val="20"/>
          <w:lang w:eastAsia="en-US"/>
        </w:rPr>
        <w:t>&lt; .01;</w:t>
      </w:r>
      <w:r w:rsidRPr="00980EED">
        <w:rPr>
          <w:rFonts w:ascii="Calibri" w:eastAsia="Calibri" w:hAnsi="Calibri" w:cs="Calibri"/>
          <w:i/>
          <w:sz w:val="20"/>
          <w:szCs w:val="20"/>
          <w:lang w:eastAsia="en-US"/>
        </w:rPr>
        <w:t xml:space="preserve"> </w:t>
      </w:r>
      <w:r w:rsidRPr="00980EED">
        <w:rPr>
          <w:rFonts w:ascii="Calibri" w:eastAsia="Calibri" w:hAnsi="Calibri" w:cs="Calibri"/>
          <w:sz w:val="20"/>
          <w:szCs w:val="20"/>
          <w:lang w:eastAsia="en-US"/>
        </w:rPr>
        <w:t xml:space="preserve">† </w:t>
      </w:r>
      <w:r w:rsidRPr="00980EED">
        <w:rPr>
          <w:rFonts w:ascii="Calibri" w:eastAsia="Calibri" w:hAnsi="Calibri" w:cs="Calibri"/>
          <w:i/>
          <w:sz w:val="20"/>
          <w:szCs w:val="20"/>
          <w:lang w:eastAsia="en-US"/>
        </w:rPr>
        <w:t xml:space="preserve">p </w:t>
      </w:r>
      <w:r w:rsidRPr="00980EED">
        <w:rPr>
          <w:rFonts w:ascii="Calibri" w:eastAsia="Calibri" w:hAnsi="Calibri" w:cs="Calibri"/>
          <w:sz w:val="20"/>
          <w:szCs w:val="20"/>
          <w:lang w:eastAsia="en-US"/>
        </w:rPr>
        <w:t>&lt; .001</w:t>
      </w:r>
      <w:r w:rsidR="0073403B" w:rsidRPr="00980EED">
        <w:rPr>
          <w:rFonts w:ascii="Calibri" w:eastAsia="Calibri" w:hAnsi="Calibri" w:cs="Calibri"/>
          <w:sz w:val="20"/>
          <w:szCs w:val="20"/>
          <w:lang w:eastAsia="en-US"/>
        </w:rPr>
        <w:t>; Gender, 1 = male, 2 = female; Stress claim, 0 = no, 2 = yes; high scores equal higher levels of the variable.</w:t>
      </w:r>
    </w:p>
    <w:p w:rsidR="008D1759" w:rsidRPr="00980EED" w:rsidRDefault="008D1759" w:rsidP="00DB2EC6">
      <w:pPr>
        <w:spacing w:before="100" w:beforeAutospacing="1" w:after="100" w:afterAutospacing="1"/>
        <w:jc w:val="both"/>
        <w:rPr>
          <w:rStyle w:val="IntenseEmphasis"/>
          <w:sz w:val="20"/>
          <w:szCs w:val="20"/>
        </w:rPr>
        <w:sectPr w:rsidR="008D1759" w:rsidRPr="00980EED" w:rsidSect="00437685">
          <w:pgSz w:w="16838" w:h="11906" w:orient="landscape"/>
          <w:pgMar w:top="1531" w:right="1134" w:bottom="1134" w:left="1134" w:header="709" w:footer="709" w:gutter="0"/>
          <w:cols w:space="708"/>
          <w:docGrid w:linePitch="360"/>
        </w:sectPr>
      </w:pPr>
    </w:p>
    <w:p w:rsidR="00356905" w:rsidRPr="00E23A87" w:rsidRDefault="00356905" w:rsidP="00E23A87">
      <w:pPr>
        <w:pStyle w:val="Heading2"/>
        <w:spacing w:before="100" w:beforeAutospacing="1" w:after="100" w:afterAutospacing="1"/>
      </w:pPr>
      <w:bookmarkStart w:id="67" w:name="_Toc343502434"/>
      <w:r w:rsidRPr="00E23A87">
        <w:lastRenderedPageBreak/>
        <w:t>Testing the AWB model</w:t>
      </w:r>
      <w:bookmarkEnd w:id="67"/>
    </w:p>
    <w:p w:rsidR="00545D1C" w:rsidRPr="00935B24" w:rsidRDefault="00545D1C" w:rsidP="00193408">
      <w:pPr>
        <w:pStyle w:val="Heading3"/>
        <w:rPr>
          <w:rStyle w:val="IntenseEmphasis"/>
        </w:rPr>
      </w:pPr>
      <w:bookmarkStart w:id="68" w:name="_Toc343502435"/>
      <w:r>
        <w:rPr>
          <w:rStyle w:val="IntenseEmphasis"/>
        </w:rPr>
        <w:t>Analysis strategy</w:t>
      </w:r>
      <w:bookmarkEnd w:id="68"/>
    </w:p>
    <w:p w:rsidR="00F36638" w:rsidRPr="005250F1" w:rsidRDefault="00F36638" w:rsidP="008A6B6D">
      <w:r w:rsidRPr="005250F1">
        <w:t xml:space="preserve">Next we </w:t>
      </w:r>
      <w:r>
        <w:t xml:space="preserve">considered all of the measures simultaneously and </w:t>
      </w:r>
      <w:r w:rsidRPr="005250F1">
        <w:t xml:space="preserve">tested the theoretical framework as outlined in Figure 1, including </w:t>
      </w:r>
      <w:r>
        <w:t xml:space="preserve">the underlying constructs </w:t>
      </w:r>
      <w:r w:rsidRPr="005250F1">
        <w:t>PSC, demands, resources, health and motivational outcomes</w:t>
      </w:r>
      <w:r w:rsidRPr="00F077CA">
        <w:t>.</w:t>
      </w:r>
    </w:p>
    <w:p w:rsidR="00356905" w:rsidRPr="00FE4AC7" w:rsidRDefault="00356905" w:rsidP="008A6B6D">
      <w:r w:rsidRPr="00FE4AC7">
        <w:t xml:space="preserve">First we considered all of the factors that underpin these constructs. Using structural equation modelling we found that all of the four subscales of PSC loaded well on the underlying measure psychosocial safety climate, as indicated by Beta values greater than .70 (see Figure </w:t>
      </w:r>
      <w:r w:rsidR="00345CE7">
        <w:t>4</w:t>
      </w:r>
      <w:r w:rsidRPr="00FE4AC7">
        <w:t xml:space="preserve">). For the demand measure, preliminary analysis suggested that the demand scales measured different kinds of demands. Accordingly we created three demand measures: psychological </w:t>
      </w:r>
      <w:r w:rsidR="00A2583E" w:rsidRPr="00FE4AC7">
        <w:t>demands</w:t>
      </w:r>
      <w:r w:rsidRPr="00FE4AC7">
        <w:t xml:space="preserve"> comprised the work-family conflict, work pressure and emotional demands measures; bullying</w:t>
      </w:r>
      <w:r w:rsidR="006A37D1">
        <w:t xml:space="preserve"> and harassment loaded together</w:t>
      </w:r>
      <w:r w:rsidRPr="00FE4AC7">
        <w:t xml:space="preserve"> and physical demands w</w:t>
      </w:r>
      <w:r w:rsidR="004B4872">
        <w:t>ere</w:t>
      </w:r>
      <w:r w:rsidRPr="00FE4AC7">
        <w:t xml:space="preserve"> considered separately. In a complex model with many different measures it is likely that some </w:t>
      </w:r>
      <w:r w:rsidR="00EE248F" w:rsidRPr="00FE4AC7">
        <w:t>cannot</w:t>
      </w:r>
      <w:r w:rsidRPr="00FE4AC7">
        <w:t xml:space="preserve"> be modelled because they do not load well on the main constructs. This was the case with organisational change, and work hours, and these were removed from the model.</w:t>
      </w:r>
    </w:p>
    <w:p w:rsidR="00545D1C" w:rsidRDefault="00356905" w:rsidP="008A6B6D">
      <w:r w:rsidRPr="00FE4AC7">
        <w:t>In relation to resources, all of the resource scales loaded on the resource factor. The fit of the model improved when skill discretion was removed. In relation to health, two factors were better than one: p</w:t>
      </w:r>
      <w:r w:rsidR="00A2583E">
        <w:t>sychological health problems were</w:t>
      </w:r>
      <w:r w:rsidRPr="00FE4AC7">
        <w:t xml:space="preserve"> indicated by depression and distress; exhaustion was represented by emotional exhaustion and poor recovery. For the work outcome measure, engagement, intention to leave, and job satisfaction all loaded on this factor. This model </w:t>
      </w:r>
      <w:r w:rsidR="00545D1C">
        <w:t xml:space="preserve">reflects </w:t>
      </w:r>
      <w:r w:rsidR="00AC183E">
        <w:t>Hypothesis 1 -3 outlined above.</w:t>
      </w:r>
    </w:p>
    <w:p w:rsidR="00545D1C" w:rsidRPr="00FE4AC7" w:rsidRDefault="00545D1C" w:rsidP="008A6B6D">
      <w:r w:rsidRPr="00FE4AC7">
        <w:t xml:space="preserve">To test the model we used structural equation modelling using AMOS (Arbuckle, 2005). We controlled for age, gender and income. </w:t>
      </w:r>
      <w:r w:rsidR="0043538F">
        <w:t xml:space="preserve">For additional </w:t>
      </w:r>
      <w:r w:rsidR="004B4872">
        <w:t xml:space="preserve">analysis </w:t>
      </w:r>
      <w:r w:rsidR="0043538F">
        <w:t>details please r</w:t>
      </w:r>
      <w:r w:rsidR="00292080">
        <w:t xml:space="preserve">efer to Appendix </w:t>
      </w:r>
      <w:r w:rsidR="0043538F">
        <w:t>C.</w:t>
      </w:r>
    </w:p>
    <w:p w:rsidR="00545D1C" w:rsidRPr="00935B24" w:rsidRDefault="002C0AC8" w:rsidP="00995BD7">
      <w:pPr>
        <w:pStyle w:val="Heading3"/>
        <w:rPr>
          <w:rStyle w:val="IntenseEmphasis"/>
        </w:rPr>
      </w:pPr>
      <w:r>
        <w:rPr>
          <w:rStyle w:val="IntenseEmphasis"/>
        </w:rPr>
        <w:br w:type="page"/>
      </w:r>
      <w:bookmarkStart w:id="69" w:name="_Toc343502436"/>
      <w:r w:rsidR="00545D1C">
        <w:rPr>
          <w:rStyle w:val="IntenseEmphasis"/>
        </w:rPr>
        <w:lastRenderedPageBreak/>
        <w:t>Results</w:t>
      </w:r>
      <w:bookmarkEnd w:id="69"/>
    </w:p>
    <w:p w:rsidR="00CF4470" w:rsidRDefault="00545D1C" w:rsidP="008A6B6D">
      <w:pPr>
        <w:spacing w:before="100" w:beforeAutospacing="1" w:after="0"/>
        <w:jc w:val="both"/>
      </w:pPr>
      <w:r w:rsidRPr="008A6B6D">
        <w:t>Results showed that the model was a good fit to the data. Fig</w:t>
      </w:r>
      <w:r w:rsidR="0043538F" w:rsidRPr="008A6B6D">
        <w:t xml:space="preserve">ure </w:t>
      </w:r>
      <w:r w:rsidR="00232156" w:rsidRPr="008A6B6D">
        <w:t>4</w:t>
      </w:r>
      <w:r w:rsidR="0043538F" w:rsidRPr="008A6B6D">
        <w:t xml:space="preserve"> shows all of the effects.</w:t>
      </w:r>
    </w:p>
    <w:p w:rsidR="00FC2FFF" w:rsidRPr="00FE4AC7" w:rsidRDefault="00EF58AD" w:rsidP="008A6B6D">
      <w:pPr>
        <w:spacing w:before="100" w:beforeAutospacing="1" w:after="0"/>
        <w:jc w:val="both"/>
        <w:rPr>
          <w:rFonts w:ascii="Calibri" w:hAnsi="Calibri" w:cs="Calibri"/>
          <w:szCs w:val="22"/>
        </w:rPr>
      </w:pPr>
      <w:r>
        <w:rPr>
          <w:rFonts w:ascii="Calibri" w:hAnsi="Calibri" w:cs="Calibri"/>
          <w:noProof/>
          <w:szCs w:val="22"/>
        </w:rPr>
        <w:drawing>
          <wp:inline distT="0" distB="0" distL="0" distR="0" wp14:anchorId="4E4551A5" wp14:editId="545A0AF9">
            <wp:extent cx="5772150" cy="4440739"/>
            <wp:effectExtent l="0" t="0" r="0" b="0"/>
            <wp:docPr id="3" name="Picture 3" descr="All of the four subscales of PSC loaded well on the underlying measure psychosocial safety climate, as indicated by Beta values greater than .70. PSC is significantly related to demands (all negative relationships), and to resources (positive relationship)." title="Full study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workFullmodel"/>
                    <pic:cNvPicPr>
                      <a:picLocks noChangeAspect="1" noChangeArrowheads="1"/>
                    </pic:cNvPicPr>
                  </pic:nvPicPr>
                  <pic:blipFill>
                    <a:blip r:embed="rId17" cstate="print"/>
                    <a:srcRect/>
                    <a:stretch>
                      <a:fillRect/>
                    </a:stretch>
                  </pic:blipFill>
                  <pic:spPr bwMode="auto">
                    <a:xfrm>
                      <a:off x="0" y="0"/>
                      <a:ext cx="5774959" cy="4442900"/>
                    </a:xfrm>
                    <a:prstGeom prst="rect">
                      <a:avLst/>
                    </a:prstGeom>
                    <a:noFill/>
                    <a:ln w="9525">
                      <a:noFill/>
                      <a:miter lim="800000"/>
                      <a:headEnd/>
                      <a:tailEnd/>
                    </a:ln>
                  </pic:spPr>
                </pic:pic>
              </a:graphicData>
            </a:graphic>
          </wp:inline>
        </w:drawing>
      </w:r>
    </w:p>
    <w:p w:rsidR="00356905" w:rsidRPr="00193408" w:rsidRDefault="00356905" w:rsidP="00193408">
      <w:pPr>
        <w:pStyle w:val="FigureCaption"/>
      </w:pPr>
      <w:proofErr w:type="gramStart"/>
      <w:r w:rsidRPr="00193408">
        <w:t xml:space="preserve">Figure </w:t>
      </w:r>
      <w:r w:rsidR="00D1426B" w:rsidRPr="00193408">
        <w:t>4</w:t>
      </w:r>
      <w:r w:rsidRPr="00193408">
        <w:t>.</w:t>
      </w:r>
      <w:proofErr w:type="gramEnd"/>
      <w:r w:rsidRPr="00193408">
        <w:t xml:space="preserve"> Full Study Model</w:t>
      </w:r>
    </w:p>
    <w:p w:rsidR="00356905" w:rsidRPr="005B0B90" w:rsidRDefault="005E6339" w:rsidP="008A6B6D">
      <w:r>
        <w:t xml:space="preserve">The final </w:t>
      </w:r>
      <w:r w:rsidR="00545D1C">
        <w:t xml:space="preserve">simplified </w:t>
      </w:r>
      <w:r>
        <w:t xml:space="preserve">model is shown in Figure </w:t>
      </w:r>
      <w:r w:rsidR="00345CE7">
        <w:t>5</w:t>
      </w:r>
      <w:r>
        <w:t>.</w:t>
      </w:r>
      <w:r w:rsidR="00341FDD">
        <w:t xml:space="preserve"> A</w:t>
      </w:r>
      <w:r w:rsidR="00520F0E">
        <w:t xml:space="preserve">s shown in Table </w:t>
      </w:r>
      <w:r w:rsidR="00232156">
        <w:t>3</w:t>
      </w:r>
      <w:r w:rsidR="00356905" w:rsidRPr="00FE4AC7">
        <w:t xml:space="preserve">, the fit indices of the study model M1 ranged from acceptable to good on the fit indices; although the chi-square test was significant this is not unusual with a large sample size. Taken together the fit indices suggest that we can accept the proposed model. </w:t>
      </w:r>
      <w:r w:rsidR="0043538F">
        <w:t>For additional details of the analysis refer</w:t>
      </w:r>
      <w:r w:rsidR="00AB33E2">
        <w:br/>
      </w:r>
      <w:r w:rsidR="0043538F">
        <w:t>to Appendix C.</w:t>
      </w:r>
    </w:p>
    <w:p w:rsidR="005B0B90" w:rsidRPr="000E4FA8" w:rsidRDefault="005B0B90" w:rsidP="008A6B6D">
      <w:r w:rsidRPr="000E4FA8">
        <w:t>A</w:t>
      </w:r>
      <w:r w:rsidR="00210364" w:rsidRPr="000E4FA8">
        <w:t>s</w:t>
      </w:r>
      <w:r w:rsidRPr="000E4FA8">
        <w:t xml:space="preserve"> shown in Figure </w:t>
      </w:r>
      <w:r w:rsidR="00345CE7">
        <w:t>4</w:t>
      </w:r>
      <w:r w:rsidRPr="000E4FA8">
        <w:t xml:space="preserve">, PSC is significantly related to demands (all negative relationships), and to resources (positive relationship). For example the relationship between PSC and psychological demands is Beta = -.55, </w:t>
      </w:r>
      <w:r w:rsidRPr="004B4872">
        <w:rPr>
          <w:i/>
        </w:rPr>
        <w:t>p</w:t>
      </w:r>
      <w:r w:rsidR="00AC183E">
        <w:t xml:space="preserve"> &lt; .001.</w:t>
      </w:r>
    </w:p>
    <w:p w:rsidR="005B0B90" w:rsidRPr="000E4FA8" w:rsidRDefault="005B0B90" w:rsidP="008A6B6D">
      <w:r w:rsidRPr="000E4FA8">
        <w:t>The most important demands as determined by their relationship to psychological health problems and exhaustion are:</w:t>
      </w:r>
    </w:p>
    <w:p w:rsidR="005B0B90" w:rsidRPr="009A7EEC" w:rsidRDefault="005B0B90" w:rsidP="0023074F">
      <w:pPr>
        <w:pStyle w:val="ListParagraph"/>
        <w:numPr>
          <w:ilvl w:val="0"/>
          <w:numId w:val="18"/>
        </w:numPr>
        <w:rPr>
          <w:rFonts w:ascii="Arial" w:hAnsi="Arial" w:cs="Arial"/>
          <w:lang w:val="en-US"/>
        </w:rPr>
      </w:pPr>
      <w:r w:rsidRPr="009A7EEC">
        <w:rPr>
          <w:rFonts w:ascii="Arial" w:hAnsi="Arial" w:cs="Arial"/>
          <w:lang w:val="en-US"/>
        </w:rPr>
        <w:t>Work-family conflict</w:t>
      </w:r>
    </w:p>
    <w:p w:rsidR="005B0B90" w:rsidRPr="009A7EEC" w:rsidRDefault="005B0B90" w:rsidP="0023074F">
      <w:pPr>
        <w:pStyle w:val="ListParagraph"/>
        <w:numPr>
          <w:ilvl w:val="0"/>
          <w:numId w:val="18"/>
        </w:numPr>
        <w:rPr>
          <w:rFonts w:ascii="Arial" w:hAnsi="Arial" w:cs="Arial"/>
          <w:lang w:val="en-US"/>
        </w:rPr>
      </w:pPr>
      <w:r w:rsidRPr="009A7EEC">
        <w:rPr>
          <w:rFonts w:ascii="Arial" w:hAnsi="Arial" w:cs="Arial"/>
          <w:lang w:val="en-US"/>
        </w:rPr>
        <w:t>Work pressure</w:t>
      </w:r>
    </w:p>
    <w:p w:rsidR="005B0B90" w:rsidRPr="009A7EEC" w:rsidRDefault="005B0B90" w:rsidP="0023074F">
      <w:pPr>
        <w:pStyle w:val="ListParagraph"/>
        <w:numPr>
          <w:ilvl w:val="0"/>
          <w:numId w:val="18"/>
        </w:numPr>
        <w:rPr>
          <w:rFonts w:ascii="Arial" w:hAnsi="Arial" w:cs="Arial"/>
          <w:lang w:val="en-US"/>
        </w:rPr>
      </w:pPr>
      <w:r w:rsidRPr="009A7EEC">
        <w:rPr>
          <w:rFonts w:ascii="Arial" w:hAnsi="Arial" w:cs="Arial"/>
          <w:lang w:val="en-US"/>
        </w:rPr>
        <w:t>Emotional demands</w:t>
      </w:r>
      <w:r w:rsidR="00477637" w:rsidRPr="009A7EEC">
        <w:rPr>
          <w:rFonts w:ascii="Arial" w:hAnsi="Arial" w:cs="Arial"/>
          <w:lang w:val="en-US"/>
        </w:rPr>
        <w:t>, and</w:t>
      </w:r>
    </w:p>
    <w:p w:rsidR="005B0B90" w:rsidRPr="009A7EEC" w:rsidRDefault="005B0B90" w:rsidP="0023074F">
      <w:pPr>
        <w:pStyle w:val="ListParagraph"/>
        <w:numPr>
          <w:ilvl w:val="0"/>
          <w:numId w:val="18"/>
        </w:numPr>
        <w:rPr>
          <w:rFonts w:ascii="Arial" w:hAnsi="Arial" w:cs="Arial"/>
          <w:lang w:val="en-US"/>
        </w:rPr>
      </w:pPr>
      <w:r w:rsidRPr="009A7EEC">
        <w:rPr>
          <w:rFonts w:ascii="Arial" w:hAnsi="Arial" w:cs="Arial"/>
          <w:lang w:val="en-US"/>
        </w:rPr>
        <w:t>Bullying and harassment</w:t>
      </w:r>
      <w:r w:rsidR="00477637" w:rsidRPr="009A7EEC">
        <w:rPr>
          <w:rFonts w:ascii="Arial" w:hAnsi="Arial" w:cs="Arial"/>
          <w:lang w:val="en-US"/>
        </w:rPr>
        <w:t>.</w:t>
      </w:r>
    </w:p>
    <w:p w:rsidR="005B0B90" w:rsidRPr="000E4FA8" w:rsidRDefault="005B0B90" w:rsidP="008A6B6D">
      <w:pPr>
        <w:rPr>
          <w:rFonts w:eastAsia="Calibri"/>
          <w:lang w:val="en-US" w:eastAsia="en-US"/>
        </w:rPr>
      </w:pPr>
      <w:r w:rsidRPr="000E4FA8">
        <w:rPr>
          <w:rFonts w:eastAsia="Calibri"/>
          <w:lang w:val="en-US" w:eastAsia="en-US"/>
        </w:rPr>
        <w:lastRenderedPageBreak/>
        <w:t xml:space="preserve">The most important resources </w:t>
      </w:r>
      <w:r w:rsidR="00545D1C">
        <w:rPr>
          <w:rFonts w:eastAsia="Calibri"/>
          <w:lang w:val="en-US" w:eastAsia="en-US"/>
        </w:rPr>
        <w:t xml:space="preserve">as determined by their relationship to </w:t>
      </w:r>
      <w:r w:rsidRPr="000E4FA8">
        <w:rPr>
          <w:rFonts w:eastAsia="Calibri"/>
          <w:lang w:val="en-US" w:eastAsia="en-US"/>
        </w:rPr>
        <w:t xml:space="preserve">psychological health, exhaustion </w:t>
      </w:r>
      <w:r w:rsidR="00210364" w:rsidRPr="000E4FA8">
        <w:rPr>
          <w:rFonts w:eastAsia="Calibri"/>
          <w:lang w:val="en-US" w:eastAsia="en-US"/>
        </w:rPr>
        <w:t>and engagement</w:t>
      </w:r>
      <w:r w:rsidRPr="000E4FA8">
        <w:rPr>
          <w:rFonts w:eastAsia="Calibri"/>
          <w:lang w:val="en-US" w:eastAsia="en-US"/>
        </w:rPr>
        <w:t xml:space="preserve"> </w:t>
      </w:r>
      <w:r w:rsidR="00210364" w:rsidRPr="000E4FA8">
        <w:rPr>
          <w:rFonts w:eastAsia="Calibri"/>
          <w:lang w:val="en-US" w:eastAsia="en-US"/>
        </w:rPr>
        <w:t>are</w:t>
      </w:r>
      <w:r w:rsidRPr="000E4FA8">
        <w:rPr>
          <w:rFonts w:eastAsia="Calibri"/>
          <w:lang w:val="en-US" w:eastAsia="en-US"/>
        </w:rPr>
        <w:t>:</w:t>
      </w:r>
    </w:p>
    <w:p w:rsidR="00210364" w:rsidRPr="009A7EEC" w:rsidRDefault="00210364" w:rsidP="0023074F">
      <w:pPr>
        <w:pStyle w:val="ListParagraph"/>
        <w:numPr>
          <w:ilvl w:val="0"/>
          <w:numId w:val="19"/>
        </w:numPr>
        <w:rPr>
          <w:rFonts w:ascii="Arial" w:hAnsi="Arial" w:cs="Arial"/>
          <w:lang w:val="en-US"/>
        </w:rPr>
      </w:pPr>
      <w:r w:rsidRPr="009A7EEC">
        <w:rPr>
          <w:rFonts w:ascii="Arial" w:hAnsi="Arial" w:cs="Arial"/>
          <w:lang w:val="en-US"/>
        </w:rPr>
        <w:t>Justice</w:t>
      </w:r>
    </w:p>
    <w:p w:rsidR="00210364" w:rsidRPr="009A7EEC" w:rsidRDefault="00210364" w:rsidP="0023074F">
      <w:pPr>
        <w:pStyle w:val="ListParagraph"/>
        <w:numPr>
          <w:ilvl w:val="0"/>
          <w:numId w:val="19"/>
        </w:numPr>
        <w:rPr>
          <w:rFonts w:ascii="Arial" w:hAnsi="Arial" w:cs="Arial"/>
          <w:lang w:val="en-US"/>
        </w:rPr>
      </w:pPr>
      <w:r w:rsidRPr="009A7EEC">
        <w:rPr>
          <w:rFonts w:ascii="Arial" w:hAnsi="Arial" w:cs="Arial"/>
          <w:lang w:val="en-US"/>
        </w:rPr>
        <w:t>Social Support</w:t>
      </w:r>
    </w:p>
    <w:p w:rsidR="005B0B90" w:rsidRPr="009A7EEC" w:rsidRDefault="005B0B90" w:rsidP="0023074F">
      <w:pPr>
        <w:pStyle w:val="ListParagraph"/>
        <w:numPr>
          <w:ilvl w:val="0"/>
          <w:numId w:val="19"/>
        </w:numPr>
        <w:rPr>
          <w:rFonts w:ascii="Arial" w:hAnsi="Arial" w:cs="Arial"/>
          <w:lang w:val="en-US"/>
        </w:rPr>
      </w:pPr>
      <w:r w:rsidRPr="009A7EEC">
        <w:rPr>
          <w:rFonts w:ascii="Arial" w:hAnsi="Arial" w:cs="Arial"/>
          <w:lang w:val="en-US"/>
        </w:rPr>
        <w:t>Organisational rewards</w:t>
      </w:r>
      <w:r w:rsidR="00477637" w:rsidRPr="009A7EEC">
        <w:rPr>
          <w:rFonts w:ascii="Arial" w:hAnsi="Arial" w:cs="Arial"/>
          <w:lang w:val="en-US"/>
        </w:rPr>
        <w:t>, and</w:t>
      </w:r>
    </w:p>
    <w:p w:rsidR="00C330DF" w:rsidRPr="009A7EEC" w:rsidRDefault="00210364" w:rsidP="0023074F">
      <w:pPr>
        <w:pStyle w:val="ListParagraph"/>
        <w:numPr>
          <w:ilvl w:val="0"/>
          <w:numId w:val="19"/>
        </w:numPr>
        <w:rPr>
          <w:rFonts w:ascii="Arial" w:hAnsi="Arial" w:cs="Arial"/>
          <w:lang w:val="en-US"/>
        </w:rPr>
      </w:pPr>
      <w:r w:rsidRPr="009A7EEC">
        <w:rPr>
          <w:rFonts w:ascii="Arial" w:hAnsi="Arial" w:cs="Arial"/>
          <w:lang w:val="en-US"/>
        </w:rPr>
        <w:t>Macro-decision latitude</w:t>
      </w:r>
      <w:r w:rsidR="00477637" w:rsidRPr="009A7EEC">
        <w:rPr>
          <w:rFonts w:ascii="Arial" w:hAnsi="Arial" w:cs="Arial"/>
          <w:lang w:val="en-US"/>
        </w:rPr>
        <w:t>.</w:t>
      </w:r>
    </w:p>
    <w:p w:rsidR="005B0B90" w:rsidRPr="00611178" w:rsidRDefault="00545D1C" w:rsidP="00995BD7">
      <w:pPr>
        <w:pStyle w:val="Heading3"/>
      </w:pPr>
      <w:bookmarkStart w:id="70" w:name="_Toc343502437"/>
      <w:r w:rsidRPr="00611178">
        <w:t>PSC as a predictor of job demands and health outcomes</w:t>
      </w:r>
      <w:bookmarkEnd w:id="70"/>
    </w:p>
    <w:p w:rsidR="00050549" w:rsidRPr="00050549" w:rsidRDefault="00050549" w:rsidP="00D83E14">
      <w:pPr>
        <w:pStyle w:val="Quote"/>
      </w:pPr>
      <w:r w:rsidRPr="00050549">
        <w:t xml:space="preserve">“PSC is significantly related to all demands (negatively), resources (positively), </w:t>
      </w:r>
      <w:r w:rsidR="00FB4270">
        <w:t xml:space="preserve">psychological </w:t>
      </w:r>
      <w:r w:rsidRPr="00050549">
        <w:t xml:space="preserve">health </w:t>
      </w:r>
      <w:r w:rsidR="00FB4270">
        <w:t>problems and exhaustion (negatively</w:t>
      </w:r>
      <w:r w:rsidRPr="00050549">
        <w:t>) and prod</w:t>
      </w:r>
      <w:r w:rsidR="004D27D1">
        <w:t>uctivity (positively) outcomes</w:t>
      </w:r>
      <w:r w:rsidR="00AC183E">
        <w:t>.</w:t>
      </w:r>
      <w:r w:rsidR="004D27D1">
        <w:t>”</w:t>
      </w:r>
    </w:p>
    <w:p w:rsidR="00356905" w:rsidRPr="00FE4AC7" w:rsidRDefault="00210364" w:rsidP="008A6B6D">
      <w:r>
        <w:t xml:space="preserve">Returning to the importance of PSC we </w:t>
      </w:r>
      <w:r w:rsidR="00356905" w:rsidRPr="005B0B90">
        <w:t>formally test</w:t>
      </w:r>
      <w:r>
        <w:t>ed</w:t>
      </w:r>
      <w:r w:rsidR="00356905" w:rsidRPr="005B0B90">
        <w:t xml:space="preserve"> the hypotheses </w:t>
      </w:r>
      <w:r>
        <w:t xml:space="preserve">to consider </w:t>
      </w:r>
      <w:r w:rsidR="00356905" w:rsidRPr="005B0B90">
        <w:t xml:space="preserve">the indirect (mediated) effects of PSC on health </w:t>
      </w:r>
      <w:r w:rsidR="00FB4270">
        <w:t xml:space="preserve">problems </w:t>
      </w:r>
      <w:r w:rsidR="00356905" w:rsidRPr="005B0B90">
        <w:t>and work outcomes. In support of Hypothesis 1 that PSC is indirectly negatively related to psychological health problems and exhaustion through its negative relationship with job demands (H1) we found a significant indirect relationship between PSC and psychological healt</w:t>
      </w:r>
      <w:r w:rsidR="00356905" w:rsidRPr="00FE4AC7">
        <w:t>h problems</w:t>
      </w:r>
      <w:r w:rsidR="00FB4270">
        <w:t xml:space="preserve"> </w:t>
      </w:r>
      <w:r w:rsidR="00FB4270" w:rsidRPr="00FE4AC7">
        <w:t xml:space="preserve">(Beta = -.30, </w:t>
      </w:r>
      <w:r w:rsidR="00FB4270" w:rsidRPr="00FB4270">
        <w:rPr>
          <w:i/>
        </w:rPr>
        <w:t>p</w:t>
      </w:r>
      <w:r w:rsidR="00FB4270" w:rsidRPr="00FE4AC7">
        <w:t xml:space="preserve"> &lt; .01)</w:t>
      </w:r>
      <w:r w:rsidR="00356905" w:rsidRPr="00FE4AC7">
        <w:t>, and exhaustion</w:t>
      </w:r>
      <w:r w:rsidR="00FB4270">
        <w:t xml:space="preserve"> </w:t>
      </w:r>
      <w:r w:rsidR="00FB4270" w:rsidRPr="00FE4AC7">
        <w:t xml:space="preserve">(Beta = -.44, </w:t>
      </w:r>
      <w:r w:rsidR="00FB4270" w:rsidRPr="00FB4270">
        <w:rPr>
          <w:i/>
        </w:rPr>
        <w:t>p</w:t>
      </w:r>
      <w:r w:rsidR="00FB4270" w:rsidRPr="00FE4AC7">
        <w:t xml:space="preserve"> &lt; .01)</w:t>
      </w:r>
      <w:r w:rsidR="00FB4270">
        <w:t>.</w:t>
      </w:r>
      <w:r w:rsidR="00356905" w:rsidRPr="00FE4AC7">
        <w:t xml:space="preserve"> In other words PSC </w:t>
      </w:r>
      <w:r w:rsidR="00FB4270">
        <w:t>a</w:t>
      </w:r>
      <w:r w:rsidR="00FB4270" w:rsidRPr="00FE4AC7">
        <w:t>ffect</w:t>
      </w:r>
      <w:r w:rsidR="00FB4270">
        <w:t>s</w:t>
      </w:r>
      <w:r w:rsidR="00FB4270" w:rsidRPr="00FE4AC7">
        <w:t xml:space="preserve"> </w:t>
      </w:r>
      <w:r w:rsidR="00FB4270">
        <w:t xml:space="preserve">job </w:t>
      </w:r>
      <w:r w:rsidR="00FB4270" w:rsidRPr="00FE4AC7">
        <w:t>demands</w:t>
      </w:r>
      <w:r w:rsidR="00FB4270">
        <w:t xml:space="preserve"> that in turn carry this effect</w:t>
      </w:r>
      <w:r w:rsidR="00356905" w:rsidRPr="00FE4AC7">
        <w:t xml:space="preserve"> to psychological health problems and exhaustion</w:t>
      </w:r>
      <w:r w:rsidR="00FB4270">
        <w:t>.</w:t>
      </w:r>
    </w:p>
    <w:p w:rsidR="00356905" w:rsidRPr="00FE4AC7" w:rsidRDefault="00356905" w:rsidP="008A6B6D">
      <w:r w:rsidRPr="00FE4AC7">
        <w:t>In support of Hypothesis 3 that PSC is indirectly negatively related to psychological health problems and exhaustion through its positive relationship with job resources</w:t>
      </w:r>
      <w:r w:rsidR="00315F11">
        <w:t>,</w:t>
      </w:r>
      <w:r w:rsidRPr="00FE4AC7">
        <w:t xml:space="preserve"> we found a significant indirect relationship between PSC and psychological health problems (Beta = -.12, </w:t>
      </w:r>
      <w:r w:rsidRPr="00FB4270">
        <w:rPr>
          <w:i/>
        </w:rPr>
        <w:t>p</w:t>
      </w:r>
      <w:r w:rsidRPr="00FE4AC7">
        <w:t xml:space="preserve"> &lt; .01), and exha</w:t>
      </w:r>
      <w:r w:rsidR="00FC2FFF">
        <w:t xml:space="preserve">ustion (Beta = -.17, </w:t>
      </w:r>
      <w:r w:rsidR="00FC2FFF" w:rsidRPr="00FB4270">
        <w:rPr>
          <w:i/>
        </w:rPr>
        <w:t>p</w:t>
      </w:r>
      <w:r w:rsidR="00FC2FFF">
        <w:t xml:space="preserve"> &lt; .01). </w:t>
      </w:r>
      <w:r w:rsidRPr="00FE4AC7">
        <w:t>As expected these relationships are not as strong as</w:t>
      </w:r>
      <w:r w:rsidR="00AC183E">
        <w:t xml:space="preserve"> when demands are the mediator.</w:t>
      </w:r>
    </w:p>
    <w:p w:rsidR="00050549" w:rsidRDefault="00356905" w:rsidP="008A6B6D">
      <w:r w:rsidRPr="00BE6E98">
        <w:t xml:space="preserve">Table </w:t>
      </w:r>
      <w:r w:rsidR="00232156">
        <w:t>4</w:t>
      </w:r>
      <w:r w:rsidR="00232156" w:rsidRPr="00BE6E98">
        <w:t xml:space="preserve"> </w:t>
      </w:r>
      <w:r w:rsidRPr="00BE6E98">
        <w:t>reports the total indirect effects of PSC via both demands and resources in</w:t>
      </w:r>
      <w:r w:rsidR="00FB4270">
        <w:t>corporating</w:t>
      </w:r>
      <w:r w:rsidRPr="00BE6E98">
        <w:t xml:space="preserve"> the 90</w:t>
      </w:r>
      <w:r w:rsidR="00315F11">
        <w:t xml:space="preserve"> </w:t>
      </w:r>
      <w:r w:rsidR="00495A77">
        <w:t>per cent</w:t>
      </w:r>
      <w:r w:rsidRPr="00BE6E98">
        <w:t xml:space="preserve"> confidence interval using a bias corrected p</w:t>
      </w:r>
      <w:r w:rsidR="00F34DA3">
        <w:t>ercentile method. The standardis</w:t>
      </w:r>
      <w:r w:rsidRPr="00BE6E98">
        <w:t xml:space="preserve">ed indirect (mediated) effect of </w:t>
      </w:r>
      <w:r w:rsidRPr="005F6E13">
        <w:t>PSC</w:t>
      </w:r>
      <w:r w:rsidRPr="00FE4AC7">
        <w:t xml:space="preserve"> </w:t>
      </w:r>
      <w:r w:rsidRPr="00BE6E98">
        <w:t xml:space="preserve">on </w:t>
      </w:r>
      <w:r w:rsidRPr="005F6E13">
        <w:t xml:space="preserve">psychological health problems </w:t>
      </w:r>
      <w:r w:rsidRPr="00BE6E98">
        <w:t xml:space="preserve">is -.30. In other words, due to the indirect (mediated) effect of </w:t>
      </w:r>
      <w:r w:rsidRPr="005F6E13">
        <w:t xml:space="preserve">PSC on depression and distress, </w:t>
      </w:r>
      <w:r w:rsidRPr="00BE6E98">
        <w:t xml:space="preserve">when </w:t>
      </w:r>
      <w:r w:rsidRPr="005F6E13">
        <w:t>PSC</w:t>
      </w:r>
      <w:r w:rsidRPr="00FE4AC7">
        <w:t xml:space="preserve"> </w:t>
      </w:r>
      <w:r w:rsidRPr="00BE6E98">
        <w:t>goes up by 1 standard deviation</w:t>
      </w:r>
      <w:r w:rsidRPr="00FE4AC7">
        <w:t xml:space="preserve">, </w:t>
      </w:r>
      <w:r w:rsidRPr="005F6E13">
        <w:t>depression and distress</w:t>
      </w:r>
      <w:r w:rsidRPr="00BE6E98">
        <w:t xml:space="preserve"> goes down by 0.30 standard deviations; exhaustion goes down by .44 standard deviations. </w:t>
      </w:r>
      <w:r w:rsidR="00A019C9">
        <w:t>Another way of considering this is a 10</w:t>
      </w:r>
      <w:r w:rsidR="001F2B71">
        <w:t xml:space="preserve"> per cent</w:t>
      </w:r>
      <w:r w:rsidR="00A019C9">
        <w:t xml:space="preserve"> increase in PSC would lead to a 3</w:t>
      </w:r>
      <w:r w:rsidR="001F2B71">
        <w:t xml:space="preserve"> </w:t>
      </w:r>
      <w:r w:rsidR="00692FB8">
        <w:t>per cent</w:t>
      </w:r>
      <w:r w:rsidR="00A019C9">
        <w:t xml:space="preserve"> </w:t>
      </w:r>
      <w:r w:rsidR="007A7AE3">
        <w:t>decrease</w:t>
      </w:r>
      <w:r w:rsidR="00A019C9">
        <w:t xml:space="preserve"> in depression and distress</w:t>
      </w:r>
      <w:r w:rsidR="00FB4270">
        <w:t>, and a 4.4</w:t>
      </w:r>
      <w:r w:rsidR="001F2B71">
        <w:t xml:space="preserve"> per cent</w:t>
      </w:r>
      <w:r w:rsidR="00FB4270">
        <w:t xml:space="preserve"> decrease in exhaustion</w:t>
      </w:r>
      <w:r w:rsidR="00A019C9">
        <w:t>.</w:t>
      </w:r>
    </w:p>
    <w:p w:rsidR="00356905" w:rsidRPr="00611178" w:rsidRDefault="00356905" w:rsidP="00995BD7">
      <w:pPr>
        <w:pStyle w:val="FigureCaption"/>
      </w:pPr>
      <w:proofErr w:type="gramStart"/>
      <w:r w:rsidRPr="00611178">
        <w:t xml:space="preserve">Table </w:t>
      </w:r>
      <w:r w:rsidR="004F46B9" w:rsidRPr="00611178">
        <w:t>4</w:t>
      </w:r>
      <w:r w:rsidRPr="00611178">
        <w:t>.</w:t>
      </w:r>
      <w:proofErr w:type="gramEnd"/>
      <w:r w:rsidRPr="00611178">
        <w:t xml:space="preserve"> Indirect (Mediated) Effects of PSC on Outcomes</w:t>
      </w:r>
    </w:p>
    <w:tbl>
      <w:tblPr>
        <w:tblW w:w="7360" w:type="dxa"/>
        <w:jc w:val="center"/>
        <w:tblInd w:w="-152" w:type="dxa"/>
        <w:tblBorders>
          <w:top w:val="single" w:sz="12" w:space="0" w:color="auto"/>
          <w:insideH w:val="single" w:sz="4" w:space="0" w:color="auto"/>
        </w:tblBorders>
        <w:tblLayout w:type="fixed"/>
        <w:tblLook w:val="01E0" w:firstRow="1" w:lastRow="1" w:firstColumn="1" w:lastColumn="1" w:noHBand="0" w:noVBand="0"/>
      </w:tblPr>
      <w:tblGrid>
        <w:gridCol w:w="3744"/>
        <w:gridCol w:w="754"/>
        <w:gridCol w:w="1026"/>
        <w:gridCol w:w="816"/>
        <w:gridCol w:w="1020"/>
      </w:tblGrid>
      <w:tr w:rsidR="00356905" w:rsidRPr="001E72B3" w:rsidTr="00356905">
        <w:trPr>
          <w:trHeight w:val="360"/>
          <w:jc w:val="center"/>
        </w:trPr>
        <w:tc>
          <w:tcPr>
            <w:tcW w:w="3744" w:type="dxa"/>
            <w:vMerge w:val="restart"/>
            <w:tcBorders>
              <w:top w:val="single" w:sz="12" w:space="0" w:color="auto"/>
            </w:tcBorders>
          </w:tcPr>
          <w:p w:rsidR="00356905" w:rsidRPr="001E72B3" w:rsidRDefault="00356905" w:rsidP="00356905">
            <w:pPr>
              <w:spacing w:after="0" w:line="240" w:lineRule="auto"/>
              <w:rPr>
                <w:rFonts w:ascii="Calibri" w:hAnsi="Calibri" w:cs="Calibri"/>
                <w:sz w:val="20"/>
                <w:szCs w:val="20"/>
              </w:rPr>
            </w:pPr>
          </w:p>
        </w:tc>
        <w:tc>
          <w:tcPr>
            <w:tcW w:w="754" w:type="dxa"/>
            <w:vMerge w:val="restart"/>
          </w:tcPr>
          <w:p w:rsidR="00356905" w:rsidRPr="001E72B3" w:rsidRDefault="00356905" w:rsidP="00356905">
            <w:pPr>
              <w:spacing w:after="0" w:line="240" w:lineRule="auto"/>
              <w:jc w:val="center"/>
              <w:rPr>
                <w:rFonts w:ascii="Calibri" w:hAnsi="Calibri" w:cs="Calibri"/>
                <w:sz w:val="20"/>
                <w:szCs w:val="20"/>
              </w:rPr>
            </w:pPr>
          </w:p>
          <w:p w:rsidR="00356905" w:rsidRPr="001E72B3" w:rsidRDefault="00356905" w:rsidP="00356905">
            <w:pPr>
              <w:spacing w:after="0" w:line="240" w:lineRule="auto"/>
              <w:jc w:val="center"/>
              <w:rPr>
                <w:rFonts w:ascii="Calibri" w:hAnsi="Calibri" w:cs="Calibri"/>
                <w:sz w:val="20"/>
                <w:szCs w:val="20"/>
              </w:rPr>
            </w:pPr>
          </w:p>
          <w:p w:rsidR="00356905" w:rsidRPr="001E72B3" w:rsidRDefault="00356905" w:rsidP="00356905">
            <w:pPr>
              <w:spacing w:after="0" w:line="240" w:lineRule="auto"/>
              <w:jc w:val="center"/>
              <w:rPr>
                <w:rFonts w:ascii="Calibri" w:hAnsi="Calibri" w:cs="Calibri"/>
                <w:sz w:val="20"/>
                <w:szCs w:val="20"/>
              </w:rPr>
            </w:pPr>
            <w:r w:rsidRPr="001E72B3">
              <w:rPr>
                <w:rFonts w:ascii="Calibri" w:hAnsi="Calibri" w:cs="Calibri"/>
                <w:sz w:val="20"/>
                <w:szCs w:val="20"/>
              </w:rPr>
              <w:t>Beta</w:t>
            </w:r>
          </w:p>
        </w:tc>
        <w:tc>
          <w:tcPr>
            <w:tcW w:w="1026" w:type="dxa"/>
            <w:vMerge w:val="restart"/>
          </w:tcPr>
          <w:p w:rsidR="00356905" w:rsidRPr="001E72B3" w:rsidRDefault="00356905" w:rsidP="00356905">
            <w:pPr>
              <w:spacing w:after="0" w:line="240" w:lineRule="auto"/>
              <w:rPr>
                <w:rFonts w:ascii="Calibri" w:hAnsi="Calibri" w:cs="Calibri"/>
                <w:i/>
                <w:sz w:val="20"/>
                <w:szCs w:val="20"/>
              </w:rPr>
            </w:pPr>
          </w:p>
          <w:p w:rsidR="00356905" w:rsidRPr="001E72B3" w:rsidRDefault="00356905" w:rsidP="00356905">
            <w:pPr>
              <w:spacing w:after="0" w:line="240" w:lineRule="auto"/>
              <w:jc w:val="center"/>
              <w:rPr>
                <w:rFonts w:ascii="Calibri" w:hAnsi="Calibri" w:cs="Calibri"/>
                <w:i/>
                <w:sz w:val="20"/>
                <w:szCs w:val="20"/>
              </w:rPr>
            </w:pPr>
          </w:p>
          <w:p w:rsidR="00356905" w:rsidRPr="001E72B3" w:rsidRDefault="00356905" w:rsidP="00356905">
            <w:pPr>
              <w:spacing w:after="0" w:line="240" w:lineRule="auto"/>
              <w:jc w:val="center"/>
              <w:rPr>
                <w:rFonts w:ascii="Calibri" w:hAnsi="Calibri" w:cs="Calibri"/>
                <w:sz w:val="20"/>
                <w:szCs w:val="20"/>
              </w:rPr>
            </w:pPr>
            <w:r w:rsidRPr="001E72B3">
              <w:rPr>
                <w:rFonts w:ascii="Calibri" w:hAnsi="Calibri" w:cs="Calibri"/>
                <w:i/>
                <w:sz w:val="20"/>
                <w:szCs w:val="20"/>
              </w:rPr>
              <w:t>p</w:t>
            </w:r>
          </w:p>
        </w:tc>
        <w:tc>
          <w:tcPr>
            <w:tcW w:w="1836" w:type="dxa"/>
            <w:gridSpan w:val="2"/>
            <w:tcBorders>
              <w:bottom w:val="single" w:sz="4" w:space="0" w:color="auto"/>
            </w:tcBorders>
          </w:tcPr>
          <w:p w:rsidR="00356905" w:rsidRPr="001E72B3" w:rsidRDefault="00356905" w:rsidP="00356905">
            <w:pPr>
              <w:spacing w:after="0" w:line="240" w:lineRule="auto"/>
              <w:jc w:val="center"/>
              <w:rPr>
                <w:rFonts w:ascii="Calibri" w:hAnsi="Calibri" w:cs="Calibri"/>
                <w:sz w:val="20"/>
                <w:szCs w:val="20"/>
              </w:rPr>
            </w:pPr>
            <w:r w:rsidRPr="001E72B3">
              <w:rPr>
                <w:rFonts w:ascii="Calibri" w:hAnsi="Calibri" w:cs="Calibri"/>
                <w:sz w:val="20"/>
                <w:szCs w:val="20"/>
              </w:rPr>
              <w:t>90% Confidence Interval</w:t>
            </w:r>
          </w:p>
        </w:tc>
      </w:tr>
      <w:tr w:rsidR="00356905" w:rsidRPr="001E72B3" w:rsidTr="00356905">
        <w:trPr>
          <w:trHeight w:val="523"/>
          <w:jc w:val="center"/>
        </w:trPr>
        <w:tc>
          <w:tcPr>
            <w:tcW w:w="3744" w:type="dxa"/>
            <w:vMerge/>
            <w:tcBorders>
              <w:bottom w:val="single" w:sz="4" w:space="0" w:color="auto"/>
            </w:tcBorders>
          </w:tcPr>
          <w:p w:rsidR="00356905" w:rsidRPr="001E72B3" w:rsidRDefault="00356905" w:rsidP="00356905">
            <w:pPr>
              <w:spacing w:after="0" w:line="240" w:lineRule="auto"/>
              <w:rPr>
                <w:rFonts w:ascii="Calibri" w:hAnsi="Calibri" w:cs="Calibri"/>
                <w:sz w:val="20"/>
                <w:szCs w:val="20"/>
              </w:rPr>
            </w:pPr>
          </w:p>
        </w:tc>
        <w:tc>
          <w:tcPr>
            <w:tcW w:w="754" w:type="dxa"/>
            <w:vMerge/>
            <w:tcBorders>
              <w:bottom w:val="single" w:sz="4" w:space="0" w:color="auto"/>
            </w:tcBorders>
          </w:tcPr>
          <w:p w:rsidR="00356905" w:rsidRPr="001E72B3" w:rsidRDefault="00356905" w:rsidP="00356905">
            <w:pPr>
              <w:spacing w:after="0" w:line="240" w:lineRule="auto"/>
              <w:jc w:val="center"/>
              <w:rPr>
                <w:rFonts w:ascii="Calibri" w:hAnsi="Calibri" w:cs="Calibri"/>
                <w:sz w:val="20"/>
                <w:szCs w:val="20"/>
              </w:rPr>
            </w:pPr>
          </w:p>
        </w:tc>
        <w:tc>
          <w:tcPr>
            <w:tcW w:w="1026" w:type="dxa"/>
            <w:vMerge/>
            <w:tcBorders>
              <w:bottom w:val="single" w:sz="4" w:space="0" w:color="auto"/>
            </w:tcBorders>
          </w:tcPr>
          <w:p w:rsidR="00356905" w:rsidRPr="001E72B3" w:rsidRDefault="00356905" w:rsidP="00356905">
            <w:pPr>
              <w:spacing w:after="0" w:line="240" w:lineRule="auto"/>
              <w:jc w:val="center"/>
              <w:rPr>
                <w:rFonts w:ascii="Calibri" w:hAnsi="Calibri" w:cs="Calibri"/>
                <w:i/>
                <w:sz w:val="20"/>
                <w:szCs w:val="20"/>
              </w:rPr>
            </w:pPr>
          </w:p>
        </w:tc>
        <w:tc>
          <w:tcPr>
            <w:tcW w:w="816" w:type="dxa"/>
            <w:tcBorders>
              <w:bottom w:val="single" w:sz="4" w:space="0" w:color="auto"/>
            </w:tcBorders>
          </w:tcPr>
          <w:p w:rsidR="00356905" w:rsidRPr="001E72B3" w:rsidRDefault="00356905" w:rsidP="00356905">
            <w:pPr>
              <w:spacing w:after="0" w:line="240" w:lineRule="auto"/>
              <w:jc w:val="center"/>
              <w:rPr>
                <w:rFonts w:ascii="Calibri" w:hAnsi="Calibri" w:cs="Calibri"/>
                <w:sz w:val="20"/>
                <w:szCs w:val="20"/>
              </w:rPr>
            </w:pPr>
            <w:r w:rsidRPr="001E72B3">
              <w:rPr>
                <w:rFonts w:ascii="Calibri" w:hAnsi="Calibri" w:cs="Calibri"/>
                <w:sz w:val="20"/>
                <w:szCs w:val="20"/>
              </w:rPr>
              <w:t>Lower Bound</w:t>
            </w:r>
          </w:p>
        </w:tc>
        <w:tc>
          <w:tcPr>
            <w:tcW w:w="1020" w:type="dxa"/>
            <w:tcBorders>
              <w:bottom w:val="single" w:sz="4" w:space="0" w:color="auto"/>
            </w:tcBorders>
          </w:tcPr>
          <w:p w:rsidR="00356905" w:rsidRPr="001E72B3" w:rsidRDefault="00356905" w:rsidP="00356905">
            <w:pPr>
              <w:spacing w:after="0" w:line="240" w:lineRule="auto"/>
              <w:jc w:val="center"/>
              <w:rPr>
                <w:rFonts w:ascii="Calibri" w:hAnsi="Calibri" w:cs="Calibri"/>
                <w:sz w:val="20"/>
                <w:szCs w:val="20"/>
              </w:rPr>
            </w:pPr>
            <w:r w:rsidRPr="001E72B3">
              <w:rPr>
                <w:rFonts w:ascii="Calibri" w:hAnsi="Calibri" w:cs="Calibri"/>
                <w:sz w:val="20"/>
                <w:szCs w:val="20"/>
              </w:rPr>
              <w:t>Upper Bound</w:t>
            </w:r>
          </w:p>
        </w:tc>
      </w:tr>
      <w:tr w:rsidR="00356905" w:rsidRPr="001E72B3" w:rsidTr="00356905">
        <w:trPr>
          <w:trHeight w:val="473"/>
          <w:jc w:val="center"/>
        </w:trPr>
        <w:tc>
          <w:tcPr>
            <w:tcW w:w="3744" w:type="dxa"/>
            <w:tcBorders>
              <w:top w:val="single" w:sz="4" w:space="0" w:color="auto"/>
              <w:bottom w:val="nil"/>
            </w:tcBorders>
          </w:tcPr>
          <w:p w:rsidR="00356905" w:rsidRPr="001E72B3" w:rsidRDefault="00356905" w:rsidP="00356905">
            <w:pPr>
              <w:spacing w:after="0" w:line="240" w:lineRule="auto"/>
              <w:rPr>
                <w:rFonts w:ascii="Calibri" w:hAnsi="Calibri" w:cs="Calibri"/>
                <w:sz w:val="20"/>
                <w:szCs w:val="20"/>
              </w:rPr>
            </w:pPr>
            <w:r w:rsidRPr="001E72B3">
              <w:rPr>
                <w:rFonts w:ascii="Calibri" w:hAnsi="Calibri" w:cs="Calibri"/>
                <w:sz w:val="20"/>
                <w:szCs w:val="20"/>
              </w:rPr>
              <w:t xml:space="preserve">PSC </w:t>
            </w:r>
            <w:r w:rsidRPr="001E72B3">
              <w:rPr>
                <w:rFonts w:ascii="Calibri" w:hAnsi="Calibri" w:cs="Calibri"/>
                <w:sz w:val="20"/>
                <w:szCs w:val="20"/>
              </w:rPr>
              <w:sym w:font="Wingdings" w:char="F0E0"/>
            </w:r>
            <w:r w:rsidRPr="001E72B3">
              <w:rPr>
                <w:rFonts w:ascii="Calibri" w:hAnsi="Calibri" w:cs="Calibri"/>
                <w:sz w:val="20"/>
                <w:szCs w:val="20"/>
              </w:rPr>
              <w:t xml:space="preserve"> Psychological health problems</w:t>
            </w:r>
          </w:p>
        </w:tc>
        <w:tc>
          <w:tcPr>
            <w:tcW w:w="754" w:type="dxa"/>
            <w:tcBorders>
              <w:top w:val="single" w:sz="4" w:space="0" w:color="auto"/>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-.30</w:t>
            </w:r>
          </w:p>
        </w:tc>
        <w:tc>
          <w:tcPr>
            <w:tcW w:w="1026" w:type="dxa"/>
            <w:tcBorders>
              <w:top w:val="single" w:sz="4" w:space="0" w:color="auto"/>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.01</w:t>
            </w:r>
          </w:p>
        </w:tc>
        <w:tc>
          <w:tcPr>
            <w:tcW w:w="816" w:type="dxa"/>
            <w:tcBorders>
              <w:top w:val="single" w:sz="4" w:space="0" w:color="auto"/>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-.33</w:t>
            </w:r>
          </w:p>
        </w:tc>
        <w:tc>
          <w:tcPr>
            <w:tcW w:w="1020" w:type="dxa"/>
            <w:tcBorders>
              <w:top w:val="single" w:sz="4" w:space="0" w:color="auto"/>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-.27</w:t>
            </w:r>
          </w:p>
        </w:tc>
      </w:tr>
      <w:tr w:rsidR="00356905" w:rsidRPr="001E72B3" w:rsidTr="00356905">
        <w:trPr>
          <w:trHeight w:val="435"/>
          <w:jc w:val="center"/>
        </w:trPr>
        <w:tc>
          <w:tcPr>
            <w:tcW w:w="3744" w:type="dxa"/>
            <w:tcBorders>
              <w:top w:val="nil"/>
              <w:bottom w:val="nil"/>
            </w:tcBorders>
          </w:tcPr>
          <w:p w:rsidR="00356905" w:rsidRPr="001E72B3" w:rsidRDefault="00356905" w:rsidP="00356905">
            <w:pPr>
              <w:spacing w:after="0" w:line="240" w:lineRule="auto"/>
              <w:rPr>
                <w:rFonts w:ascii="Calibri" w:hAnsi="Calibri" w:cs="Calibri"/>
                <w:sz w:val="20"/>
                <w:szCs w:val="20"/>
              </w:rPr>
            </w:pPr>
            <w:r w:rsidRPr="001E72B3">
              <w:rPr>
                <w:rFonts w:ascii="Calibri" w:hAnsi="Calibri" w:cs="Calibri"/>
                <w:sz w:val="20"/>
                <w:szCs w:val="20"/>
              </w:rPr>
              <w:t xml:space="preserve">PSC </w:t>
            </w:r>
            <w:r w:rsidRPr="001E72B3">
              <w:rPr>
                <w:rFonts w:ascii="Calibri" w:hAnsi="Calibri" w:cs="Calibri"/>
                <w:sz w:val="20"/>
                <w:szCs w:val="20"/>
              </w:rPr>
              <w:sym w:font="Wingdings" w:char="F0E0"/>
            </w:r>
            <w:r w:rsidRPr="001E72B3">
              <w:rPr>
                <w:rFonts w:ascii="Calibri" w:hAnsi="Calibri" w:cs="Calibri"/>
                <w:sz w:val="20"/>
                <w:szCs w:val="20"/>
              </w:rPr>
              <w:t xml:space="preserve"> Exhaustion</w:t>
            </w:r>
          </w:p>
        </w:tc>
        <w:tc>
          <w:tcPr>
            <w:tcW w:w="754" w:type="dxa"/>
            <w:tcBorders>
              <w:top w:val="nil"/>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-.44</w:t>
            </w:r>
          </w:p>
        </w:tc>
        <w:tc>
          <w:tcPr>
            <w:tcW w:w="1026" w:type="dxa"/>
            <w:tcBorders>
              <w:top w:val="nil"/>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.01</w:t>
            </w:r>
          </w:p>
        </w:tc>
        <w:tc>
          <w:tcPr>
            <w:tcW w:w="816" w:type="dxa"/>
            <w:tcBorders>
              <w:top w:val="nil"/>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-.47</w:t>
            </w:r>
          </w:p>
        </w:tc>
        <w:tc>
          <w:tcPr>
            <w:tcW w:w="1020" w:type="dxa"/>
            <w:tcBorders>
              <w:top w:val="nil"/>
              <w:bottom w:val="nil"/>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-.41</w:t>
            </w:r>
          </w:p>
        </w:tc>
      </w:tr>
      <w:tr w:rsidR="00356905" w:rsidRPr="001E72B3" w:rsidTr="00356905">
        <w:trPr>
          <w:trHeight w:val="401"/>
          <w:jc w:val="center"/>
        </w:trPr>
        <w:tc>
          <w:tcPr>
            <w:tcW w:w="3744" w:type="dxa"/>
            <w:tcBorders>
              <w:top w:val="nil"/>
              <w:bottom w:val="single" w:sz="2" w:space="0" w:color="000000"/>
            </w:tcBorders>
          </w:tcPr>
          <w:p w:rsidR="00356905" w:rsidRPr="001E72B3" w:rsidRDefault="00356905" w:rsidP="00356905">
            <w:pPr>
              <w:spacing w:after="0" w:line="240" w:lineRule="auto"/>
              <w:rPr>
                <w:rFonts w:ascii="Calibri" w:hAnsi="Calibri" w:cs="Calibri"/>
                <w:sz w:val="20"/>
                <w:szCs w:val="20"/>
              </w:rPr>
            </w:pPr>
            <w:r w:rsidRPr="001E72B3">
              <w:rPr>
                <w:rFonts w:ascii="Calibri" w:hAnsi="Calibri" w:cs="Calibri"/>
                <w:sz w:val="20"/>
                <w:szCs w:val="20"/>
              </w:rPr>
              <w:t>PSC</w:t>
            </w:r>
            <w:r w:rsidRPr="001E72B3">
              <w:rPr>
                <w:rFonts w:ascii="Calibri" w:hAnsi="Calibri" w:cs="Calibri"/>
                <w:sz w:val="20"/>
                <w:szCs w:val="20"/>
              </w:rPr>
              <w:sym w:font="Wingdings" w:char="F0E0"/>
            </w:r>
            <w:r w:rsidRPr="001E72B3">
              <w:rPr>
                <w:rFonts w:ascii="Calibri" w:hAnsi="Calibri" w:cs="Calibri"/>
                <w:sz w:val="20"/>
                <w:szCs w:val="20"/>
              </w:rPr>
              <w:t>Work Outcomes</w:t>
            </w:r>
          </w:p>
        </w:tc>
        <w:tc>
          <w:tcPr>
            <w:tcW w:w="754" w:type="dxa"/>
            <w:tcBorders>
              <w:top w:val="nil"/>
              <w:bottom w:val="single" w:sz="2" w:space="0" w:color="000000"/>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.59</w:t>
            </w:r>
          </w:p>
        </w:tc>
        <w:tc>
          <w:tcPr>
            <w:tcW w:w="1026" w:type="dxa"/>
            <w:tcBorders>
              <w:top w:val="nil"/>
              <w:bottom w:val="single" w:sz="2" w:space="0" w:color="000000"/>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.01</w:t>
            </w:r>
          </w:p>
        </w:tc>
        <w:tc>
          <w:tcPr>
            <w:tcW w:w="816" w:type="dxa"/>
            <w:tcBorders>
              <w:top w:val="nil"/>
              <w:bottom w:val="single" w:sz="2" w:space="0" w:color="000000"/>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.57</w:t>
            </w:r>
          </w:p>
        </w:tc>
        <w:tc>
          <w:tcPr>
            <w:tcW w:w="1020" w:type="dxa"/>
            <w:tcBorders>
              <w:top w:val="nil"/>
              <w:bottom w:val="single" w:sz="2" w:space="0" w:color="000000"/>
            </w:tcBorders>
          </w:tcPr>
          <w:p w:rsidR="00356905" w:rsidRPr="001E72B3" w:rsidRDefault="00356905" w:rsidP="00356905">
            <w:pPr>
              <w:tabs>
                <w:tab w:val="decimal" w:pos="79"/>
              </w:tabs>
              <w:spacing w:after="0" w:line="240" w:lineRule="auto"/>
              <w:jc w:val="center"/>
              <w:rPr>
                <w:rFonts w:ascii="Calibri" w:hAnsi="Calibri" w:cs="Calibri"/>
                <w:sz w:val="20"/>
                <w:szCs w:val="20"/>
              </w:rPr>
            </w:pPr>
            <w:r w:rsidRPr="001E72B3">
              <w:rPr>
                <w:rFonts w:ascii="Calibri" w:hAnsi="Calibri" w:cs="Calibri"/>
                <w:sz w:val="20"/>
                <w:szCs w:val="20"/>
              </w:rPr>
              <w:t>.61</w:t>
            </w:r>
          </w:p>
        </w:tc>
      </w:tr>
    </w:tbl>
    <w:p w:rsidR="00356905" w:rsidRPr="00F83954" w:rsidRDefault="00356905" w:rsidP="00356905">
      <w:pPr>
        <w:spacing w:after="0"/>
        <w:ind w:right="-40"/>
        <w:jc w:val="both"/>
        <w:rPr>
          <w:rFonts w:cs="Calibri"/>
          <w:bCs/>
          <w:lang w:val="en-GB"/>
        </w:rPr>
      </w:pPr>
    </w:p>
    <w:p w:rsidR="00356905" w:rsidRDefault="00356905" w:rsidP="008A6B6D">
      <w:r w:rsidRPr="0044609A">
        <w:t xml:space="preserve">In support of Hypothesis 2, </w:t>
      </w:r>
      <w:r w:rsidR="00315F11">
        <w:t xml:space="preserve">we found </w:t>
      </w:r>
      <w:r w:rsidRPr="0044609A">
        <w:t xml:space="preserve">that PSC has a positive effect on work engagement through its positive relationship with job resources. As shown in Table </w:t>
      </w:r>
      <w:r w:rsidR="00232156">
        <w:t>4</w:t>
      </w:r>
      <w:r w:rsidR="00BC61A8" w:rsidRPr="0044609A">
        <w:t xml:space="preserve">, the </w:t>
      </w:r>
      <w:r w:rsidR="00F34DA3">
        <w:t>standardis</w:t>
      </w:r>
      <w:r w:rsidRPr="0044609A">
        <w:t xml:space="preserve">ed indirect (mediated) effect of PSC on work outcomes is .59. In other words, due to the indirect </w:t>
      </w:r>
      <w:r w:rsidRPr="0044609A">
        <w:lastRenderedPageBreak/>
        <w:t xml:space="preserve">(mediated) effect of PSC on work outcomes, when PSC goes up by 1 standard deviation, work outcomes goes up by 0.59 standard deviations. </w:t>
      </w:r>
      <w:r w:rsidR="00A019C9">
        <w:t>A ten per cent increase in PSC would lead to a 6</w:t>
      </w:r>
      <w:r w:rsidR="001F2B71">
        <w:t xml:space="preserve"> per cent</w:t>
      </w:r>
      <w:r w:rsidR="00A019C9">
        <w:t xml:space="preserve"> increase in engagement.</w:t>
      </w:r>
    </w:p>
    <w:p w:rsidR="00545D1C" w:rsidRPr="00AC183E" w:rsidRDefault="00EF58AD" w:rsidP="00995BD7">
      <w:pPr>
        <w:pStyle w:val="FigureCaption"/>
      </w:pPr>
      <w:r>
        <w:rPr>
          <w:rFonts w:ascii="Calibri" w:hAnsi="Calibri" w:cs="Calibri"/>
          <w:noProof/>
        </w:rPr>
        <w:drawing>
          <wp:inline distT="0" distB="0" distL="0" distR="0" wp14:anchorId="1D63C435" wp14:editId="176ADF40">
            <wp:extent cx="5715000" cy="3667125"/>
            <wp:effectExtent l="0" t="0" r="0" b="9525"/>
            <wp:docPr id="4" name="Picture 4" descr="Shows the direction of relationships between psychosocial safety climate and psychological demands, bullying and harassment, physical demands, resources and the outcomes of psychological health problems, exhaustion and work outcomes." title="Final simplified AWB mo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feworkFullfinal"/>
                    <pic:cNvPicPr>
                      <a:picLocks noChangeAspect="1" noChangeArrowheads="1"/>
                    </pic:cNvPicPr>
                  </pic:nvPicPr>
                  <pic:blipFill>
                    <a:blip r:embed="rId18" cstate="print"/>
                    <a:srcRect t="17284" b="25510"/>
                    <a:stretch>
                      <a:fillRect/>
                    </a:stretch>
                  </pic:blipFill>
                  <pic:spPr bwMode="auto">
                    <a:xfrm>
                      <a:off x="0" y="0"/>
                      <a:ext cx="5718175" cy="3669162"/>
                    </a:xfrm>
                    <a:prstGeom prst="rect">
                      <a:avLst/>
                    </a:prstGeom>
                    <a:noFill/>
                    <a:ln w="9525">
                      <a:noFill/>
                      <a:miter lim="800000"/>
                      <a:headEnd/>
                      <a:tailEnd/>
                    </a:ln>
                  </pic:spPr>
                </pic:pic>
              </a:graphicData>
            </a:graphic>
          </wp:inline>
        </w:drawing>
      </w:r>
      <w:proofErr w:type="gramStart"/>
      <w:r w:rsidR="00545D1C" w:rsidRPr="00AC183E">
        <w:t xml:space="preserve">Figure </w:t>
      </w:r>
      <w:r w:rsidR="00D1426B" w:rsidRPr="00AC183E">
        <w:t>5</w:t>
      </w:r>
      <w:r w:rsidR="00545D1C" w:rsidRPr="00AC183E">
        <w:t>.</w:t>
      </w:r>
      <w:proofErr w:type="gramEnd"/>
      <w:r w:rsidR="00545D1C" w:rsidRPr="00AC183E">
        <w:t xml:space="preserve"> Final AWB Model</w:t>
      </w:r>
    </w:p>
    <w:p w:rsidR="00356905" w:rsidRPr="0099272D" w:rsidRDefault="00356905" w:rsidP="008A6B6D">
      <w:r w:rsidRPr="00B459D1">
        <w:t>Overall the model explained 30</w:t>
      </w:r>
      <w:r w:rsidR="00BC61A8" w:rsidRPr="00B459D1">
        <w:t xml:space="preserve"> per cent</w:t>
      </w:r>
      <w:r w:rsidRPr="00B459D1">
        <w:t xml:space="preserve"> of the variance in psychological health problems. In other words, it is estimated that the predictors of </w:t>
      </w:r>
      <w:r w:rsidRPr="000E4FA8">
        <w:t>psychological health problems</w:t>
      </w:r>
      <w:r w:rsidRPr="00B459D1">
        <w:t xml:space="preserve"> explain 30</w:t>
      </w:r>
      <w:r w:rsidR="00D83E14">
        <w:t> </w:t>
      </w:r>
      <w:r w:rsidR="00BC61A8" w:rsidRPr="00B459D1">
        <w:t>per cent</w:t>
      </w:r>
      <w:r w:rsidRPr="00B459D1">
        <w:t xml:space="preserve"> of </w:t>
      </w:r>
      <w:r w:rsidR="007A7AE3">
        <w:t>the variability in participant scores</w:t>
      </w:r>
      <w:r w:rsidRPr="00B459D1">
        <w:t>. We found that the model explained 75</w:t>
      </w:r>
      <w:r w:rsidR="00BC61A8" w:rsidRPr="0099272D">
        <w:t xml:space="preserve"> per cent</w:t>
      </w:r>
      <w:r w:rsidRPr="0099272D">
        <w:t xml:space="preserve"> of the</w:t>
      </w:r>
      <w:r w:rsidR="00BC61A8" w:rsidRPr="0099272D">
        <w:t xml:space="preserve"> variance in exhaustion, and 50 per cent</w:t>
      </w:r>
      <w:r w:rsidRPr="0099272D">
        <w:t xml:space="preserve"> of the variance in work outcomes.</w:t>
      </w:r>
    </w:p>
    <w:p w:rsidR="00352560" w:rsidRDefault="00352560" w:rsidP="008A6B6D">
      <w:r>
        <w:t>Results show that a 10 per cent increase in PSC within organisations would lead to a 4 per</w:t>
      </w:r>
      <w:r w:rsidR="002F43AC">
        <w:t xml:space="preserve"> </w:t>
      </w:r>
      <w:r>
        <w:t>cent decrease in demands, a 4.5 per cent decrease in bullying, an 8</w:t>
      </w:r>
      <w:r w:rsidR="003C1828">
        <w:t xml:space="preserve"> per cent</w:t>
      </w:r>
      <w:r>
        <w:t xml:space="preserve"> increase in resources</w:t>
      </w:r>
      <w:r w:rsidR="00A019C9">
        <w:t>.</w:t>
      </w:r>
      <w:r>
        <w:t xml:space="preserve"> </w:t>
      </w:r>
      <w:r w:rsidRPr="00C128CA">
        <w:t xml:space="preserve">These results strongly suggest that PSC is theoretically a logical </w:t>
      </w:r>
      <w:r>
        <w:t xml:space="preserve">upstream </w:t>
      </w:r>
      <w:r w:rsidRPr="00C128CA">
        <w:t xml:space="preserve">target for injury prevention as it is an antecedent for demands and resources </w:t>
      </w:r>
      <w:r w:rsidRPr="00C128CA">
        <w:rPr>
          <w:i/>
        </w:rPr>
        <w:t>as well as</w:t>
      </w:r>
      <w:r w:rsidRPr="00C128CA">
        <w:t xml:space="preserve"> he</w:t>
      </w:r>
      <w:r w:rsidR="00AC183E">
        <w:t>alth and productivity outcomes.</w:t>
      </w:r>
    </w:p>
    <w:p w:rsidR="00356905" w:rsidRPr="00FE4AC7" w:rsidRDefault="00356905" w:rsidP="008A6B6D">
      <w:r w:rsidRPr="00FE4AC7">
        <w:t>This model is based on cross-sectional data, so causal conclusions cannot be drawn about the direction of the relationships. However the results are consistent with our theoretical framework, as well as empirical evidence drawn from longitudinal studies that support PSC as the genesis of work conditions (Dollard &amp; Bakker, 2010; Dollard et al., 2012) and st</w:t>
      </w:r>
      <w:r w:rsidR="00AC183E">
        <w:t>ress reactions (Dollard, 2012).</w:t>
      </w:r>
    </w:p>
    <w:p w:rsidR="00356905" w:rsidRDefault="00356905" w:rsidP="008A6B6D">
      <w:r w:rsidRPr="00FE4AC7">
        <w:t xml:space="preserve">Taken together the results indicate that the study model is a plausible representation of how PSC is associated with work conditions that in turn relate to health and work outcomes, in the </w:t>
      </w:r>
      <w:r w:rsidRPr="00156806">
        <w:t>Australian</w:t>
      </w:r>
      <w:r w:rsidR="008F7D2A">
        <w:t xml:space="preserve"> </w:t>
      </w:r>
      <w:r w:rsidR="00AC183E">
        <w:t>working population.</w:t>
      </w:r>
    </w:p>
    <w:p w:rsidR="00D83E14" w:rsidRDefault="00D83E14">
      <w:pPr>
        <w:spacing w:after="0" w:line="240" w:lineRule="auto"/>
      </w:pPr>
      <w:r>
        <w:br w:type="page"/>
      </w:r>
    </w:p>
    <w:p w:rsidR="00856B6A" w:rsidRDefault="00856B6A" w:rsidP="00995BD7">
      <w:pPr>
        <w:pStyle w:val="Heading3"/>
        <w:rPr>
          <w:rStyle w:val="IntenseEmphasis"/>
        </w:rPr>
      </w:pPr>
      <w:bookmarkStart w:id="71" w:name="_Toc343502438"/>
      <w:r w:rsidRPr="00935B24">
        <w:rPr>
          <w:rStyle w:val="IntenseEmphasis"/>
        </w:rPr>
        <w:lastRenderedPageBreak/>
        <w:t xml:space="preserve">PSC </w:t>
      </w:r>
      <w:r>
        <w:rPr>
          <w:rStyle w:val="IntenseEmphasis"/>
        </w:rPr>
        <w:t>by industry by state</w:t>
      </w:r>
      <w:bookmarkEnd w:id="71"/>
    </w:p>
    <w:p w:rsidR="00050549" w:rsidRPr="00CF4470" w:rsidRDefault="00FF2C8F" w:rsidP="00026C9D">
      <w:pPr>
        <w:ind w:left="284" w:right="282"/>
        <w:rPr>
          <w:rFonts w:cs="Arial"/>
          <w:i/>
        </w:rPr>
      </w:pPr>
      <w:r w:rsidRPr="00CF4470">
        <w:rPr>
          <w:rFonts w:cs="Arial"/>
          <w:i/>
        </w:rPr>
        <w:t>“</w:t>
      </w:r>
      <w:r w:rsidR="00050549" w:rsidRPr="00CF4470">
        <w:rPr>
          <w:rFonts w:cs="Arial"/>
          <w:i/>
        </w:rPr>
        <w:t xml:space="preserve">Results for Australia show that </w:t>
      </w:r>
      <w:r w:rsidRPr="00CF4470">
        <w:rPr>
          <w:rFonts w:cs="Arial"/>
          <w:i/>
        </w:rPr>
        <w:t>many</w:t>
      </w:r>
      <w:r w:rsidR="00050549" w:rsidRPr="00CF4470">
        <w:rPr>
          <w:rFonts w:cs="Arial"/>
          <w:i/>
        </w:rPr>
        <w:t xml:space="preserve"> industries fall below the </w:t>
      </w:r>
      <w:r w:rsidR="00B921BD" w:rsidRPr="00CF4470">
        <w:rPr>
          <w:rFonts w:cs="Arial"/>
          <w:i/>
        </w:rPr>
        <w:t xml:space="preserve">2009-10 benchmark </w:t>
      </w:r>
      <w:r w:rsidR="00050549" w:rsidRPr="00CF4470">
        <w:rPr>
          <w:rFonts w:cs="Arial"/>
          <w:i/>
        </w:rPr>
        <w:t>of 41 where workplaces support</w:t>
      </w:r>
      <w:r w:rsidR="00E634CA" w:rsidRPr="00CF4470">
        <w:rPr>
          <w:rFonts w:cs="Arial"/>
          <w:i/>
        </w:rPr>
        <w:t xml:space="preserve"> practi</w:t>
      </w:r>
      <w:r w:rsidRPr="00CF4470">
        <w:rPr>
          <w:rFonts w:cs="Arial"/>
          <w:i/>
        </w:rPr>
        <w:t>ces and process</w:t>
      </w:r>
      <w:r w:rsidR="00E634CA" w:rsidRPr="00CF4470">
        <w:rPr>
          <w:rFonts w:cs="Arial"/>
          <w:i/>
        </w:rPr>
        <w:t>es</w:t>
      </w:r>
      <w:r w:rsidR="00FB4270" w:rsidRPr="00CF4470">
        <w:rPr>
          <w:rFonts w:cs="Arial"/>
          <w:i/>
        </w:rPr>
        <w:t xml:space="preserve"> that activ</w:t>
      </w:r>
      <w:r w:rsidRPr="00CF4470">
        <w:rPr>
          <w:rFonts w:cs="Arial"/>
          <w:i/>
        </w:rPr>
        <w:t>ely promote pos</w:t>
      </w:r>
      <w:r w:rsidR="00E634CA" w:rsidRPr="00CF4470">
        <w:rPr>
          <w:rFonts w:cs="Arial"/>
          <w:i/>
        </w:rPr>
        <w:t>itiv</w:t>
      </w:r>
      <w:r w:rsidRPr="00CF4470">
        <w:rPr>
          <w:rFonts w:cs="Arial"/>
          <w:i/>
        </w:rPr>
        <w:t xml:space="preserve">e </w:t>
      </w:r>
      <w:r w:rsidR="00050549" w:rsidRPr="00CF4470">
        <w:rPr>
          <w:rFonts w:cs="Arial"/>
          <w:i/>
        </w:rPr>
        <w:t xml:space="preserve">employee </w:t>
      </w:r>
      <w:r w:rsidR="004D27D1" w:rsidRPr="00CF4470">
        <w:rPr>
          <w:rFonts w:cs="Arial"/>
          <w:i/>
        </w:rPr>
        <w:t>health and wellbeing</w:t>
      </w:r>
      <w:r w:rsidR="002A79A9" w:rsidRPr="00CF4470">
        <w:rPr>
          <w:rFonts w:cs="Arial"/>
          <w:i/>
        </w:rPr>
        <w:t>.</w:t>
      </w:r>
      <w:r w:rsidR="004D27D1" w:rsidRPr="00CF4470">
        <w:rPr>
          <w:rFonts w:cs="Arial"/>
          <w:i/>
        </w:rPr>
        <w:t>”</w:t>
      </w:r>
    </w:p>
    <w:p w:rsidR="00C330DF" w:rsidRDefault="00BB4938" w:rsidP="008A6B6D">
      <w:r>
        <w:rPr>
          <w:rFonts w:eastAsia="Calibri"/>
          <w:noProof/>
        </w:rPr>
        <w:t xml:space="preserve">In order to identify industries at risk benchmarks for PSC were developed from </w:t>
      </w:r>
      <w:r w:rsidR="006D3305" w:rsidRPr="006D3305">
        <w:rPr>
          <w:rFonts w:eastAsia="Calibri"/>
          <w:noProof/>
        </w:rPr>
        <w:t xml:space="preserve">the </w:t>
      </w:r>
      <w:r w:rsidR="00EB05BD">
        <w:rPr>
          <w:rFonts w:eastAsia="Calibri"/>
          <w:noProof/>
        </w:rPr>
        <w:t>AWB data deriving a</w:t>
      </w:r>
      <w:r w:rsidR="007A7AE3">
        <w:rPr>
          <w:rFonts w:eastAsia="Calibri"/>
          <w:noProof/>
        </w:rPr>
        <w:t>n</w:t>
      </w:r>
      <w:r w:rsidR="00EB05BD">
        <w:rPr>
          <w:rFonts w:eastAsia="Calibri"/>
          <w:noProof/>
        </w:rPr>
        <w:t xml:space="preserve"> </w:t>
      </w:r>
      <w:r w:rsidR="006D3305" w:rsidRPr="006D3305">
        <w:rPr>
          <w:rFonts w:eastAsia="Calibri"/>
          <w:noProof/>
        </w:rPr>
        <w:t>average value of PSC as rated by individuals with no levels of clinical depression (PSC for individuals with mild, moderate or higher clinical levels of depression were excluded). This yielded a value of 41</w:t>
      </w:r>
      <w:r w:rsidR="00F60846">
        <w:rPr>
          <w:rFonts w:eastAsia="Calibri"/>
          <w:noProof/>
        </w:rPr>
        <w:t>.16</w:t>
      </w:r>
      <w:r w:rsidR="00F60846" w:rsidRPr="008F7D2A">
        <w:rPr>
          <w:rFonts w:eastAsia="Calibri"/>
          <w:noProof/>
        </w:rPr>
        <w:t xml:space="preserve">, which </w:t>
      </w:r>
      <w:r w:rsidR="008A6D33">
        <w:rPr>
          <w:rFonts w:eastAsia="Calibri"/>
          <w:noProof/>
        </w:rPr>
        <w:t>was</w:t>
      </w:r>
      <w:r w:rsidR="00F60846" w:rsidRPr="008F7D2A">
        <w:rPr>
          <w:rFonts w:eastAsia="Calibri"/>
          <w:noProof/>
        </w:rPr>
        <w:t xml:space="preserve"> rounded to the nearest whole number, 41, for a benchmark.</w:t>
      </w:r>
      <w:r w:rsidR="002E566B">
        <w:rPr>
          <w:rFonts w:eastAsia="Calibri"/>
          <w:noProof/>
        </w:rPr>
        <w:t xml:space="preserve"> </w:t>
      </w:r>
      <w:r w:rsidR="00774B51">
        <w:rPr>
          <w:rFonts w:eastAsia="Calibri"/>
          <w:noProof/>
        </w:rPr>
        <w:t>PSC</w:t>
      </w:r>
      <w:r w:rsidR="008F7D2A">
        <w:rPr>
          <w:rFonts w:eastAsia="Calibri"/>
          <w:noProof/>
        </w:rPr>
        <w:t xml:space="preserve"> was </w:t>
      </w:r>
      <w:r w:rsidR="008F7D2A" w:rsidRPr="00E53656">
        <w:rPr>
          <w:rFonts w:eastAsia="Calibri"/>
          <w:noProof/>
        </w:rPr>
        <w:t>further examined with longitud</w:t>
      </w:r>
      <w:r w:rsidR="00623277" w:rsidRPr="00E53656">
        <w:rPr>
          <w:rFonts w:eastAsia="Calibri"/>
          <w:noProof/>
        </w:rPr>
        <w:t>in</w:t>
      </w:r>
      <w:r w:rsidR="008F7D2A" w:rsidRPr="00E53656">
        <w:rPr>
          <w:rFonts w:eastAsia="Calibri"/>
          <w:noProof/>
        </w:rPr>
        <w:t xml:space="preserve">al data </w:t>
      </w:r>
      <w:r w:rsidR="007C0C81" w:rsidRPr="00E53656">
        <w:rPr>
          <w:rFonts w:eastAsia="Calibri"/>
          <w:noProof/>
        </w:rPr>
        <w:t xml:space="preserve">for </w:t>
      </w:r>
      <w:r w:rsidR="007C0C81" w:rsidRPr="00543711">
        <w:rPr>
          <w:rFonts w:eastAsia="Calibri"/>
          <w:noProof/>
        </w:rPr>
        <w:t>NSW and WA</w:t>
      </w:r>
      <w:r w:rsidR="009A185F" w:rsidRPr="00543711">
        <w:rPr>
          <w:rFonts w:eastAsia="Calibri"/>
          <w:noProof/>
        </w:rPr>
        <w:t xml:space="preserve"> in a medi</w:t>
      </w:r>
      <w:r w:rsidR="00897A0A">
        <w:rPr>
          <w:rFonts w:eastAsia="Calibri"/>
          <w:noProof/>
        </w:rPr>
        <w:t>a</w:t>
      </w:r>
      <w:r w:rsidR="009A185F" w:rsidRPr="00543711">
        <w:rPr>
          <w:rFonts w:eastAsia="Calibri"/>
          <w:noProof/>
        </w:rPr>
        <w:t>tional model using regression following four steps suggested by Baron and Kenny (1986) with a further step to assess the indirect effect via the Sobel test (Sobel, 1982)</w:t>
      </w:r>
      <w:r w:rsidR="00AC183E">
        <w:t>.</w:t>
      </w:r>
    </w:p>
    <w:p w:rsidR="00B43641" w:rsidRDefault="009A185F" w:rsidP="008A6B6D">
      <w:pPr>
        <w:rPr>
          <w:rFonts w:eastAsia="Calibri"/>
          <w:noProof/>
        </w:rPr>
      </w:pPr>
      <w:r w:rsidRPr="00543711">
        <w:t>The results</w:t>
      </w:r>
      <w:r w:rsidR="007C0C81" w:rsidRPr="00543711">
        <w:rPr>
          <w:rFonts w:eastAsia="Calibri"/>
          <w:noProof/>
        </w:rPr>
        <w:t xml:space="preserve"> </w:t>
      </w:r>
      <w:r w:rsidR="008F7D2A" w:rsidRPr="00543711">
        <w:rPr>
          <w:rFonts w:eastAsia="Calibri"/>
          <w:noProof/>
        </w:rPr>
        <w:t>show</w:t>
      </w:r>
      <w:r w:rsidR="008F7D2A">
        <w:rPr>
          <w:rFonts w:eastAsia="Calibri"/>
          <w:noProof/>
        </w:rPr>
        <w:t xml:space="preserve"> </w:t>
      </w:r>
      <w:r w:rsidR="008F7D2A" w:rsidRPr="000F3BEF">
        <w:rPr>
          <w:rFonts w:eastAsia="Calibri"/>
          <w:noProof/>
        </w:rPr>
        <w:t xml:space="preserve">PSC </w:t>
      </w:r>
      <w:r w:rsidR="008F7D2A">
        <w:rPr>
          <w:rFonts w:eastAsia="Calibri"/>
          <w:noProof/>
        </w:rPr>
        <w:t>at Time 1</w:t>
      </w:r>
      <w:r>
        <w:rPr>
          <w:rFonts w:eastAsia="Calibri"/>
          <w:noProof/>
        </w:rPr>
        <w:t xml:space="preserve"> (2009)</w:t>
      </w:r>
      <w:r w:rsidR="007C0C81">
        <w:rPr>
          <w:rFonts w:eastAsia="Calibri"/>
          <w:noProof/>
        </w:rPr>
        <w:t xml:space="preserve"> for NSW and WA</w:t>
      </w:r>
      <w:r>
        <w:rPr>
          <w:rFonts w:eastAsia="Calibri"/>
          <w:noProof/>
        </w:rPr>
        <w:t xml:space="preserve"> </w:t>
      </w:r>
      <w:r w:rsidR="008F7D2A">
        <w:rPr>
          <w:rFonts w:eastAsia="Calibri"/>
          <w:noProof/>
        </w:rPr>
        <w:t xml:space="preserve">had a </w:t>
      </w:r>
      <w:r w:rsidR="008F7D2A" w:rsidRPr="000F3BEF">
        <w:rPr>
          <w:rFonts w:eastAsia="Calibri"/>
          <w:noProof/>
        </w:rPr>
        <w:t xml:space="preserve">significant negative relationship with new depression </w:t>
      </w:r>
      <w:r w:rsidR="008F7D2A">
        <w:rPr>
          <w:rFonts w:eastAsia="Calibri"/>
          <w:noProof/>
        </w:rPr>
        <w:t xml:space="preserve">at Time 2 </w:t>
      </w:r>
      <w:r>
        <w:rPr>
          <w:rFonts w:eastAsia="Calibri"/>
          <w:noProof/>
        </w:rPr>
        <w:t xml:space="preserve">(2010) </w:t>
      </w:r>
      <w:r w:rsidR="008F7D2A" w:rsidRPr="000F3BEF">
        <w:rPr>
          <w:rFonts w:eastAsia="Calibri"/>
          <w:noProof/>
        </w:rPr>
        <w:t>through its relationship with job strain</w:t>
      </w:r>
      <w:r w:rsidR="006B273A">
        <w:rPr>
          <w:rFonts w:eastAsia="Calibri"/>
          <w:noProof/>
        </w:rPr>
        <w:t xml:space="preserve">. </w:t>
      </w:r>
      <w:r w:rsidR="00774B51">
        <w:rPr>
          <w:rFonts w:eastAsia="Calibri"/>
          <w:noProof/>
        </w:rPr>
        <w:t xml:space="preserve">Additional </w:t>
      </w:r>
      <w:r w:rsidR="008F7D2A" w:rsidRPr="000F3BEF">
        <w:rPr>
          <w:rFonts w:eastAsia="Calibri"/>
          <w:noProof/>
        </w:rPr>
        <w:t>PSC benchmarks were then developed based on mean scores for workers with no symptoms of depression and low job strain</w:t>
      </w:r>
      <w:r w:rsidR="00774B51">
        <w:rPr>
          <w:rFonts w:eastAsia="Calibri"/>
          <w:noProof/>
        </w:rPr>
        <w:t xml:space="preserve"> as </w:t>
      </w:r>
      <w:r w:rsidR="00623277">
        <w:rPr>
          <w:rFonts w:eastAsia="Calibri"/>
          <w:noProof/>
        </w:rPr>
        <w:t xml:space="preserve">shown </w:t>
      </w:r>
      <w:r w:rsidR="00623277" w:rsidRPr="00E53656">
        <w:rPr>
          <w:rFonts w:eastAsia="Calibri"/>
          <w:noProof/>
        </w:rPr>
        <w:t xml:space="preserve">in Table </w:t>
      </w:r>
      <w:r w:rsidR="00345CE7">
        <w:rPr>
          <w:rFonts w:eastAsia="Calibri"/>
          <w:noProof/>
        </w:rPr>
        <w:t>5</w:t>
      </w:r>
      <w:r w:rsidR="00623277">
        <w:rPr>
          <w:rFonts w:eastAsia="Calibri"/>
          <w:noProof/>
        </w:rPr>
        <w:t>.</w:t>
      </w:r>
      <w:r w:rsidR="008A6D33">
        <w:rPr>
          <w:rFonts w:eastAsia="Calibri"/>
          <w:noProof/>
        </w:rPr>
        <w:t xml:space="preserve"> Moderate risk and low risk were determined </w:t>
      </w:r>
      <w:r>
        <w:rPr>
          <w:rFonts w:eastAsia="Calibri"/>
          <w:noProof/>
        </w:rPr>
        <w:t>using mean scores for clinical cut-off points for mild depressions</w:t>
      </w:r>
      <w:r w:rsidR="00300121">
        <w:rPr>
          <w:rFonts w:eastAsia="Calibri"/>
          <w:noProof/>
        </w:rPr>
        <w:t xml:space="preserve"> and </w:t>
      </w:r>
      <w:r>
        <w:rPr>
          <w:rFonts w:eastAsia="Calibri"/>
          <w:noProof/>
        </w:rPr>
        <w:t>moderate</w:t>
      </w:r>
      <w:r w:rsidR="00300121">
        <w:rPr>
          <w:rFonts w:eastAsia="Calibri"/>
          <w:noProof/>
        </w:rPr>
        <w:t xml:space="preserve"> to severe</w:t>
      </w:r>
      <w:r>
        <w:rPr>
          <w:rFonts w:eastAsia="Calibri"/>
          <w:noProof/>
        </w:rPr>
        <w:t xml:space="preserve"> depression as well as </w:t>
      </w:r>
      <w:r w:rsidR="00300121">
        <w:rPr>
          <w:rFonts w:eastAsia="Calibri"/>
          <w:noProof/>
        </w:rPr>
        <w:t xml:space="preserve">high strain, active, passive and low </w:t>
      </w:r>
      <w:r>
        <w:rPr>
          <w:rFonts w:eastAsia="Calibri"/>
          <w:noProof/>
        </w:rPr>
        <w:t>strain</w:t>
      </w:r>
      <w:r w:rsidR="00300121">
        <w:rPr>
          <w:rFonts w:eastAsia="Calibri"/>
          <w:noProof/>
        </w:rPr>
        <w:t xml:space="preserve"> jobs</w:t>
      </w:r>
      <w:r>
        <w:rPr>
          <w:rFonts w:eastAsia="Calibri"/>
          <w:noProof/>
        </w:rPr>
        <w:t>.</w:t>
      </w:r>
      <w:r w:rsidR="006B273A">
        <w:rPr>
          <w:rFonts w:eastAsia="Calibri"/>
          <w:noProof/>
        </w:rPr>
        <w:t xml:space="preserve"> </w:t>
      </w:r>
      <w:r w:rsidR="00300121">
        <w:rPr>
          <w:rFonts w:eastAsia="Calibri"/>
          <w:noProof/>
        </w:rPr>
        <w:t>See Bailey, Richards and Dollard (</w:t>
      </w:r>
      <w:r w:rsidR="00D01F27">
        <w:rPr>
          <w:rFonts w:eastAsia="Calibri"/>
          <w:noProof/>
        </w:rPr>
        <w:t>in review</w:t>
      </w:r>
      <w:r w:rsidR="00300121">
        <w:rPr>
          <w:rFonts w:eastAsia="Calibri"/>
          <w:noProof/>
        </w:rPr>
        <w:t>) for additional details.</w:t>
      </w:r>
    </w:p>
    <w:p w:rsidR="00F81D86" w:rsidRPr="00611178" w:rsidRDefault="00F81D86" w:rsidP="00995BD7">
      <w:pPr>
        <w:pStyle w:val="FigureCaption"/>
        <w:rPr>
          <w:rFonts w:eastAsia="Calibri"/>
          <w:noProof/>
        </w:rPr>
      </w:pPr>
      <w:r w:rsidRPr="00611178">
        <w:rPr>
          <w:rFonts w:eastAsia="Calibri"/>
          <w:noProof/>
        </w:rPr>
        <w:t xml:space="preserve">Table </w:t>
      </w:r>
      <w:r w:rsidR="004F46B9" w:rsidRPr="00611178">
        <w:rPr>
          <w:rFonts w:eastAsia="Calibri"/>
          <w:noProof/>
        </w:rPr>
        <w:t>5</w:t>
      </w:r>
      <w:r w:rsidRPr="00611178">
        <w:rPr>
          <w:rFonts w:eastAsia="Calibri"/>
          <w:noProof/>
        </w:rPr>
        <w:t>. Level of risk for employee job strain and depression based on average organisational PSC score</w:t>
      </w:r>
      <w:r w:rsidR="00B43641" w:rsidRPr="00611178">
        <w:rPr>
          <w:rFonts w:eastAsia="Calibri"/>
          <w:noProof/>
        </w:rPr>
        <w:t>s</w:t>
      </w:r>
    </w:p>
    <w:tbl>
      <w:tblPr>
        <w:tblW w:w="0" w:type="auto"/>
        <w:jc w:val="center"/>
        <w:tblInd w:w="-602" w:type="dxa"/>
        <w:tblBorders>
          <w:top w:val="single" w:sz="8" w:space="0" w:color="000000"/>
          <w:bottom w:val="single" w:sz="8" w:space="0" w:color="000000"/>
        </w:tblBorders>
        <w:tblLook w:val="04A0" w:firstRow="1" w:lastRow="0" w:firstColumn="1" w:lastColumn="0" w:noHBand="0" w:noVBand="1"/>
      </w:tblPr>
      <w:tblGrid>
        <w:gridCol w:w="1977"/>
        <w:gridCol w:w="2382"/>
      </w:tblGrid>
      <w:tr w:rsidR="00F81D86" w:rsidRPr="00BB4938" w:rsidTr="00C330DF">
        <w:trPr>
          <w:jc w:val="center"/>
        </w:trPr>
        <w:tc>
          <w:tcPr>
            <w:tcW w:w="1977" w:type="dxa"/>
            <w:tcBorders>
              <w:top w:val="single" w:sz="8" w:space="0" w:color="000000"/>
              <w:left w:val="nil"/>
              <w:bottom w:val="single" w:sz="8" w:space="0" w:color="000000"/>
              <w:right w:val="nil"/>
            </w:tcBorders>
            <w:shd w:val="clear" w:color="auto" w:fill="auto"/>
            <w:hideMark/>
          </w:tcPr>
          <w:p w:rsidR="00F81D86" w:rsidRPr="00540975" w:rsidRDefault="00F4060B" w:rsidP="00F81D86">
            <w:pPr>
              <w:spacing w:before="240" w:line="360" w:lineRule="auto"/>
              <w:rPr>
                <w:rFonts w:asciiTheme="minorHAnsi" w:hAnsiTheme="minorHAnsi" w:cstheme="minorHAnsi"/>
                <w:bCs/>
                <w:szCs w:val="22"/>
              </w:rPr>
            </w:pPr>
            <w:r w:rsidRPr="00540975">
              <w:rPr>
                <w:rFonts w:asciiTheme="minorHAnsi" w:hAnsiTheme="minorHAnsi" w:cstheme="minorHAnsi"/>
                <w:bCs/>
                <w:szCs w:val="22"/>
              </w:rPr>
              <w:t>Level of Risk</w:t>
            </w:r>
          </w:p>
        </w:tc>
        <w:tc>
          <w:tcPr>
            <w:tcW w:w="2382" w:type="dxa"/>
            <w:tcBorders>
              <w:top w:val="single" w:sz="8" w:space="0" w:color="000000"/>
              <w:left w:val="nil"/>
              <w:bottom w:val="single" w:sz="8" w:space="0" w:color="000000"/>
              <w:right w:val="nil"/>
            </w:tcBorders>
            <w:shd w:val="clear" w:color="auto" w:fill="auto"/>
            <w:hideMark/>
          </w:tcPr>
          <w:p w:rsidR="00F81D86" w:rsidRPr="00540975" w:rsidRDefault="00BB4938" w:rsidP="00D83E14">
            <w:pPr>
              <w:spacing w:before="240" w:after="0"/>
              <w:rPr>
                <w:rFonts w:asciiTheme="minorHAnsi" w:hAnsiTheme="minorHAnsi" w:cstheme="minorHAnsi"/>
                <w:bCs/>
                <w:szCs w:val="22"/>
              </w:rPr>
            </w:pPr>
            <w:r>
              <w:rPr>
                <w:rFonts w:asciiTheme="minorHAnsi" w:hAnsiTheme="minorHAnsi" w:cstheme="minorHAnsi"/>
                <w:bCs/>
                <w:szCs w:val="22"/>
              </w:rPr>
              <w:t>200</w:t>
            </w:r>
            <w:r w:rsidR="00C330DF">
              <w:rPr>
                <w:rFonts w:asciiTheme="minorHAnsi" w:hAnsiTheme="minorHAnsi" w:cstheme="minorHAnsi"/>
                <w:bCs/>
                <w:szCs w:val="22"/>
              </w:rPr>
              <w:t>9</w:t>
            </w:r>
            <w:r>
              <w:rPr>
                <w:rFonts w:asciiTheme="minorHAnsi" w:hAnsiTheme="minorHAnsi" w:cstheme="minorHAnsi"/>
                <w:bCs/>
                <w:szCs w:val="22"/>
              </w:rPr>
              <w:t xml:space="preserve">-10 </w:t>
            </w:r>
            <w:r w:rsidR="00F4060B" w:rsidRPr="00540975">
              <w:rPr>
                <w:rFonts w:asciiTheme="minorHAnsi" w:hAnsiTheme="minorHAnsi" w:cstheme="minorHAnsi"/>
                <w:bCs/>
                <w:szCs w:val="22"/>
              </w:rPr>
              <w:t xml:space="preserve">PSC </w:t>
            </w:r>
            <w:r>
              <w:rPr>
                <w:rFonts w:asciiTheme="minorHAnsi" w:hAnsiTheme="minorHAnsi" w:cstheme="minorHAnsi"/>
                <w:bCs/>
                <w:szCs w:val="22"/>
              </w:rPr>
              <w:t>benchmark</w:t>
            </w:r>
          </w:p>
        </w:tc>
      </w:tr>
      <w:tr w:rsidR="00F81D86" w:rsidRPr="00BB4938" w:rsidTr="00C330DF">
        <w:trPr>
          <w:jc w:val="center"/>
        </w:trPr>
        <w:tc>
          <w:tcPr>
            <w:tcW w:w="1977" w:type="dxa"/>
            <w:tcBorders>
              <w:left w:val="nil"/>
              <w:right w:val="nil"/>
            </w:tcBorders>
            <w:shd w:val="clear" w:color="auto" w:fill="auto"/>
            <w:hideMark/>
          </w:tcPr>
          <w:p w:rsidR="00F81D86" w:rsidRPr="00540975" w:rsidRDefault="00F4060B" w:rsidP="00B452BB">
            <w:pPr>
              <w:spacing w:before="120" w:after="120" w:line="360" w:lineRule="auto"/>
              <w:rPr>
                <w:rFonts w:asciiTheme="minorHAnsi" w:hAnsiTheme="minorHAnsi" w:cstheme="minorHAnsi"/>
                <w:bCs/>
                <w:szCs w:val="22"/>
              </w:rPr>
            </w:pPr>
            <w:r w:rsidRPr="00540975">
              <w:rPr>
                <w:rFonts w:asciiTheme="minorHAnsi" w:hAnsiTheme="minorHAnsi" w:cstheme="minorHAnsi"/>
                <w:bCs/>
                <w:szCs w:val="22"/>
              </w:rPr>
              <w:t>Low Risk</w:t>
            </w:r>
          </w:p>
        </w:tc>
        <w:tc>
          <w:tcPr>
            <w:tcW w:w="2382" w:type="dxa"/>
            <w:tcBorders>
              <w:left w:val="nil"/>
              <w:right w:val="nil"/>
            </w:tcBorders>
            <w:shd w:val="clear" w:color="auto" w:fill="auto"/>
            <w:hideMark/>
          </w:tcPr>
          <w:p w:rsidR="00F81D86" w:rsidRPr="00540975" w:rsidRDefault="00F4060B" w:rsidP="00B452BB">
            <w:pPr>
              <w:spacing w:before="120" w:after="120" w:line="360" w:lineRule="auto"/>
              <w:ind w:left="720" w:hanging="720"/>
              <w:rPr>
                <w:rFonts w:asciiTheme="minorHAnsi" w:hAnsiTheme="minorHAnsi" w:cstheme="minorHAnsi"/>
                <w:bCs/>
                <w:szCs w:val="22"/>
              </w:rPr>
            </w:pPr>
            <w:r w:rsidRPr="00540975">
              <w:rPr>
                <w:rFonts w:asciiTheme="minorHAnsi" w:hAnsiTheme="minorHAnsi" w:cstheme="minorHAnsi"/>
                <w:bCs/>
                <w:szCs w:val="22"/>
              </w:rPr>
              <w:t>41.00 or above</w:t>
            </w:r>
          </w:p>
        </w:tc>
      </w:tr>
      <w:tr w:rsidR="00F81D86" w:rsidRPr="00BB4938" w:rsidTr="00C330DF">
        <w:trPr>
          <w:jc w:val="center"/>
        </w:trPr>
        <w:tc>
          <w:tcPr>
            <w:tcW w:w="1977" w:type="dxa"/>
            <w:shd w:val="clear" w:color="auto" w:fill="auto"/>
            <w:hideMark/>
          </w:tcPr>
          <w:p w:rsidR="00F81D86" w:rsidRPr="00540975" w:rsidRDefault="00F4060B" w:rsidP="00B452BB">
            <w:pPr>
              <w:spacing w:before="120" w:after="120" w:line="360" w:lineRule="auto"/>
              <w:rPr>
                <w:rFonts w:asciiTheme="minorHAnsi" w:hAnsiTheme="minorHAnsi" w:cstheme="minorHAnsi"/>
                <w:bCs/>
                <w:szCs w:val="22"/>
              </w:rPr>
            </w:pPr>
            <w:r w:rsidRPr="00540975">
              <w:rPr>
                <w:rFonts w:asciiTheme="minorHAnsi" w:hAnsiTheme="minorHAnsi" w:cstheme="minorHAnsi"/>
                <w:bCs/>
                <w:szCs w:val="22"/>
              </w:rPr>
              <w:t>Moderate Risk</w:t>
            </w:r>
          </w:p>
        </w:tc>
        <w:tc>
          <w:tcPr>
            <w:tcW w:w="2382" w:type="dxa"/>
            <w:shd w:val="clear" w:color="auto" w:fill="auto"/>
            <w:hideMark/>
          </w:tcPr>
          <w:p w:rsidR="00F81D86" w:rsidRPr="00540975" w:rsidRDefault="00F4060B" w:rsidP="00B452BB">
            <w:pPr>
              <w:spacing w:before="120" w:after="120" w:line="360" w:lineRule="auto"/>
              <w:ind w:left="720" w:hanging="720"/>
              <w:rPr>
                <w:rFonts w:asciiTheme="minorHAnsi" w:hAnsiTheme="minorHAnsi" w:cstheme="minorHAnsi"/>
                <w:bCs/>
                <w:szCs w:val="22"/>
              </w:rPr>
            </w:pPr>
            <w:r w:rsidRPr="00540975">
              <w:rPr>
                <w:rFonts w:asciiTheme="minorHAnsi" w:hAnsiTheme="minorHAnsi" w:cstheme="minorHAnsi"/>
                <w:bCs/>
                <w:szCs w:val="22"/>
              </w:rPr>
              <w:t>37.00 to 40.99</w:t>
            </w:r>
          </w:p>
        </w:tc>
      </w:tr>
      <w:tr w:rsidR="00F81D86" w:rsidRPr="00BB4938" w:rsidTr="00C330DF">
        <w:trPr>
          <w:jc w:val="center"/>
        </w:trPr>
        <w:tc>
          <w:tcPr>
            <w:tcW w:w="1977" w:type="dxa"/>
            <w:tcBorders>
              <w:left w:val="nil"/>
              <w:right w:val="nil"/>
            </w:tcBorders>
            <w:shd w:val="clear" w:color="auto" w:fill="auto"/>
            <w:hideMark/>
          </w:tcPr>
          <w:p w:rsidR="00F81D86" w:rsidRPr="00540975" w:rsidRDefault="00F4060B" w:rsidP="00B452BB">
            <w:pPr>
              <w:spacing w:before="120" w:after="120" w:line="360" w:lineRule="auto"/>
              <w:rPr>
                <w:rFonts w:asciiTheme="minorHAnsi" w:hAnsiTheme="minorHAnsi" w:cstheme="minorHAnsi"/>
                <w:bCs/>
                <w:szCs w:val="22"/>
              </w:rPr>
            </w:pPr>
            <w:r w:rsidRPr="00540975">
              <w:rPr>
                <w:rFonts w:asciiTheme="minorHAnsi" w:hAnsiTheme="minorHAnsi" w:cstheme="minorHAnsi"/>
                <w:bCs/>
                <w:szCs w:val="22"/>
              </w:rPr>
              <w:t>High Risk</w:t>
            </w:r>
          </w:p>
        </w:tc>
        <w:tc>
          <w:tcPr>
            <w:tcW w:w="2382" w:type="dxa"/>
            <w:tcBorders>
              <w:left w:val="nil"/>
              <w:right w:val="nil"/>
            </w:tcBorders>
            <w:shd w:val="clear" w:color="auto" w:fill="auto"/>
            <w:hideMark/>
          </w:tcPr>
          <w:p w:rsidR="00F81D86" w:rsidRPr="00540975" w:rsidRDefault="00F4060B" w:rsidP="00B452BB">
            <w:pPr>
              <w:spacing w:before="120" w:after="120" w:line="360" w:lineRule="auto"/>
              <w:ind w:left="720" w:hanging="720"/>
              <w:rPr>
                <w:rFonts w:asciiTheme="minorHAnsi" w:hAnsiTheme="minorHAnsi" w:cstheme="minorHAnsi"/>
                <w:bCs/>
                <w:szCs w:val="22"/>
              </w:rPr>
            </w:pPr>
            <w:r w:rsidRPr="00540975">
              <w:rPr>
                <w:rFonts w:asciiTheme="minorHAnsi" w:hAnsiTheme="minorHAnsi" w:cstheme="minorHAnsi"/>
                <w:bCs/>
                <w:szCs w:val="22"/>
              </w:rPr>
              <w:t>36.99 or below</w:t>
            </w:r>
          </w:p>
        </w:tc>
      </w:tr>
    </w:tbl>
    <w:p w:rsidR="00774B51" w:rsidRDefault="00774B51" w:rsidP="008F7D2A">
      <w:pPr>
        <w:spacing w:after="0"/>
        <w:jc w:val="both"/>
        <w:rPr>
          <w:rFonts w:ascii="Calibri" w:eastAsia="Calibri" w:hAnsi="Calibri" w:cs="Calibri"/>
          <w:noProof/>
          <w:szCs w:val="22"/>
        </w:rPr>
      </w:pPr>
    </w:p>
    <w:p w:rsidR="00A119F5" w:rsidRDefault="008A6D33" w:rsidP="008A6B6D">
      <w:pPr>
        <w:rPr>
          <w:rFonts w:eastAsia="Calibri"/>
          <w:noProof/>
        </w:rPr>
      </w:pPr>
      <w:r>
        <w:rPr>
          <w:rFonts w:eastAsia="Calibri"/>
          <w:noProof/>
        </w:rPr>
        <w:t>In sum, t</w:t>
      </w:r>
      <w:r w:rsidR="008F7D2A" w:rsidRPr="000F3BEF">
        <w:rPr>
          <w:rFonts w:eastAsia="Calibri"/>
          <w:noProof/>
        </w:rPr>
        <w:t>hese benchmarks were cross validated using three separate AWB samples</w:t>
      </w:r>
      <w:r w:rsidR="00F81D86">
        <w:rPr>
          <w:rFonts w:eastAsia="Calibri"/>
          <w:noProof/>
        </w:rPr>
        <w:t xml:space="preserve"> including NSW and WA at Time 1 </w:t>
      </w:r>
      <w:r w:rsidR="00300121">
        <w:rPr>
          <w:rFonts w:eastAsia="Calibri"/>
          <w:noProof/>
        </w:rPr>
        <w:t xml:space="preserve">(2009) </w:t>
      </w:r>
      <w:r w:rsidR="00F81D86">
        <w:rPr>
          <w:rFonts w:eastAsia="Calibri"/>
          <w:noProof/>
        </w:rPr>
        <w:t>and Time 2</w:t>
      </w:r>
      <w:r w:rsidR="00300121">
        <w:rPr>
          <w:rFonts w:eastAsia="Calibri"/>
          <w:noProof/>
        </w:rPr>
        <w:t xml:space="preserve"> (2010)</w:t>
      </w:r>
      <w:r w:rsidR="00F81D86">
        <w:rPr>
          <w:rFonts w:eastAsia="Calibri"/>
          <w:noProof/>
        </w:rPr>
        <w:t xml:space="preserve"> as well as SA data</w:t>
      </w:r>
      <w:r w:rsidR="008F7D2A" w:rsidRPr="000F3BEF">
        <w:rPr>
          <w:rFonts w:eastAsia="Calibri"/>
          <w:noProof/>
        </w:rPr>
        <w:t>. Th</w:t>
      </w:r>
      <w:r w:rsidR="00BB4938">
        <w:rPr>
          <w:rFonts w:eastAsia="Calibri"/>
          <w:noProof/>
        </w:rPr>
        <w:t>e results s</w:t>
      </w:r>
      <w:r w:rsidR="008F7D2A" w:rsidRPr="000F3BEF">
        <w:rPr>
          <w:rFonts w:eastAsia="Calibri"/>
          <w:noProof/>
        </w:rPr>
        <w:t>upport</w:t>
      </w:r>
      <w:r w:rsidR="00B921BD">
        <w:rPr>
          <w:rFonts w:eastAsia="Calibri"/>
          <w:noProof/>
        </w:rPr>
        <w:t xml:space="preserve"> a</w:t>
      </w:r>
      <w:r w:rsidR="008F7D2A" w:rsidRPr="000F3BEF">
        <w:rPr>
          <w:rFonts w:eastAsia="Calibri"/>
          <w:noProof/>
        </w:rPr>
        <w:t xml:space="preserve"> </w:t>
      </w:r>
      <w:r w:rsidR="00BB4938">
        <w:rPr>
          <w:rFonts w:eastAsia="Calibri"/>
          <w:noProof/>
        </w:rPr>
        <w:t>2009-10 PSC benchmark of</w:t>
      </w:r>
      <w:r w:rsidR="00300121">
        <w:rPr>
          <w:rFonts w:eastAsia="Calibri"/>
          <w:noProof/>
        </w:rPr>
        <w:t xml:space="preserve"> 41 </w:t>
      </w:r>
      <w:r w:rsidR="008F7D2A" w:rsidRPr="000F3BEF">
        <w:rPr>
          <w:rFonts w:eastAsia="Calibri"/>
          <w:noProof/>
        </w:rPr>
        <w:t xml:space="preserve">and </w:t>
      </w:r>
      <w:r w:rsidR="00A119F5">
        <w:rPr>
          <w:rFonts w:eastAsia="Calibri"/>
          <w:noProof/>
        </w:rPr>
        <w:t xml:space="preserve">below this cut-off </w:t>
      </w:r>
      <w:r w:rsidR="008F7D2A" w:rsidRPr="000F3BEF">
        <w:rPr>
          <w:rFonts w:eastAsia="Calibri"/>
          <w:noProof/>
        </w:rPr>
        <w:t>indicate</w:t>
      </w:r>
      <w:r w:rsidR="00A119F5">
        <w:rPr>
          <w:rFonts w:eastAsia="Calibri"/>
          <w:noProof/>
        </w:rPr>
        <w:t>s</w:t>
      </w:r>
      <w:r w:rsidR="008F7D2A" w:rsidRPr="000F3BEF">
        <w:rPr>
          <w:rFonts w:eastAsia="Calibri"/>
          <w:noProof/>
        </w:rPr>
        <w:t xml:space="preserve"> industries</w:t>
      </w:r>
      <w:r w:rsidR="00A119F5">
        <w:rPr>
          <w:rFonts w:eastAsia="Calibri"/>
          <w:noProof/>
        </w:rPr>
        <w:t>, occupations or worksites</w:t>
      </w:r>
      <w:r w:rsidR="008F7D2A" w:rsidRPr="000F3BEF">
        <w:rPr>
          <w:rFonts w:eastAsia="Calibri"/>
          <w:noProof/>
        </w:rPr>
        <w:t xml:space="preserve"> at more risk for job st</w:t>
      </w:r>
      <w:r w:rsidR="00A119F5">
        <w:rPr>
          <w:rFonts w:eastAsia="Calibri"/>
          <w:noProof/>
        </w:rPr>
        <w:t>ress and poor heal</w:t>
      </w:r>
      <w:r w:rsidR="00AC183E">
        <w:rPr>
          <w:rFonts w:eastAsia="Calibri"/>
          <w:noProof/>
        </w:rPr>
        <w:t>th outcomes.</w:t>
      </w:r>
    </w:p>
    <w:p w:rsidR="008475B9" w:rsidRDefault="00A119F5" w:rsidP="00D83E14">
      <w:pPr>
        <w:rPr>
          <w:rFonts w:eastAsia="Calibri"/>
          <w:noProof/>
        </w:rPr>
      </w:pPr>
      <w:r>
        <w:rPr>
          <w:rFonts w:eastAsia="Calibri"/>
          <w:noProof/>
        </w:rPr>
        <w:t xml:space="preserve">Next we assessed PSC standards within industries across the nation. </w:t>
      </w:r>
      <w:r w:rsidRPr="00543711">
        <w:t>Industries in the AWB were categorised according to the Australian and New Zealand Standard Industrial Classification (Castles &amp; Cook, 1993): 17 broad industries were included in the survey.</w:t>
      </w:r>
      <w:r w:rsidR="00D83E14">
        <w:t xml:space="preserve"> </w:t>
      </w:r>
      <w:r w:rsidRPr="00543711">
        <w:rPr>
          <w:rFonts w:eastAsia="Calibri"/>
          <w:noProof/>
        </w:rPr>
        <w:t xml:space="preserve">Any industry with an N of less than </w:t>
      </w:r>
      <w:r w:rsidR="00E7400E">
        <w:rPr>
          <w:rFonts w:eastAsia="Calibri"/>
          <w:noProof/>
        </w:rPr>
        <w:t>10</w:t>
      </w:r>
      <w:r w:rsidR="00E7400E" w:rsidRPr="00543711">
        <w:rPr>
          <w:rFonts w:eastAsia="Calibri"/>
          <w:noProof/>
        </w:rPr>
        <w:t xml:space="preserve"> </w:t>
      </w:r>
      <w:r w:rsidRPr="00543711">
        <w:rPr>
          <w:rFonts w:eastAsia="Calibri"/>
          <w:noProof/>
        </w:rPr>
        <w:t>was excluded from the figures as to avoid misrepresenting the</w:t>
      </w:r>
      <w:r w:rsidRPr="00437685">
        <w:rPr>
          <w:rFonts w:eastAsia="Calibri"/>
          <w:noProof/>
        </w:rPr>
        <w:t xml:space="preserve"> data due to small sample</w:t>
      </w:r>
      <w:r>
        <w:rPr>
          <w:rFonts w:eastAsia="Calibri"/>
          <w:noProof/>
        </w:rPr>
        <w:t xml:space="preserve"> size in some industries tested. </w:t>
      </w:r>
      <w:r w:rsidR="008F7D2A" w:rsidRPr="000F3BEF">
        <w:rPr>
          <w:rFonts w:eastAsia="Calibri"/>
          <w:noProof/>
        </w:rPr>
        <w:t>The</w:t>
      </w:r>
      <w:r w:rsidR="00AA591F">
        <w:rPr>
          <w:rFonts w:eastAsia="Calibri"/>
          <w:noProof/>
        </w:rPr>
        <w:t xml:space="preserve"> following results</w:t>
      </w:r>
      <w:r w:rsidR="008F7D2A" w:rsidRPr="000F3BEF">
        <w:rPr>
          <w:rFonts w:eastAsia="Calibri"/>
          <w:noProof/>
        </w:rPr>
        <w:t xml:space="preserve"> suggest </w:t>
      </w:r>
      <w:r w:rsidR="007C1CCA">
        <w:rPr>
          <w:rFonts w:eastAsia="Calibri"/>
          <w:noProof/>
        </w:rPr>
        <w:t xml:space="preserve">specific yet coordinated </w:t>
      </w:r>
      <w:r w:rsidR="008F7D2A" w:rsidRPr="000F3BEF">
        <w:rPr>
          <w:rFonts w:eastAsia="Calibri"/>
          <w:noProof/>
        </w:rPr>
        <w:t>state and national strategies are needed to improve working environments and reduce risk of psychological harm</w:t>
      </w:r>
      <w:r w:rsidR="00AA591F">
        <w:rPr>
          <w:rFonts w:eastAsia="Calibri"/>
          <w:noProof/>
        </w:rPr>
        <w:t xml:space="preserve"> to employees</w:t>
      </w:r>
      <w:r w:rsidR="008F7D2A">
        <w:rPr>
          <w:rFonts w:eastAsia="Calibri"/>
          <w:noProof/>
        </w:rPr>
        <w:t>.</w:t>
      </w:r>
      <w:r w:rsidR="008475B9">
        <w:rPr>
          <w:rFonts w:eastAsia="Calibri"/>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8E4AAF" w:rsidRPr="00D10E4C" w:rsidTr="00B921BD">
        <w:tc>
          <w:tcPr>
            <w:tcW w:w="9180" w:type="dxa"/>
            <w:gridSpan w:val="2"/>
            <w:shd w:val="clear" w:color="auto" w:fill="auto"/>
            <w:vAlign w:val="center"/>
          </w:tcPr>
          <w:p w:rsidR="008E4AAF" w:rsidRPr="00880D1E" w:rsidRDefault="008E4AAF" w:rsidP="009B5BE6">
            <w:pPr>
              <w:spacing w:before="120" w:after="120"/>
              <w:jc w:val="center"/>
              <w:rPr>
                <w:rFonts w:ascii="Tahoma" w:hAnsi="Tahoma" w:cs="Tahoma"/>
                <w:b/>
                <w:sz w:val="28"/>
                <w:szCs w:val="28"/>
              </w:rPr>
            </w:pPr>
            <w:r>
              <w:rPr>
                <w:rFonts w:ascii="Tahoma" w:hAnsi="Tahoma" w:cs="Tahoma"/>
                <w:b/>
                <w:sz w:val="28"/>
                <w:szCs w:val="28"/>
              </w:rPr>
              <w:lastRenderedPageBreak/>
              <w:t xml:space="preserve">Australia </w:t>
            </w:r>
          </w:p>
        </w:tc>
      </w:tr>
      <w:tr w:rsidR="008E4AAF" w:rsidRPr="00074D9E" w:rsidTr="00B921BD">
        <w:tc>
          <w:tcPr>
            <w:tcW w:w="4644" w:type="dxa"/>
            <w:shd w:val="clear" w:color="auto" w:fill="000000"/>
            <w:vAlign w:val="center"/>
          </w:tcPr>
          <w:p w:rsidR="008E4AAF" w:rsidRPr="00880D1E" w:rsidRDefault="008E4AAF" w:rsidP="00B921BD">
            <w:pPr>
              <w:spacing w:before="120" w:after="120"/>
              <w:jc w:val="center"/>
              <w:rPr>
                <w:rFonts w:ascii="Tahoma" w:hAnsi="Tahoma" w:cs="Tahoma"/>
                <w:b/>
                <w:color w:val="FFFFFF"/>
                <w:sz w:val="28"/>
                <w:szCs w:val="28"/>
              </w:rPr>
            </w:pPr>
            <w:r w:rsidRPr="00880D1E">
              <w:rPr>
                <w:rFonts w:ascii="Tahoma" w:hAnsi="Tahoma" w:cs="Tahoma"/>
                <w:b/>
                <w:color w:val="FFFFFF"/>
                <w:sz w:val="28"/>
                <w:szCs w:val="28"/>
              </w:rPr>
              <w:t>Moderate PSC</w:t>
            </w:r>
          </w:p>
        </w:tc>
        <w:tc>
          <w:tcPr>
            <w:tcW w:w="4536" w:type="dxa"/>
            <w:shd w:val="clear" w:color="auto" w:fill="000000"/>
            <w:vAlign w:val="center"/>
          </w:tcPr>
          <w:p w:rsidR="008E4AAF" w:rsidRPr="00880D1E" w:rsidRDefault="008E4AAF" w:rsidP="00B921BD">
            <w:pPr>
              <w:spacing w:before="120" w:after="120"/>
              <w:jc w:val="center"/>
              <w:rPr>
                <w:rFonts w:ascii="Tahoma" w:hAnsi="Tahoma" w:cs="Tahoma"/>
                <w:b/>
                <w:color w:val="FFFFFF"/>
                <w:sz w:val="28"/>
                <w:szCs w:val="28"/>
              </w:rPr>
            </w:pPr>
            <w:r w:rsidRPr="00880D1E">
              <w:rPr>
                <w:rFonts w:ascii="Tahoma" w:hAnsi="Tahoma" w:cs="Tahoma"/>
                <w:b/>
                <w:color w:val="FFFFFF"/>
                <w:sz w:val="28"/>
                <w:szCs w:val="28"/>
              </w:rPr>
              <w:t>High PSC</w:t>
            </w:r>
          </w:p>
        </w:tc>
      </w:tr>
      <w:tr w:rsidR="008E4AAF" w:rsidRPr="00050549" w:rsidTr="00B921BD">
        <w:tc>
          <w:tcPr>
            <w:tcW w:w="4644" w:type="dxa"/>
            <w:shd w:val="clear" w:color="auto" w:fill="FFC000"/>
            <w:vAlign w:val="center"/>
          </w:tcPr>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Education</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 xml:space="preserve">Government administration and defence </w:t>
            </w:r>
          </w:p>
          <w:p w:rsidR="008E4AAF" w:rsidRPr="00050549" w:rsidRDefault="008E4AAF" w:rsidP="0023074F">
            <w:pPr>
              <w:pStyle w:val="ListParagraph"/>
              <w:numPr>
                <w:ilvl w:val="0"/>
                <w:numId w:val="11"/>
              </w:numPr>
              <w:spacing w:after="120" w:line="240" w:lineRule="auto"/>
              <w:ind w:left="573"/>
              <w:rPr>
                <w:rFonts w:cs="Calibri"/>
                <w:b/>
              </w:rPr>
            </w:pPr>
            <w:r w:rsidRPr="00050549">
              <w:rPr>
                <w:rFonts w:cs="Calibri"/>
                <w:b/>
              </w:rPr>
              <w:t>Health and community services</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Communications services</w:t>
            </w:r>
          </w:p>
          <w:p w:rsidR="008E4AAF" w:rsidRPr="00050549" w:rsidRDefault="008E4AAF" w:rsidP="0023074F">
            <w:pPr>
              <w:pStyle w:val="ListParagraph"/>
              <w:numPr>
                <w:ilvl w:val="0"/>
                <w:numId w:val="11"/>
              </w:numPr>
              <w:spacing w:after="120" w:line="240" w:lineRule="auto"/>
              <w:ind w:left="573"/>
              <w:rPr>
                <w:rFonts w:cs="Calibri"/>
                <w:b/>
              </w:rPr>
            </w:pPr>
            <w:r w:rsidRPr="00050549">
              <w:rPr>
                <w:rFonts w:cs="Calibri"/>
                <w:b/>
              </w:rPr>
              <w:t>Cultural and recreation services</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Accommodation, cafes and restaurants</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Personal and other services</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Property and business services</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Agriculture, forestry and fishing</w:t>
            </w:r>
          </w:p>
          <w:p w:rsidR="008E4AAF" w:rsidRPr="00BB4938" w:rsidRDefault="008E4AAF" w:rsidP="0023074F">
            <w:pPr>
              <w:pStyle w:val="ListParagraph"/>
              <w:numPr>
                <w:ilvl w:val="0"/>
                <w:numId w:val="11"/>
              </w:numPr>
              <w:spacing w:before="120" w:after="120" w:line="240" w:lineRule="auto"/>
              <w:ind w:left="573"/>
              <w:rPr>
                <w:rFonts w:cs="Calibri"/>
                <w:b/>
              </w:rPr>
            </w:pPr>
            <w:r w:rsidRPr="00050549">
              <w:rPr>
                <w:rFonts w:cs="Calibri"/>
                <w:b/>
              </w:rPr>
              <w:t>Manufacturing</w:t>
            </w:r>
          </w:p>
          <w:p w:rsidR="008E4AAF" w:rsidRPr="00050549" w:rsidRDefault="008E4AAF" w:rsidP="0023074F">
            <w:pPr>
              <w:pStyle w:val="ListParagraph"/>
              <w:numPr>
                <w:ilvl w:val="0"/>
                <w:numId w:val="11"/>
              </w:numPr>
              <w:spacing w:before="120" w:after="120" w:line="360" w:lineRule="auto"/>
              <w:ind w:left="573"/>
              <w:rPr>
                <w:rFonts w:ascii="Tahoma" w:hAnsi="Tahoma" w:cs="Tahoma"/>
                <w:b/>
                <w:color w:val="000000"/>
              </w:rPr>
            </w:pPr>
            <w:r w:rsidRPr="00050549">
              <w:rPr>
                <w:rFonts w:cs="Calibri"/>
                <w:b/>
              </w:rPr>
              <w:t>Transport and storage</w:t>
            </w:r>
          </w:p>
        </w:tc>
        <w:tc>
          <w:tcPr>
            <w:tcW w:w="4536" w:type="dxa"/>
            <w:shd w:val="clear" w:color="auto" w:fill="92D050"/>
            <w:vAlign w:val="center"/>
          </w:tcPr>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Construction</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Finance and insurance</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Electricity, gas and water supply</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Mining</w:t>
            </w:r>
          </w:p>
          <w:p w:rsidR="008E4AAF" w:rsidRPr="00050549" w:rsidRDefault="008E4AAF" w:rsidP="0023074F">
            <w:pPr>
              <w:pStyle w:val="ListParagraph"/>
              <w:numPr>
                <w:ilvl w:val="0"/>
                <w:numId w:val="11"/>
              </w:numPr>
              <w:spacing w:before="120" w:after="120" w:line="240" w:lineRule="auto"/>
              <w:ind w:left="573"/>
              <w:rPr>
                <w:rFonts w:cs="Calibri"/>
                <w:b/>
              </w:rPr>
            </w:pPr>
            <w:r w:rsidRPr="00050549">
              <w:rPr>
                <w:rFonts w:cs="Calibri"/>
                <w:b/>
              </w:rPr>
              <w:t xml:space="preserve">Retail trade </w:t>
            </w:r>
          </w:p>
          <w:p w:rsidR="008E4AAF" w:rsidRPr="00050549" w:rsidRDefault="008E4AAF" w:rsidP="0023074F">
            <w:pPr>
              <w:pStyle w:val="ListParagraph"/>
              <w:numPr>
                <w:ilvl w:val="0"/>
                <w:numId w:val="11"/>
              </w:numPr>
              <w:spacing w:before="120" w:after="120" w:line="360" w:lineRule="auto"/>
              <w:ind w:left="567"/>
              <w:rPr>
                <w:rFonts w:ascii="Tahoma" w:hAnsi="Tahoma" w:cs="Tahoma"/>
                <w:b/>
                <w:color w:val="000000"/>
              </w:rPr>
            </w:pPr>
            <w:r w:rsidRPr="00050549">
              <w:rPr>
                <w:rFonts w:cs="Calibri"/>
                <w:b/>
              </w:rPr>
              <w:t>Wholesale trade</w:t>
            </w:r>
          </w:p>
        </w:tc>
      </w:tr>
    </w:tbl>
    <w:p w:rsidR="008E4AAF" w:rsidRDefault="008E4AAF" w:rsidP="008E4AAF">
      <w:pPr>
        <w:spacing w:line="360" w:lineRule="auto"/>
        <w:rPr>
          <w:rFonts w:ascii="Calibri" w:eastAsia="Calibri" w:hAnsi="Calibri" w:cs="Calibri"/>
          <w:noProof/>
          <w:szCs w:val="22"/>
        </w:rPr>
      </w:pPr>
      <w:r w:rsidRPr="00B43641">
        <w:rPr>
          <w:rFonts w:ascii="Calibri" w:eastAsia="Calibri" w:hAnsi="Calibri" w:cs="Calibri"/>
          <w:noProof/>
          <w:szCs w:val="22"/>
        </w:rPr>
        <w:t xml:space="preserve">Note: NSW Time 1 </w:t>
      </w:r>
      <w:r>
        <w:rPr>
          <w:rFonts w:ascii="Calibri" w:eastAsia="Calibri" w:hAnsi="Calibri" w:cs="Calibri"/>
          <w:noProof/>
          <w:szCs w:val="22"/>
        </w:rPr>
        <w:t xml:space="preserve">(2009) </w:t>
      </w:r>
      <w:r w:rsidRPr="00B43641">
        <w:rPr>
          <w:rFonts w:ascii="Calibri" w:eastAsia="Calibri" w:hAnsi="Calibri" w:cs="Calibri"/>
          <w:noProof/>
          <w:szCs w:val="22"/>
        </w:rPr>
        <w:t xml:space="preserve">and WA Time 1 </w:t>
      </w:r>
      <w:r>
        <w:rPr>
          <w:rFonts w:ascii="Calibri" w:eastAsia="Calibri" w:hAnsi="Calibri" w:cs="Calibri"/>
          <w:noProof/>
          <w:szCs w:val="22"/>
        </w:rPr>
        <w:t xml:space="preserve">(2009) </w:t>
      </w:r>
      <w:r w:rsidRPr="00B43641">
        <w:rPr>
          <w:rFonts w:ascii="Calibri" w:eastAsia="Calibri" w:hAnsi="Calibri" w:cs="Calibri"/>
          <w:noProof/>
          <w:szCs w:val="22"/>
        </w:rPr>
        <w:t>data was used for national PSC.</w:t>
      </w:r>
    </w:p>
    <w:p w:rsidR="00315A04" w:rsidRPr="00AC183E" w:rsidRDefault="00315A04" w:rsidP="00AC183E">
      <w:pPr>
        <w:pStyle w:val="FigureCaption"/>
        <w:rPr>
          <w:rStyle w:val="Strong"/>
          <w:rFonts w:eastAsia="Calibri"/>
          <w:b/>
          <w:bCs w:val="0"/>
        </w:rPr>
      </w:pPr>
      <w:proofErr w:type="gramStart"/>
      <w:r w:rsidRPr="00AC183E">
        <w:rPr>
          <w:rStyle w:val="Emphasis"/>
          <w:rFonts w:eastAsia="Calibri"/>
          <w:i w:val="0"/>
          <w:iCs w:val="0"/>
        </w:rPr>
        <w:t>Figure 6</w:t>
      </w:r>
      <w:r w:rsidRPr="00AC183E">
        <w:rPr>
          <w:rStyle w:val="Strong"/>
          <w:rFonts w:eastAsia="Calibri"/>
          <w:b/>
          <w:bCs w:val="0"/>
        </w:rPr>
        <w:t>.</w:t>
      </w:r>
      <w:proofErr w:type="gramEnd"/>
      <w:r w:rsidRPr="00AC183E">
        <w:rPr>
          <w:rStyle w:val="Strong"/>
          <w:rFonts w:eastAsia="Calibri"/>
          <w:b/>
          <w:bCs w:val="0"/>
        </w:rPr>
        <w:t xml:space="preserve"> Psychosocial Safety Climate in Australia</w:t>
      </w:r>
    </w:p>
    <w:p w:rsidR="008E4AAF" w:rsidRDefault="008E4AAF" w:rsidP="008A6B6D">
      <w:pPr>
        <w:rPr>
          <w:rFonts w:eastAsia="Calibri"/>
          <w:noProof/>
        </w:rPr>
      </w:pPr>
      <w:r w:rsidRPr="00050549">
        <w:rPr>
          <w:rFonts w:eastAsia="Calibri"/>
          <w:noProof/>
        </w:rPr>
        <w:t xml:space="preserve">Overall results for Australia show that </w:t>
      </w:r>
      <w:r>
        <w:rPr>
          <w:rFonts w:eastAsia="Calibri"/>
          <w:noProof/>
        </w:rPr>
        <w:t xml:space="preserve">there are no industries with PSC levels in the high risk range below 37. PSC levels for </w:t>
      </w:r>
      <w:r w:rsidRPr="00050549">
        <w:rPr>
          <w:rFonts w:eastAsia="Calibri"/>
          <w:noProof/>
        </w:rPr>
        <w:t xml:space="preserve">the majority of </w:t>
      </w:r>
      <w:r>
        <w:rPr>
          <w:rFonts w:eastAsia="Calibri"/>
          <w:noProof/>
        </w:rPr>
        <w:t xml:space="preserve">Australian </w:t>
      </w:r>
      <w:r w:rsidRPr="00050549">
        <w:rPr>
          <w:rFonts w:eastAsia="Calibri"/>
          <w:noProof/>
        </w:rPr>
        <w:t>industries fall</w:t>
      </w:r>
      <w:r>
        <w:rPr>
          <w:rFonts w:eastAsia="Calibri"/>
          <w:noProof/>
        </w:rPr>
        <w:t xml:space="preserve"> in the moderate risk range suggesting that these industries would be experiencing unfavourable levels of psychosocial risk including job strain, potentially leading to poorer health and productivity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8E4AAF" w:rsidRPr="00D10E4C" w:rsidTr="00B921BD">
        <w:tc>
          <w:tcPr>
            <w:tcW w:w="9180" w:type="dxa"/>
            <w:gridSpan w:val="2"/>
            <w:shd w:val="clear" w:color="auto" w:fill="auto"/>
            <w:vAlign w:val="center"/>
          </w:tcPr>
          <w:p w:rsidR="008E4AAF" w:rsidRPr="00880D1E" w:rsidRDefault="008E4AAF" w:rsidP="00B921BD">
            <w:pPr>
              <w:spacing w:before="120" w:after="120"/>
              <w:jc w:val="center"/>
              <w:rPr>
                <w:rFonts w:ascii="Tahoma" w:hAnsi="Tahoma" w:cs="Tahoma"/>
                <w:b/>
                <w:sz w:val="28"/>
                <w:szCs w:val="28"/>
              </w:rPr>
            </w:pPr>
            <w:r w:rsidRPr="00880D1E">
              <w:rPr>
                <w:rFonts w:ascii="Tahoma" w:hAnsi="Tahoma" w:cs="Tahoma"/>
                <w:b/>
                <w:sz w:val="28"/>
                <w:szCs w:val="28"/>
              </w:rPr>
              <w:t>S</w:t>
            </w:r>
            <w:r>
              <w:rPr>
                <w:rFonts w:ascii="Tahoma" w:hAnsi="Tahoma" w:cs="Tahoma"/>
                <w:b/>
                <w:sz w:val="28"/>
                <w:szCs w:val="28"/>
              </w:rPr>
              <w:t xml:space="preserve">outh </w:t>
            </w:r>
            <w:r w:rsidRPr="00880D1E">
              <w:rPr>
                <w:rFonts w:ascii="Tahoma" w:hAnsi="Tahoma" w:cs="Tahoma"/>
                <w:b/>
                <w:sz w:val="28"/>
                <w:szCs w:val="28"/>
              </w:rPr>
              <w:t>A</w:t>
            </w:r>
            <w:r>
              <w:rPr>
                <w:rFonts w:ascii="Tahoma" w:hAnsi="Tahoma" w:cs="Tahoma"/>
                <w:b/>
                <w:sz w:val="28"/>
                <w:szCs w:val="28"/>
              </w:rPr>
              <w:t>ustralia (2010)</w:t>
            </w:r>
          </w:p>
        </w:tc>
      </w:tr>
      <w:tr w:rsidR="008E4AAF" w:rsidRPr="00074D9E" w:rsidTr="00B921BD">
        <w:tc>
          <w:tcPr>
            <w:tcW w:w="4644" w:type="dxa"/>
            <w:shd w:val="clear" w:color="auto" w:fill="000000"/>
            <w:vAlign w:val="center"/>
          </w:tcPr>
          <w:p w:rsidR="008E4AAF" w:rsidRPr="00880D1E" w:rsidRDefault="008E4AAF" w:rsidP="00B921BD">
            <w:pPr>
              <w:spacing w:before="120" w:after="120"/>
              <w:jc w:val="center"/>
              <w:rPr>
                <w:rFonts w:ascii="Tahoma" w:hAnsi="Tahoma" w:cs="Tahoma"/>
                <w:b/>
                <w:color w:val="FFFFFF"/>
                <w:sz w:val="28"/>
                <w:szCs w:val="28"/>
              </w:rPr>
            </w:pPr>
            <w:r w:rsidRPr="00880D1E">
              <w:rPr>
                <w:rFonts w:ascii="Tahoma" w:hAnsi="Tahoma" w:cs="Tahoma"/>
                <w:b/>
                <w:color w:val="FFFFFF"/>
                <w:sz w:val="28"/>
                <w:szCs w:val="28"/>
              </w:rPr>
              <w:t>Moderate PSC</w:t>
            </w:r>
          </w:p>
        </w:tc>
        <w:tc>
          <w:tcPr>
            <w:tcW w:w="4536" w:type="dxa"/>
            <w:shd w:val="clear" w:color="auto" w:fill="000000"/>
            <w:vAlign w:val="center"/>
          </w:tcPr>
          <w:p w:rsidR="008E4AAF" w:rsidRPr="00880D1E" w:rsidRDefault="008E4AAF" w:rsidP="00B921BD">
            <w:pPr>
              <w:spacing w:before="120" w:after="120"/>
              <w:jc w:val="center"/>
              <w:rPr>
                <w:rFonts w:ascii="Tahoma" w:hAnsi="Tahoma" w:cs="Tahoma"/>
                <w:b/>
                <w:color w:val="FFFFFF"/>
                <w:sz w:val="28"/>
                <w:szCs w:val="28"/>
              </w:rPr>
            </w:pPr>
            <w:r w:rsidRPr="00880D1E">
              <w:rPr>
                <w:rFonts w:ascii="Tahoma" w:hAnsi="Tahoma" w:cs="Tahoma"/>
                <w:b/>
                <w:color w:val="FFFFFF"/>
                <w:sz w:val="28"/>
                <w:szCs w:val="28"/>
              </w:rPr>
              <w:t>High PSC</w:t>
            </w:r>
          </w:p>
        </w:tc>
      </w:tr>
      <w:tr w:rsidR="008E4AAF" w:rsidRPr="00FF2C8F" w:rsidTr="00B921BD">
        <w:trPr>
          <w:trHeight w:val="2902"/>
        </w:trPr>
        <w:tc>
          <w:tcPr>
            <w:tcW w:w="4644" w:type="dxa"/>
            <w:shd w:val="clear" w:color="auto" w:fill="FFC000"/>
            <w:vAlign w:val="center"/>
          </w:tcPr>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Communications services</w:t>
            </w:r>
          </w:p>
          <w:p w:rsidR="008E4AAF" w:rsidRPr="00FF2C8F" w:rsidRDefault="008E4AAF" w:rsidP="0023074F">
            <w:pPr>
              <w:pStyle w:val="ListParagraph"/>
              <w:numPr>
                <w:ilvl w:val="0"/>
                <w:numId w:val="11"/>
              </w:numPr>
              <w:spacing w:after="120" w:line="240" w:lineRule="auto"/>
              <w:ind w:left="573"/>
              <w:rPr>
                <w:rFonts w:cs="Calibri"/>
                <w:b/>
              </w:rPr>
            </w:pPr>
            <w:r w:rsidRPr="00FF2C8F">
              <w:rPr>
                <w:rFonts w:cs="Calibri"/>
                <w:b/>
              </w:rPr>
              <w:t>Accommodation, cafes and restaurants</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Personal and other services</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Property and business services</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Construction</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Agriculture, forestry and fishing</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 xml:space="preserve">Retail trade </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Finance and insurance</w:t>
            </w:r>
          </w:p>
          <w:p w:rsidR="008E4AAF" w:rsidRPr="00BD39C9" w:rsidRDefault="008E4AAF" w:rsidP="0023074F">
            <w:pPr>
              <w:pStyle w:val="ListParagraph"/>
              <w:numPr>
                <w:ilvl w:val="0"/>
                <w:numId w:val="11"/>
              </w:numPr>
              <w:spacing w:before="120" w:after="120" w:line="240" w:lineRule="auto"/>
              <w:ind w:left="573"/>
              <w:rPr>
                <w:rFonts w:cs="Calibri"/>
                <w:b/>
              </w:rPr>
            </w:pPr>
            <w:r w:rsidRPr="00FF2C8F">
              <w:rPr>
                <w:rFonts w:cs="Calibri"/>
                <w:b/>
              </w:rPr>
              <w:t>Manufacturing</w:t>
            </w:r>
          </w:p>
          <w:p w:rsidR="008E4AAF" w:rsidRPr="00FF2C8F" w:rsidRDefault="008E4AAF" w:rsidP="0023074F">
            <w:pPr>
              <w:pStyle w:val="ListParagraph"/>
              <w:numPr>
                <w:ilvl w:val="0"/>
                <w:numId w:val="11"/>
              </w:numPr>
              <w:spacing w:before="120" w:after="120" w:line="360" w:lineRule="auto"/>
              <w:ind w:left="573"/>
              <w:rPr>
                <w:rFonts w:ascii="Tahoma" w:hAnsi="Tahoma" w:cs="Tahoma"/>
                <w:b/>
                <w:color w:val="000000"/>
              </w:rPr>
            </w:pPr>
            <w:r w:rsidRPr="00BD39C9">
              <w:rPr>
                <w:rFonts w:cs="Calibri"/>
                <w:b/>
              </w:rPr>
              <w:t>Transport and storage</w:t>
            </w:r>
          </w:p>
        </w:tc>
        <w:tc>
          <w:tcPr>
            <w:tcW w:w="4536" w:type="dxa"/>
            <w:shd w:val="clear" w:color="auto" w:fill="92D050"/>
            <w:vAlign w:val="center"/>
          </w:tcPr>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Government administration and defence</w:t>
            </w:r>
          </w:p>
          <w:p w:rsidR="008E4AAF" w:rsidRPr="00FF2C8F" w:rsidRDefault="008E4AAF" w:rsidP="0023074F">
            <w:pPr>
              <w:pStyle w:val="ListParagraph"/>
              <w:numPr>
                <w:ilvl w:val="0"/>
                <w:numId w:val="11"/>
              </w:numPr>
              <w:spacing w:after="120" w:line="240" w:lineRule="auto"/>
              <w:ind w:left="573"/>
              <w:rPr>
                <w:rFonts w:cs="Calibri"/>
                <w:b/>
              </w:rPr>
            </w:pPr>
            <w:r w:rsidRPr="00FF2C8F">
              <w:rPr>
                <w:rFonts w:cs="Calibri"/>
                <w:b/>
              </w:rPr>
              <w:t>Cultural and recreation services</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Health and community services</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Education</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Electricity, gas and water supply</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Mining</w:t>
            </w:r>
          </w:p>
          <w:p w:rsidR="008E4AAF" w:rsidRPr="00FF2C8F" w:rsidRDefault="008E4AAF" w:rsidP="0023074F">
            <w:pPr>
              <w:pStyle w:val="ListParagraph"/>
              <w:numPr>
                <w:ilvl w:val="0"/>
                <w:numId w:val="11"/>
              </w:numPr>
              <w:spacing w:before="120" w:after="120" w:line="360" w:lineRule="auto"/>
              <w:ind w:left="567"/>
              <w:rPr>
                <w:rFonts w:ascii="Tahoma" w:hAnsi="Tahoma" w:cs="Tahoma"/>
                <w:b/>
                <w:color w:val="000000"/>
              </w:rPr>
            </w:pPr>
            <w:r w:rsidRPr="00FF2C8F">
              <w:rPr>
                <w:rFonts w:cs="Calibri"/>
                <w:b/>
              </w:rPr>
              <w:t>Wholesale trade</w:t>
            </w:r>
          </w:p>
        </w:tc>
      </w:tr>
    </w:tbl>
    <w:p w:rsidR="008E4AAF" w:rsidRDefault="00315A04" w:rsidP="00AC183E">
      <w:pPr>
        <w:pStyle w:val="FigureCaption"/>
        <w:rPr>
          <w:rFonts w:eastAsia="Calibri"/>
          <w:noProof/>
        </w:rPr>
      </w:pPr>
      <w:r w:rsidRPr="00FB1790">
        <w:rPr>
          <w:rFonts w:eastAsia="Calibri"/>
          <w:noProof/>
        </w:rPr>
        <w:t>Figure 7. Psychosocial</w:t>
      </w:r>
      <w:r w:rsidRPr="00611178">
        <w:rPr>
          <w:rFonts w:eastAsia="Calibri"/>
          <w:noProof/>
        </w:rPr>
        <w:t xml:space="preserve"> Safety Climate in South Australia</w:t>
      </w:r>
    </w:p>
    <w:p w:rsidR="008E4AAF" w:rsidRDefault="008E4AAF" w:rsidP="008A6B6D">
      <w:pPr>
        <w:rPr>
          <w:rFonts w:eastAsia="Calibri"/>
          <w:noProof/>
        </w:rPr>
      </w:pPr>
      <w:r>
        <w:rPr>
          <w:rFonts w:eastAsia="Calibri"/>
          <w:noProof/>
        </w:rPr>
        <w:t>In SA none of the industries reported PSC scores wihtin the high risk range (37) with many industries scoring above the 2009-10 PSC benchmark of 41. The majority reported scores</w:t>
      </w:r>
      <w:r w:rsidR="006B273A">
        <w:rPr>
          <w:rFonts w:eastAsia="Calibri"/>
          <w:noProof/>
        </w:rPr>
        <w:t xml:space="preserve"> within the moderate risk zone.</w:t>
      </w:r>
      <w:r>
        <w:rPr>
          <w:rFonts w:eastAsia="Calibri"/>
          <w:noProof/>
        </w:rPr>
        <w:t xml:space="preserve"> It was noted that M</w:t>
      </w:r>
      <w:r w:rsidRPr="00437685">
        <w:rPr>
          <w:rFonts w:eastAsia="Calibri"/>
          <w:noProof/>
        </w:rPr>
        <w:t xml:space="preserve">ining </w:t>
      </w:r>
      <w:r>
        <w:rPr>
          <w:rFonts w:eastAsia="Calibri"/>
          <w:noProof/>
        </w:rPr>
        <w:t>in SA scored</w:t>
      </w:r>
      <w:r w:rsidRPr="00437685">
        <w:rPr>
          <w:rFonts w:eastAsia="Calibri"/>
          <w:noProof/>
        </w:rPr>
        <w:t xml:space="preserve"> the highest</w:t>
      </w:r>
      <w:r>
        <w:rPr>
          <w:rFonts w:eastAsia="Calibri"/>
          <w:noProof/>
        </w:rPr>
        <w:t xml:space="preserve"> levels for</w:t>
      </w:r>
      <w:r w:rsidRPr="00437685">
        <w:rPr>
          <w:rFonts w:eastAsia="Calibri"/>
          <w:noProof/>
        </w:rPr>
        <w:t xml:space="preserve"> </w:t>
      </w:r>
      <w:r>
        <w:rPr>
          <w:rFonts w:eastAsia="Calibri"/>
          <w:noProof/>
        </w:rPr>
        <w:t xml:space="preserve">PSC when compared at a </w:t>
      </w:r>
      <w:r w:rsidRPr="00F077CA">
        <w:rPr>
          <w:rFonts w:eastAsia="Calibri"/>
          <w:noProof/>
        </w:rPr>
        <w:t>national</w:t>
      </w:r>
      <w:r>
        <w:rPr>
          <w:rFonts w:eastAsia="Calibri"/>
          <w:noProof/>
        </w:rPr>
        <w:t xml:space="preserve"> level</w:t>
      </w:r>
      <w:r w:rsidR="00AC183E">
        <w:rPr>
          <w:rFonts w:eastAsia="Calibri"/>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2977"/>
        <w:gridCol w:w="3180"/>
      </w:tblGrid>
      <w:tr w:rsidR="008E4AAF" w:rsidRPr="00FF2C8F" w:rsidTr="00B921BD">
        <w:tc>
          <w:tcPr>
            <w:tcW w:w="9242" w:type="dxa"/>
            <w:gridSpan w:val="3"/>
            <w:shd w:val="clear" w:color="auto" w:fill="auto"/>
          </w:tcPr>
          <w:p w:rsidR="008E4AAF" w:rsidRPr="00FF2C8F" w:rsidRDefault="008E4AAF" w:rsidP="00B921BD">
            <w:pPr>
              <w:spacing w:before="120" w:after="120" w:line="240" w:lineRule="auto"/>
              <w:jc w:val="center"/>
              <w:rPr>
                <w:rFonts w:ascii="Tahoma" w:eastAsia="Calibri" w:hAnsi="Tahoma" w:cs="Tahoma"/>
                <w:b/>
                <w:sz w:val="28"/>
                <w:szCs w:val="28"/>
              </w:rPr>
            </w:pPr>
            <w:r w:rsidRPr="00FF2C8F">
              <w:rPr>
                <w:rFonts w:ascii="Tahoma" w:eastAsia="Calibri" w:hAnsi="Tahoma" w:cs="Tahoma"/>
                <w:b/>
                <w:sz w:val="28"/>
                <w:szCs w:val="28"/>
              </w:rPr>
              <w:lastRenderedPageBreak/>
              <w:t>W</w:t>
            </w:r>
            <w:r>
              <w:rPr>
                <w:rFonts w:ascii="Tahoma" w:eastAsia="Calibri" w:hAnsi="Tahoma" w:cs="Tahoma"/>
                <w:b/>
                <w:sz w:val="28"/>
                <w:szCs w:val="28"/>
              </w:rPr>
              <w:t>estern Australia</w:t>
            </w:r>
            <w:r w:rsidRPr="00FF2C8F">
              <w:rPr>
                <w:rFonts w:ascii="Tahoma" w:eastAsia="Calibri" w:hAnsi="Tahoma" w:cs="Tahoma"/>
                <w:b/>
                <w:sz w:val="28"/>
                <w:szCs w:val="28"/>
              </w:rPr>
              <w:t xml:space="preserve"> (2010)</w:t>
            </w:r>
          </w:p>
        </w:tc>
      </w:tr>
      <w:tr w:rsidR="008E4AAF" w:rsidRPr="00FF2C8F" w:rsidTr="00B921BD">
        <w:tc>
          <w:tcPr>
            <w:tcW w:w="3085" w:type="dxa"/>
            <w:shd w:val="clear" w:color="auto" w:fill="000000"/>
            <w:vAlign w:val="center"/>
          </w:tcPr>
          <w:p w:rsidR="008E4AAF" w:rsidRPr="00FF2C8F" w:rsidRDefault="008E4AAF" w:rsidP="00B921BD">
            <w:pPr>
              <w:spacing w:before="120" w:after="120" w:line="240" w:lineRule="auto"/>
              <w:jc w:val="center"/>
              <w:rPr>
                <w:rFonts w:ascii="Tahoma" w:eastAsia="Calibri" w:hAnsi="Tahoma" w:cs="Tahoma"/>
                <w:b/>
                <w:color w:val="FFFFFF"/>
                <w:sz w:val="28"/>
                <w:szCs w:val="28"/>
              </w:rPr>
            </w:pPr>
            <w:r w:rsidRPr="00FF2C8F">
              <w:rPr>
                <w:rFonts w:ascii="Tahoma" w:eastAsia="Calibri" w:hAnsi="Tahoma" w:cs="Tahoma"/>
                <w:b/>
                <w:color w:val="FFFFFF"/>
                <w:sz w:val="28"/>
                <w:szCs w:val="28"/>
              </w:rPr>
              <w:t>Low PSC</w:t>
            </w:r>
          </w:p>
        </w:tc>
        <w:tc>
          <w:tcPr>
            <w:tcW w:w="2977" w:type="dxa"/>
            <w:shd w:val="clear" w:color="auto" w:fill="000000"/>
            <w:vAlign w:val="center"/>
          </w:tcPr>
          <w:p w:rsidR="008E4AAF" w:rsidRPr="00FF2C8F" w:rsidRDefault="008E4AAF" w:rsidP="00B921BD">
            <w:pPr>
              <w:spacing w:before="120" w:after="120" w:line="240" w:lineRule="auto"/>
              <w:jc w:val="center"/>
              <w:rPr>
                <w:rFonts w:ascii="Tahoma" w:eastAsia="Calibri" w:hAnsi="Tahoma" w:cs="Tahoma"/>
                <w:b/>
                <w:color w:val="FFFFFF"/>
                <w:sz w:val="28"/>
                <w:szCs w:val="28"/>
              </w:rPr>
            </w:pPr>
            <w:r w:rsidRPr="00FF2C8F">
              <w:rPr>
                <w:rFonts w:ascii="Tahoma" w:eastAsia="Calibri" w:hAnsi="Tahoma" w:cs="Tahoma"/>
                <w:b/>
                <w:color w:val="FFFFFF"/>
                <w:sz w:val="28"/>
                <w:szCs w:val="28"/>
              </w:rPr>
              <w:t>Moderate PSC</w:t>
            </w:r>
          </w:p>
        </w:tc>
        <w:tc>
          <w:tcPr>
            <w:tcW w:w="3180" w:type="dxa"/>
            <w:shd w:val="clear" w:color="auto" w:fill="000000"/>
            <w:vAlign w:val="center"/>
          </w:tcPr>
          <w:p w:rsidR="008E4AAF" w:rsidRPr="00FF2C8F" w:rsidRDefault="008E4AAF" w:rsidP="00B921BD">
            <w:pPr>
              <w:spacing w:before="120" w:after="120" w:line="240" w:lineRule="auto"/>
              <w:jc w:val="center"/>
              <w:rPr>
                <w:rFonts w:ascii="Tahoma" w:eastAsia="Calibri" w:hAnsi="Tahoma" w:cs="Tahoma"/>
                <w:b/>
                <w:color w:val="FFFFFF"/>
                <w:sz w:val="28"/>
                <w:szCs w:val="28"/>
              </w:rPr>
            </w:pPr>
            <w:r w:rsidRPr="00FF2C8F">
              <w:rPr>
                <w:rFonts w:ascii="Tahoma" w:eastAsia="Calibri" w:hAnsi="Tahoma" w:cs="Tahoma"/>
                <w:b/>
                <w:color w:val="FFFFFF"/>
                <w:sz w:val="28"/>
                <w:szCs w:val="28"/>
              </w:rPr>
              <w:t>High PSC</w:t>
            </w:r>
          </w:p>
        </w:tc>
      </w:tr>
      <w:tr w:rsidR="008E4AAF" w:rsidRPr="00FF2C8F" w:rsidTr="00B921BD">
        <w:tc>
          <w:tcPr>
            <w:tcW w:w="3085" w:type="dxa"/>
            <w:shd w:val="clear" w:color="auto" w:fill="FF6D6D"/>
            <w:vAlign w:val="center"/>
          </w:tcPr>
          <w:p w:rsidR="008E4AAF" w:rsidRPr="00FF2C8F" w:rsidRDefault="008E4AAF" w:rsidP="0023074F">
            <w:pPr>
              <w:numPr>
                <w:ilvl w:val="0"/>
                <w:numId w:val="12"/>
              </w:numPr>
              <w:spacing w:before="120" w:after="0" w:line="240" w:lineRule="auto"/>
              <w:ind w:left="426" w:hanging="284"/>
              <w:contextualSpacing/>
              <w:rPr>
                <w:rFonts w:ascii="Calibri" w:eastAsia="Calibri" w:hAnsi="Calibri" w:cs="Calibri"/>
                <w:b/>
                <w:szCs w:val="22"/>
              </w:rPr>
            </w:pPr>
            <w:r w:rsidRPr="00FF2C8F">
              <w:rPr>
                <w:rFonts w:ascii="Calibri" w:eastAsia="Calibri" w:hAnsi="Calibri" w:cs="Calibri"/>
                <w:b/>
                <w:szCs w:val="22"/>
              </w:rPr>
              <w:t>Transport and storage</w:t>
            </w:r>
          </w:p>
          <w:p w:rsidR="008E4AAF" w:rsidRPr="00FF2C8F" w:rsidRDefault="008E4AAF" w:rsidP="00B921BD">
            <w:pPr>
              <w:spacing w:after="0" w:line="240" w:lineRule="auto"/>
              <w:ind w:left="426"/>
              <w:rPr>
                <w:rFonts w:ascii="Tahoma" w:eastAsia="Calibri" w:hAnsi="Tahoma" w:cs="Tahoma"/>
                <w:b/>
                <w:color w:val="000000"/>
                <w:szCs w:val="22"/>
              </w:rPr>
            </w:pPr>
          </w:p>
        </w:tc>
        <w:tc>
          <w:tcPr>
            <w:tcW w:w="2977" w:type="dxa"/>
            <w:shd w:val="clear" w:color="auto" w:fill="FFC000"/>
            <w:vAlign w:val="center"/>
          </w:tcPr>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Cultural and recreation services</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Accommodation, cafes and restaurants</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Wholesale trade</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 xml:space="preserve">Retail trade </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Education</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Government administration and defence</w:t>
            </w:r>
          </w:p>
          <w:p w:rsidR="008E4AAF" w:rsidRPr="00FF2C8F" w:rsidRDefault="008E4AAF" w:rsidP="0023074F">
            <w:pPr>
              <w:numPr>
                <w:ilvl w:val="0"/>
                <w:numId w:val="11"/>
              </w:numPr>
              <w:spacing w:before="120" w:after="120" w:line="240" w:lineRule="auto"/>
              <w:ind w:left="459"/>
              <w:contextualSpacing/>
              <w:rPr>
                <w:rFonts w:ascii="Tahoma" w:eastAsia="Calibri" w:hAnsi="Tahoma" w:cs="Tahoma"/>
                <w:b/>
                <w:color w:val="000000"/>
                <w:szCs w:val="22"/>
              </w:rPr>
            </w:pPr>
            <w:r w:rsidRPr="00FF2C8F">
              <w:rPr>
                <w:rFonts w:ascii="Calibri" w:eastAsia="Calibri" w:hAnsi="Calibri" w:cs="Calibri"/>
                <w:b/>
                <w:szCs w:val="22"/>
              </w:rPr>
              <w:t>Health and community services</w:t>
            </w:r>
          </w:p>
        </w:tc>
        <w:tc>
          <w:tcPr>
            <w:tcW w:w="3180" w:type="dxa"/>
            <w:shd w:val="clear" w:color="auto" w:fill="92D050"/>
            <w:vAlign w:val="center"/>
          </w:tcPr>
          <w:p w:rsidR="008E4AAF" w:rsidRDefault="008E4AAF" w:rsidP="0023074F">
            <w:pPr>
              <w:pStyle w:val="ListParagraph"/>
              <w:numPr>
                <w:ilvl w:val="0"/>
                <w:numId w:val="12"/>
              </w:numPr>
              <w:spacing w:before="120" w:after="0" w:line="240" w:lineRule="auto"/>
              <w:ind w:left="460" w:hanging="386"/>
              <w:rPr>
                <w:rFonts w:cs="Calibri"/>
                <w:b/>
              </w:rPr>
            </w:pPr>
            <w:r w:rsidRPr="00FF2C8F">
              <w:rPr>
                <w:rFonts w:cs="Calibri"/>
                <w:b/>
              </w:rPr>
              <w:t>Electricity, gas and water supply</w:t>
            </w:r>
          </w:p>
          <w:p w:rsidR="008E4AAF" w:rsidRPr="00FF2C8F" w:rsidRDefault="008E4AAF" w:rsidP="0023074F">
            <w:pPr>
              <w:numPr>
                <w:ilvl w:val="0"/>
                <w:numId w:val="11"/>
              </w:numPr>
              <w:spacing w:after="120" w:line="240" w:lineRule="auto"/>
              <w:ind w:left="460"/>
              <w:contextualSpacing/>
              <w:rPr>
                <w:rFonts w:ascii="Calibri" w:eastAsia="Calibri" w:hAnsi="Calibri" w:cs="Calibri"/>
                <w:b/>
                <w:szCs w:val="22"/>
              </w:rPr>
            </w:pPr>
            <w:r w:rsidRPr="00FF2C8F">
              <w:rPr>
                <w:rFonts w:ascii="Calibri" w:eastAsia="Calibri" w:hAnsi="Calibri" w:cs="Calibri"/>
                <w:b/>
                <w:szCs w:val="22"/>
              </w:rPr>
              <w:t xml:space="preserve">Communications services </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Construction</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Property and business services</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Mining</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Manufacturing</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Agriculture, forestry and fishing</w:t>
            </w:r>
          </w:p>
          <w:p w:rsidR="008E4AAF" w:rsidRPr="00FF2C8F" w:rsidRDefault="008E4AAF" w:rsidP="0023074F">
            <w:pPr>
              <w:numPr>
                <w:ilvl w:val="0"/>
                <w:numId w:val="11"/>
              </w:numPr>
              <w:spacing w:before="120" w:after="120" w:line="240" w:lineRule="auto"/>
              <w:ind w:left="459"/>
              <w:contextualSpacing/>
              <w:rPr>
                <w:rFonts w:ascii="Calibri" w:eastAsia="Calibri" w:hAnsi="Calibri" w:cs="Calibri"/>
                <w:b/>
                <w:szCs w:val="22"/>
              </w:rPr>
            </w:pPr>
            <w:r w:rsidRPr="00FF2C8F">
              <w:rPr>
                <w:rFonts w:ascii="Calibri" w:eastAsia="Calibri" w:hAnsi="Calibri" w:cs="Calibri"/>
                <w:b/>
                <w:szCs w:val="22"/>
              </w:rPr>
              <w:t xml:space="preserve">Personal and other services </w:t>
            </w:r>
          </w:p>
          <w:p w:rsidR="008E4AAF" w:rsidRPr="00FF2C8F" w:rsidRDefault="008E4AAF" w:rsidP="0023074F">
            <w:pPr>
              <w:numPr>
                <w:ilvl w:val="0"/>
                <w:numId w:val="11"/>
              </w:numPr>
              <w:spacing w:after="0" w:line="360" w:lineRule="auto"/>
              <w:ind w:left="459"/>
              <w:rPr>
                <w:rFonts w:ascii="Calibri" w:eastAsia="Calibri" w:hAnsi="Calibri" w:cs="Calibri"/>
                <w:b/>
                <w:szCs w:val="22"/>
              </w:rPr>
            </w:pPr>
            <w:r w:rsidRPr="00FF2C8F">
              <w:rPr>
                <w:rFonts w:ascii="Calibri" w:eastAsia="Calibri" w:hAnsi="Calibri" w:cs="Calibri"/>
                <w:b/>
                <w:szCs w:val="22"/>
              </w:rPr>
              <w:t>Finance and insurance</w:t>
            </w:r>
          </w:p>
        </w:tc>
      </w:tr>
    </w:tbl>
    <w:p w:rsidR="00315A04" w:rsidRPr="00AC183E" w:rsidRDefault="00315A04" w:rsidP="00AC183E">
      <w:pPr>
        <w:pStyle w:val="FigureCaption"/>
        <w:rPr>
          <w:rStyle w:val="Strong"/>
          <w:rFonts w:eastAsia="Calibri"/>
          <w:b/>
          <w:bCs w:val="0"/>
        </w:rPr>
      </w:pPr>
      <w:proofErr w:type="gramStart"/>
      <w:r w:rsidRPr="00AC183E">
        <w:rPr>
          <w:rStyle w:val="Emphasis"/>
          <w:rFonts w:eastAsia="Calibri"/>
          <w:i w:val="0"/>
          <w:iCs w:val="0"/>
        </w:rPr>
        <w:t>Figure 8</w:t>
      </w:r>
      <w:r w:rsidRPr="00AC183E">
        <w:rPr>
          <w:rStyle w:val="Strong"/>
          <w:rFonts w:eastAsia="Calibri"/>
          <w:b/>
          <w:bCs w:val="0"/>
        </w:rPr>
        <w:t>.</w:t>
      </w:r>
      <w:proofErr w:type="gramEnd"/>
      <w:r w:rsidRPr="00AC183E">
        <w:rPr>
          <w:rStyle w:val="Strong"/>
          <w:rFonts w:eastAsia="Calibri"/>
          <w:b/>
          <w:bCs w:val="0"/>
        </w:rPr>
        <w:t xml:space="preserve"> Psychosocial Safety Climate in Western Australia (2010)</w:t>
      </w:r>
    </w:p>
    <w:p w:rsidR="008E4AAF" w:rsidRDefault="008E4AAF" w:rsidP="008A6B6D">
      <w:pPr>
        <w:rPr>
          <w:rFonts w:eastAsia="Calibri"/>
          <w:noProof/>
        </w:rPr>
      </w:pPr>
      <w:r w:rsidRPr="00FC280C">
        <w:rPr>
          <w:rFonts w:eastAsia="Calibri"/>
          <w:noProof/>
        </w:rPr>
        <w:t xml:space="preserve">For WA Transport and storage reported </w:t>
      </w:r>
      <w:r>
        <w:rPr>
          <w:rFonts w:eastAsia="Calibri"/>
          <w:noProof/>
        </w:rPr>
        <w:t xml:space="preserve">a </w:t>
      </w:r>
      <w:r w:rsidRPr="00FC280C">
        <w:rPr>
          <w:rFonts w:eastAsia="Calibri"/>
          <w:noProof/>
        </w:rPr>
        <w:t xml:space="preserve">PSC </w:t>
      </w:r>
      <w:r>
        <w:rPr>
          <w:rFonts w:eastAsia="Calibri"/>
          <w:noProof/>
        </w:rPr>
        <w:t>below 37</w:t>
      </w:r>
      <w:r w:rsidRPr="00FC280C">
        <w:rPr>
          <w:rFonts w:eastAsia="Calibri"/>
          <w:noProof/>
        </w:rPr>
        <w:t xml:space="preserve"> </w:t>
      </w:r>
      <w:r>
        <w:rPr>
          <w:rFonts w:eastAsia="Calibri"/>
          <w:noProof/>
        </w:rPr>
        <w:t xml:space="preserve">indicating </w:t>
      </w:r>
      <w:r w:rsidR="001443AC" w:rsidRPr="00E7400E">
        <w:rPr>
          <w:rFonts w:eastAsia="Calibri"/>
          <w:noProof/>
        </w:rPr>
        <w:t>high</w:t>
      </w:r>
      <w:r>
        <w:rPr>
          <w:rFonts w:eastAsia="Calibri"/>
          <w:noProof/>
        </w:rPr>
        <w:t xml:space="preserve"> psychosocial risk to these workers that can lead to job strain and depression</w:t>
      </w:r>
      <w:r w:rsidR="006B273A">
        <w:rPr>
          <w:rFonts w:eastAsia="Calibri"/>
          <w:noProof/>
        </w:rPr>
        <w:t xml:space="preserve">. </w:t>
      </w:r>
      <w:r>
        <w:rPr>
          <w:rFonts w:eastAsia="Calibri"/>
          <w:noProof/>
        </w:rPr>
        <w:t>It was noted that the majority of industries reported</w:t>
      </w:r>
      <w:r w:rsidRPr="009158E8">
        <w:rPr>
          <w:rFonts w:eastAsia="Calibri"/>
          <w:noProof/>
        </w:rPr>
        <w:t xml:space="preserve"> PSC levels higher than the </w:t>
      </w:r>
      <w:r>
        <w:rPr>
          <w:rFonts w:eastAsia="Calibri"/>
          <w:noProof/>
        </w:rPr>
        <w:t>2009-10 PSC benchmark</w:t>
      </w:r>
      <w:r w:rsidRPr="009158E8">
        <w:rPr>
          <w:rFonts w:eastAsia="Calibri"/>
          <w:noProof/>
        </w:rPr>
        <w:t xml:space="preserve"> </w:t>
      </w:r>
      <w:r>
        <w:rPr>
          <w:rFonts w:eastAsia="Calibri"/>
          <w:noProof/>
        </w:rPr>
        <w:t>(41) suggesting organisations and management within these idustries in WA value and protect worker mental health</w:t>
      </w:r>
      <w:r w:rsidRPr="00156806">
        <w:rPr>
          <w:rFonts w:eastAsia="Calibri"/>
          <w:noProof/>
        </w:rPr>
        <w:t>.</w:t>
      </w:r>
    </w:p>
    <w:p w:rsidR="00611178" w:rsidRDefault="00611178">
      <w:pPr>
        <w:spacing w:after="0" w:line="240" w:lineRule="auto"/>
        <w:rPr>
          <w:rFonts w:eastAsia="Calibri"/>
          <w:noProof/>
        </w:rPr>
      </w:pPr>
      <w:r>
        <w:rPr>
          <w:rFonts w:eastAsia="Calibri"/>
          <w:noProof/>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3038"/>
      </w:tblGrid>
      <w:tr w:rsidR="008E4AAF" w:rsidRPr="00FF2C8F" w:rsidTr="00B921BD">
        <w:tc>
          <w:tcPr>
            <w:tcW w:w="9242" w:type="dxa"/>
            <w:gridSpan w:val="3"/>
            <w:shd w:val="clear" w:color="auto" w:fill="auto"/>
          </w:tcPr>
          <w:p w:rsidR="008E4AAF" w:rsidRPr="00FF2C8F" w:rsidRDefault="008E4AAF" w:rsidP="00B921BD">
            <w:pPr>
              <w:spacing w:before="120" w:after="120" w:line="240" w:lineRule="auto"/>
              <w:jc w:val="center"/>
              <w:rPr>
                <w:rFonts w:ascii="Tahoma" w:eastAsia="Calibri" w:hAnsi="Tahoma" w:cs="Tahoma"/>
                <w:b/>
                <w:sz w:val="28"/>
                <w:szCs w:val="28"/>
              </w:rPr>
            </w:pPr>
            <w:r>
              <w:rPr>
                <w:rFonts w:ascii="Tahoma" w:eastAsia="Calibri" w:hAnsi="Tahoma" w:cs="Tahoma"/>
                <w:b/>
                <w:sz w:val="28"/>
                <w:szCs w:val="28"/>
              </w:rPr>
              <w:lastRenderedPageBreak/>
              <w:t>New South Wales</w:t>
            </w:r>
            <w:r w:rsidRPr="00FF2C8F">
              <w:rPr>
                <w:rFonts w:ascii="Tahoma" w:eastAsia="Calibri" w:hAnsi="Tahoma" w:cs="Tahoma"/>
                <w:b/>
                <w:sz w:val="28"/>
                <w:szCs w:val="28"/>
              </w:rPr>
              <w:t xml:space="preserve"> (2010)</w:t>
            </w:r>
          </w:p>
        </w:tc>
      </w:tr>
      <w:tr w:rsidR="008E4AAF" w:rsidRPr="00FF2C8F" w:rsidTr="00B921BD">
        <w:tc>
          <w:tcPr>
            <w:tcW w:w="3085" w:type="dxa"/>
            <w:shd w:val="clear" w:color="auto" w:fill="000000"/>
            <w:vAlign w:val="center"/>
          </w:tcPr>
          <w:p w:rsidR="008E4AAF" w:rsidRPr="00FF2C8F" w:rsidRDefault="008E4AAF" w:rsidP="00B921BD">
            <w:pPr>
              <w:spacing w:before="120" w:after="120" w:line="240" w:lineRule="auto"/>
              <w:jc w:val="center"/>
              <w:rPr>
                <w:rFonts w:ascii="Tahoma" w:eastAsia="Calibri" w:hAnsi="Tahoma" w:cs="Tahoma"/>
                <w:b/>
                <w:color w:val="FFFFFF"/>
                <w:sz w:val="28"/>
                <w:szCs w:val="28"/>
              </w:rPr>
            </w:pPr>
            <w:r w:rsidRPr="00FF2C8F">
              <w:rPr>
                <w:rFonts w:ascii="Tahoma" w:eastAsia="Calibri" w:hAnsi="Tahoma" w:cs="Tahoma"/>
                <w:b/>
                <w:color w:val="FFFFFF"/>
                <w:sz w:val="28"/>
                <w:szCs w:val="28"/>
              </w:rPr>
              <w:t>Low PSC</w:t>
            </w:r>
          </w:p>
        </w:tc>
        <w:tc>
          <w:tcPr>
            <w:tcW w:w="3119" w:type="dxa"/>
            <w:shd w:val="clear" w:color="auto" w:fill="000000"/>
            <w:vAlign w:val="center"/>
          </w:tcPr>
          <w:p w:rsidR="008E4AAF" w:rsidRPr="00FF2C8F" w:rsidRDefault="008E4AAF" w:rsidP="00B921BD">
            <w:pPr>
              <w:spacing w:before="120" w:after="120" w:line="240" w:lineRule="auto"/>
              <w:jc w:val="center"/>
              <w:rPr>
                <w:rFonts w:ascii="Tahoma" w:eastAsia="Calibri" w:hAnsi="Tahoma" w:cs="Tahoma"/>
                <w:b/>
                <w:color w:val="FFFFFF"/>
                <w:sz w:val="28"/>
                <w:szCs w:val="28"/>
              </w:rPr>
            </w:pPr>
            <w:r w:rsidRPr="00FF2C8F">
              <w:rPr>
                <w:rFonts w:ascii="Tahoma" w:eastAsia="Calibri" w:hAnsi="Tahoma" w:cs="Tahoma"/>
                <w:b/>
                <w:color w:val="FFFFFF"/>
                <w:sz w:val="28"/>
                <w:szCs w:val="28"/>
              </w:rPr>
              <w:t>Moderate PSC</w:t>
            </w:r>
          </w:p>
        </w:tc>
        <w:tc>
          <w:tcPr>
            <w:tcW w:w="3038" w:type="dxa"/>
            <w:shd w:val="clear" w:color="auto" w:fill="000000"/>
            <w:vAlign w:val="center"/>
          </w:tcPr>
          <w:p w:rsidR="008E4AAF" w:rsidRPr="00FF2C8F" w:rsidRDefault="008E4AAF" w:rsidP="00B921BD">
            <w:pPr>
              <w:spacing w:before="120" w:after="120" w:line="240" w:lineRule="auto"/>
              <w:jc w:val="center"/>
              <w:rPr>
                <w:rFonts w:ascii="Tahoma" w:eastAsia="Calibri" w:hAnsi="Tahoma" w:cs="Tahoma"/>
                <w:b/>
                <w:color w:val="FFFFFF"/>
                <w:sz w:val="28"/>
                <w:szCs w:val="28"/>
              </w:rPr>
            </w:pPr>
            <w:r w:rsidRPr="00FF2C8F">
              <w:rPr>
                <w:rFonts w:ascii="Tahoma" w:eastAsia="Calibri" w:hAnsi="Tahoma" w:cs="Tahoma"/>
                <w:b/>
                <w:color w:val="FFFFFF"/>
                <w:sz w:val="28"/>
                <w:szCs w:val="28"/>
              </w:rPr>
              <w:t>High PSC</w:t>
            </w:r>
          </w:p>
        </w:tc>
      </w:tr>
      <w:tr w:rsidR="008E4AAF" w:rsidRPr="00FF2C8F" w:rsidTr="00B921BD">
        <w:trPr>
          <w:trHeight w:val="5340"/>
        </w:trPr>
        <w:tc>
          <w:tcPr>
            <w:tcW w:w="3085" w:type="dxa"/>
            <w:shd w:val="clear" w:color="auto" w:fill="FF6D6D"/>
            <w:vAlign w:val="center"/>
          </w:tcPr>
          <w:p w:rsidR="008E4AAF" w:rsidRPr="00FF2C8F" w:rsidRDefault="008E4AAF" w:rsidP="0023074F">
            <w:pPr>
              <w:numPr>
                <w:ilvl w:val="0"/>
                <w:numId w:val="12"/>
              </w:numPr>
              <w:spacing w:before="120" w:after="0" w:line="240" w:lineRule="auto"/>
              <w:ind w:left="426" w:hanging="284"/>
              <w:contextualSpacing/>
              <w:rPr>
                <w:rFonts w:ascii="Calibri" w:eastAsia="Calibri" w:hAnsi="Calibri" w:cs="Calibri"/>
                <w:b/>
                <w:szCs w:val="22"/>
              </w:rPr>
            </w:pPr>
            <w:r w:rsidRPr="00FF2C8F">
              <w:rPr>
                <w:rFonts w:ascii="Calibri" w:eastAsia="Calibri" w:hAnsi="Calibri" w:cs="Calibri"/>
                <w:b/>
                <w:szCs w:val="22"/>
              </w:rPr>
              <w:t>Transport and storage</w:t>
            </w:r>
          </w:p>
          <w:p w:rsidR="008E4AAF" w:rsidRPr="00FF2C8F" w:rsidRDefault="008E4AAF" w:rsidP="00B921BD">
            <w:pPr>
              <w:spacing w:before="120" w:after="0" w:line="240" w:lineRule="auto"/>
              <w:ind w:left="426" w:hanging="284"/>
              <w:contextualSpacing/>
              <w:rPr>
                <w:rFonts w:ascii="Calibri" w:eastAsia="Calibri" w:hAnsi="Calibri" w:cs="Calibri"/>
                <w:b/>
                <w:szCs w:val="22"/>
              </w:rPr>
            </w:pPr>
          </w:p>
          <w:p w:rsidR="008E4AAF" w:rsidRPr="00FF2C8F" w:rsidRDefault="008E4AAF" w:rsidP="00B921BD">
            <w:pPr>
              <w:spacing w:before="120" w:after="0" w:line="240" w:lineRule="auto"/>
              <w:ind w:left="426" w:hanging="284"/>
              <w:contextualSpacing/>
              <w:rPr>
                <w:rFonts w:ascii="Calibri" w:eastAsia="Calibri" w:hAnsi="Calibri" w:cs="Calibri"/>
                <w:b/>
                <w:szCs w:val="22"/>
              </w:rPr>
            </w:pPr>
          </w:p>
          <w:p w:rsidR="008E4AAF" w:rsidRPr="00FF2C8F" w:rsidRDefault="008E4AAF" w:rsidP="0023074F">
            <w:pPr>
              <w:numPr>
                <w:ilvl w:val="0"/>
                <w:numId w:val="12"/>
              </w:numPr>
              <w:spacing w:after="0" w:line="240" w:lineRule="auto"/>
              <w:ind w:left="426" w:hanging="284"/>
              <w:rPr>
                <w:rFonts w:ascii="Tahoma" w:eastAsia="Calibri" w:hAnsi="Tahoma" w:cs="Tahoma"/>
                <w:b/>
                <w:color w:val="000000"/>
                <w:szCs w:val="22"/>
              </w:rPr>
            </w:pPr>
            <w:r w:rsidRPr="00FF2C8F">
              <w:rPr>
                <w:rFonts w:ascii="Calibri" w:eastAsia="Calibri" w:hAnsi="Calibri" w:cs="Calibri"/>
                <w:b/>
                <w:szCs w:val="22"/>
              </w:rPr>
              <w:t>Wholesale trade</w:t>
            </w:r>
          </w:p>
          <w:p w:rsidR="008E4AAF" w:rsidRPr="00FF2C8F" w:rsidRDefault="008E4AAF" w:rsidP="00B921BD">
            <w:pPr>
              <w:spacing w:after="0" w:line="240" w:lineRule="auto"/>
              <w:jc w:val="center"/>
              <w:rPr>
                <w:rFonts w:ascii="Tahoma" w:eastAsia="Calibri" w:hAnsi="Tahoma" w:cs="Tahoma"/>
                <w:b/>
                <w:color w:val="000000"/>
                <w:szCs w:val="22"/>
              </w:rPr>
            </w:pPr>
          </w:p>
        </w:tc>
        <w:tc>
          <w:tcPr>
            <w:tcW w:w="3119" w:type="dxa"/>
            <w:shd w:val="clear" w:color="auto" w:fill="FFC000"/>
            <w:vAlign w:val="center"/>
          </w:tcPr>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Electricity, gas and water supply</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Accommodation, cafes and restaurants</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Cultural and recreation services</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Personal and other services</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Property and business services</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Health and community services</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Mining</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Construction</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Agriculture, forestry and fishing</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Retail trade</w:t>
            </w:r>
          </w:p>
          <w:p w:rsidR="008E4AAF" w:rsidRPr="00FF2C8F" w:rsidRDefault="008E4AAF" w:rsidP="0023074F">
            <w:pPr>
              <w:pStyle w:val="ListParagraph"/>
              <w:numPr>
                <w:ilvl w:val="0"/>
                <w:numId w:val="12"/>
              </w:numPr>
              <w:spacing w:before="120" w:after="120" w:line="240" w:lineRule="auto"/>
              <w:ind w:left="459" w:hanging="383"/>
              <w:rPr>
                <w:rFonts w:cs="Calibri"/>
                <w:b/>
              </w:rPr>
            </w:pPr>
            <w:r w:rsidRPr="00FF2C8F">
              <w:rPr>
                <w:rFonts w:cs="Calibri"/>
                <w:b/>
              </w:rPr>
              <w:t>Education</w:t>
            </w:r>
          </w:p>
          <w:p w:rsidR="008E4AAF" w:rsidRPr="00FF2C8F" w:rsidRDefault="008E4AAF" w:rsidP="0023074F">
            <w:pPr>
              <w:pStyle w:val="ListParagraph"/>
              <w:numPr>
                <w:ilvl w:val="0"/>
                <w:numId w:val="12"/>
              </w:numPr>
              <w:spacing w:before="120" w:after="120" w:line="360" w:lineRule="auto"/>
              <w:ind w:left="460" w:hanging="386"/>
              <w:rPr>
                <w:rFonts w:ascii="Tahoma" w:hAnsi="Tahoma" w:cs="Tahoma"/>
                <w:b/>
                <w:color w:val="000000"/>
              </w:rPr>
            </w:pPr>
            <w:r w:rsidRPr="00FF2C8F">
              <w:rPr>
                <w:rFonts w:cs="Calibri"/>
                <w:b/>
              </w:rPr>
              <w:t>M</w:t>
            </w:r>
            <w:r w:rsidRPr="00FF2C8F">
              <w:rPr>
                <w:rFonts w:cs="Calibri"/>
                <w:b/>
                <w:lang w:eastAsia="en-AU"/>
              </w:rPr>
              <w:t>anufacturing</w:t>
            </w:r>
          </w:p>
        </w:tc>
        <w:tc>
          <w:tcPr>
            <w:tcW w:w="3038" w:type="dxa"/>
            <w:shd w:val="clear" w:color="auto" w:fill="92D050"/>
            <w:vAlign w:val="center"/>
          </w:tcPr>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Government administration and defence</w:t>
            </w:r>
          </w:p>
          <w:p w:rsidR="008E4AAF" w:rsidRPr="00FF2C8F" w:rsidRDefault="008E4AAF" w:rsidP="00B921BD">
            <w:pPr>
              <w:pStyle w:val="ListParagraph"/>
              <w:spacing w:before="120" w:after="120" w:line="240" w:lineRule="auto"/>
              <w:ind w:left="573"/>
              <w:rPr>
                <w:rFonts w:cs="Calibri"/>
                <w:b/>
              </w:rPr>
            </w:pP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Communications services</w:t>
            </w:r>
          </w:p>
          <w:p w:rsidR="008E4AAF" w:rsidRPr="00FF2C8F" w:rsidRDefault="008E4AAF" w:rsidP="00B921BD">
            <w:pPr>
              <w:pStyle w:val="ListParagraph"/>
              <w:spacing w:before="120" w:after="120" w:line="240" w:lineRule="auto"/>
              <w:ind w:left="573"/>
              <w:rPr>
                <w:rFonts w:cs="Calibri"/>
                <w:b/>
              </w:rPr>
            </w:pP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Finance and insurance</w:t>
            </w:r>
          </w:p>
        </w:tc>
      </w:tr>
    </w:tbl>
    <w:p w:rsidR="00315A04" w:rsidRPr="00AC183E" w:rsidRDefault="00315A04" w:rsidP="00AC183E">
      <w:pPr>
        <w:pStyle w:val="FigureCaption"/>
        <w:rPr>
          <w:rFonts w:eastAsia="Calibri"/>
        </w:rPr>
      </w:pPr>
      <w:proofErr w:type="gramStart"/>
      <w:r w:rsidRPr="00AC183E">
        <w:rPr>
          <w:rFonts w:eastAsia="Calibri"/>
        </w:rPr>
        <w:t>Figure 9.</w:t>
      </w:r>
      <w:proofErr w:type="gramEnd"/>
      <w:r w:rsidRPr="00AC183E">
        <w:rPr>
          <w:rFonts w:eastAsia="Calibri"/>
        </w:rPr>
        <w:t xml:space="preserve"> Psychosocial Safety Climate in New South Wales (2010)</w:t>
      </w:r>
    </w:p>
    <w:p w:rsidR="008E4AAF" w:rsidRDefault="008E4AAF" w:rsidP="00B934B6">
      <w:pPr>
        <w:rPr>
          <w:rFonts w:eastAsia="Calibri"/>
          <w:noProof/>
        </w:rPr>
      </w:pPr>
      <w:r w:rsidRPr="00774B51">
        <w:rPr>
          <w:rFonts w:eastAsia="Calibri"/>
          <w:noProof/>
        </w:rPr>
        <w:t xml:space="preserve">The above results indicate levels of PSC </w:t>
      </w:r>
      <w:r>
        <w:rPr>
          <w:rFonts w:eastAsia="Calibri"/>
          <w:noProof/>
        </w:rPr>
        <w:t>in the</w:t>
      </w:r>
      <w:r w:rsidRPr="00774B51">
        <w:rPr>
          <w:rFonts w:eastAsia="Calibri"/>
          <w:noProof/>
        </w:rPr>
        <w:t xml:space="preserve"> </w:t>
      </w:r>
      <w:r>
        <w:rPr>
          <w:rFonts w:eastAsia="Calibri"/>
          <w:noProof/>
        </w:rPr>
        <w:t>high risk</w:t>
      </w:r>
      <w:r w:rsidRPr="00774B51">
        <w:rPr>
          <w:rFonts w:eastAsia="Calibri"/>
          <w:noProof/>
        </w:rPr>
        <w:t xml:space="preserve"> </w:t>
      </w:r>
      <w:r>
        <w:rPr>
          <w:rFonts w:eastAsia="Calibri"/>
          <w:noProof/>
        </w:rPr>
        <w:t>range</w:t>
      </w:r>
      <w:r w:rsidRPr="00774B51">
        <w:rPr>
          <w:rFonts w:eastAsia="Calibri"/>
          <w:noProof/>
        </w:rPr>
        <w:t xml:space="preserve"> </w:t>
      </w:r>
      <w:r>
        <w:rPr>
          <w:rFonts w:eastAsia="Calibri"/>
          <w:noProof/>
        </w:rPr>
        <w:t xml:space="preserve">for </w:t>
      </w:r>
      <w:r w:rsidRPr="00156806">
        <w:rPr>
          <w:rFonts w:eastAsia="Calibri"/>
          <w:noProof/>
        </w:rPr>
        <w:t>Transport and storage and</w:t>
      </w:r>
      <w:r>
        <w:rPr>
          <w:rFonts w:eastAsia="Calibri"/>
          <w:noProof/>
        </w:rPr>
        <w:t xml:space="preserve"> </w:t>
      </w:r>
      <w:r w:rsidRPr="00156806">
        <w:rPr>
          <w:rFonts w:eastAsia="Calibri"/>
          <w:noProof/>
        </w:rPr>
        <w:t>Wholesale trade</w:t>
      </w:r>
      <w:r>
        <w:rPr>
          <w:rFonts w:eastAsia="Calibri"/>
          <w:noProof/>
        </w:rPr>
        <w:t xml:space="preserve">. Some industries reported levels of PSC above the 2009-10 benchmark (41) with the majority scoring </w:t>
      </w:r>
      <w:r w:rsidR="00AC183E">
        <w:rPr>
          <w:rFonts w:eastAsia="Calibri"/>
          <w:noProof/>
        </w:rPr>
        <w:t>within the moderate risk zone.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8E4AAF" w:rsidRPr="00D10E4C" w:rsidTr="00B921BD">
        <w:tc>
          <w:tcPr>
            <w:tcW w:w="9180" w:type="dxa"/>
            <w:gridSpan w:val="2"/>
            <w:shd w:val="clear" w:color="auto" w:fill="auto"/>
            <w:vAlign w:val="center"/>
          </w:tcPr>
          <w:p w:rsidR="008E4AAF" w:rsidRPr="00880D1E" w:rsidRDefault="008E4AAF" w:rsidP="00B921BD">
            <w:pPr>
              <w:spacing w:before="120" w:after="120"/>
              <w:jc w:val="center"/>
              <w:rPr>
                <w:rFonts w:ascii="Tahoma" w:hAnsi="Tahoma" w:cs="Tahoma"/>
                <w:b/>
                <w:sz w:val="28"/>
                <w:szCs w:val="28"/>
              </w:rPr>
            </w:pPr>
            <w:r w:rsidRPr="00880D1E">
              <w:rPr>
                <w:rFonts w:ascii="Tahoma" w:hAnsi="Tahoma" w:cs="Tahoma"/>
                <w:b/>
                <w:sz w:val="28"/>
                <w:szCs w:val="28"/>
              </w:rPr>
              <w:t>A</w:t>
            </w:r>
            <w:r>
              <w:rPr>
                <w:rFonts w:ascii="Tahoma" w:hAnsi="Tahoma" w:cs="Tahoma"/>
                <w:b/>
                <w:sz w:val="28"/>
                <w:szCs w:val="28"/>
              </w:rPr>
              <w:t>ustralian Capital Territory (2011)</w:t>
            </w:r>
          </w:p>
        </w:tc>
      </w:tr>
      <w:tr w:rsidR="008E4AAF" w:rsidRPr="00074D9E" w:rsidTr="00B921BD">
        <w:tc>
          <w:tcPr>
            <w:tcW w:w="4644" w:type="dxa"/>
            <w:shd w:val="clear" w:color="auto" w:fill="000000"/>
            <w:vAlign w:val="center"/>
          </w:tcPr>
          <w:p w:rsidR="008E4AAF" w:rsidRPr="00880D1E" w:rsidRDefault="008E4AAF" w:rsidP="00B921BD">
            <w:pPr>
              <w:spacing w:before="120" w:after="120"/>
              <w:jc w:val="center"/>
              <w:rPr>
                <w:rFonts w:ascii="Tahoma" w:hAnsi="Tahoma" w:cs="Tahoma"/>
                <w:b/>
                <w:color w:val="FFFFFF"/>
                <w:sz w:val="28"/>
                <w:szCs w:val="28"/>
              </w:rPr>
            </w:pPr>
            <w:r w:rsidRPr="00880D1E">
              <w:rPr>
                <w:rFonts w:ascii="Tahoma" w:hAnsi="Tahoma" w:cs="Tahoma"/>
                <w:b/>
                <w:color w:val="FFFFFF"/>
                <w:sz w:val="28"/>
                <w:szCs w:val="28"/>
              </w:rPr>
              <w:t>Moderate PSC</w:t>
            </w:r>
          </w:p>
        </w:tc>
        <w:tc>
          <w:tcPr>
            <w:tcW w:w="4536" w:type="dxa"/>
            <w:shd w:val="clear" w:color="auto" w:fill="000000"/>
            <w:vAlign w:val="center"/>
          </w:tcPr>
          <w:p w:rsidR="008E4AAF" w:rsidRPr="00880D1E" w:rsidRDefault="008E4AAF" w:rsidP="00B921BD">
            <w:pPr>
              <w:spacing w:before="120" w:after="120"/>
              <w:jc w:val="center"/>
              <w:rPr>
                <w:rFonts w:ascii="Tahoma" w:hAnsi="Tahoma" w:cs="Tahoma"/>
                <w:b/>
                <w:color w:val="FFFFFF"/>
                <w:sz w:val="28"/>
                <w:szCs w:val="28"/>
              </w:rPr>
            </w:pPr>
            <w:r w:rsidRPr="00880D1E">
              <w:rPr>
                <w:rFonts w:ascii="Tahoma" w:hAnsi="Tahoma" w:cs="Tahoma"/>
                <w:b/>
                <w:color w:val="FFFFFF"/>
                <w:sz w:val="28"/>
                <w:szCs w:val="28"/>
              </w:rPr>
              <w:t>High PSC</w:t>
            </w:r>
          </w:p>
        </w:tc>
      </w:tr>
      <w:tr w:rsidR="008E4AAF" w:rsidRPr="00FF2C8F" w:rsidTr="00B921BD">
        <w:tc>
          <w:tcPr>
            <w:tcW w:w="4644" w:type="dxa"/>
            <w:shd w:val="clear" w:color="auto" w:fill="FFC000"/>
            <w:vAlign w:val="center"/>
          </w:tcPr>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Health and community services</w:t>
            </w:r>
          </w:p>
          <w:p w:rsidR="008E4AAF" w:rsidRPr="00FF2C8F" w:rsidRDefault="008E4AAF" w:rsidP="0023074F">
            <w:pPr>
              <w:pStyle w:val="ListParagraph"/>
              <w:numPr>
                <w:ilvl w:val="0"/>
                <w:numId w:val="11"/>
              </w:numPr>
              <w:spacing w:after="0" w:line="240" w:lineRule="auto"/>
              <w:ind w:left="596"/>
              <w:rPr>
                <w:rFonts w:cs="Calibri"/>
                <w:b/>
              </w:rPr>
            </w:pPr>
            <w:r w:rsidRPr="00FF2C8F">
              <w:rPr>
                <w:rFonts w:cs="Calibri"/>
                <w:b/>
              </w:rPr>
              <w:t>Education</w:t>
            </w:r>
          </w:p>
          <w:p w:rsidR="0044667A" w:rsidRDefault="008E4AAF" w:rsidP="0023074F">
            <w:pPr>
              <w:pStyle w:val="ListParagraph"/>
              <w:numPr>
                <w:ilvl w:val="0"/>
                <w:numId w:val="11"/>
              </w:numPr>
              <w:spacing w:after="0" w:line="240" w:lineRule="auto"/>
              <w:ind w:left="596"/>
              <w:rPr>
                <w:rFonts w:ascii="Tahoma" w:hAnsi="Tahoma" w:cs="Tahoma"/>
                <w:b/>
                <w:color w:val="000000"/>
              </w:rPr>
            </w:pPr>
            <w:r w:rsidRPr="00F430BE">
              <w:rPr>
                <w:rFonts w:cs="Calibri"/>
                <w:b/>
              </w:rPr>
              <w:t>Government administration and defence</w:t>
            </w:r>
          </w:p>
        </w:tc>
        <w:tc>
          <w:tcPr>
            <w:tcW w:w="4536" w:type="dxa"/>
            <w:shd w:val="clear" w:color="auto" w:fill="92D050"/>
            <w:vAlign w:val="center"/>
          </w:tcPr>
          <w:p w:rsidR="008E4AAF" w:rsidRPr="00C76348" w:rsidRDefault="008E4AAF" w:rsidP="00B921BD">
            <w:pPr>
              <w:pStyle w:val="ListParagraph"/>
              <w:spacing w:before="120" w:after="120" w:line="240" w:lineRule="auto"/>
              <w:ind w:left="573"/>
              <w:rPr>
                <w:rFonts w:cs="Calibri"/>
                <w:b/>
                <w:sz w:val="12"/>
                <w:szCs w:val="12"/>
              </w:rPr>
            </w:pPr>
          </w:p>
          <w:p w:rsidR="008E4AAF" w:rsidRPr="00FF2C8F" w:rsidRDefault="008E4AAF" w:rsidP="0023074F">
            <w:pPr>
              <w:pStyle w:val="ListParagraph"/>
              <w:numPr>
                <w:ilvl w:val="0"/>
                <w:numId w:val="11"/>
              </w:numPr>
              <w:spacing w:after="0" w:line="240" w:lineRule="auto"/>
              <w:ind w:left="596"/>
              <w:rPr>
                <w:rFonts w:cs="Calibri"/>
                <w:b/>
              </w:rPr>
            </w:pPr>
            <w:r w:rsidRPr="00FF2C8F">
              <w:rPr>
                <w:rFonts w:cs="Calibri"/>
                <w:b/>
              </w:rPr>
              <w:t>Communications services</w:t>
            </w:r>
          </w:p>
          <w:p w:rsidR="008E4AAF" w:rsidRPr="00FF2C8F" w:rsidRDefault="008E4AAF" w:rsidP="0023074F">
            <w:pPr>
              <w:pStyle w:val="ListParagraph"/>
              <w:numPr>
                <w:ilvl w:val="0"/>
                <w:numId w:val="11"/>
              </w:numPr>
              <w:spacing w:before="120" w:after="120" w:line="240" w:lineRule="auto"/>
              <w:ind w:left="573"/>
              <w:rPr>
                <w:rFonts w:cs="Calibri"/>
                <w:b/>
              </w:rPr>
            </w:pPr>
            <w:r w:rsidRPr="00FF2C8F">
              <w:rPr>
                <w:rFonts w:cs="Calibri"/>
                <w:b/>
              </w:rPr>
              <w:t>Personal and other services</w:t>
            </w:r>
          </w:p>
          <w:p w:rsidR="0044667A" w:rsidRDefault="008E4AAF" w:rsidP="0023074F">
            <w:pPr>
              <w:pStyle w:val="ListParagraph"/>
              <w:numPr>
                <w:ilvl w:val="0"/>
                <w:numId w:val="11"/>
              </w:numPr>
              <w:spacing w:before="120" w:after="120" w:line="240" w:lineRule="auto"/>
              <w:ind w:left="573"/>
              <w:rPr>
                <w:rFonts w:ascii="Tahoma" w:hAnsi="Tahoma" w:cs="Tahoma"/>
                <w:b/>
                <w:color w:val="000000"/>
              </w:rPr>
            </w:pPr>
            <w:r w:rsidRPr="00FF2C8F">
              <w:rPr>
                <w:rFonts w:cs="Calibri"/>
                <w:b/>
              </w:rPr>
              <w:t>Retail trade</w:t>
            </w:r>
          </w:p>
        </w:tc>
      </w:tr>
    </w:tbl>
    <w:p w:rsidR="00315A04" w:rsidRPr="00AC183E" w:rsidRDefault="00315A04" w:rsidP="00AC183E">
      <w:pPr>
        <w:pStyle w:val="FigureCaption"/>
        <w:rPr>
          <w:rFonts w:eastAsia="Calibri"/>
        </w:rPr>
      </w:pPr>
      <w:proofErr w:type="gramStart"/>
      <w:r w:rsidRPr="00AC183E">
        <w:rPr>
          <w:rFonts w:eastAsia="Calibri"/>
        </w:rPr>
        <w:t>Figure 10.</w:t>
      </w:r>
      <w:proofErr w:type="gramEnd"/>
      <w:r w:rsidRPr="00AC183E">
        <w:rPr>
          <w:rFonts w:eastAsia="Calibri"/>
        </w:rPr>
        <w:t xml:space="preserve"> Psychosocial Safety Climate in Australian Capital Territory</w:t>
      </w:r>
    </w:p>
    <w:p w:rsidR="008E4AAF" w:rsidRDefault="008E4AAF" w:rsidP="00B934B6">
      <w:pPr>
        <w:rPr>
          <w:rFonts w:eastAsia="Calibri"/>
          <w:noProof/>
        </w:rPr>
      </w:pPr>
      <w:r w:rsidRPr="00437685">
        <w:rPr>
          <w:rFonts w:eastAsia="Calibri"/>
          <w:noProof/>
        </w:rPr>
        <w:t xml:space="preserve">In </w:t>
      </w:r>
      <w:r>
        <w:rPr>
          <w:rFonts w:eastAsia="Calibri"/>
          <w:noProof/>
        </w:rPr>
        <w:t xml:space="preserve">the </w:t>
      </w:r>
      <w:r w:rsidRPr="00437685">
        <w:rPr>
          <w:rFonts w:eastAsia="Calibri"/>
          <w:noProof/>
        </w:rPr>
        <w:t>ACT</w:t>
      </w:r>
      <w:r>
        <w:rPr>
          <w:rFonts w:eastAsia="Calibri"/>
          <w:noProof/>
        </w:rPr>
        <w:t xml:space="preserve"> </w:t>
      </w:r>
      <w:r w:rsidR="00F430BE">
        <w:rPr>
          <w:rFonts w:eastAsia="Calibri"/>
          <w:noProof/>
        </w:rPr>
        <w:t>industries were balanced in terms of</w:t>
      </w:r>
      <w:r>
        <w:rPr>
          <w:rFonts w:eastAsia="Calibri"/>
          <w:noProof/>
        </w:rPr>
        <w:t xml:space="preserve"> PSC levels above</w:t>
      </w:r>
      <w:r w:rsidR="00F430BE">
        <w:rPr>
          <w:rFonts w:eastAsia="Calibri"/>
          <w:noProof/>
        </w:rPr>
        <w:t xml:space="preserve"> and below</w:t>
      </w:r>
      <w:r>
        <w:rPr>
          <w:rFonts w:eastAsia="Calibri"/>
          <w:noProof/>
        </w:rPr>
        <w:t xml:space="preserve"> 41</w:t>
      </w:r>
      <w:r w:rsidR="00F430BE">
        <w:rPr>
          <w:rFonts w:eastAsia="Calibri"/>
          <w:noProof/>
        </w:rPr>
        <w:t xml:space="preserve">. </w:t>
      </w:r>
      <w:r>
        <w:rPr>
          <w:rFonts w:eastAsia="Calibri"/>
          <w:noProof/>
        </w:rPr>
        <w:t>A number of industries did not have enough participants representing them to be included in these scores.</w:t>
      </w:r>
      <w:r w:rsidRPr="00437685">
        <w:rPr>
          <w:rFonts w:eastAsia="Calibri"/>
          <w:noProof/>
        </w:rPr>
        <w:t xml:space="preserve"> </w:t>
      </w:r>
    </w:p>
    <w:p w:rsidR="00611178" w:rsidRDefault="00611178">
      <w:pPr>
        <w:spacing w:after="0" w:line="240" w:lineRule="auto"/>
        <w:rPr>
          <w:rFonts w:ascii="Calibri" w:eastAsia="Calibri" w:hAnsi="Calibri" w:cs="Calibri"/>
          <w:noProof/>
          <w:szCs w:val="22"/>
        </w:rPr>
      </w:pPr>
      <w:r>
        <w:rPr>
          <w:rFonts w:ascii="Calibri" w:eastAsia="Calibri" w:hAnsi="Calibri" w:cs="Calibri"/>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119"/>
        <w:gridCol w:w="3038"/>
      </w:tblGrid>
      <w:tr w:rsidR="008E4AAF" w:rsidRPr="00FF2C8F" w:rsidTr="00B921BD">
        <w:tc>
          <w:tcPr>
            <w:tcW w:w="9242" w:type="dxa"/>
            <w:gridSpan w:val="3"/>
            <w:shd w:val="clear" w:color="auto" w:fill="auto"/>
          </w:tcPr>
          <w:p w:rsidR="008E4AAF" w:rsidRPr="00FF2C8F" w:rsidRDefault="008E4AAF" w:rsidP="00B921BD">
            <w:pPr>
              <w:spacing w:before="120" w:after="120"/>
              <w:jc w:val="center"/>
              <w:rPr>
                <w:rFonts w:ascii="Tahoma" w:hAnsi="Tahoma" w:cs="Tahoma"/>
                <w:b/>
                <w:sz w:val="28"/>
                <w:szCs w:val="28"/>
              </w:rPr>
            </w:pPr>
            <w:r w:rsidRPr="00FF2C8F">
              <w:rPr>
                <w:rFonts w:ascii="Tahoma" w:hAnsi="Tahoma" w:cs="Tahoma"/>
                <w:b/>
                <w:sz w:val="28"/>
                <w:szCs w:val="28"/>
              </w:rPr>
              <w:lastRenderedPageBreak/>
              <w:t>Tas</w:t>
            </w:r>
            <w:r>
              <w:rPr>
                <w:rFonts w:ascii="Tahoma" w:hAnsi="Tahoma" w:cs="Tahoma"/>
                <w:b/>
                <w:sz w:val="28"/>
                <w:szCs w:val="28"/>
              </w:rPr>
              <w:t>mania (2011)</w:t>
            </w:r>
          </w:p>
        </w:tc>
      </w:tr>
      <w:tr w:rsidR="008E4AAF" w:rsidRPr="00FF2C8F" w:rsidTr="00B921BD">
        <w:tc>
          <w:tcPr>
            <w:tcW w:w="3085" w:type="dxa"/>
            <w:shd w:val="clear" w:color="auto" w:fill="000000"/>
            <w:vAlign w:val="center"/>
          </w:tcPr>
          <w:p w:rsidR="008E4AAF" w:rsidRPr="00FF2C8F" w:rsidRDefault="008E4AAF" w:rsidP="00B921BD">
            <w:pPr>
              <w:spacing w:before="120" w:after="120"/>
              <w:jc w:val="center"/>
              <w:rPr>
                <w:rFonts w:ascii="Tahoma" w:hAnsi="Tahoma" w:cs="Tahoma"/>
                <w:b/>
                <w:color w:val="FFFFFF"/>
                <w:sz w:val="28"/>
                <w:szCs w:val="28"/>
              </w:rPr>
            </w:pPr>
            <w:r w:rsidRPr="00FF2C8F">
              <w:rPr>
                <w:rFonts w:ascii="Tahoma" w:hAnsi="Tahoma" w:cs="Tahoma"/>
                <w:b/>
                <w:color w:val="FFFFFF"/>
                <w:sz w:val="28"/>
                <w:szCs w:val="28"/>
              </w:rPr>
              <w:t>Low PSC</w:t>
            </w:r>
          </w:p>
        </w:tc>
        <w:tc>
          <w:tcPr>
            <w:tcW w:w="3119" w:type="dxa"/>
            <w:shd w:val="clear" w:color="auto" w:fill="000000"/>
            <w:vAlign w:val="center"/>
          </w:tcPr>
          <w:p w:rsidR="008E4AAF" w:rsidRPr="00FF2C8F" w:rsidRDefault="008E4AAF" w:rsidP="00B921BD">
            <w:pPr>
              <w:spacing w:before="120" w:after="120"/>
              <w:jc w:val="center"/>
              <w:rPr>
                <w:rFonts w:ascii="Tahoma" w:hAnsi="Tahoma" w:cs="Tahoma"/>
                <w:b/>
                <w:color w:val="FFFFFF"/>
                <w:sz w:val="28"/>
                <w:szCs w:val="28"/>
              </w:rPr>
            </w:pPr>
            <w:r w:rsidRPr="00FF2C8F">
              <w:rPr>
                <w:rFonts w:ascii="Tahoma" w:hAnsi="Tahoma" w:cs="Tahoma"/>
                <w:b/>
                <w:color w:val="FFFFFF"/>
                <w:sz w:val="28"/>
                <w:szCs w:val="28"/>
              </w:rPr>
              <w:t>Moderate PSC</w:t>
            </w:r>
          </w:p>
        </w:tc>
        <w:tc>
          <w:tcPr>
            <w:tcW w:w="3038" w:type="dxa"/>
            <w:shd w:val="clear" w:color="auto" w:fill="000000"/>
            <w:vAlign w:val="center"/>
          </w:tcPr>
          <w:p w:rsidR="008E4AAF" w:rsidRPr="00FF2C8F" w:rsidRDefault="008E4AAF" w:rsidP="00B921BD">
            <w:pPr>
              <w:spacing w:before="120" w:after="120"/>
              <w:jc w:val="center"/>
              <w:rPr>
                <w:rFonts w:ascii="Tahoma" w:hAnsi="Tahoma" w:cs="Tahoma"/>
                <w:b/>
                <w:color w:val="FFFFFF"/>
                <w:sz w:val="28"/>
                <w:szCs w:val="28"/>
              </w:rPr>
            </w:pPr>
            <w:r w:rsidRPr="00FF2C8F">
              <w:rPr>
                <w:rFonts w:ascii="Tahoma" w:hAnsi="Tahoma" w:cs="Tahoma"/>
                <w:b/>
                <w:color w:val="FFFFFF"/>
                <w:sz w:val="28"/>
                <w:szCs w:val="28"/>
              </w:rPr>
              <w:t>High PSC</w:t>
            </w:r>
          </w:p>
        </w:tc>
      </w:tr>
      <w:tr w:rsidR="008E4AAF" w:rsidRPr="00FF2C8F" w:rsidTr="00B921BD">
        <w:tc>
          <w:tcPr>
            <w:tcW w:w="3085" w:type="dxa"/>
            <w:shd w:val="clear" w:color="auto" w:fill="FF6D6D"/>
            <w:vAlign w:val="center"/>
          </w:tcPr>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Personal and other services</w:t>
            </w:r>
          </w:p>
          <w:p w:rsidR="008E4AAF" w:rsidRPr="00FF2C8F" w:rsidRDefault="008E4AAF" w:rsidP="0023074F">
            <w:pPr>
              <w:pStyle w:val="ListParagraph"/>
              <w:numPr>
                <w:ilvl w:val="0"/>
                <w:numId w:val="12"/>
              </w:numPr>
              <w:spacing w:before="120" w:after="0" w:line="240" w:lineRule="auto"/>
              <w:ind w:left="567"/>
              <w:rPr>
                <w:rFonts w:cs="Calibri"/>
                <w:b/>
              </w:rPr>
            </w:pPr>
            <w:r w:rsidRPr="00FF2C8F">
              <w:rPr>
                <w:rFonts w:cs="Calibri"/>
                <w:b/>
              </w:rPr>
              <w:t>Transport and storage</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Electricity, gas and water supply</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Accommodation, cafes and restaurants</w:t>
            </w:r>
          </w:p>
          <w:p w:rsidR="008E4AAF" w:rsidRPr="00FF2C8F" w:rsidRDefault="008E4AAF" w:rsidP="00B921BD">
            <w:pPr>
              <w:pStyle w:val="ListParagraph"/>
              <w:ind w:left="426"/>
              <w:rPr>
                <w:rFonts w:ascii="Tahoma" w:hAnsi="Tahoma" w:cs="Tahoma"/>
                <w:b/>
                <w:color w:val="000000"/>
              </w:rPr>
            </w:pPr>
          </w:p>
        </w:tc>
        <w:tc>
          <w:tcPr>
            <w:tcW w:w="3119" w:type="dxa"/>
            <w:shd w:val="clear" w:color="auto" w:fill="FFC000"/>
            <w:vAlign w:val="center"/>
          </w:tcPr>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Manufacturing</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Education</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 xml:space="preserve">Health and community services </w:t>
            </w:r>
          </w:p>
          <w:p w:rsidR="008E4AAF" w:rsidRPr="00FF2C8F" w:rsidRDefault="008E4AAF" w:rsidP="00B921BD">
            <w:pPr>
              <w:pStyle w:val="ListParagraph"/>
              <w:spacing w:before="120" w:after="120" w:line="240" w:lineRule="auto"/>
              <w:ind w:left="567"/>
              <w:rPr>
                <w:rFonts w:cs="Calibri"/>
                <w:b/>
              </w:rPr>
            </w:pPr>
          </w:p>
        </w:tc>
        <w:tc>
          <w:tcPr>
            <w:tcW w:w="3038" w:type="dxa"/>
            <w:shd w:val="clear" w:color="auto" w:fill="92D050"/>
            <w:vAlign w:val="center"/>
          </w:tcPr>
          <w:p w:rsidR="008E4AAF" w:rsidRPr="00B42942" w:rsidRDefault="008E4AAF" w:rsidP="00B921BD">
            <w:pPr>
              <w:pStyle w:val="ListParagraph"/>
              <w:spacing w:before="120" w:after="120" w:line="240" w:lineRule="auto"/>
              <w:ind w:left="567"/>
              <w:rPr>
                <w:rFonts w:cs="Calibri"/>
                <w:b/>
                <w:sz w:val="12"/>
                <w:szCs w:val="12"/>
              </w:rPr>
            </w:pP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 xml:space="preserve">Retail trade </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Government administration and defence</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Construction</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Property and business services</w:t>
            </w:r>
          </w:p>
          <w:p w:rsidR="008E4AAF" w:rsidRPr="00FF2C8F" w:rsidRDefault="008E4AAF" w:rsidP="0023074F">
            <w:pPr>
              <w:pStyle w:val="ListParagraph"/>
              <w:numPr>
                <w:ilvl w:val="0"/>
                <w:numId w:val="12"/>
              </w:numPr>
              <w:spacing w:before="120" w:after="120" w:line="240" w:lineRule="auto"/>
              <w:ind w:left="567"/>
              <w:rPr>
                <w:rFonts w:cs="Calibri"/>
                <w:b/>
              </w:rPr>
            </w:pPr>
            <w:r w:rsidRPr="00FF2C8F">
              <w:rPr>
                <w:rFonts w:cs="Calibri"/>
                <w:b/>
              </w:rPr>
              <w:t>Agriculture, forestry and fishing</w:t>
            </w:r>
          </w:p>
          <w:p w:rsidR="008E4AAF" w:rsidRPr="00FF2C8F" w:rsidRDefault="008E4AAF" w:rsidP="0023074F">
            <w:pPr>
              <w:pStyle w:val="ListParagraph"/>
              <w:numPr>
                <w:ilvl w:val="0"/>
                <w:numId w:val="12"/>
              </w:numPr>
              <w:spacing w:before="120" w:after="120" w:line="360" w:lineRule="auto"/>
              <w:ind w:left="567"/>
              <w:contextualSpacing w:val="0"/>
              <w:rPr>
                <w:rFonts w:cs="Calibri"/>
                <w:b/>
              </w:rPr>
            </w:pPr>
            <w:r w:rsidRPr="00FF2C8F">
              <w:rPr>
                <w:rFonts w:cs="Calibri"/>
                <w:b/>
              </w:rPr>
              <w:t>Finance and insurance</w:t>
            </w:r>
          </w:p>
        </w:tc>
      </w:tr>
    </w:tbl>
    <w:p w:rsidR="00315A04" w:rsidRPr="00611178" w:rsidRDefault="00315A04" w:rsidP="00AC183E">
      <w:pPr>
        <w:pStyle w:val="FigureCaption"/>
        <w:rPr>
          <w:rFonts w:eastAsia="Calibri"/>
          <w:noProof/>
        </w:rPr>
      </w:pPr>
      <w:r w:rsidRPr="00FB1790">
        <w:rPr>
          <w:rFonts w:eastAsia="Calibri"/>
          <w:noProof/>
        </w:rPr>
        <w:t>Figure 11. Psychosocial</w:t>
      </w:r>
      <w:r w:rsidRPr="00611178">
        <w:rPr>
          <w:rFonts w:eastAsia="Calibri"/>
          <w:noProof/>
        </w:rPr>
        <w:t xml:space="preserve"> Safety Climate in Tasmania</w:t>
      </w:r>
    </w:p>
    <w:p w:rsidR="008E4AAF" w:rsidRDefault="008E4AAF" w:rsidP="00B934B6">
      <w:pPr>
        <w:rPr>
          <w:rFonts w:eastAsia="Calibri"/>
          <w:noProof/>
        </w:rPr>
      </w:pPr>
      <w:r>
        <w:rPr>
          <w:rFonts w:eastAsia="Calibri"/>
          <w:noProof/>
        </w:rPr>
        <w:t>For</w:t>
      </w:r>
      <w:r w:rsidRPr="00437685">
        <w:rPr>
          <w:rFonts w:eastAsia="Calibri"/>
          <w:noProof/>
        </w:rPr>
        <w:t xml:space="preserve"> Tasmania</w:t>
      </w:r>
      <w:r>
        <w:rPr>
          <w:rFonts w:eastAsia="Calibri"/>
          <w:noProof/>
        </w:rPr>
        <w:t xml:space="preserve"> a number of industries scored in the lower PSC threshold sugge</w:t>
      </w:r>
      <w:r w:rsidR="002E566B">
        <w:rPr>
          <w:rFonts w:eastAsia="Calibri"/>
          <w:noProof/>
        </w:rPr>
        <w:t>s</w:t>
      </w:r>
      <w:r>
        <w:rPr>
          <w:rFonts w:eastAsia="Calibri"/>
          <w:noProof/>
        </w:rPr>
        <w:t>ting higher levels of risk of poor health an</w:t>
      </w:r>
      <w:r w:rsidR="006B273A">
        <w:rPr>
          <w:rFonts w:eastAsia="Calibri"/>
          <w:noProof/>
        </w:rPr>
        <w:t xml:space="preserve">d wellbeing for these workers. </w:t>
      </w:r>
      <w:r>
        <w:rPr>
          <w:rFonts w:eastAsia="Calibri"/>
          <w:noProof/>
        </w:rPr>
        <w:t>In contrast, many industries reported levels of PSC higher than the 2009-10 benchmark suggesting</w:t>
      </w:r>
      <w:r w:rsidR="00B921BD">
        <w:rPr>
          <w:rFonts w:eastAsia="Calibri"/>
          <w:noProof/>
        </w:rPr>
        <w:t xml:space="preserve"> more</w:t>
      </w:r>
      <w:r w:rsidR="002E566B">
        <w:rPr>
          <w:rFonts w:eastAsia="Calibri"/>
          <w:noProof/>
        </w:rPr>
        <w:t xml:space="preserve"> positiv</w:t>
      </w:r>
      <w:r>
        <w:rPr>
          <w:rFonts w:eastAsia="Calibri"/>
          <w:noProof/>
        </w:rPr>
        <w:t>e outcomes for these workers</w:t>
      </w:r>
      <w:r w:rsidR="002E566B">
        <w:rPr>
          <w:rFonts w:eastAsia="Calibri"/>
          <w:noProof/>
        </w:rPr>
        <w:t>.</w:t>
      </w:r>
      <w:r w:rsidR="00FA36D4">
        <w:rPr>
          <w:rFonts w:eastAsia="Calibri"/>
          <w:noProof/>
        </w:rPr>
        <w:t xml:space="preserve"> A few industries are not included due to having less than </w:t>
      </w:r>
      <w:r w:rsidR="00B11005">
        <w:rPr>
          <w:rFonts w:eastAsia="Calibri"/>
          <w:noProof/>
        </w:rPr>
        <w:t>10 </w:t>
      </w:r>
      <w:r w:rsidR="00FA36D4">
        <w:rPr>
          <w:rFonts w:eastAsia="Calibri"/>
          <w:noProof/>
        </w:rPr>
        <w:t>respondents.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4A0791" w:rsidRPr="00D10E4C" w:rsidTr="0064550B">
        <w:tc>
          <w:tcPr>
            <w:tcW w:w="9180" w:type="dxa"/>
            <w:gridSpan w:val="2"/>
            <w:tcBorders>
              <w:top w:val="single" w:sz="4" w:space="0" w:color="auto"/>
              <w:left w:val="single" w:sz="4" w:space="0" w:color="auto"/>
              <w:bottom w:val="single" w:sz="4" w:space="0" w:color="auto"/>
              <w:right w:val="single" w:sz="4" w:space="0" w:color="auto"/>
            </w:tcBorders>
            <w:shd w:val="clear" w:color="auto" w:fill="auto"/>
          </w:tcPr>
          <w:p w:rsidR="0044667A" w:rsidRDefault="004A0791" w:rsidP="00013215">
            <w:pPr>
              <w:spacing w:before="120" w:after="120"/>
              <w:jc w:val="center"/>
              <w:rPr>
                <w:rFonts w:ascii="Tahoma" w:hAnsi="Tahoma" w:cs="Tahoma"/>
                <w:b/>
                <w:sz w:val="28"/>
                <w:szCs w:val="28"/>
                <w:lang w:eastAsia="en-US"/>
              </w:rPr>
            </w:pPr>
            <w:r>
              <w:rPr>
                <w:rFonts w:ascii="Tahoma" w:hAnsi="Tahoma" w:cs="Tahoma"/>
                <w:b/>
                <w:sz w:val="28"/>
                <w:szCs w:val="28"/>
              </w:rPr>
              <w:t>Northern Territory (2011)</w:t>
            </w:r>
          </w:p>
        </w:tc>
      </w:tr>
      <w:tr w:rsidR="004A0791" w:rsidRPr="00074D9E" w:rsidTr="00897A0A">
        <w:tc>
          <w:tcPr>
            <w:tcW w:w="4644" w:type="dxa"/>
            <w:shd w:val="clear" w:color="auto" w:fill="000000"/>
            <w:vAlign w:val="center"/>
          </w:tcPr>
          <w:p w:rsidR="004A0791" w:rsidRPr="00880D1E" w:rsidRDefault="004A0791" w:rsidP="00897A0A">
            <w:pPr>
              <w:spacing w:before="120" w:after="120"/>
              <w:jc w:val="center"/>
              <w:rPr>
                <w:rFonts w:ascii="Tahoma" w:hAnsi="Tahoma" w:cs="Tahoma"/>
                <w:b/>
                <w:color w:val="FFFFFF"/>
                <w:sz w:val="28"/>
                <w:szCs w:val="28"/>
              </w:rPr>
            </w:pPr>
            <w:r>
              <w:rPr>
                <w:rFonts w:ascii="Tahoma" w:hAnsi="Tahoma" w:cs="Tahoma"/>
                <w:b/>
                <w:color w:val="FFFFFF"/>
                <w:sz w:val="28"/>
                <w:szCs w:val="28"/>
              </w:rPr>
              <w:t>Low</w:t>
            </w:r>
            <w:r w:rsidRPr="00880D1E">
              <w:rPr>
                <w:rFonts w:ascii="Tahoma" w:hAnsi="Tahoma" w:cs="Tahoma"/>
                <w:b/>
                <w:color w:val="FFFFFF"/>
                <w:sz w:val="28"/>
                <w:szCs w:val="28"/>
              </w:rPr>
              <w:t xml:space="preserve"> PSC</w:t>
            </w:r>
          </w:p>
        </w:tc>
        <w:tc>
          <w:tcPr>
            <w:tcW w:w="4536" w:type="dxa"/>
            <w:shd w:val="clear" w:color="auto" w:fill="000000"/>
            <w:vAlign w:val="center"/>
          </w:tcPr>
          <w:p w:rsidR="004A0791" w:rsidRPr="00880D1E" w:rsidRDefault="004A0791" w:rsidP="00897A0A">
            <w:pPr>
              <w:spacing w:before="120" w:after="120"/>
              <w:jc w:val="center"/>
              <w:rPr>
                <w:rFonts w:ascii="Tahoma" w:hAnsi="Tahoma" w:cs="Tahoma"/>
                <w:b/>
                <w:color w:val="FFFFFF"/>
                <w:sz w:val="28"/>
                <w:szCs w:val="28"/>
              </w:rPr>
            </w:pPr>
            <w:r>
              <w:rPr>
                <w:rFonts w:ascii="Tahoma" w:hAnsi="Tahoma" w:cs="Tahoma"/>
                <w:b/>
                <w:color w:val="FFFFFF"/>
                <w:sz w:val="28"/>
                <w:szCs w:val="28"/>
              </w:rPr>
              <w:t>Moderate</w:t>
            </w:r>
            <w:r w:rsidRPr="00880D1E">
              <w:rPr>
                <w:rFonts w:ascii="Tahoma" w:hAnsi="Tahoma" w:cs="Tahoma"/>
                <w:b/>
                <w:color w:val="FFFFFF"/>
                <w:sz w:val="28"/>
                <w:szCs w:val="28"/>
              </w:rPr>
              <w:t xml:space="preserve"> PSC</w:t>
            </w:r>
          </w:p>
        </w:tc>
      </w:tr>
      <w:tr w:rsidR="004A0791" w:rsidRPr="00FF2C8F" w:rsidTr="00306E4F">
        <w:tc>
          <w:tcPr>
            <w:tcW w:w="4644" w:type="dxa"/>
            <w:shd w:val="clear" w:color="auto" w:fill="FF6D6D"/>
            <w:vAlign w:val="center"/>
          </w:tcPr>
          <w:p w:rsidR="004A0791" w:rsidRPr="00FF2C8F" w:rsidRDefault="004A0791" w:rsidP="0023074F">
            <w:pPr>
              <w:pStyle w:val="ListParagraph"/>
              <w:numPr>
                <w:ilvl w:val="0"/>
                <w:numId w:val="11"/>
              </w:numPr>
              <w:spacing w:before="120" w:after="120" w:line="240" w:lineRule="auto"/>
              <w:ind w:left="573"/>
              <w:rPr>
                <w:rFonts w:cs="Calibri"/>
                <w:b/>
              </w:rPr>
            </w:pPr>
            <w:r w:rsidRPr="00FF2C8F">
              <w:rPr>
                <w:rFonts w:cs="Calibri"/>
                <w:b/>
              </w:rPr>
              <w:t>Health and community services</w:t>
            </w:r>
          </w:p>
          <w:p w:rsidR="0044667A" w:rsidRDefault="0044667A" w:rsidP="00013215">
            <w:pPr>
              <w:pStyle w:val="ListParagraph"/>
              <w:spacing w:after="0" w:line="240" w:lineRule="auto"/>
              <w:ind w:left="596"/>
              <w:rPr>
                <w:rFonts w:ascii="Tahoma" w:hAnsi="Tahoma" w:cs="Tahoma"/>
                <w:b/>
                <w:color w:val="000000"/>
              </w:rPr>
            </w:pPr>
          </w:p>
        </w:tc>
        <w:tc>
          <w:tcPr>
            <w:tcW w:w="4536" w:type="dxa"/>
            <w:shd w:val="clear" w:color="auto" w:fill="FFC000"/>
            <w:vAlign w:val="center"/>
          </w:tcPr>
          <w:p w:rsidR="004A0791" w:rsidRPr="00C76348" w:rsidRDefault="004A0791" w:rsidP="00897A0A">
            <w:pPr>
              <w:pStyle w:val="ListParagraph"/>
              <w:spacing w:before="120" w:after="120" w:line="240" w:lineRule="auto"/>
              <w:ind w:left="573"/>
              <w:rPr>
                <w:rFonts w:cs="Calibri"/>
                <w:b/>
                <w:sz w:val="12"/>
                <w:szCs w:val="12"/>
              </w:rPr>
            </w:pPr>
          </w:p>
          <w:p w:rsidR="004A0791" w:rsidRPr="00FF2C8F" w:rsidRDefault="004A0791" w:rsidP="0023074F">
            <w:pPr>
              <w:pStyle w:val="ListParagraph"/>
              <w:numPr>
                <w:ilvl w:val="0"/>
                <w:numId w:val="11"/>
              </w:numPr>
              <w:spacing w:before="120" w:after="120" w:line="240" w:lineRule="auto"/>
              <w:ind w:left="573"/>
              <w:rPr>
                <w:rFonts w:cs="Calibri"/>
                <w:b/>
              </w:rPr>
            </w:pPr>
            <w:r w:rsidRPr="00FF2C8F">
              <w:rPr>
                <w:rFonts w:cs="Calibri"/>
                <w:b/>
              </w:rPr>
              <w:t>Education</w:t>
            </w:r>
          </w:p>
          <w:p w:rsidR="0044667A" w:rsidRDefault="004A0791" w:rsidP="0023074F">
            <w:pPr>
              <w:pStyle w:val="ListParagraph"/>
              <w:numPr>
                <w:ilvl w:val="0"/>
                <w:numId w:val="11"/>
              </w:numPr>
              <w:spacing w:before="120" w:after="240" w:line="240" w:lineRule="auto"/>
              <w:ind w:left="573"/>
              <w:rPr>
                <w:rFonts w:ascii="Tahoma" w:hAnsi="Tahoma" w:cs="Tahoma"/>
                <w:b/>
                <w:color w:val="000000"/>
              </w:rPr>
            </w:pPr>
            <w:r w:rsidRPr="00FF2C8F">
              <w:rPr>
                <w:rFonts w:cs="Calibri"/>
                <w:b/>
              </w:rPr>
              <w:t>Government administration and defence</w:t>
            </w:r>
          </w:p>
        </w:tc>
      </w:tr>
    </w:tbl>
    <w:p w:rsidR="00315A04" w:rsidRPr="00611178" w:rsidRDefault="00315A04" w:rsidP="00AC183E">
      <w:pPr>
        <w:pStyle w:val="FigureCaption"/>
        <w:rPr>
          <w:rFonts w:eastAsia="Calibri"/>
          <w:noProof/>
        </w:rPr>
      </w:pPr>
      <w:r w:rsidRPr="00FB1790">
        <w:rPr>
          <w:rFonts w:eastAsia="Calibri"/>
          <w:noProof/>
        </w:rPr>
        <w:t>Figure 12. Psychosocial</w:t>
      </w:r>
      <w:r w:rsidRPr="00611178">
        <w:rPr>
          <w:rFonts w:eastAsia="Calibri"/>
          <w:noProof/>
        </w:rPr>
        <w:t xml:space="preserve"> Safety Climate in the Northern Territory</w:t>
      </w:r>
    </w:p>
    <w:p w:rsidR="008E4AAF" w:rsidRDefault="008E4AAF" w:rsidP="00B934B6">
      <w:pPr>
        <w:rPr>
          <w:rFonts w:eastAsia="Calibri"/>
          <w:noProof/>
          <w:szCs w:val="22"/>
        </w:rPr>
      </w:pPr>
      <w:r>
        <w:rPr>
          <w:rFonts w:eastAsia="Calibri"/>
          <w:noProof/>
          <w:szCs w:val="22"/>
        </w:rPr>
        <w:t>Last,</w:t>
      </w:r>
      <w:r w:rsidRPr="00437685">
        <w:rPr>
          <w:rFonts w:eastAsia="Calibri"/>
          <w:noProof/>
          <w:szCs w:val="22"/>
        </w:rPr>
        <w:t xml:space="preserve"> in the </w:t>
      </w:r>
      <w:r w:rsidR="007E700B" w:rsidRPr="00013215">
        <w:t>NT Health and community services fell below the lower PSC benchmark of 37 with no industries reporting PSC levels above</w:t>
      </w:r>
      <w:r>
        <w:rPr>
          <w:rFonts w:eastAsia="Calibri"/>
          <w:noProof/>
          <w:szCs w:val="22"/>
        </w:rPr>
        <w:t xml:space="preserve"> the 2009-10 benchmark of 41</w:t>
      </w:r>
      <w:r w:rsidRPr="00437685">
        <w:rPr>
          <w:rFonts w:eastAsia="Calibri"/>
          <w:noProof/>
          <w:szCs w:val="22"/>
        </w:rPr>
        <w:t>.</w:t>
      </w:r>
      <w:r w:rsidR="00FA36D4">
        <w:rPr>
          <w:rFonts w:eastAsia="Calibri"/>
          <w:noProof/>
          <w:szCs w:val="22"/>
        </w:rPr>
        <w:t xml:space="preserve"> Many industries could not be included due to low numbes of participants.</w:t>
      </w:r>
    </w:p>
    <w:p w:rsidR="00167AE3" w:rsidRPr="00437685" w:rsidRDefault="00167AE3" w:rsidP="00167AE3">
      <w:pPr>
        <w:pStyle w:val="Heading2"/>
        <w:spacing w:before="100" w:beforeAutospacing="1" w:after="100" w:afterAutospacing="1"/>
      </w:pPr>
      <w:bookmarkStart w:id="72" w:name="_Toc343502439"/>
      <w:r>
        <w:t>High risk industries by demands, resources, and overall health</w:t>
      </w:r>
      <w:bookmarkEnd w:id="72"/>
    </w:p>
    <w:p w:rsidR="00FF2C8F" w:rsidRPr="00B934B6" w:rsidRDefault="00FF2C8F" w:rsidP="00990B0A">
      <w:pPr>
        <w:pStyle w:val="Quote"/>
      </w:pPr>
      <w:r w:rsidRPr="00B934B6">
        <w:t>“Th</w:t>
      </w:r>
      <w:r w:rsidR="00E634CA" w:rsidRPr="00B934B6">
        <w:t>ere are th</w:t>
      </w:r>
      <w:r w:rsidRPr="00B934B6">
        <w:t xml:space="preserve">ree high risk </w:t>
      </w:r>
      <w:r w:rsidR="00E634CA" w:rsidRPr="00B934B6">
        <w:t xml:space="preserve">industries </w:t>
      </w:r>
      <w:r w:rsidRPr="00B934B6">
        <w:t xml:space="preserve">across </w:t>
      </w:r>
      <w:r w:rsidR="00E634CA" w:rsidRPr="00B934B6">
        <w:t>the nation; they are</w:t>
      </w:r>
      <w:r w:rsidRPr="00B934B6">
        <w:t xml:space="preserve"> Transport and storage, Accommodation, cafes and restaurants and Health and community services </w:t>
      </w:r>
      <w:r w:rsidR="00E634CA" w:rsidRPr="00B934B6">
        <w:t>and</w:t>
      </w:r>
      <w:r w:rsidRPr="00B934B6">
        <w:t xml:space="preserve"> </w:t>
      </w:r>
      <w:r w:rsidR="00E634CA" w:rsidRPr="00B934B6">
        <w:t xml:space="preserve">they </w:t>
      </w:r>
      <w:r w:rsidRPr="00B934B6">
        <w:t>requir</w:t>
      </w:r>
      <w:r w:rsidR="00E634CA" w:rsidRPr="00B934B6">
        <w:t xml:space="preserve">e </w:t>
      </w:r>
      <w:r w:rsidRPr="00B934B6">
        <w:t>national strategies and campaigns for inju</w:t>
      </w:r>
      <w:r w:rsidR="004D27D1" w:rsidRPr="00B934B6">
        <w:t>ry prevention and interventions</w:t>
      </w:r>
      <w:r w:rsidR="00CF4470">
        <w:t>.</w:t>
      </w:r>
      <w:r w:rsidRPr="00B934B6">
        <w:t>”</w:t>
      </w:r>
    </w:p>
    <w:p w:rsidR="00167AE3" w:rsidRPr="00FE66CE" w:rsidRDefault="00167AE3" w:rsidP="00B934B6">
      <w:r w:rsidRPr="00FE66CE">
        <w:t>As psychosocial work conditions are often a function of job design and industry, it is likely that levels of psychosocial risks and hazards may fluctuate as a function of occupation and/or industry. By having an in-depth understanding of the unique characteristics of each industry type, researchers and organisational representatives will be better equipped to design tailored interventions to address psychosocial working conditions and to develop relevant best practice guidelines to maximise mental health outcomes for workers.</w:t>
      </w:r>
    </w:p>
    <w:p w:rsidR="00167AE3" w:rsidRPr="00FE66CE" w:rsidRDefault="00167AE3" w:rsidP="00B934B6">
      <w:r w:rsidRPr="00FE66CE">
        <w:lastRenderedPageBreak/>
        <w:t>Previous research has indicated that the experience of mental health concerns in the workplace differs according to industry, occupation and/or employment level (</w:t>
      </w:r>
      <w:r w:rsidRPr="001937E7">
        <w:t>B</w:t>
      </w:r>
      <w:r w:rsidR="001937E7" w:rsidRPr="001937E7">
        <w:rPr>
          <w:rStyle w:val="citation"/>
          <w:rFonts w:ascii="Calibri" w:hAnsi="Calibri" w:cs="Calibri"/>
          <w:szCs w:val="22"/>
        </w:rPr>
        <w:t>ü</w:t>
      </w:r>
      <w:r w:rsidRPr="001937E7">
        <w:t>ltman</w:t>
      </w:r>
      <w:r w:rsidRPr="00FE66CE">
        <w:t xml:space="preserve">n, Kant, van Amelsvoort, Van Den Brandt, </w:t>
      </w:r>
      <w:r w:rsidR="00E57979">
        <w:t>&amp; Kasl, 2001; Marchand, 2007; N</w:t>
      </w:r>
      <w:r w:rsidRPr="00FE66CE">
        <w:t>i</w:t>
      </w:r>
      <w:r w:rsidR="00E57979">
        <w:t>e</w:t>
      </w:r>
      <w:r w:rsidRPr="00FE66CE">
        <w:t>dhammer, Goldberg, Leclerc, Bugel, &amp; David, 1998; Weiclaw, Agerbo, Mortensen, &amp; Bonde, 2005). Caring, health care, manufacturing, wholesale trade and transportation industries have been identified as industries at higher risk of poorer mental health than the average working population, however unanimous support for which industries are the riskiest has not been demonstrated in the literature (Marchand, 2007; Weiclaw, et al., 2005).</w:t>
      </w:r>
    </w:p>
    <w:p w:rsidR="00424EB5" w:rsidRPr="00FE4AC7" w:rsidRDefault="000B043E" w:rsidP="00B934B6">
      <w:r>
        <w:t>W</w:t>
      </w:r>
      <w:r w:rsidR="00A119F5">
        <w:t>e conducted an a</w:t>
      </w:r>
      <w:r w:rsidR="00424EB5" w:rsidRPr="00FE4AC7">
        <w:t xml:space="preserve">nalysis of risk </w:t>
      </w:r>
      <w:r w:rsidR="00A119F5">
        <w:t xml:space="preserve">looking closer at demands, resources and health. This </w:t>
      </w:r>
      <w:r w:rsidR="00424EB5" w:rsidRPr="00FE4AC7">
        <w:t>was conducted across all six states</w:t>
      </w:r>
      <w:r w:rsidR="00DA0545" w:rsidRPr="001E72B3">
        <w:t xml:space="preserve"> and territories</w:t>
      </w:r>
      <w:r w:rsidR="00424EB5" w:rsidRPr="00FE4AC7">
        <w:t>, and further divided by industry. To identify industries at risk overall</w:t>
      </w:r>
      <w:r w:rsidR="007A7AE3">
        <w:t>,</w:t>
      </w:r>
      <w:r w:rsidR="00424EB5" w:rsidRPr="00FE4AC7">
        <w:t xml:space="preserve"> scores were generated by combining the z-scores of individual measures to provide a composite score for each of job demands, job resources, and overall health. Job demands have been reverse coded so that high scores reflect lower levels of job demands, hence the key is relabelled to ‘low demands’. This permits easy interpretation of the bar graphs as higher levels of each of the three measures indicates favourable working conditions. Job demands were computed using total z-scores for harassment, bullying, organisational change, and work-family conflict, as well as </w:t>
      </w:r>
      <w:r w:rsidR="001E6353">
        <w:t>work pressure</w:t>
      </w:r>
      <w:r w:rsidR="00424EB5" w:rsidRPr="00FE4AC7">
        <w:t xml:space="preserve">, physical, and emotional demands. Job resources were comprised of skill discretion, decision authority, organisational rewards, as well as both supervisor and co-worker social support. Overall health was derived from the </w:t>
      </w:r>
      <w:r w:rsidR="00B459D1">
        <w:t>five</w:t>
      </w:r>
      <w:r w:rsidR="00B459D1" w:rsidRPr="00FE4AC7">
        <w:t xml:space="preserve"> </w:t>
      </w:r>
      <w:r w:rsidR="00424EB5" w:rsidRPr="00FE4AC7">
        <w:t>health outcome measures, namely emotional exhaustion, psychological distress, depression,</w:t>
      </w:r>
      <w:r w:rsidR="00BE62A5">
        <w:t xml:space="preserve"> recovery</w:t>
      </w:r>
      <w:r w:rsidR="00AC183E">
        <w:t xml:space="preserve"> and physical health.</w:t>
      </w:r>
    </w:p>
    <w:p w:rsidR="00424EB5" w:rsidRPr="00FE4AC7" w:rsidRDefault="00424EB5" w:rsidP="008B12B7">
      <w:r w:rsidRPr="00FE4AC7">
        <w:t>The following graphs display mean composite scores for job demands, job resources and overall health for all 17 industries</w:t>
      </w:r>
      <w:r w:rsidRPr="002F652E">
        <w:t xml:space="preserve"> by state.</w:t>
      </w:r>
      <w:r w:rsidR="002F652E" w:rsidRPr="002F652E">
        <w:t xml:space="preserve"> </w:t>
      </w:r>
      <w:r w:rsidR="002F652E" w:rsidRPr="002F652E">
        <w:rPr>
          <w:bCs/>
        </w:rPr>
        <w:t>Graphs for the smaller states do not report these composite scores for some industries, as industries with fewer than 10 participants were excluded (strong conclusions cannot be drawn on the generalisability of small samples).</w:t>
      </w:r>
      <w:r w:rsidR="002F652E" w:rsidRPr="002F652E">
        <w:t xml:space="preserve"> </w:t>
      </w:r>
      <w:r w:rsidRPr="002F652E">
        <w:t xml:space="preserve">Favourable </w:t>
      </w:r>
      <w:r w:rsidRPr="00FE4AC7">
        <w:t>and unfavourable classifications have been marked on each graph based on a standardised bell curve used commonly in statistics (with 68</w:t>
      </w:r>
      <w:r w:rsidR="001F2B71">
        <w:t xml:space="preserve"> per cent</w:t>
      </w:r>
      <w:r w:rsidRPr="00FE4AC7">
        <w:t xml:space="preserve"> of the population lying within the average of one standard deviation above and below the mean). For ease of reference, all standardised scores have been set about a mean of 100, with a standard deviation of 15 above and below the mean. Any demand, resource or health score falling greater than a single standard deviation either side (less than 85, or more than 115) </w:t>
      </w:r>
      <w:r w:rsidR="00AE1EF6">
        <w:t xml:space="preserve">is considered </w:t>
      </w:r>
      <w:r w:rsidRPr="00FE4AC7">
        <w:t>either a favourable or unfavourable situation in that industry. Based on this, industries at risk have been highlighted in red. Identification of industries at risk was made using the following criteria:</w:t>
      </w:r>
    </w:p>
    <w:p w:rsidR="00424EB5" w:rsidRDefault="00027463" w:rsidP="0023074F">
      <w:pPr>
        <w:pStyle w:val="ListParagraph"/>
        <w:numPr>
          <w:ilvl w:val="0"/>
          <w:numId w:val="8"/>
        </w:numPr>
        <w:spacing w:before="40" w:after="40" w:line="240" w:lineRule="auto"/>
        <w:ind w:left="714" w:hanging="357"/>
        <w:jc w:val="both"/>
        <w:rPr>
          <w:rFonts w:ascii="Arial" w:hAnsi="Arial" w:cs="Arial"/>
        </w:rPr>
      </w:pPr>
      <w:r w:rsidRPr="00B934B6">
        <w:rPr>
          <w:rFonts w:ascii="Arial" w:hAnsi="Arial" w:cs="Arial"/>
        </w:rPr>
        <w:t>n</w:t>
      </w:r>
      <w:r w:rsidR="00424EB5" w:rsidRPr="00B934B6">
        <w:rPr>
          <w:rFonts w:ascii="Arial" w:hAnsi="Arial" w:cs="Arial"/>
        </w:rPr>
        <w:t>ot a single measure of demands, resources or health in the favourable zone</w:t>
      </w:r>
      <w:r w:rsidR="007A7AE3" w:rsidRPr="00B934B6">
        <w:rPr>
          <w:rFonts w:ascii="Arial" w:hAnsi="Arial" w:cs="Arial"/>
        </w:rPr>
        <w:t>, and</w:t>
      </w:r>
    </w:p>
    <w:p w:rsidR="00FB1790" w:rsidRPr="00B934B6" w:rsidRDefault="00FB1790" w:rsidP="00FB1790">
      <w:pPr>
        <w:pStyle w:val="ListParagraph"/>
        <w:spacing w:before="40" w:after="40" w:line="240" w:lineRule="auto"/>
        <w:ind w:left="714"/>
        <w:jc w:val="both"/>
        <w:rPr>
          <w:rFonts w:ascii="Arial" w:hAnsi="Arial" w:cs="Arial"/>
        </w:rPr>
      </w:pPr>
    </w:p>
    <w:p w:rsidR="00EF1C12" w:rsidRPr="00BD197F" w:rsidRDefault="00027463" w:rsidP="0023074F">
      <w:pPr>
        <w:pStyle w:val="ListParagraph"/>
        <w:numPr>
          <w:ilvl w:val="0"/>
          <w:numId w:val="8"/>
        </w:numPr>
        <w:spacing w:before="100" w:beforeAutospacing="1" w:after="100" w:afterAutospacing="1" w:line="240" w:lineRule="auto"/>
        <w:ind w:left="714" w:hanging="357"/>
        <w:jc w:val="both"/>
        <w:rPr>
          <w:rFonts w:cs="Calibri"/>
        </w:rPr>
      </w:pPr>
      <w:proofErr w:type="gramStart"/>
      <w:r w:rsidRPr="00B934B6">
        <w:rPr>
          <w:rFonts w:ascii="Arial" w:hAnsi="Arial" w:cs="Arial"/>
        </w:rPr>
        <w:t>a</w:t>
      </w:r>
      <w:r w:rsidR="00424EB5" w:rsidRPr="00B934B6">
        <w:rPr>
          <w:rFonts w:ascii="Arial" w:hAnsi="Arial" w:cs="Arial"/>
        </w:rPr>
        <w:t>t</w:t>
      </w:r>
      <w:proofErr w:type="gramEnd"/>
      <w:r w:rsidR="00424EB5" w:rsidRPr="00B934B6">
        <w:rPr>
          <w:rFonts w:ascii="Arial" w:hAnsi="Arial" w:cs="Arial"/>
        </w:rPr>
        <w:t xml:space="preserve"> least one of these measures falling in the unfavourable zone</w:t>
      </w:r>
      <w:r w:rsidR="0045728B" w:rsidRPr="00B934B6">
        <w:rPr>
          <w:rFonts w:ascii="Arial" w:hAnsi="Arial" w:cs="Arial"/>
        </w:rPr>
        <w:t>.</w:t>
      </w:r>
    </w:p>
    <w:p w:rsidR="00167AE3" w:rsidRDefault="00167AE3" w:rsidP="00167AE3">
      <w:pPr>
        <w:spacing w:before="100" w:beforeAutospacing="1" w:after="100" w:afterAutospacing="1"/>
        <w:rPr>
          <w:rFonts w:ascii="Calibri" w:hAnsi="Calibri" w:cs="Calibri"/>
        </w:rPr>
        <w:sectPr w:rsidR="00167AE3" w:rsidSect="00437685">
          <w:pgSz w:w="11906" w:h="16838"/>
          <w:pgMar w:top="851" w:right="1531" w:bottom="1134" w:left="1304" w:header="709" w:footer="709" w:gutter="0"/>
          <w:cols w:space="708"/>
          <w:docGrid w:linePitch="360"/>
        </w:sectPr>
      </w:pPr>
    </w:p>
    <w:p w:rsidR="000A6722" w:rsidRDefault="00EF58AD" w:rsidP="000A6722">
      <w:pPr>
        <w:rPr>
          <w:rFonts w:cs="Calibri"/>
          <w:b/>
          <w:noProof/>
          <w:sz w:val="20"/>
        </w:rPr>
      </w:pPr>
      <w:r>
        <w:rPr>
          <w:rFonts w:cs="Calibri"/>
          <w:b/>
          <w:noProof/>
          <w:sz w:val="20"/>
        </w:rPr>
        <w:lastRenderedPageBreak/>
        <w:drawing>
          <wp:inline distT="0" distB="0" distL="0" distR="0" wp14:anchorId="7A03645A" wp14:editId="6F2DC32F">
            <wp:extent cx="9239250" cy="4831080"/>
            <wp:effectExtent l="0" t="0" r="0" b="7620"/>
            <wp:docPr id="5" name="Picture 5" descr="Industries identified as at risk are Accommodation, cafes and restaurants and Health and community services" title="Demands, resources and health by industry: National level data for six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x States Health Outcomes graph (all T1)"/>
                    <pic:cNvPicPr>
                      <a:picLocks noChangeAspect="1" noChangeArrowheads="1"/>
                    </pic:cNvPicPr>
                  </pic:nvPicPr>
                  <pic:blipFill>
                    <a:blip r:embed="rId19" cstate="print"/>
                    <a:srcRect/>
                    <a:stretch>
                      <a:fillRect/>
                    </a:stretch>
                  </pic:blipFill>
                  <pic:spPr bwMode="auto">
                    <a:xfrm>
                      <a:off x="0" y="0"/>
                      <a:ext cx="9239250" cy="4831080"/>
                    </a:xfrm>
                    <a:prstGeom prst="rect">
                      <a:avLst/>
                    </a:prstGeom>
                    <a:noFill/>
                    <a:ln w="9525">
                      <a:noFill/>
                      <a:miter lim="800000"/>
                      <a:headEnd/>
                      <a:tailEnd/>
                    </a:ln>
                  </pic:spPr>
                </pic:pic>
              </a:graphicData>
            </a:graphic>
          </wp:inline>
        </w:drawing>
      </w:r>
    </w:p>
    <w:p w:rsidR="000A6722" w:rsidRDefault="000A6722" w:rsidP="000A6722">
      <w:pPr>
        <w:rPr>
          <w:rFonts w:cs="Calibri"/>
          <w:i/>
          <w:noProof/>
          <w:sz w:val="20"/>
        </w:rPr>
      </w:pPr>
      <w:r>
        <w:rPr>
          <w:rFonts w:cs="Calibri"/>
          <w:i/>
          <w:noProof/>
          <w:sz w:val="20"/>
        </w:rPr>
        <w:t xml:space="preserve">Note: Job demands have been recoded so that high scores reflect favourable working conditions across all measures.  Time 1 </w:t>
      </w:r>
      <w:r w:rsidR="00F077CA">
        <w:rPr>
          <w:rFonts w:cs="Calibri"/>
          <w:i/>
          <w:noProof/>
          <w:sz w:val="20"/>
        </w:rPr>
        <w:t xml:space="preserve">(2009) </w:t>
      </w:r>
      <w:r>
        <w:rPr>
          <w:rFonts w:cs="Calibri"/>
          <w:i/>
          <w:noProof/>
          <w:sz w:val="20"/>
        </w:rPr>
        <w:t>data for NSW and WA was used for this analysis.</w:t>
      </w:r>
    </w:p>
    <w:p w:rsidR="00315A04" w:rsidRPr="00611178" w:rsidRDefault="00315A04" w:rsidP="00AC183E">
      <w:pPr>
        <w:pStyle w:val="FigureCaption"/>
        <w:rPr>
          <w:noProof/>
        </w:rPr>
      </w:pPr>
      <w:r w:rsidRPr="00FB1790">
        <w:rPr>
          <w:noProof/>
        </w:rPr>
        <w:t>Figure 13. High</w:t>
      </w:r>
      <w:r w:rsidRPr="00611178">
        <w:rPr>
          <w:noProof/>
        </w:rPr>
        <w:t xml:space="preserve"> risk industries for Australia 2009 – 2011 </w:t>
      </w:r>
    </w:p>
    <w:p w:rsidR="00B921BD" w:rsidRDefault="00B921BD" w:rsidP="00B921BD">
      <w:pPr>
        <w:rPr>
          <w:rFonts w:cs="Calibri"/>
          <w:i/>
          <w:noProof/>
          <w:sz w:val="20"/>
        </w:rPr>
      </w:pPr>
      <w:r w:rsidRPr="004F46B9">
        <w:rPr>
          <w:rFonts w:cs="Calibri"/>
          <w:i/>
          <w:noProof/>
          <w:sz w:val="20"/>
        </w:rPr>
        <w:lastRenderedPageBreak/>
        <w:drawing>
          <wp:inline distT="0" distB="0" distL="0" distR="0" wp14:anchorId="49A5D0E5" wp14:editId="794BAD8A">
            <wp:extent cx="9103360" cy="4994910"/>
            <wp:effectExtent l="0" t="0" r="2540" b="0"/>
            <wp:docPr id="1" name="Picture 10" descr="Industries identified at risk in South Australia are Accommodation, cafes and restaurants, Communications services, Personal and other services and Retail trade." title="Demands, Resources and Health by Industry in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 - SA"/>
                    <pic:cNvPicPr>
                      <a:picLocks noChangeAspect="1" noChangeArrowheads="1"/>
                    </pic:cNvPicPr>
                  </pic:nvPicPr>
                  <pic:blipFill>
                    <a:blip r:embed="rId20" cstate="print"/>
                    <a:srcRect/>
                    <a:stretch>
                      <a:fillRect/>
                    </a:stretch>
                  </pic:blipFill>
                  <pic:spPr bwMode="auto">
                    <a:xfrm>
                      <a:off x="0" y="0"/>
                      <a:ext cx="9103360" cy="4994910"/>
                    </a:xfrm>
                    <a:prstGeom prst="rect">
                      <a:avLst/>
                    </a:prstGeom>
                    <a:noFill/>
                    <a:ln w="9525">
                      <a:noFill/>
                      <a:miter lim="800000"/>
                      <a:headEnd/>
                      <a:tailEnd/>
                    </a:ln>
                  </pic:spPr>
                </pic:pic>
              </a:graphicData>
            </a:graphic>
          </wp:inline>
        </w:drawing>
      </w:r>
    </w:p>
    <w:p w:rsidR="001B399B" w:rsidRDefault="00B921BD" w:rsidP="00B921BD">
      <w:pPr>
        <w:rPr>
          <w:rFonts w:cs="Calibri"/>
          <w:i/>
          <w:noProof/>
          <w:sz w:val="20"/>
        </w:rPr>
      </w:pPr>
      <w:r>
        <w:rPr>
          <w:rFonts w:cs="Calibri"/>
          <w:i/>
          <w:noProof/>
          <w:sz w:val="20"/>
        </w:rPr>
        <w:t>Note: Job demands have been recoded so that high scores reflect favourable working conditions across all measures.</w:t>
      </w:r>
    </w:p>
    <w:p w:rsidR="00315A04" w:rsidRPr="00AC183E" w:rsidRDefault="00315A04" w:rsidP="00AC183E">
      <w:pPr>
        <w:pStyle w:val="FigureCaption"/>
      </w:pPr>
      <w:proofErr w:type="gramStart"/>
      <w:r w:rsidRPr="00AC183E">
        <w:t>Figure 14.</w:t>
      </w:r>
      <w:proofErr w:type="gramEnd"/>
      <w:r w:rsidRPr="00AC183E">
        <w:t xml:space="preserve"> High risk industries for SA (2010)</w:t>
      </w:r>
    </w:p>
    <w:p w:rsidR="00B921BD" w:rsidRDefault="00B921BD" w:rsidP="00B921BD">
      <w:pPr>
        <w:rPr>
          <w:rFonts w:cs="Calibri"/>
          <w:i/>
          <w:noProof/>
          <w:sz w:val="20"/>
        </w:rPr>
      </w:pPr>
      <w:r w:rsidRPr="004F46B9">
        <w:rPr>
          <w:rFonts w:cs="Calibri"/>
          <w:i/>
          <w:noProof/>
          <w:sz w:val="20"/>
        </w:rPr>
        <w:lastRenderedPageBreak/>
        <w:drawing>
          <wp:inline distT="0" distB="0" distL="0" distR="0" wp14:anchorId="674D8ADB" wp14:editId="24D4D9D6">
            <wp:extent cx="9089390" cy="4981575"/>
            <wp:effectExtent l="0" t="0" r="0" b="9525"/>
            <wp:docPr id="16" name="Picture 9" descr="Industries identified as at risk in Western Australia are Accommodation, cafes and restaurants and Transport and storage" title="Demands, Resources and Health by Industry i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 - WA"/>
                    <pic:cNvPicPr>
                      <a:picLocks noChangeAspect="1" noChangeArrowheads="1"/>
                    </pic:cNvPicPr>
                  </pic:nvPicPr>
                  <pic:blipFill>
                    <a:blip r:embed="rId21" cstate="print"/>
                    <a:srcRect/>
                    <a:stretch>
                      <a:fillRect/>
                    </a:stretch>
                  </pic:blipFill>
                  <pic:spPr bwMode="auto">
                    <a:xfrm>
                      <a:off x="0" y="0"/>
                      <a:ext cx="9089390" cy="4981575"/>
                    </a:xfrm>
                    <a:prstGeom prst="rect">
                      <a:avLst/>
                    </a:prstGeom>
                    <a:noFill/>
                    <a:ln w="9525">
                      <a:noFill/>
                      <a:miter lim="800000"/>
                      <a:headEnd/>
                      <a:tailEnd/>
                    </a:ln>
                  </pic:spPr>
                </pic:pic>
              </a:graphicData>
            </a:graphic>
          </wp:inline>
        </w:drawing>
      </w:r>
    </w:p>
    <w:p w:rsidR="00B921BD" w:rsidRDefault="00B921BD" w:rsidP="00B921BD">
      <w:pPr>
        <w:rPr>
          <w:rFonts w:cs="Calibri"/>
          <w:i/>
          <w:noProof/>
          <w:sz w:val="20"/>
        </w:rPr>
      </w:pPr>
      <w:r>
        <w:rPr>
          <w:rFonts w:cs="Calibri"/>
          <w:i/>
          <w:noProof/>
          <w:sz w:val="20"/>
        </w:rPr>
        <w:t>Note: Job demands have been recoded so that high scores reflect favourable working conditions across all measures.</w:t>
      </w:r>
    </w:p>
    <w:p w:rsidR="009B6B1F" w:rsidRPr="00AC183E" w:rsidRDefault="009B6B1F" w:rsidP="00AC183E">
      <w:pPr>
        <w:pStyle w:val="FigureCaption"/>
      </w:pPr>
      <w:proofErr w:type="gramStart"/>
      <w:r w:rsidRPr="00AC183E">
        <w:t>Figure 15.</w:t>
      </w:r>
      <w:proofErr w:type="gramEnd"/>
      <w:r w:rsidRPr="00AC183E">
        <w:t xml:space="preserve"> High risk industries for WA Time 2 (2010)</w:t>
      </w:r>
    </w:p>
    <w:p w:rsidR="00520F0E" w:rsidRDefault="00EF58AD" w:rsidP="00424EB5">
      <w:pPr>
        <w:rPr>
          <w:rFonts w:cs="Calibri"/>
          <w:i/>
          <w:noProof/>
          <w:sz w:val="20"/>
        </w:rPr>
      </w:pPr>
      <w:r>
        <w:rPr>
          <w:rFonts w:cs="Calibri"/>
          <w:i/>
          <w:noProof/>
          <w:sz w:val="20"/>
        </w:rPr>
        <w:lastRenderedPageBreak/>
        <w:drawing>
          <wp:inline distT="0" distB="0" distL="0" distR="0" wp14:anchorId="14B5BE43" wp14:editId="1B50C9D0">
            <wp:extent cx="8952865" cy="4994910"/>
            <wp:effectExtent l="0" t="0" r="635" b="0"/>
            <wp:docPr id="7" name="Picture 7" descr="Industries identified as at risk in New South Wales are Accommodation, cafes and restaurants, Electricity, gas and water supply, Mining, Retail trade, Transport and storage and Wholesale trade." title="Demands, Resources and Health by Industry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 NSW"/>
                    <pic:cNvPicPr>
                      <a:picLocks noChangeAspect="1" noChangeArrowheads="1"/>
                    </pic:cNvPicPr>
                  </pic:nvPicPr>
                  <pic:blipFill>
                    <a:blip r:embed="rId22" cstate="print"/>
                    <a:srcRect/>
                    <a:stretch>
                      <a:fillRect/>
                    </a:stretch>
                  </pic:blipFill>
                  <pic:spPr bwMode="auto">
                    <a:xfrm>
                      <a:off x="0" y="0"/>
                      <a:ext cx="8952865" cy="4994910"/>
                    </a:xfrm>
                    <a:prstGeom prst="rect">
                      <a:avLst/>
                    </a:prstGeom>
                    <a:noFill/>
                    <a:ln w="9525">
                      <a:noFill/>
                      <a:miter lim="800000"/>
                      <a:headEnd/>
                      <a:tailEnd/>
                    </a:ln>
                  </pic:spPr>
                </pic:pic>
              </a:graphicData>
            </a:graphic>
          </wp:inline>
        </w:drawing>
      </w:r>
    </w:p>
    <w:p w:rsidR="00424EB5" w:rsidRDefault="00424EB5" w:rsidP="00424EB5">
      <w:pPr>
        <w:rPr>
          <w:rFonts w:cs="Calibri"/>
          <w:i/>
          <w:noProof/>
          <w:sz w:val="20"/>
        </w:rPr>
      </w:pPr>
      <w:r>
        <w:rPr>
          <w:rFonts w:cs="Calibri"/>
          <w:i/>
          <w:noProof/>
          <w:sz w:val="20"/>
        </w:rPr>
        <w:t>Note: Job demands have been recoded so that high scores reflect favourable working conditions across all measures.</w:t>
      </w:r>
    </w:p>
    <w:p w:rsidR="009B6B1F" w:rsidRPr="00AC183E" w:rsidRDefault="009B6B1F" w:rsidP="00AC183E">
      <w:pPr>
        <w:pStyle w:val="FigureCaption"/>
      </w:pPr>
      <w:proofErr w:type="gramStart"/>
      <w:r w:rsidRPr="00AC183E">
        <w:t>Figure 16.</w:t>
      </w:r>
      <w:proofErr w:type="gramEnd"/>
      <w:r w:rsidRPr="00AC183E">
        <w:t xml:space="preserve"> High risk industries for NSW Time 2 (2010)</w:t>
      </w:r>
    </w:p>
    <w:p w:rsidR="006F610C" w:rsidRDefault="002F652E" w:rsidP="00167AE3">
      <w:pPr>
        <w:rPr>
          <w:rFonts w:cs="Calibri"/>
          <w:i/>
          <w:noProof/>
          <w:sz w:val="20"/>
        </w:rPr>
      </w:pPr>
      <w:r>
        <w:rPr>
          <w:rFonts w:cs="Calibri"/>
          <w:i/>
          <w:noProof/>
          <w:sz w:val="20"/>
        </w:rPr>
        <w:lastRenderedPageBreak/>
        <w:drawing>
          <wp:inline distT="0" distB="0" distL="0" distR="0" wp14:anchorId="055AF041" wp14:editId="0CBFB03A">
            <wp:extent cx="9250680" cy="4070985"/>
            <wp:effectExtent l="0" t="0" r="7620" b="5715"/>
            <wp:docPr id="9" name="Picture 9" descr="There are no industries identified as at risk in the Australian Capital Territory" title="Demands, Resources and Health by Industry in Australian Capital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graph (w N less than 10 remov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250680" cy="4070985"/>
                    </a:xfrm>
                    <a:prstGeom prst="rect">
                      <a:avLst/>
                    </a:prstGeom>
                  </pic:spPr>
                </pic:pic>
              </a:graphicData>
            </a:graphic>
          </wp:inline>
        </w:drawing>
      </w:r>
    </w:p>
    <w:p w:rsidR="009B6B1F" w:rsidRDefault="00424EB5" w:rsidP="006F610C">
      <w:pPr>
        <w:rPr>
          <w:rFonts w:cs="Calibri"/>
          <w:i/>
          <w:noProof/>
          <w:sz w:val="20"/>
        </w:rPr>
      </w:pPr>
      <w:r>
        <w:rPr>
          <w:rFonts w:cs="Calibri"/>
          <w:i/>
          <w:noProof/>
          <w:sz w:val="20"/>
        </w:rPr>
        <w:t>Note: Job demands have been recoded so that high scores reflect favourable working conditions across all measures.</w:t>
      </w:r>
    </w:p>
    <w:p w:rsidR="009B6B1F" w:rsidRPr="00AC183E" w:rsidRDefault="009B6B1F" w:rsidP="00AC183E">
      <w:pPr>
        <w:pStyle w:val="FigureCaption"/>
      </w:pPr>
      <w:proofErr w:type="gramStart"/>
      <w:r w:rsidRPr="00AC183E">
        <w:t>Figure 17.</w:t>
      </w:r>
      <w:proofErr w:type="gramEnd"/>
      <w:r w:rsidRPr="00AC183E">
        <w:t xml:space="preserve"> High risk industries for ACT (2011)</w:t>
      </w:r>
    </w:p>
    <w:p w:rsidR="006F610C" w:rsidRPr="006F610C" w:rsidRDefault="003F18CA" w:rsidP="006F610C">
      <w:pPr>
        <w:rPr>
          <w:rFonts w:cs="Calibri"/>
          <w:b/>
          <w:noProof/>
          <w:sz w:val="20"/>
        </w:rPr>
      </w:pPr>
      <w:r>
        <w:rPr>
          <w:rFonts w:cs="Calibri"/>
          <w:i/>
          <w:noProof/>
          <w:sz w:val="20"/>
        </w:rPr>
        <w:br w:type="page"/>
      </w:r>
    </w:p>
    <w:p w:rsidR="006F610C" w:rsidRDefault="002F652E" w:rsidP="00167AE3">
      <w:pPr>
        <w:rPr>
          <w:rFonts w:cs="Calibri"/>
          <w:i/>
          <w:noProof/>
          <w:sz w:val="20"/>
        </w:rPr>
      </w:pPr>
      <w:r>
        <w:rPr>
          <w:rFonts w:cs="Calibri"/>
          <w:i/>
          <w:noProof/>
          <w:sz w:val="20"/>
        </w:rPr>
        <w:lastRenderedPageBreak/>
        <w:drawing>
          <wp:inline distT="0" distB="0" distL="0" distR="0" wp14:anchorId="30D866E8" wp14:editId="78F090D8">
            <wp:extent cx="9250680" cy="4065905"/>
            <wp:effectExtent l="0" t="0" r="7620" b="0"/>
            <wp:docPr id="10" name="Picture 10" descr="Industries identified as as risk in Tasmania are Health and Community Services, Manufacturing and Personal and other services." title="Demands, Resources and Health by Industry in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 graph (w N less than 10 remov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50680" cy="4065905"/>
                    </a:xfrm>
                    <a:prstGeom prst="rect">
                      <a:avLst/>
                    </a:prstGeom>
                  </pic:spPr>
                </pic:pic>
              </a:graphicData>
            </a:graphic>
          </wp:inline>
        </w:drawing>
      </w:r>
    </w:p>
    <w:p w:rsidR="009B6B1F" w:rsidRDefault="00424EB5" w:rsidP="006F610C">
      <w:pPr>
        <w:rPr>
          <w:rFonts w:cs="Calibri"/>
          <w:i/>
          <w:noProof/>
          <w:sz w:val="20"/>
        </w:rPr>
      </w:pPr>
      <w:r>
        <w:rPr>
          <w:rFonts w:cs="Calibri"/>
          <w:i/>
          <w:noProof/>
          <w:sz w:val="20"/>
        </w:rPr>
        <w:t>Note: Job demands have been recoded so that high scores reflect favourable working conditions across all measures.</w:t>
      </w:r>
    </w:p>
    <w:p w:rsidR="009B6B1F" w:rsidRPr="00AC183E" w:rsidRDefault="009B6B1F" w:rsidP="00AC183E">
      <w:pPr>
        <w:pStyle w:val="FigureCaption"/>
      </w:pPr>
      <w:proofErr w:type="gramStart"/>
      <w:r w:rsidRPr="00AC183E">
        <w:t>Figure 18.</w:t>
      </w:r>
      <w:proofErr w:type="gramEnd"/>
      <w:r w:rsidRPr="00AC183E">
        <w:t xml:space="preserve"> High risk industries for Tasmania (2011)</w:t>
      </w:r>
    </w:p>
    <w:p w:rsidR="009B6B1F" w:rsidRDefault="009B6B1F" w:rsidP="006F610C">
      <w:pPr>
        <w:rPr>
          <w:rFonts w:cs="Calibri"/>
          <w:i/>
          <w:noProof/>
          <w:sz w:val="20"/>
        </w:rPr>
      </w:pPr>
    </w:p>
    <w:p w:rsidR="006F610C" w:rsidRPr="006F610C" w:rsidRDefault="003F18CA" w:rsidP="006F610C">
      <w:pPr>
        <w:rPr>
          <w:rFonts w:cs="Calibri"/>
          <w:b/>
          <w:noProof/>
          <w:sz w:val="20"/>
        </w:rPr>
      </w:pPr>
      <w:r>
        <w:rPr>
          <w:rFonts w:cs="Calibri"/>
          <w:i/>
          <w:noProof/>
          <w:sz w:val="20"/>
        </w:rPr>
        <w:br w:type="page"/>
      </w:r>
    </w:p>
    <w:p w:rsidR="006F610C" w:rsidRDefault="002F652E" w:rsidP="00167AE3">
      <w:pPr>
        <w:rPr>
          <w:rFonts w:cs="Calibri"/>
          <w:i/>
          <w:noProof/>
          <w:sz w:val="20"/>
        </w:rPr>
      </w:pPr>
      <w:r>
        <w:rPr>
          <w:rFonts w:cs="Calibri"/>
          <w:i/>
          <w:noProof/>
          <w:sz w:val="20"/>
        </w:rPr>
        <w:lastRenderedPageBreak/>
        <w:drawing>
          <wp:inline distT="0" distB="0" distL="0" distR="0" wp14:anchorId="3FF1A202" wp14:editId="33E10403">
            <wp:extent cx="9250680" cy="4076700"/>
            <wp:effectExtent l="0" t="0" r="7620" b="0"/>
            <wp:docPr id="14" name="Picture 14" descr="There are no industries identified as at risk in the Northern Territory" title="Demands, Resources and Health by Industry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 graph (w N less than 10 remov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250680" cy="4076700"/>
                    </a:xfrm>
                    <a:prstGeom prst="rect">
                      <a:avLst/>
                    </a:prstGeom>
                  </pic:spPr>
                </pic:pic>
              </a:graphicData>
            </a:graphic>
          </wp:inline>
        </w:drawing>
      </w:r>
    </w:p>
    <w:p w:rsidR="009B6B1F" w:rsidRDefault="00424EB5" w:rsidP="00167AE3">
      <w:pPr>
        <w:rPr>
          <w:rFonts w:cs="Calibri"/>
          <w:i/>
          <w:noProof/>
          <w:sz w:val="20"/>
        </w:rPr>
      </w:pPr>
      <w:r>
        <w:rPr>
          <w:rFonts w:cs="Calibri"/>
          <w:i/>
          <w:noProof/>
          <w:sz w:val="20"/>
        </w:rPr>
        <w:t>Note: Job demands have been recoded so that high scores reflect favourable working conditions across all measures</w:t>
      </w:r>
    </w:p>
    <w:p w:rsidR="009B6B1F" w:rsidRPr="00AC183E" w:rsidRDefault="009B6B1F" w:rsidP="00AC183E">
      <w:pPr>
        <w:pStyle w:val="FigureCaption"/>
      </w:pPr>
      <w:proofErr w:type="gramStart"/>
      <w:r w:rsidRPr="00AC183E">
        <w:t>Figure 19.</w:t>
      </w:r>
      <w:proofErr w:type="gramEnd"/>
      <w:r w:rsidRPr="00AC183E">
        <w:t xml:space="preserve"> High risk industries for NT (2011)</w:t>
      </w:r>
    </w:p>
    <w:p w:rsidR="009B6B1F" w:rsidRDefault="009B6B1F" w:rsidP="00167AE3">
      <w:pPr>
        <w:rPr>
          <w:rFonts w:cs="Calibri"/>
          <w:i/>
          <w:noProof/>
          <w:sz w:val="20"/>
        </w:rPr>
      </w:pPr>
    </w:p>
    <w:p w:rsidR="00424EB5" w:rsidRDefault="00424EB5" w:rsidP="00167AE3">
      <w:pPr>
        <w:rPr>
          <w:rFonts w:cs="Calibri"/>
          <w:i/>
          <w:noProof/>
          <w:sz w:val="20"/>
        </w:rPr>
        <w:sectPr w:rsidR="00424EB5" w:rsidSect="00437685">
          <w:pgSz w:w="16838" w:h="11906" w:orient="landscape"/>
          <w:pgMar w:top="1304" w:right="1135" w:bottom="1531" w:left="1135" w:header="709" w:footer="709" w:gutter="0"/>
          <w:cols w:space="708"/>
          <w:docGrid w:linePitch="360"/>
        </w:sectPr>
      </w:pPr>
      <w:r>
        <w:rPr>
          <w:rFonts w:cs="Calibri"/>
          <w:i/>
          <w:noProof/>
          <w:sz w:val="20"/>
        </w:rPr>
        <w:t>.</w:t>
      </w:r>
    </w:p>
    <w:p w:rsidR="00FE4558" w:rsidRPr="00B452BB" w:rsidRDefault="00FE4558" w:rsidP="00B452BB">
      <w:pPr>
        <w:pStyle w:val="Heading3"/>
        <w:rPr>
          <w:rStyle w:val="IntenseEmphasis"/>
          <w:b/>
          <w:bCs/>
          <w:i w:val="0"/>
          <w:iCs w:val="0"/>
          <w:color w:val="000000"/>
        </w:rPr>
      </w:pPr>
      <w:bookmarkStart w:id="73" w:name="_Toc343502440"/>
      <w:r w:rsidRPr="00B452BB">
        <w:rPr>
          <w:rStyle w:val="IntenseEmphasis"/>
          <w:b/>
          <w:bCs/>
          <w:i w:val="0"/>
          <w:iCs w:val="0"/>
          <w:color w:val="000000"/>
        </w:rPr>
        <w:lastRenderedPageBreak/>
        <w:t>Summary for industries at risk based on PSC, demands, resources and outcomes</w:t>
      </w:r>
      <w:bookmarkEnd w:id="73"/>
    </w:p>
    <w:p w:rsidR="008E4AAF" w:rsidRDefault="00FE4558" w:rsidP="00B934B6">
      <w:r>
        <w:t xml:space="preserve">Several patterns emerge in the data when taking these results together with those </w:t>
      </w:r>
      <w:r w:rsidR="00761C13">
        <w:t>previously presented regarding</w:t>
      </w:r>
      <w:r>
        <w:t xml:space="preserve"> industry </w:t>
      </w:r>
      <w:r w:rsidR="00761C13">
        <w:t>PSC levels</w:t>
      </w:r>
      <w:r>
        <w:t xml:space="preserve">. </w:t>
      </w:r>
      <w:r w:rsidR="008E4AAF" w:rsidRPr="00963237">
        <w:t>For workers in SA each of the high risk industries (</w:t>
      </w:r>
      <w:r w:rsidR="008E4AAF">
        <w:t>A</w:t>
      </w:r>
      <w:r w:rsidR="008E4AAF" w:rsidRPr="00963237">
        <w:t xml:space="preserve">ccommodation, cafes and </w:t>
      </w:r>
      <w:r w:rsidR="008E4AAF" w:rsidRPr="006F78AC">
        <w:t xml:space="preserve">restaurants; Communications services; Personal and other services; Retail) also showed PSC levels below the </w:t>
      </w:r>
      <w:r w:rsidR="008E4AAF">
        <w:t>2009-10 benchmark</w:t>
      </w:r>
      <w:r w:rsidR="008E4AAF" w:rsidRPr="006F78AC">
        <w:t xml:space="preserve"> of 41 (See Figure </w:t>
      </w:r>
      <w:r w:rsidR="00345CE7">
        <w:t>7</w:t>
      </w:r>
      <w:r w:rsidR="006B273A">
        <w:t xml:space="preserve">). </w:t>
      </w:r>
      <w:r w:rsidR="008E4AAF" w:rsidRPr="006F78AC">
        <w:t>Poor psychosocial conditions and PSC results suggest state based strategies</w:t>
      </w:r>
      <w:r w:rsidR="008E4AAF">
        <w:t xml:space="preserve"> are needed to address a range of risk </w:t>
      </w:r>
      <w:r w:rsidR="00EE248F">
        <w:t>factors in</w:t>
      </w:r>
      <w:r w:rsidR="008E4AAF">
        <w:t xml:space="preserve"> these industries.</w:t>
      </w:r>
    </w:p>
    <w:p w:rsidR="00B026F5" w:rsidRDefault="008E4AAF" w:rsidP="00B934B6">
      <w:r w:rsidRPr="00963237">
        <w:t xml:space="preserve">Results for </w:t>
      </w:r>
      <w:r>
        <w:t>WA</w:t>
      </w:r>
      <w:r w:rsidRPr="00963237">
        <w:t xml:space="preserve"> show that indus</w:t>
      </w:r>
      <w:r>
        <w:t>tries identified as high risk (A</w:t>
      </w:r>
      <w:r w:rsidRPr="00963237">
        <w:t>ccommodation, cafes and restaurants</w:t>
      </w:r>
      <w:r w:rsidR="00FA36D4">
        <w:t xml:space="preserve"> and</w:t>
      </w:r>
      <w:r w:rsidRPr="00963237">
        <w:t xml:space="preserve"> </w:t>
      </w:r>
      <w:r>
        <w:t>T</w:t>
      </w:r>
      <w:r w:rsidRPr="00963237">
        <w:t>ransport and storage</w:t>
      </w:r>
      <w:r w:rsidRPr="006F78AC">
        <w:t xml:space="preserve">) also found to have levels of PSC lower than the </w:t>
      </w:r>
      <w:r>
        <w:t>200</w:t>
      </w:r>
      <w:r w:rsidR="00C330DF">
        <w:t>9</w:t>
      </w:r>
      <w:r>
        <w:t>-10 benchmark</w:t>
      </w:r>
      <w:r w:rsidRPr="006F78AC">
        <w:t xml:space="preserve"> score of 41 (See Figure 8)</w:t>
      </w:r>
      <w:r>
        <w:t xml:space="preserve"> suggesting a need for state based strategies to address psychosocial risk factors in these industries</w:t>
      </w:r>
      <w:r w:rsidRPr="006F78AC">
        <w:t xml:space="preserve">. </w:t>
      </w:r>
      <w:r w:rsidR="00B026F5">
        <w:t>Similar to WA, in NSW A</w:t>
      </w:r>
      <w:r w:rsidR="00B026F5" w:rsidRPr="00FE4AC7">
        <w:t xml:space="preserve">ccommodation, cafes and restaurants; </w:t>
      </w:r>
      <w:r w:rsidR="00B026F5">
        <w:t>R</w:t>
      </w:r>
      <w:r w:rsidR="00B026F5" w:rsidRPr="00FE4AC7">
        <w:t xml:space="preserve">etail; </w:t>
      </w:r>
      <w:r w:rsidR="00B026F5">
        <w:t>T</w:t>
      </w:r>
      <w:r w:rsidR="00B026F5" w:rsidRPr="00FE4AC7">
        <w:t>ransport and storage</w:t>
      </w:r>
      <w:r w:rsidR="00B026F5">
        <w:t xml:space="preserve"> industries showed unfavourable demands, resources or outcomes scores as well as </w:t>
      </w:r>
      <w:r w:rsidR="00B026F5" w:rsidRPr="00FE4AC7">
        <w:t>PSC</w:t>
      </w:r>
      <w:r w:rsidR="00B026F5">
        <w:t xml:space="preserve"> scores</w:t>
      </w:r>
      <w:r w:rsidR="00B026F5" w:rsidRPr="00FE4AC7">
        <w:t xml:space="preserve"> below the </w:t>
      </w:r>
      <w:r w:rsidR="00B026F5">
        <w:t>2009-10 PSC benchmark</w:t>
      </w:r>
      <w:r w:rsidR="00B026F5" w:rsidRPr="00FE4AC7">
        <w:t xml:space="preserve"> of</w:t>
      </w:r>
      <w:r w:rsidR="00B026F5">
        <w:t xml:space="preserve"> </w:t>
      </w:r>
      <w:r w:rsidR="00B026F5" w:rsidRPr="00963237">
        <w:t>41 (</w:t>
      </w:r>
      <w:r w:rsidR="00B026F5" w:rsidRPr="006F78AC">
        <w:t>se</w:t>
      </w:r>
      <w:r w:rsidR="00EE248F">
        <w:t xml:space="preserve">e </w:t>
      </w:r>
      <w:r w:rsidR="00B026F5" w:rsidRPr="006F78AC">
        <w:t>Figure</w:t>
      </w:r>
      <w:r w:rsidR="00B026F5">
        <w:t xml:space="preserve"> </w:t>
      </w:r>
      <w:r w:rsidR="00EE248F">
        <w:t>9)</w:t>
      </w:r>
      <w:r w:rsidR="0013587F">
        <w:t>.</w:t>
      </w:r>
      <w:r w:rsidR="00B026F5" w:rsidRPr="00FE4AC7">
        <w:t xml:space="preserve"> </w:t>
      </w:r>
      <w:r w:rsidR="00B026F5">
        <w:t xml:space="preserve">In addition Health and </w:t>
      </w:r>
      <w:r w:rsidR="00DB1FD5">
        <w:t>community services</w:t>
      </w:r>
      <w:r w:rsidR="00B026F5">
        <w:t>, Mining</w:t>
      </w:r>
      <w:r w:rsidR="00DB1FD5">
        <w:t>,</w:t>
      </w:r>
      <w:r w:rsidR="00B026F5">
        <w:t xml:space="preserve"> and Retail also showed PSC levels be</w:t>
      </w:r>
      <w:r w:rsidR="006B273A">
        <w:t xml:space="preserve">low 41. </w:t>
      </w:r>
      <w:r w:rsidR="00B026F5">
        <w:t>In particular the T</w:t>
      </w:r>
      <w:r w:rsidR="00B026F5" w:rsidRPr="00FE4AC7">
        <w:t>ransport and storage</w:t>
      </w:r>
      <w:r w:rsidR="00B026F5">
        <w:t xml:space="preserve"> and Wholesale industries displayed </w:t>
      </w:r>
      <w:r w:rsidR="00FA36D4">
        <w:t xml:space="preserve">PSC </w:t>
      </w:r>
      <w:r w:rsidR="00B026F5">
        <w:t>scores in the high risk range and therefore require urgent attention to address psychosocial risk factors for these workers.</w:t>
      </w:r>
    </w:p>
    <w:p w:rsidR="00FE4558" w:rsidRDefault="00FE4558" w:rsidP="00B934B6">
      <w:r w:rsidRPr="00963237">
        <w:t xml:space="preserve">In </w:t>
      </w:r>
      <w:r w:rsidR="00626E9E">
        <w:t xml:space="preserve">the </w:t>
      </w:r>
      <w:r>
        <w:t>ACT</w:t>
      </w:r>
      <w:r w:rsidR="00580CC2">
        <w:t>, excluding industries with less than 10 representatives,</w:t>
      </w:r>
      <w:r w:rsidRPr="00963237">
        <w:t xml:space="preserve"> </w:t>
      </w:r>
      <w:r w:rsidR="00580CC2">
        <w:t>none of the industries</w:t>
      </w:r>
      <w:r w:rsidRPr="00963237">
        <w:t xml:space="preserve"> </w:t>
      </w:r>
      <w:r>
        <w:t xml:space="preserve">showed unfavourable demands, </w:t>
      </w:r>
      <w:r w:rsidR="006B273A">
        <w:t xml:space="preserve">resources and health outcomes. </w:t>
      </w:r>
      <w:r w:rsidR="00580CC2">
        <w:t>Several industries showed a PS</w:t>
      </w:r>
      <w:r>
        <w:t xml:space="preserve">C score </w:t>
      </w:r>
      <w:r w:rsidR="00580CC2">
        <w:t xml:space="preserve">below </w:t>
      </w:r>
      <w:r>
        <w:t>the national benchmark of 41 (see Figure</w:t>
      </w:r>
      <w:r w:rsidR="00580CC2">
        <w:t xml:space="preserve"> </w:t>
      </w:r>
      <w:r w:rsidR="00E53656">
        <w:t>10</w:t>
      </w:r>
      <w:r>
        <w:t>)</w:t>
      </w:r>
      <w:r w:rsidR="00580CC2">
        <w:t>, including Health and community services</w:t>
      </w:r>
      <w:r w:rsidR="00DB1FD5">
        <w:t xml:space="preserve">, </w:t>
      </w:r>
      <w:r w:rsidR="00580CC2">
        <w:t>Governme</w:t>
      </w:r>
      <w:r w:rsidR="00DB1FD5">
        <w:t xml:space="preserve">nt administration and defence, </w:t>
      </w:r>
      <w:r w:rsidR="00580CC2">
        <w:t>and Education.</w:t>
      </w:r>
      <w:r w:rsidR="00DB1FD5">
        <w:t xml:space="preserve"> </w:t>
      </w:r>
      <w:r w:rsidR="00CF33DB">
        <w:t>In particular</w:t>
      </w:r>
      <w:r w:rsidR="004A0791">
        <w:t>,</w:t>
      </w:r>
      <w:r w:rsidR="00CF33DB">
        <w:t xml:space="preserve"> Health and community services re</w:t>
      </w:r>
      <w:r w:rsidR="00AC183E">
        <w:t>ported low levels of resources.</w:t>
      </w:r>
    </w:p>
    <w:p w:rsidR="00FE4558" w:rsidRDefault="00FE4558" w:rsidP="00B934B6">
      <w:r w:rsidRPr="00963237">
        <w:t>For workers in Tasmania, those identified in high risk industries (</w:t>
      </w:r>
      <w:r>
        <w:t>H</w:t>
      </w:r>
      <w:r w:rsidRPr="00963237">
        <w:t>ealth and commu</w:t>
      </w:r>
      <w:r>
        <w:t>nity services; Manufacturing; P</w:t>
      </w:r>
      <w:r w:rsidRPr="00963237">
        <w:t xml:space="preserve">ersonal and other services) also reported PSC scores lower than the </w:t>
      </w:r>
      <w:r w:rsidRPr="00F077CA">
        <w:t>national</w:t>
      </w:r>
      <w:r w:rsidRPr="00963237">
        <w:t xml:space="preserve"> standard of 41 (see Figure </w:t>
      </w:r>
      <w:r w:rsidR="00E53656">
        <w:t>11</w:t>
      </w:r>
      <w:r w:rsidRPr="00963237">
        <w:t>).</w:t>
      </w:r>
      <w:r>
        <w:t xml:space="preserve"> </w:t>
      </w:r>
      <w:r w:rsidR="0057144E">
        <w:t>Specifically</w:t>
      </w:r>
      <w:r w:rsidR="00626E9E">
        <w:t>,</w:t>
      </w:r>
      <w:r>
        <w:t xml:space="preserve"> P</w:t>
      </w:r>
      <w:r w:rsidRPr="00963237">
        <w:t xml:space="preserve">ersonal and other services reported a PSC score </w:t>
      </w:r>
      <w:r>
        <w:t>below the lower bound benchmark of 37</w:t>
      </w:r>
      <w:r w:rsidRPr="00963237">
        <w:t xml:space="preserve"> indicating an urgent need </w:t>
      </w:r>
      <w:r>
        <w:t>for state based strategies to</w:t>
      </w:r>
      <w:r w:rsidRPr="00963237">
        <w:t xml:space="preserve"> address psychosocial </w:t>
      </w:r>
      <w:r>
        <w:t xml:space="preserve">risk factors </w:t>
      </w:r>
      <w:r w:rsidRPr="00963237">
        <w:t>for this industry.</w:t>
      </w:r>
    </w:p>
    <w:p w:rsidR="00FE4558" w:rsidRDefault="00FE4558" w:rsidP="00B934B6">
      <w:r>
        <w:t>In the NT low numbers in a range of industries limited the identif</w:t>
      </w:r>
      <w:r w:rsidR="006B273A">
        <w:t xml:space="preserve">ication of industries at risk. </w:t>
      </w:r>
      <w:r>
        <w:t xml:space="preserve">However Health and community services industry showed PSC levels (see Figure </w:t>
      </w:r>
      <w:r w:rsidR="00E53656">
        <w:t>12</w:t>
      </w:r>
      <w:r>
        <w:t>) in the lowest range as well as unfavourable demands</w:t>
      </w:r>
      <w:r w:rsidR="00CF33DB">
        <w:t xml:space="preserve"> (high levels of demands)</w:t>
      </w:r>
      <w:r w:rsidR="00AC183E">
        <w:t>.</w:t>
      </w:r>
    </w:p>
    <w:p w:rsidR="008E4AAF" w:rsidRDefault="008E4AAF" w:rsidP="00B934B6">
      <w:pPr>
        <w:rPr>
          <w:rFonts w:eastAsia="Calibri"/>
          <w:noProof/>
          <w:szCs w:val="22"/>
        </w:rPr>
      </w:pPr>
      <w:r>
        <w:rPr>
          <w:rFonts w:eastAsia="Calibri"/>
          <w:noProof/>
          <w:szCs w:val="22"/>
        </w:rPr>
        <w:t xml:space="preserve">The above graphs show differences between industries </w:t>
      </w:r>
      <w:r w:rsidRPr="00540975">
        <w:rPr>
          <w:rFonts w:eastAsia="Calibri"/>
          <w:i/>
          <w:noProof/>
          <w:szCs w:val="22"/>
        </w:rPr>
        <w:t>within</w:t>
      </w:r>
      <w:r>
        <w:rPr>
          <w:rFonts w:eastAsia="Calibri"/>
          <w:noProof/>
          <w:szCs w:val="22"/>
        </w:rPr>
        <w:t xml:space="preserve"> each state, this does not </w:t>
      </w:r>
      <w:r w:rsidR="000B2B11">
        <w:rPr>
          <w:rFonts w:eastAsia="Calibri"/>
          <w:noProof/>
          <w:szCs w:val="22"/>
        </w:rPr>
        <w:t xml:space="preserve">necessarily </w:t>
      </w:r>
      <w:r>
        <w:rPr>
          <w:rFonts w:eastAsia="Calibri"/>
          <w:noProof/>
          <w:szCs w:val="22"/>
        </w:rPr>
        <w:t xml:space="preserve">represent </w:t>
      </w:r>
      <w:r w:rsidR="000B2B11">
        <w:rPr>
          <w:rFonts w:eastAsia="Calibri"/>
          <w:noProof/>
          <w:szCs w:val="22"/>
        </w:rPr>
        <w:t xml:space="preserve">significant </w:t>
      </w:r>
      <w:r>
        <w:rPr>
          <w:rFonts w:eastAsia="Calibri"/>
          <w:noProof/>
          <w:szCs w:val="22"/>
        </w:rPr>
        <w:t>differences in</w:t>
      </w:r>
      <w:r w:rsidR="000B2B11">
        <w:rPr>
          <w:rFonts w:eastAsia="Calibri"/>
          <w:noProof/>
          <w:szCs w:val="22"/>
        </w:rPr>
        <w:t xml:space="preserve"> overall</w:t>
      </w:r>
      <w:r>
        <w:rPr>
          <w:rFonts w:eastAsia="Calibri"/>
          <w:noProof/>
          <w:szCs w:val="22"/>
        </w:rPr>
        <w:t xml:space="preserve"> risk between states, therefore state to state comparisons should not be made ba</w:t>
      </w:r>
      <w:r w:rsidR="006B273A">
        <w:rPr>
          <w:rFonts w:eastAsia="Calibri"/>
          <w:noProof/>
          <w:szCs w:val="22"/>
        </w:rPr>
        <w:t>sed solely on this information.</w:t>
      </w:r>
      <w:r>
        <w:rPr>
          <w:rFonts w:eastAsia="Calibri"/>
          <w:noProof/>
          <w:szCs w:val="22"/>
        </w:rPr>
        <w:t xml:space="preserve"> The </w:t>
      </w:r>
      <w:r w:rsidR="001E7927">
        <w:rPr>
          <w:rFonts w:eastAsia="Calibri"/>
          <w:noProof/>
          <w:szCs w:val="22"/>
        </w:rPr>
        <w:t>above information</w:t>
      </w:r>
      <w:r>
        <w:rPr>
          <w:rFonts w:eastAsia="Calibri"/>
          <w:noProof/>
          <w:szCs w:val="22"/>
        </w:rPr>
        <w:t xml:space="preserve"> was developed with the intention of </w:t>
      </w:r>
      <w:r w:rsidR="00B921BD">
        <w:rPr>
          <w:rFonts w:eastAsia="Calibri"/>
          <w:noProof/>
          <w:szCs w:val="22"/>
        </w:rPr>
        <w:t>identifying</w:t>
      </w:r>
      <w:r>
        <w:rPr>
          <w:rFonts w:eastAsia="Calibri"/>
          <w:noProof/>
          <w:szCs w:val="22"/>
        </w:rPr>
        <w:t xml:space="preserve"> industries at risk </w:t>
      </w:r>
      <w:r w:rsidR="00B921BD">
        <w:rPr>
          <w:rFonts w:eastAsia="Calibri"/>
          <w:noProof/>
          <w:szCs w:val="22"/>
        </w:rPr>
        <w:t>to provide an evidence base for</w:t>
      </w:r>
      <w:r>
        <w:rPr>
          <w:rFonts w:eastAsia="Calibri"/>
          <w:noProof/>
          <w:szCs w:val="22"/>
        </w:rPr>
        <w:t xml:space="preserve"> state</w:t>
      </w:r>
      <w:r w:rsidR="00EE248F">
        <w:rPr>
          <w:rFonts w:eastAsia="Calibri"/>
          <w:noProof/>
          <w:szCs w:val="22"/>
        </w:rPr>
        <w:t xml:space="preserve"> and national strategies tar</w:t>
      </w:r>
      <w:r w:rsidR="00B921BD">
        <w:rPr>
          <w:rFonts w:eastAsia="Calibri"/>
          <w:noProof/>
          <w:szCs w:val="22"/>
        </w:rPr>
        <w:t>geting worker health</w:t>
      </w:r>
      <w:r>
        <w:rPr>
          <w:rFonts w:eastAsia="Calibri"/>
          <w:noProof/>
          <w:szCs w:val="22"/>
        </w:rPr>
        <w:t>.</w:t>
      </w:r>
    </w:p>
    <w:p w:rsidR="003F6504" w:rsidRPr="00AC183E" w:rsidRDefault="003F6504" w:rsidP="00B452BB">
      <w:pPr>
        <w:pStyle w:val="Heading3"/>
        <w:rPr>
          <w:rStyle w:val="IntenseEmphasis"/>
          <w:b/>
          <w:bCs/>
          <w:i w:val="0"/>
          <w:iCs w:val="0"/>
          <w:color w:val="000000"/>
        </w:rPr>
      </w:pPr>
      <w:bookmarkStart w:id="74" w:name="_Toc343502441"/>
      <w:r w:rsidRPr="00AC183E">
        <w:rPr>
          <w:rStyle w:val="IntenseEmphasis"/>
          <w:b/>
          <w:bCs/>
          <w:i w:val="0"/>
          <w:iCs w:val="0"/>
          <w:color w:val="000000"/>
        </w:rPr>
        <w:t>Practical implications for industries at risk</w:t>
      </w:r>
      <w:bookmarkEnd w:id="74"/>
    </w:p>
    <w:p w:rsidR="003F6504" w:rsidRPr="00963237" w:rsidRDefault="003F6504" w:rsidP="00B934B6">
      <w:r w:rsidRPr="00963237">
        <w:t xml:space="preserve">The above outcomes provide evidence </w:t>
      </w:r>
      <w:r>
        <w:t>that</w:t>
      </w:r>
      <w:r w:rsidRPr="00963237">
        <w:t xml:space="preserve"> state based interventions</w:t>
      </w:r>
      <w:r>
        <w:t xml:space="preserve"> are needed</w:t>
      </w:r>
      <w:r w:rsidRPr="00963237">
        <w:t xml:space="preserve"> for specific in</w:t>
      </w:r>
      <w:r>
        <w:t xml:space="preserve">dustries at risk in each state, </w:t>
      </w:r>
      <w:r w:rsidRPr="00963237">
        <w:t>due to the wide variation in industries at risk between most states and territories. Strategies for improving overall health in industries with high demands may include increasing (or further increasing) PSC and job resources (such as organisational reward, supervisor and co-worker support), a process which has been demonstrated to buffer the effects of high job demands on poor overall health (Bakker</w:t>
      </w:r>
      <w:r>
        <w:t>,</w:t>
      </w:r>
      <w:r w:rsidRPr="00963237">
        <w:t xml:space="preserve"> </w:t>
      </w:r>
      <w:r w:rsidRPr="00994813">
        <w:rPr>
          <w:noProof/>
          <w:szCs w:val="22"/>
        </w:rPr>
        <w:t xml:space="preserve">Demerouti, &amp; Euwema, </w:t>
      </w:r>
      <w:r w:rsidRPr="00963237">
        <w:t xml:space="preserve">2005; Xanthopoulou et al., 2007; Dollard &amp; Bakker, 2010; Law et al., 2011); or lowering job demands (such as </w:t>
      </w:r>
      <w:r>
        <w:t xml:space="preserve">reducing </w:t>
      </w:r>
      <w:r w:rsidRPr="00963237">
        <w:t>hard and fast paced work, actual workload,</w:t>
      </w:r>
      <w:r>
        <w:t xml:space="preserve"> </w:t>
      </w:r>
      <w:r w:rsidR="00C731BA">
        <w:t xml:space="preserve">bullying, </w:t>
      </w:r>
      <w:r>
        <w:t>emotional and</w:t>
      </w:r>
      <w:r w:rsidRPr="00963237">
        <w:t xml:space="preserve"> physical demands). </w:t>
      </w:r>
    </w:p>
    <w:p w:rsidR="003F6504" w:rsidRDefault="003F6504" w:rsidP="00B934B6">
      <w:r w:rsidRPr="00963237">
        <w:lastRenderedPageBreak/>
        <w:t xml:space="preserve">The results </w:t>
      </w:r>
      <w:r w:rsidR="00761C13">
        <w:t xml:space="preserve">also </w:t>
      </w:r>
      <w:r w:rsidRPr="00963237">
        <w:t xml:space="preserve">further suggest that </w:t>
      </w:r>
      <w:r>
        <w:t xml:space="preserve">a </w:t>
      </w:r>
      <w:r w:rsidRPr="00963237">
        <w:t>national initiative focusing on industries that show high levels of risk</w:t>
      </w:r>
      <w:r>
        <w:t xml:space="preserve"> and low </w:t>
      </w:r>
      <w:r w:rsidR="006B273A">
        <w:t xml:space="preserve">PSC across a number of states. </w:t>
      </w:r>
      <w:r>
        <w:t>For instance</w:t>
      </w:r>
      <w:r w:rsidRPr="00963237">
        <w:t xml:space="preserve"> </w:t>
      </w:r>
      <w:r>
        <w:t>T</w:t>
      </w:r>
      <w:r w:rsidRPr="00963237">
        <w:t xml:space="preserve">ransport and storage </w:t>
      </w:r>
      <w:r>
        <w:t>shows</w:t>
      </w:r>
      <w:r w:rsidRPr="00963237">
        <w:t xml:space="preserve"> </w:t>
      </w:r>
      <w:r>
        <w:t xml:space="preserve">consistently </w:t>
      </w:r>
      <w:r w:rsidRPr="00963237">
        <w:t>low levels of PSC recorded by workers in this industry in NSW</w:t>
      </w:r>
      <w:r>
        <w:t>,</w:t>
      </w:r>
      <w:r w:rsidRPr="00963237">
        <w:t xml:space="preserve"> WA </w:t>
      </w:r>
      <w:r>
        <w:t xml:space="preserve">and Tas </w:t>
      </w:r>
      <w:r w:rsidRPr="00963237">
        <w:t xml:space="preserve">as well as </w:t>
      </w:r>
      <w:r>
        <w:t xml:space="preserve">unfavourable psychosocial risk levels in NSW, WA in addition to </w:t>
      </w:r>
      <w:r w:rsidRPr="00963237">
        <w:t xml:space="preserve">Safe Work </w:t>
      </w:r>
      <w:r>
        <w:t xml:space="preserve">Australia </w:t>
      </w:r>
      <w:r w:rsidRPr="00963237">
        <w:t xml:space="preserve">statistics </w:t>
      </w:r>
      <w:r w:rsidR="001E7927">
        <w:t>(</w:t>
      </w:r>
      <w:r w:rsidR="001E7927" w:rsidRPr="00963237">
        <w:t>Safe Work</w:t>
      </w:r>
      <w:r w:rsidR="001E7927">
        <w:t xml:space="preserve"> Australia</w:t>
      </w:r>
      <w:r w:rsidR="001E7927" w:rsidRPr="00963237">
        <w:t>, 2011</w:t>
      </w:r>
      <w:r w:rsidR="00EE248F">
        <w:t>),</w:t>
      </w:r>
      <w:r w:rsidR="001E7927">
        <w:t xml:space="preserve"> </w:t>
      </w:r>
      <w:r w:rsidRPr="00963237">
        <w:t>showing high levels of seri</w:t>
      </w:r>
      <w:r>
        <w:t>ous injuries for these workers.</w:t>
      </w:r>
      <w:r w:rsidRPr="00963237">
        <w:t xml:space="preserve"> </w:t>
      </w:r>
      <w:r>
        <w:t>N</w:t>
      </w:r>
      <w:r w:rsidRPr="00963237">
        <w:t xml:space="preserve">ational initiatives </w:t>
      </w:r>
      <w:r>
        <w:t xml:space="preserve">may </w:t>
      </w:r>
      <w:r w:rsidRPr="00963237">
        <w:t xml:space="preserve">also </w:t>
      </w:r>
      <w:r>
        <w:t xml:space="preserve">need to </w:t>
      </w:r>
      <w:r w:rsidRPr="00963237">
        <w:t xml:space="preserve">focus on the </w:t>
      </w:r>
      <w:r>
        <w:t>A</w:t>
      </w:r>
      <w:r w:rsidRPr="00963237">
        <w:t xml:space="preserve">ccommodation, cafes and restaurants industry which </w:t>
      </w:r>
      <w:r>
        <w:t xml:space="preserve">recorded PSC levels below the </w:t>
      </w:r>
      <w:r w:rsidR="001E7927">
        <w:t xml:space="preserve">2009-10 </w:t>
      </w:r>
      <w:r>
        <w:t xml:space="preserve">benchmark across most states and </w:t>
      </w:r>
      <w:r w:rsidRPr="00963237">
        <w:t xml:space="preserve">was identified </w:t>
      </w:r>
      <w:r>
        <w:t xml:space="preserve">having unfavourable psychosocial risk levels </w:t>
      </w:r>
      <w:r w:rsidR="001E7927">
        <w:t>at the national level</w:t>
      </w:r>
      <w:r w:rsidR="003465FB">
        <w:t>,</w:t>
      </w:r>
      <w:r w:rsidRPr="00963237">
        <w:t xml:space="preserve"> </w:t>
      </w:r>
      <w:r w:rsidR="001E7927">
        <w:t>as well as state level for</w:t>
      </w:r>
      <w:r w:rsidR="00C731BA">
        <w:t xml:space="preserve"> </w:t>
      </w:r>
      <w:r w:rsidRPr="00963237">
        <w:t>NSW, WA</w:t>
      </w:r>
      <w:r w:rsidR="004A0791">
        <w:t xml:space="preserve"> and</w:t>
      </w:r>
      <w:r w:rsidR="004A0791" w:rsidRPr="00963237">
        <w:t xml:space="preserve"> </w:t>
      </w:r>
      <w:r w:rsidRPr="00963237">
        <w:t>SA.</w:t>
      </w:r>
      <w:r w:rsidR="00761C13">
        <w:t xml:space="preserve"> </w:t>
      </w:r>
      <w:r w:rsidR="00BB0B0D">
        <w:t>In addition</w:t>
      </w:r>
      <w:r w:rsidR="004E33DD">
        <w:t>,</w:t>
      </w:r>
      <w:r w:rsidR="00BB0B0D">
        <w:t xml:space="preserve"> the Health and community services industry</w:t>
      </w:r>
      <w:r>
        <w:t xml:space="preserve"> </w:t>
      </w:r>
      <w:r w:rsidR="004D6BEB">
        <w:t xml:space="preserve">shows poor psychosocial conditions </w:t>
      </w:r>
      <w:r w:rsidR="001E7927">
        <w:t>at the national level</w:t>
      </w:r>
      <w:r w:rsidR="004E33DD">
        <w:t xml:space="preserve"> NSW and Tas as well as PSC scores below the </w:t>
      </w:r>
      <w:r w:rsidR="001E7927">
        <w:t xml:space="preserve">2009-10 </w:t>
      </w:r>
      <w:r w:rsidR="004E33DD">
        <w:t xml:space="preserve">benchmark (41) for </w:t>
      </w:r>
      <w:r w:rsidR="004A0791">
        <w:t xml:space="preserve">most </w:t>
      </w:r>
      <w:r w:rsidR="006B273A">
        <w:t>states.</w:t>
      </w:r>
      <w:r w:rsidR="004E33DD">
        <w:t xml:space="preserve"> </w:t>
      </w:r>
      <w:r w:rsidR="00D43249">
        <w:t xml:space="preserve">Further investigations at the national level are warranted for </w:t>
      </w:r>
      <w:r w:rsidR="005139FD">
        <w:t>the Health and community services industry</w:t>
      </w:r>
      <w:r w:rsidR="00D43249">
        <w:t xml:space="preserve">. </w:t>
      </w:r>
      <w:r>
        <w:t>See Appendix B for additional comparisons between larger and smaller states.</w:t>
      </w:r>
      <w:r w:rsidR="00C731BA">
        <w:t xml:space="preserve"> </w:t>
      </w:r>
    </w:p>
    <w:p w:rsidR="00F24D5D" w:rsidRPr="009C712C" w:rsidRDefault="00F24D5D" w:rsidP="00A66569">
      <w:pPr>
        <w:pStyle w:val="Heading2"/>
        <w:spacing w:before="0" w:after="100"/>
      </w:pPr>
      <w:bookmarkStart w:id="75" w:name="_Toc343502442"/>
      <w:r w:rsidRPr="009C712C">
        <w:t>Urban and rural workers’ mental health</w:t>
      </w:r>
      <w:bookmarkEnd w:id="75"/>
    </w:p>
    <w:p w:rsidR="00FF2C8F" w:rsidRPr="00B934B6" w:rsidRDefault="00FF2C8F" w:rsidP="0040008A">
      <w:pPr>
        <w:pStyle w:val="Quote"/>
      </w:pPr>
      <w:r w:rsidRPr="00B934B6">
        <w:t>“Urban workers report marginally higher psychological demands compared to rural workers whereas rural workers report more physical demands and work-family conflict and are more at risk for poorer mental and physical health outcomes suggesting additional resources and awareness for rural workers are important</w:t>
      </w:r>
      <w:r w:rsidR="009964AD">
        <w:t>.</w:t>
      </w:r>
      <w:r w:rsidRPr="00B934B6">
        <w:t>”</w:t>
      </w:r>
    </w:p>
    <w:p w:rsidR="00F24D5D" w:rsidRDefault="00F24D5D" w:rsidP="00B934B6">
      <w:r>
        <w:t xml:space="preserve">Research into </w:t>
      </w:r>
      <w:r w:rsidR="00422EAA">
        <w:t>psychosocial risk factors</w:t>
      </w:r>
      <w:r w:rsidRPr="00B34653">
        <w:t xml:space="preserve"> is </w:t>
      </w:r>
      <w:r>
        <w:t>predominantly conducted in urban settings</w:t>
      </w:r>
      <w:r w:rsidRPr="00B34653">
        <w:t xml:space="preserve"> (Kang, Staniford, Dollard, &amp; Kompier, 2008). </w:t>
      </w:r>
      <w:r w:rsidRPr="00827289">
        <w:t xml:space="preserve">Australia </w:t>
      </w:r>
      <w:r w:rsidR="0045728B">
        <w:t xml:space="preserve">has </w:t>
      </w:r>
      <w:r w:rsidRPr="00827289">
        <w:t xml:space="preserve">a heavily urbanised </w:t>
      </w:r>
      <w:r>
        <w:t>workforce</w:t>
      </w:r>
      <w:r w:rsidRPr="00827289">
        <w:t>.</w:t>
      </w:r>
      <w:r w:rsidR="00422EAA">
        <w:t xml:space="preserve"> </w:t>
      </w:r>
      <w:r w:rsidRPr="00827289">
        <w:t>In 2005</w:t>
      </w:r>
      <w:r>
        <w:t xml:space="preserve">, </w:t>
      </w:r>
      <w:r w:rsidR="004C05AB">
        <w:t>88</w:t>
      </w:r>
      <w:r w:rsidRPr="007205E9">
        <w:t xml:space="preserve"> per cent of Australia’s population lived in urban areas</w:t>
      </w:r>
      <w:r w:rsidRPr="00827289">
        <w:t xml:space="preserve">, </w:t>
      </w:r>
      <w:r>
        <w:t xml:space="preserve">which is roughly 8 per cent more than the US </w:t>
      </w:r>
      <w:r w:rsidRPr="00827289">
        <w:t>(Danaher, 2010).</w:t>
      </w:r>
      <w:r>
        <w:t xml:space="preserve"> Despite the smaller numbers of rural workers,</w:t>
      </w:r>
      <w:r w:rsidRPr="004218D4">
        <w:t xml:space="preserve"> </w:t>
      </w:r>
      <w:r>
        <w:t>concerns have been raised about the mental health of those that work in rural enterprises or services. In this section we examined</w:t>
      </w:r>
      <w:r w:rsidRPr="00B34653">
        <w:t xml:space="preserve"> urban and rural variations in worker demands</w:t>
      </w:r>
      <w:r w:rsidRPr="008F3894">
        <w:t>, resources, health, and engagement outcomes</w:t>
      </w:r>
      <w:r>
        <w:t>, and investigated the common belief that rural workers are at a higher risk of stress at work than urban workers</w:t>
      </w:r>
      <w:r w:rsidRPr="00827289">
        <w:t xml:space="preserve"> – we call</w:t>
      </w:r>
      <w:r w:rsidR="00AC183E">
        <w:t xml:space="preserve"> this the disparity hypothesis.</w:t>
      </w:r>
    </w:p>
    <w:p w:rsidR="00F24D5D" w:rsidRDefault="00F24D5D" w:rsidP="00B934B6">
      <w:r>
        <w:t xml:space="preserve">Most mental health research into rural and urban comparisons has investigated depression prevalence. The international research </w:t>
      </w:r>
      <w:r w:rsidR="009723DE">
        <w:t>provides conflicting results</w:t>
      </w:r>
      <w:r w:rsidR="00C731BA">
        <w:t>. S</w:t>
      </w:r>
      <w:r>
        <w:t xml:space="preserve">everal studies </w:t>
      </w:r>
      <w:r w:rsidR="009723DE">
        <w:t>show</w:t>
      </w:r>
      <w:r w:rsidRPr="000B4FA8">
        <w:t xml:space="preserve"> a greater prevalence of depression </w:t>
      </w:r>
      <w:r w:rsidRPr="00692613">
        <w:t>in rural areas (</w:t>
      </w:r>
      <w:r w:rsidRPr="00692613">
        <w:rPr>
          <w:bCs/>
        </w:rPr>
        <w:t>Mechakra-Tahiri, Zunzunegui, Préville &amp; Dubé, 2009; Mumford, Minhas, Akhtar, Akhter &amp; Mubbashar, 2000</w:t>
      </w:r>
      <w:r w:rsidRPr="00692613">
        <w:t xml:space="preserve">), several </w:t>
      </w:r>
      <w:r>
        <w:t>find</w:t>
      </w:r>
      <w:r w:rsidRPr="00692613">
        <w:t xml:space="preserve"> greater prevalence in urban areas (Mueller, 1981; </w:t>
      </w:r>
      <w:r w:rsidRPr="00692613">
        <w:rPr>
          <w:bCs/>
        </w:rPr>
        <w:t xml:space="preserve">Walters, Breeze, Wilkinson, Price, Bulpitt, &amp; Fletcher, 2004; </w:t>
      </w:r>
      <w:r w:rsidRPr="00692613">
        <w:t xml:space="preserve">Wang, 2004), </w:t>
      </w:r>
      <w:r w:rsidR="00C731BA">
        <w:t xml:space="preserve">but </w:t>
      </w:r>
      <w:r w:rsidRPr="00692613">
        <w:t xml:space="preserve">most find no significant differences between either (Blazer, Kessler, McGonagle, &amp; Swartz, 1994; Caldwell, </w:t>
      </w:r>
      <w:r w:rsidR="006B273A">
        <w:t>Jorm, &amp;</w:t>
      </w:r>
      <w:r w:rsidRPr="00692613">
        <w:t xml:space="preserve"> Dear, 2004; Kim, Shin, Yoon, &amp; Stewart, 2002; Parikh, Wasylenki, Goering &amp; Wong, 1996; Probst et al., 2006; Sears, Urizar, &amp; Evans, 2000).</w:t>
      </w:r>
      <w:r w:rsidRPr="00692613" w:rsidDel="00FB04C9">
        <w:t xml:space="preserve"> </w:t>
      </w:r>
      <w:r>
        <w:t xml:space="preserve">As it stands the </w:t>
      </w:r>
      <w:r w:rsidR="00C731BA">
        <w:t xml:space="preserve">effects </w:t>
      </w:r>
      <w:r>
        <w:t>of a</w:t>
      </w:r>
      <w:r w:rsidRPr="00692613">
        <w:t xml:space="preserve"> community urbanisation on work</w:t>
      </w:r>
      <w:r>
        <w:t>place</w:t>
      </w:r>
      <w:r w:rsidRPr="00692613">
        <w:t xml:space="preserve"> factors</w:t>
      </w:r>
      <w:r w:rsidR="00C731BA">
        <w:t xml:space="preserve"> and worker health</w:t>
      </w:r>
      <w:r w:rsidRPr="00692613">
        <w:t xml:space="preserve"> has gone largely unexplored. </w:t>
      </w:r>
      <w:r>
        <w:t>The following significant differences were established using AWB data</w:t>
      </w:r>
      <w:r w:rsidR="0045728B">
        <w:t>:</w:t>
      </w:r>
    </w:p>
    <w:p w:rsidR="00F24D5D" w:rsidRPr="006409D1" w:rsidRDefault="00F24D5D" w:rsidP="006409D1">
      <w:pPr>
        <w:spacing w:before="120" w:after="120"/>
        <w:ind w:left="357"/>
        <w:rPr>
          <w:rFonts w:cs="Arial"/>
        </w:rPr>
      </w:pPr>
      <w:r w:rsidRPr="006409D1">
        <w:rPr>
          <w:rFonts w:cs="Arial"/>
        </w:rPr>
        <w:t>Demands</w:t>
      </w:r>
    </w:p>
    <w:p w:rsidR="00F24D5D" w:rsidRPr="006409D1" w:rsidRDefault="0036234E" w:rsidP="006409D1">
      <w:pPr>
        <w:pStyle w:val="ListParagraph"/>
        <w:numPr>
          <w:ilvl w:val="0"/>
          <w:numId w:val="4"/>
        </w:numPr>
        <w:spacing w:before="120" w:after="120"/>
        <w:ind w:left="714" w:hanging="357"/>
        <w:rPr>
          <w:rFonts w:ascii="Arial" w:hAnsi="Arial" w:cs="Arial"/>
        </w:rPr>
      </w:pPr>
      <w:r w:rsidRPr="006409D1">
        <w:rPr>
          <w:rFonts w:ascii="Arial" w:hAnsi="Arial" w:cs="Arial"/>
        </w:rPr>
        <w:t>u</w:t>
      </w:r>
      <w:r w:rsidR="00F24D5D" w:rsidRPr="006409D1">
        <w:rPr>
          <w:rFonts w:ascii="Arial" w:hAnsi="Arial" w:cs="Arial"/>
        </w:rPr>
        <w:t xml:space="preserve">rban workers reported </w:t>
      </w:r>
      <w:r w:rsidR="005139FD" w:rsidRPr="006409D1">
        <w:rPr>
          <w:rFonts w:ascii="Arial" w:hAnsi="Arial" w:cs="Arial"/>
        </w:rPr>
        <w:t xml:space="preserve">marginally </w:t>
      </w:r>
      <w:r w:rsidR="00F24D5D" w:rsidRPr="006409D1">
        <w:rPr>
          <w:rFonts w:ascii="Arial" w:hAnsi="Arial" w:cs="Arial"/>
        </w:rPr>
        <w:t>more work pressure</w:t>
      </w:r>
      <w:r w:rsidR="005139FD" w:rsidRPr="006409D1">
        <w:rPr>
          <w:rFonts w:ascii="Arial" w:hAnsi="Arial" w:cs="Arial"/>
        </w:rPr>
        <w:t xml:space="preserve"> </w:t>
      </w:r>
    </w:p>
    <w:p w:rsidR="00F24D5D" w:rsidRPr="006409D1" w:rsidRDefault="0036234E" w:rsidP="006409D1">
      <w:pPr>
        <w:pStyle w:val="ListParagraph"/>
        <w:numPr>
          <w:ilvl w:val="0"/>
          <w:numId w:val="4"/>
        </w:numPr>
        <w:spacing w:before="120" w:after="120"/>
        <w:ind w:left="714" w:hanging="357"/>
        <w:rPr>
          <w:rFonts w:ascii="Arial" w:hAnsi="Arial" w:cs="Arial"/>
        </w:rPr>
      </w:pPr>
      <w:r w:rsidRPr="006409D1">
        <w:rPr>
          <w:rFonts w:ascii="Arial" w:hAnsi="Arial" w:cs="Arial"/>
        </w:rPr>
        <w:t>r</w:t>
      </w:r>
      <w:r w:rsidR="00F24D5D" w:rsidRPr="006409D1">
        <w:rPr>
          <w:rFonts w:ascii="Arial" w:hAnsi="Arial" w:cs="Arial"/>
        </w:rPr>
        <w:t>ural workers reported moderately more physical demands</w:t>
      </w:r>
      <w:r w:rsidR="0045728B" w:rsidRPr="006409D1">
        <w:rPr>
          <w:rFonts w:ascii="Arial" w:hAnsi="Arial" w:cs="Arial"/>
        </w:rPr>
        <w:t>, and</w:t>
      </w:r>
    </w:p>
    <w:p w:rsidR="00F24D5D" w:rsidRPr="006409D1" w:rsidRDefault="0036234E" w:rsidP="006409D1">
      <w:pPr>
        <w:pStyle w:val="ListParagraph"/>
        <w:numPr>
          <w:ilvl w:val="0"/>
          <w:numId w:val="4"/>
        </w:numPr>
        <w:spacing w:before="120" w:after="120"/>
        <w:ind w:left="714" w:hanging="357"/>
        <w:rPr>
          <w:rFonts w:ascii="Arial" w:hAnsi="Arial" w:cs="Arial"/>
        </w:rPr>
      </w:pPr>
      <w:proofErr w:type="gramStart"/>
      <w:r w:rsidRPr="006409D1">
        <w:rPr>
          <w:rFonts w:ascii="Arial" w:hAnsi="Arial" w:cs="Arial"/>
        </w:rPr>
        <w:t>r</w:t>
      </w:r>
      <w:r w:rsidR="00F24D5D" w:rsidRPr="006409D1">
        <w:rPr>
          <w:rFonts w:ascii="Arial" w:hAnsi="Arial" w:cs="Arial"/>
        </w:rPr>
        <w:t>ural</w:t>
      </w:r>
      <w:proofErr w:type="gramEnd"/>
      <w:r w:rsidR="00F24D5D" w:rsidRPr="006409D1">
        <w:rPr>
          <w:rFonts w:ascii="Arial" w:hAnsi="Arial" w:cs="Arial"/>
        </w:rPr>
        <w:t xml:space="preserve"> workers reported moderately more work-family conflict</w:t>
      </w:r>
      <w:r w:rsidR="0045728B" w:rsidRPr="006409D1">
        <w:rPr>
          <w:rFonts w:ascii="Arial" w:hAnsi="Arial" w:cs="Arial"/>
        </w:rPr>
        <w:t>.</w:t>
      </w:r>
    </w:p>
    <w:p w:rsidR="00F24D5D" w:rsidRPr="006409D1" w:rsidRDefault="00F24D5D" w:rsidP="006409D1">
      <w:pPr>
        <w:spacing w:before="120" w:after="120"/>
        <w:ind w:left="357"/>
        <w:rPr>
          <w:rFonts w:cs="Arial"/>
        </w:rPr>
      </w:pPr>
      <w:r w:rsidRPr="006409D1">
        <w:rPr>
          <w:rFonts w:cs="Arial"/>
        </w:rPr>
        <w:t>Resources</w:t>
      </w:r>
    </w:p>
    <w:p w:rsidR="00F24D5D" w:rsidRPr="006409D1" w:rsidRDefault="0036234E" w:rsidP="006409D1">
      <w:pPr>
        <w:pStyle w:val="ListParagraph"/>
        <w:numPr>
          <w:ilvl w:val="0"/>
          <w:numId w:val="4"/>
        </w:numPr>
        <w:spacing w:before="120" w:after="120"/>
        <w:ind w:left="714" w:hanging="357"/>
        <w:rPr>
          <w:rFonts w:ascii="Arial" w:hAnsi="Arial" w:cs="Arial"/>
        </w:rPr>
      </w:pPr>
      <w:proofErr w:type="gramStart"/>
      <w:r w:rsidRPr="006409D1">
        <w:rPr>
          <w:rFonts w:ascii="Arial" w:hAnsi="Arial" w:cs="Arial"/>
        </w:rPr>
        <w:t>r</w:t>
      </w:r>
      <w:r w:rsidR="00F24D5D" w:rsidRPr="006409D1">
        <w:rPr>
          <w:rFonts w:ascii="Arial" w:hAnsi="Arial" w:cs="Arial"/>
        </w:rPr>
        <w:t>ural</w:t>
      </w:r>
      <w:proofErr w:type="gramEnd"/>
      <w:r w:rsidR="00F24D5D" w:rsidRPr="006409D1">
        <w:rPr>
          <w:rFonts w:ascii="Arial" w:hAnsi="Arial" w:cs="Arial"/>
        </w:rPr>
        <w:t xml:space="preserve"> workers reported </w:t>
      </w:r>
      <w:r w:rsidR="001D046D" w:rsidRPr="006409D1">
        <w:rPr>
          <w:rFonts w:ascii="Arial" w:hAnsi="Arial" w:cs="Arial"/>
        </w:rPr>
        <w:t xml:space="preserve">marginally </w:t>
      </w:r>
      <w:r w:rsidR="00F24D5D" w:rsidRPr="006409D1">
        <w:rPr>
          <w:rFonts w:ascii="Arial" w:hAnsi="Arial" w:cs="Arial"/>
        </w:rPr>
        <w:t>more organisational rewards</w:t>
      </w:r>
      <w:r w:rsidR="0045728B" w:rsidRPr="006409D1">
        <w:rPr>
          <w:rFonts w:ascii="Arial" w:hAnsi="Arial" w:cs="Arial"/>
        </w:rPr>
        <w:t>.</w:t>
      </w:r>
      <w:r w:rsidR="00F24D5D" w:rsidRPr="006409D1">
        <w:rPr>
          <w:rFonts w:ascii="Arial" w:hAnsi="Arial" w:cs="Arial"/>
        </w:rPr>
        <w:t xml:space="preserve"> </w:t>
      </w:r>
    </w:p>
    <w:p w:rsidR="008475B9" w:rsidRPr="006409D1" w:rsidRDefault="008475B9" w:rsidP="006409D1">
      <w:pPr>
        <w:pStyle w:val="ListParagraph"/>
        <w:numPr>
          <w:ilvl w:val="0"/>
          <w:numId w:val="4"/>
        </w:numPr>
        <w:spacing w:before="120" w:after="120"/>
        <w:ind w:left="714" w:hanging="357"/>
        <w:rPr>
          <w:rFonts w:ascii="Arial" w:hAnsi="Arial" w:cs="Arial"/>
        </w:rPr>
      </w:pPr>
      <w:r w:rsidRPr="006409D1">
        <w:rPr>
          <w:rFonts w:ascii="Arial" w:hAnsi="Arial" w:cs="Arial"/>
        </w:rPr>
        <w:br w:type="page"/>
      </w:r>
    </w:p>
    <w:p w:rsidR="00F24D5D" w:rsidRPr="006409D1" w:rsidRDefault="00F24D5D" w:rsidP="006409D1">
      <w:pPr>
        <w:spacing w:before="120" w:after="120"/>
        <w:ind w:left="357"/>
        <w:rPr>
          <w:rFonts w:cs="Arial"/>
        </w:rPr>
      </w:pPr>
      <w:r w:rsidRPr="006409D1">
        <w:rPr>
          <w:rFonts w:cs="Arial"/>
        </w:rPr>
        <w:lastRenderedPageBreak/>
        <w:t>Outcomes</w:t>
      </w:r>
    </w:p>
    <w:p w:rsidR="00F24D5D" w:rsidRPr="006409D1" w:rsidRDefault="0036234E" w:rsidP="006409D1">
      <w:pPr>
        <w:pStyle w:val="ListParagraph"/>
        <w:numPr>
          <w:ilvl w:val="0"/>
          <w:numId w:val="4"/>
        </w:numPr>
        <w:spacing w:before="120" w:after="120"/>
        <w:ind w:left="714" w:hanging="357"/>
        <w:rPr>
          <w:rFonts w:ascii="Arial" w:hAnsi="Arial" w:cs="Arial"/>
        </w:rPr>
      </w:pPr>
      <w:r w:rsidRPr="006409D1">
        <w:rPr>
          <w:rFonts w:ascii="Arial" w:hAnsi="Arial" w:cs="Arial"/>
        </w:rPr>
        <w:t>r</w:t>
      </w:r>
      <w:r w:rsidR="00F24D5D" w:rsidRPr="006409D1">
        <w:rPr>
          <w:rFonts w:ascii="Arial" w:hAnsi="Arial" w:cs="Arial"/>
        </w:rPr>
        <w:t xml:space="preserve">ural workers reported </w:t>
      </w:r>
      <w:r w:rsidR="001D046D" w:rsidRPr="006409D1">
        <w:rPr>
          <w:rFonts w:ascii="Arial" w:hAnsi="Arial" w:cs="Arial"/>
        </w:rPr>
        <w:t xml:space="preserve">marginally </w:t>
      </w:r>
      <w:r w:rsidR="00F24D5D" w:rsidRPr="006409D1">
        <w:rPr>
          <w:rFonts w:ascii="Arial" w:hAnsi="Arial" w:cs="Arial"/>
        </w:rPr>
        <w:t>lower levels of recovery</w:t>
      </w:r>
    </w:p>
    <w:p w:rsidR="00F24D5D" w:rsidRPr="006409D1" w:rsidRDefault="0036234E" w:rsidP="006409D1">
      <w:pPr>
        <w:pStyle w:val="ListParagraph"/>
        <w:numPr>
          <w:ilvl w:val="0"/>
          <w:numId w:val="4"/>
        </w:numPr>
        <w:spacing w:before="120" w:after="120"/>
        <w:ind w:left="714" w:hanging="357"/>
        <w:rPr>
          <w:rFonts w:ascii="Arial" w:hAnsi="Arial" w:cs="Arial"/>
        </w:rPr>
      </w:pPr>
      <w:r w:rsidRPr="006409D1">
        <w:rPr>
          <w:rFonts w:ascii="Arial" w:hAnsi="Arial" w:cs="Arial"/>
        </w:rPr>
        <w:t>r</w:t>
      </w:r>
      <w:r w:rsidR="00F24D5D" w:rsidRPr="006409D1">
        <w:rPr>
          <w:rFonts w:ascii="Arial" w:hAnsi="Arial" w:cs="Arial"/>
        </w:rPr>
        <w:t xml:space="preserve">ural workers reported </w:t>
      </w:r>
      <w:r w:rsidR="001D046D" w:rsidRPr="006409D1">
        <w:rPr>
          <w:rFonts w:ascii="Arial" w:hAnsi="Arial" w:cs="Arial"/>
        </w:rPr>
        <w:t xml:space="preserve">marginally </w:t>
      </w:r>
      <w:r w:rsidR="00F24D5D" w:rsidRPr="006409D1">
        <w:rPr>
          <w:rFonts w:ascii="Arial" w:hAnsi="Arial" w:cs="Arial"/>
        </w:rPr>
        <w:t>more emotional exhaustion</w:t>
      </w:r>
    </w:p>
    <w:p w:rsidR="00F24D5D" w:rsidRPr="006409D1" w:rsidRDefault="0036234E" w:rsidP="006409D1">
      <w:pPr>
        <w:pStyle w:val="ListParagraph"/>
        <w:numPr>
          <w:ilvl w:val="0"/>
          <w:numId w:val="4"/>
        </w:numPr>
        <w:spacing w:before="120" w:after="120"/>
        <w:ind w:left="714" w:hanging="357"/>
        <w:rPr>
          <w:rFonts w:ascii="Arial" w:hAnsi="Arial" w:cs="Arial"/>
        </w:rPr>
      </w:pPr>
      <w:r w:rsidRPr="006409D1">
        <w:rPr>
          <w:rFonts w:ascii="Arial" w:hAnsi="Arial" w:cs="Arial"/>
        </w:rPr>
        <w:t>r</w:t>
      </w:r>
      <w:r w:rsidR="00F24D5D" w:rsidRPr="006409D1">
        <w:rPr>
          <w:rFonts w:ascii="Arial" w:hAnsi="Arial" w:cs="Arial"/>
        </w:rPr>
        <w:t xml:space="preserve">ural workers reported </w:t>
      </w:r>
      <w:r w:rsidR="001D046D" w:rsidRPr="006409D1">
        <w:rPr>
          <w:rFonts w:ascii="Arial" w:hAnsi="Arial" w:cs="Arial"/>
        </w:rPr>
        <w:t xml:space="preserve">marginally </w:t>
      </w:r>
      <w:r w:rsidR="00F24D5D" w:rsidRPr="006409D1">
        <w:rPr>
          <w:rFonts w:ascii="Arial" w:hAnsi="Arial" w:cs="Arial"/>
        </w:rPr>
        <w:t>more depression</w:t>
      </w:r>
    </w:p>
    <w:p w:rsidR="00F24D5D" w:rsidRPr="006409D1" w:rsidRDefault="0036234E" w:rsidP="006409D1">
      <w:pPr>
        <w:pStyle w:val="ListParagraph"/>
        <w:numPr>
          <w:ilvl w:val="0"/>
          <w:numId w:val="4"/>
        </w:numPr>
        <w:spacing w:before="120" w:after="120"/>
        <w:ind w:left="714" w:hanging="357"/>
        <w:rPr>
          <w:rFonts w:ascii="Arial" w:hAnsi="Arial" w:cs="Arial"/>
        </w:rPr>
      </w:pPr>
      <w:r w:rsidRPr="006409D1">
        <w:rPr>
          <w:rFonts w:ascii="Arial" w:hAnsi="Arial" w:cs="Arial"/>
        </w:rPr>
        <w:t>r</w:t>
      </w:r>
      <w:r w:rsidR="00F24D5D" w:rsidRPr="006409D1">
        <w:rPr>
          <w:rFonts w:ascii="Arial" w:hAnsi="Arial" w:cs="Arial"/>
        </w:rPr>
        <w:t xml:space="preserve">ural workers reported </w:t>
      </w:r>
      <w:r w:rsidR="001D046D" w:rsidRPr="006409D1">
        <w:rPr>
          <w:rFonts w:ascii="Arial" w:hAnsi="Arial" w:cs="Arial"/>
        </w:rPr>
        <w:t xml:space="preserve">marginally </w:t>
      </w:r>
      <w:r w:rsidR="00F24D5D" w:rsidRPr="006409D1">
        <w:rPr>
          <w:rFonts w:ascii="Arial" w:hAnsi="Arial" w:cs="Arial"/>
        </w:rPr>
        <w:t>more physical health problems</w:t>
      </w:r>
      <w:r w:rsidR="0045728B" w:rsidRPr="006409D1">
        <w:rPr>
          <w:rFonts w:ascii="Arial" w:hAnsi="Arial" w:cs="Arial"/>
        </w:rPr>
        <w:t>, and</w:t>
      </w:r>
    </w:p>
    <w:p w:rsidR="00F24D5D" w:rsidRPr="006409D1" w:rsidRDefault="0036234E" w:rsidP="006409D1">
      <w:pPr>
        <w:pStyle w:val="ListParagraph"/>
        <w:numPr>
          <w:ilvl w:val="0"/>
          <w:numId w:val="4"/>
        </w:numPr>
        <w:spacing w:before="120" w:after="120"/>
        <w:ind w:left="714" w:hanging="357"/>
        <w:rPr>
          <w:rFonts w:ascii="Arial" w:hAnsi="Arial" w:cs="Arial"/>
        </w:rPr>
      </w:pPr>
      <w:proofErr w:type="gramStart"/>
      <w:r w:rsidRPr="006409D1">
        <w:rPr>
          <w:rFonts w:ascii="Arial" w:hAnsi="Arial" w:cs="Arial"/>
        </w:rPr>
        <w:t>r</w:t>
      </w:r>
      <w:r w:rsidR="00F24D5D" w:rsidRPr="006409D1">
        <w:rPr>
          <w:rFonts w:ascii="Arial" w:hAnsi="Arial" w:cs="Arial"/>
        </w:rPr>
        <w:t>ural</w:t>
      </w:r>
      <w:proofErr w:type="gramEnd"/>
      <w:r w:rsidR="00F24D5D" w:rsidRPr="006409D1">
        <w:rPr>
          <w:rFonts w:ascii="Arial" w:hAnsi="Arial" w:cs="Arial"/>
        </w:rPr>
        <w:t xml:space="preserve"> workers reported </w:t>
      </w:r>
      <w:r w:rsidR="001D046D" w:rsidRPr="006409D1">
        <w:rPr>
          <w:rFonts w:ascii="Arial" w:hAnsi="Arial" w:cs="Arial"/>
        </w:rPr>
        <w:t xml:space="preserve">marginally </w:t>
      </w:r>
      <w:r w:rsidR="00F24D5D" w:rsidRPr="006409D1">
        <w:rPr>
          <w:rFonts w:ascii="Arial" w:hAnsi="Arial" w:cs="Arial"/>
        </w:rPr>
        <w:t>more engagement.</w:t>
      </w:r>
    </w:p>
    <w:p w:rsidR="00C731BA" w:rsidRDefault="00F24D5D" w:rsidP="00B934B6">
      <w:r w:rsidRPr="00692613">
        <w:t>For the majority of workplace factors reviewed, there were few significant differences between urban and rural</w:t>
      </w:r>
      <w:r>
        <w:t>,</w:t>
      </w:r>
      <w:r w:rsidRPr="00692613">
        <w:t xml:space="preserve"> work demands and resources. The most noticeable differences were that rural workers reported greater physical de</w:t>
      </w:r>
      <w:r w:rsidR="00AC183E">
        <w:t>mands and work-family conflict.</w:t>
      </w:r>
    </w:p>
    <w:p w:rsidR="00F24D5D" w:rsidRDefault="00F24D5D" w:rsidP="00B934B6">
      <w:r>
        <w:t xml:space="preserve">A primary concern </w:t>
      </w:r>
      <w:r w:rsidRPr="006F3BF3">
        <w:t>for</w:t>
      </w:r>
      <w:r w:rsidRPr="000B4FA8">
        <w:t xml:space="preserve"> people living in rural areas is </w:t>
      </w:r>
      <w:r w:rsidR="00C731BA">
        <w:t xml:space="preserve">that when they experience psychological health problems, </w:t>
      </w:r>
      <w:r w:rsidRPr="000B4FA8">
        <w:t xml:space="preserve">their distance from city centres, </w:t>
      </w:r>
      <w:r>
        <w:t>disadvantages them</w:t>
      </w:r>
      <w:r w:rsidRPr="000B4FA8">
        <w:t xml:space="preserve"> when accessing support services. It could be argued that communication technology development (</w:t>
      </w:r>
      <w:r w:rsidR="00723A04">
        <w:t>e.g.</w:t>
      </w:r>
      <w:r>
        <w:t xml:space="preserve"> moving from dial-up to broadband and telecommunication technology development</w:t>
      </w:r>
      <w:r w:rsidRPr="000B4FA8">
        <w:t xml:space="preserve">) has </w:t>
      </w:r>
      <w:r>
        <w:t>reduced the divide between</w:t>
      </w:r>
      <w:r w:rsidRPr="000B4FA8">
        <w:t xml:space="preserve"> urban and rural areas</w:t>
      </w:r>
      <w:r>
        <w:t xml:space="preserve"> and in this regard there is likely greater connectivity between health care professionals</w:t>
      </w:r>
      <w:r w:rsidRPr="000B4FA8">
        <w:t>.</w:t>
      </w:r>
      <w:r>
        <w:t xml:space="preserve"> Another core concern is that r</w:t>
      </w:r>
      <w:r w:rsidRPr="000B4FA8">
        <w:t xml:space="preserve">ural Australians hold negative attitudes towards seeking professional help for physical (Elliot-Schmidt &amp; Strong, 1997) and psychological illness (Komiti, </w:t>
      </w:r>
      <w:r>
        <w:t xml:space="preserve">Judd, &amp; Jackson, </w:t>
      </w:r>
      <w:r w:rsidRPr="000B4FA8">
        <w:t>2006</w:t>
      </w:r>
      <w:r>
        <w:t>; Staniford, Dollard, &amp; Guerin, 2009</w:t>
      </w:r>
      <w:r w:rsidRPr="000B4FA8">
        <w:t xml:space="preserve">), </w:t>
      </w:r>
      <w:r>
        <w:t>and</w:t>
      </w:r>
      <w:r w:rsidRPr="000B4FA8">
        <w:t xml:space="preserve"> engage in </w:t>
      </w:r>
      <w:r>
        <w:t>more</w:t>
      </w:r>
      <w:r w:rsidRPr="000B4FA8">
        <w:t xml:space="preserve"> risk taking behaviour (AIHW, 2005).</w:t>
      </w:r>
      <w:r w:rsidR="00761C13">
        <w:t xml:space="preserve"> Together these factors may exacerbate work </w:t>
      </w:r>
      <w:r w:rsidR="00AC183E">
        <w:t>related negative health states.</w:t>
      </w:r>
    </w:p>
    <w:p w:rsidR="00F24D5D" w:rsidRDefault="00F24D5D" w:rsidP="00B934B6">
      <w:r w:rsidRPr="00F9288B">
        <w:t xml:space="preserve">Strategies could be undertaken by rural employers to </w:t>
      </w:r>
      <w:r w:rsidRPr="006F3BF3">
        <w:t>address the</w:t>
      </w:r>
      <w:r w:rsidRPr="000B4FA8">
        <w:t xml:space="preserve"> higher psychosocial risks in rural workplaces. </w:t>
      </w:r>
      <w:r>
        <w:t>Increased s</w:t>
      </w:r>
      <w:r w:rsidRPr="000B4FA8">
        <w:t xml:space="preserve">ocial </w:t>
      </w:r>
      <w:r>
        <w:t>support can buffer</w:t>
      </w:r>
      <w:r w:rsidRPr="000B4FA8">
        <w:t xml:space="preserve"> conflicts between employee work and family life (</w:t>
      </w:r>
      <w:r w:rsidR="009E2F12">
        <w:t xml:space="preserve">Van </w:t>
      </w:r>
      <w:r w:rsidRPr="000B4FA8">
        <w:t>Daalen, Willemsen, &amp; Sanders, 2006</w:t>
      </w:r>
      <w:r>
        <w:t>) and this could be achieved by orchestrating workplace social activities. Rural employers need to be mindful of the higher levels of physical health problems in the workforce,</w:t>
      </w:r>
      <w:r w:rsidRPr="008F3894">
        <w:t xml:space="preserve"> </w:t>
      </w:r>
      <w:r>
        <w:t xml:space="preserve">which can lead to </w:t>
      </w:r>
      <w:r w:rsidRPr="00692613">
        <w:t>increased fatigue and poorer sleep quality (</w:t>
      </w:r>
      <w:r w:rsidRPr="00692613">
        <w:rPr>
          <w:bCs/>
          <w:iCs/>
        </w:rPr>
        <w:t xml:space="preserve">Åkerstedt, Fredlund, Gillberg, &amp; Jannson, 2002; </w:t>
      </w:r>
      <w:r w:rsidRPr="00692613">
        <w:t xml:space="preserve">de </w:t>
      </w:r>
      <w:r w:rsidRPr="00932D93">
        <w:t>Lange et al., 2009</w:t>
      </w:r>
      <w:r w:rsidRPr="00692613">
        <w:t xml:space="preserve">), </w:t>
      </w:r>
      <w:r>
        <w:t xml:space="preserve">and increase the risk of </w:t>
      </w:r>
      <w:r w:rsidR="0045728B">
        <w:t>work</w:t>
      </w:r>
      <w:r w:rsidR="0045728B" w:rsidRPr="00B34653">
        <w:t xml:space="preserve"> </w:t>
      </w:r>
      <w:r w:rsidR="0045728B">
        <w:t>incidents</w:t>
      </w:r>
      <w:r w:rsidR="0045728B" w:rsidRPr="00B34653">
        <w:t xml:space="preserve"> </w:t>
      </w:r>
      <w:r w:rsidRPr="00692613">
        <w:t>(Nakata et al., 2006)</w:t>
      </w:r>
      <w:r w:rsidRPr="008F3894">
        <w:t>.</w:t>
      </w:r>
      <w:r>
        <w:t xml:space="preserve"> The higher prevalence of depression in rural workers </w:t>
      </w:r>
      <w:r w:rsidR="00761C13">
        <w:t>is</w:t>
      </w:r>
      <w:r>
        <w:t xml:space="preserve"> important c</w:t>
      </w:r>
      <w:r w:rsidRPr="00F9288B">
        <w:t xml:space="preserve">onsidering the negative impact that depression has </w:t>
      </w:r>
      <w:r>
        <w:t>on workplace productivity</w:t>
      </w:r>
      <w:r w:rsidRPr="00F9288B">
        <w:t xml:space="preserve"> (</w:t>
      </w:r>
      <w:r w:rsidRPr="00932D93">
        <w:t>McTernan, Dollard &amp; LaMontagne, in review</w:t>
      </w:r>
      <w:r w:rsidRPr="006F3BF3">
        <w:t xml:space="preserve">) and </w:t>
      </w:r>
      <w:r>
        <w:t>the associated increased risk of suicide</w:t>
      </w:r>
      <w:r w:rsidRPr="006F3BF3">
        <w:t xml:space="preserve"> </w:t>
      </w:r>
      <w:r w:rsidR="00932D93">
        <w:t>(Blair-West, Cantor, Mellsop, &amp; Eyeson-</w:t>
      </w:r>
      <w:r w:rsidR="00932D93" w:rsidRPr="00932D93">
        <w:t xml:space="preserve">Annan, </w:t>
      </w:r>
      <w:r w:rsidRPr="00932D93">
        <w:t>1999; Beck</w:t>
      </w:r>
      <w:r w:rsidR="002140DB">
        <w:t>, Steer, Kovacs, &amp; Garrison,</w:t>
      </w:r>
      <w:r w:rsidRPr="000B4FA8">
        <w:t xml:space="preserve"> 1985</w:t>
      </w:r>
      <w:r w:rsidRPr="00932D93">
        <w:t xml:space="preserve">; Garlow et al., </w:t>
      </w:r>
      <w:r w:rsidRPr="007B62CF">
        <w:t>2008; Kessler et al., 1999</w:t>
      </w:r>
      <w:r w:rsidRPr="000B4FA8">
        <w:t>; Witt</w:t>
      </w:r>
      <w:r>
        <w:t>e</w:t>
      </w:r>
      <w:r w:rsidR="002140DB">
        <w:t>, Timmons, Fink, Smith, &amp; Joiner</w:t>
      </w:r>
      <w:r w:rsidRPr="000B4FA8">
        <w:t>, 2009</w:t>
      </w:r>
      <w:r>
        <w:t>)</w:t>
      </w:r>
      <w:r w:rsidRPr="00996162">
        <w:t xml:space="preserve">. </w:t>
      </w:r>
      <w:r>
        <w:t>T</w:t>
      </w:r>
      <w:r w:rsidRPr="00996162">
        <w:t xml:space="preserve">he improved productivity by </w:t>
      </w:r>
      <w:r>
        <w:t>reducing</w:t>
      </w:r>
      <w:r w:rsidRPr="00996162">
        <w:t xml:space="preserve"> depression </w:t>
      </w:r>
      <w:r>
        <w:t xml:space="preserve">in the workplace </w:t>
      </w:r>
      <w:r w:rsidRPr="00996162">
        <w:t>could far out</w:t>
      </w:r>
      <w:r>
        <w:t>-</w:t>
      </w:r>
      <w:r w:rsidRPr="00996162">
        <w:t>w</w:t>
      </w:r>
      <w:r>
        <w:t>eigh</w:t>
      </w:r>
      <w:r w:rsidRPr="00996162">
        <w:t xml:space="preserve"> the costs of treatment </w:t>
      </w:r>
      <w:r>
        <w:t xml:space="preserve">according to </w:t>
      </w:r>
      <w:r w:rsidRPr="00996162">
        <w:t xml:space="preserve">Simon </w:t>
      </w:r>
      <w:r w:rsidR="002140DB">
        <w:t>and colleagues</w:t>
      </w:r>
      <w:r w:rsidRPr="00996162">
        <w:t xml:space="preserve"> </w:t>
      </w:r>
      <w:r>
        <w:t>(</w:t>
      </w:r>
      <w:r w:rsidRPr="00996162">
        <w:t>2001)</w:t>
      </w:r>
      <w:r>
        <w:t>, and therefore strategies such as mental health first aid (Kitchener &amp; Jorm, 2006) could be cost efficient for rural employers</w:t>
      </w:r>
      <w:r w:rsidR="00AC183E">
        <w:t>.</w:t>
      </w:r>
    </w:p>
    <w:p w:rsidR="003F18CA" w:rsidRPr="00332F09" w:rsidRDefault="003F18CA" w:rsidP="00834360">
      <w:pPr>
        <w:pStyle w:val="Heading2"/>
        <w:spacing w:before="0" w:after="100" w:afterAutospacing="1"/>
      </w:pPr>
      <w:bookmarkStart w:id="76" w:name="_Toc343502443"/>
      <w:r>
        <w:t>Age</w:t>
      </w:r>
      <w:bookmarkEnd w:id="76"/>
    </w:p>
    <w:p w:rsidR="00FF2C8F" w:rsidRPr="00B934B6" w:rsidRDefault="00FF2C8F" w:rsidP="0040008A">
      <w:pPr>
        <w:pStyle w:val="Quote"/>
      </w:pPr>
      <w:r w:rsidRPr="00B934B6">
        <w:t xml:space="preserve">“Workers aged </w:t>
      </w:r>
      <w:proofErr w:type="gramStart"/>
      <w:r w:rsidRPr="00B934B6">
        <w:t>between 25 – 34</w:t>
      </w:r>
      <w:proofErr w:type="gramEnd"/>
      <w:r w:rsidRPr="00B934B6">
        <w:t xml:space="preserve"> show the poorest psychological health, likely due to factors such as competing work and family demands as well as entering the workforce following study, working hard and using long hours to advance in their careers, </w:t>
      </w:r>
      <w:r w:rsidR="00E634CA" w:rsidRPr="00B934B6">
        <w:t>and</w:t>
      </w:r>
      <w:r w:rsidRPr="00B934B6">
        <w:t xml:space="preserve"> </w:t>
      </w:r>
      <w:r w:rsidR="00761C13" w:rsidRPr="00B934B6">
        <w:t xml:space="preserve">they </w:t>
      </w:r>
      <w:r w:rsidRPr="00B934B6">
        <w:t>experienc</w:t>
      </w:r>
      <w:r w:rsidR="00E634CA" w:rsidRPr="00B934B6">
        <w:t>e</w:t>
      </w:r>
      <w:r w:rsidR="004D27D1" w:rsidRPr="00B934B6">
        <w:t xml:space="preserve"> low levels of skill discretion</w:t>
      </w:r>
      <w:r w:rsidR="009964AD">
        <w:t>.</w:t>
      </w:r>
      <w:r w:rsidRPr="00B934B6">
        <w:t>”</w:t>
      </w:r>
    </w:p>
    <w:p w:rsidR="003F18CA" w:rsidRDefault="00761C13" w:rsidP="00B934B6">
      <w:r>
        <w:t>The</w:t>
      </w:r>
      <w:r w:rsidR="003F18CA" w:rsidRPr="00FE66CE">
        <w:t xml:space="preserve"> literature exploring the experience of older employees in the workforce largely focuses on health and productivity outcomes, </w:t>
      </w:r>
      <w:r>
        <w:t xml:space="preserve">whereas </w:t>
      </w:r>
      <w:r w:rsidR="003F18CA" w:rsidRPr="00FE66CE">
        <w:t xml:space="preserve">the literature </w:t>
      </w:r>
      <w:r w:rsidR="003F18CA">
        <w:t xml:space="preserve">examining </w:t>
      </w:r>
      <w:r w:rsidR="003F18CA" w:rsidRPr="00FE66CE">
        <w:t>the experience of the younger generations of employees is largely focused on motivational outcomes and job performance. In terms of both engagement and overall wellbeing, younger workers seem to respond well to career advancement opportunities, professional development and challenging assignments, whil</w:t>
      </w:r>
      <w:r w:rsidR="0045728B">
        <w:t>e</w:t>
      </w:r>
      <w:r w:rsidR="003F18CA" w:rsidRPr="00FE66CE">
        <w:t xml:space="preserve"> older </w:t>
      </w:r>
      <w:r w:rsidR="003F18CA" w:rsidRPr="00FE66CE">
        <w:lastRenderedPageBreak/>
        <w:t>workers seem to benefit from increased autonomy, flexibility and task specialisation (Kim</w:t>
      </w:r>
      <w:r w:rsidR="002140DB">
        <w:t>, Knight, &amp; Crutsinger</w:t>
      </w:r>
      <w:r w:rsidR="003F18CA" w:rsidRPr="00FE66CE">
        <w:t>, 2009; Leka &amp; Jain, 2010; Shultz</w:t>
      </w:r>
      <w:r w:rsidR="003F18CA">
        <w:t>, Wang, Crimmins, &amp; Fisher,</w:t>
      </w:r>
      <w:r w:rsidR="003F18CA" w:rsidRPr="00FE66CE">
        <w:t xml:space="preserve"> 2010).</w:t>
      </w:r>
      <w:r w:rsidRPr="00761C13">
        <w:t xml:space="preserve"> </w:t>
      </w:r>
      <w:r>
        <w:t>The</w:t>
      </w:r>
      <w:r w:rsidRPr="00FE66CE">
        <w:t xml:space="preserve"> needs of older people in the workplace </w:t>
      </w:r>
      <w:r>
        <w:t xml:space="preserve">clearly </w:t>
      </w:r>
      <w:r w:rsidRPr="00FE66CE">
        <w:t>differ from younger workers.</w:t>
      </w:r>
    </w:p>
    <w:p w:rsidR="003F18CA" w:rsidRPr="00FE66CE" w:rsidRDefault="003F18CA" w:rsidP="00AC183E">
      <w:pPr>
        <w:pStyle w:val="Heading3"/>
        <w:rPr>
          <w:rStyle w:val="IntenseEmphasis"/>
        </w:rPr>
      </w:pPr>
      <w:bookmarkStart w:id="77" w:name="_Toc343502444"/>
      <w:r w:rsidRPr="00FE66CE">
        <w:rPr>
          <w:rStyle w:val="IntenseEmphasis"/>
        </w:rPr>
        <w:t>Results from the AWB</w:t>
      </w:r>
      <w:bookmarkEnd w:id="77"/>
    </w:p>
    <w:p w:rsidR="003F18CA" w:rsidRPr="00B934B6" w:rsidRDefault="003F18CA" w:rsidP="0023074F">
      <w:pPr>
        <w:pStyle w:val="ListParagraph"/>
        <w:numPr>
          <w:ilvl w:val="0"/>
          <w:numId w:val="4"/>
        </w:numPr>
        <w:spacing w:before="120" w:after="120"/>
        <w:ind w:left="714" w:hanging="357"/>
        <w:rPr>
          <w:rFonts w:ascii="Arial" w:hAnsi="Arial" w:cs="Arial"/>
        </w:rPr>
      </w:pPr>
      <w:r w:rsidRPr="00B934B6">
        <w:rPr>
          <w:rFonts w:ascii="Arial" w:hAnsi="Arial" w:cs="Arial"/>
        </w:rPr>
        <w:t>The experience of job demands, job resources and their relationship with health and motivational outcomes differ across age groups.</w:t>
      </w:r>
    </w:p>
    <w:p w:rsidR="003F18CA" w:rsidRPr="00B934B6" w:rsidRDefault="003F18CA" w:rsidP="0023074F">
      <w:pPr>
        <w:pStyle w:val="ListParagraph"/>
        <w:numPr>
          <w:ilvl w:val="0"/>
          <w:numId w:val="4"/>
        </w:numPr>
        <w:spacing w:before="120" w:after="120"/>
        <w:ind w:left="714" w:hanging="357"/>
        <w:rPr>
          <w:rFonts w:ascii="Arial" w:hAnsi="Arial" w:cs="Arial"/>
        </w:rPr>
      </w:pPr>
      <w:r w:rsidRPr="00B934B6">
        <w:rPr>
          <w:rFonts w:ascii="Arial" w:hAnsi="Arial" w:cs="Arial"/>
        </w:rPr>
        <w:t xml:space="preserve">Workers who remain in the workforce beyond the age of retirement (aged 65 and over) experience low levels of job demands, high levels of job resources and positive health outcomes. </w:t>
      </w:r>
    </w:p>
    <w:p w:rsidR="003F18CA" w:rsidRPr="00B934B6" w:rsidRDefault="003F18CA" w:rsidP="0023074F">
      <w:pPr>
        <w:pStyle w:val="ListParagraph"/>
        <w:numPr>
          <w:ilvl w:val="0"/>
          <w:numId w:val="4"/>
        </w:numPr>
        <w:spacing w:before="120" w:after="120"/>
        <w:ind w:left="714" w:hanging="357"/>
        <w:rPr>
          <w:rFonts w:ascii="Arial" w:hAnsi="Arial" w:cs="Arial"/>
        </w:rPr>
      </w:pPr>
      <w:r w:rsidRPr="00B934B6">
        <w:rPr>
          <w:rFonts w:ascii="Arial" w:hAnsi="Arial" w:cs="Arial"/>
        </w:rPr>
        <w:t>For older workers</w:t>
      </w:r>
      <w:r w:rsidR="009723DE" w:rsidRPr="00B934B6">
        <w:rPr>
          <w:rFonts w:ascii="Arial" w:hAnsi="Arial" w:cs="Arial"/>
        </w:rPr>
        <w:t xml:space="preserve"> (65+)</w:t>
      </w:r>
      <w:r w:rsidRPr="00B934B6">
        <w:rPr>
          <w:rFonts w:ascii="Arial" w:hAnsi="Arial" w:cs="Arial"/>
        </w:rPr>
        <w:t xml:space="preserve"> work pressure was strongly related to poor psychological health and decision authority was strongly related to engagement.</w:t>
      </w:r>
    </w:p>
    <w:p w:rsidR="003F18CA" w:rsidRPr="00B934B6" w:rsidRDefault="003F18CA" w:rsidP="0023074F">
      <w:pPr>
        <w:pStyle w:val="ListParagraph"/>
        <w:numPr>
          <w:ilvl w:val="0"/>
          <w:numId w:val="4"/>
        </w:numPr>
        <w:spacing w:before="120" w:after="120"/>
        <w:ind w:left="714" w:hanging="357"/>
        <w:rPr>
          <w:rFonts w:ascii="Arial" w:hAnsi="Arial" w:cs="Arial"/>
        </w:rPr>
      </w:pPr>
      <w:r w:rsidRPr="00B934B6">
        <w:rPr>
          <w:rFonts w:ascii="Arial" w:hAnsi="Arial" w:cs="Arial"/>
        </w:rPr>
        <w:t>Workers aged 25 – 34 had the poorest psychological health overall, however this was not strongly associated with job demands and resources.</w:t>
      </w:r>
    </w:p>
    <w:p w:rsidR="003F18CA" w:rsidRPr="00B934B6" w:rsidRDefault="003F18CA" w:rsidP="0023074F">
      <w:pPr>
        <w:pStyle w:val="ListParagraph"/>
        <w:numPr>
          <w:ilvl w:val="0"/>
          <w:numId w:val="4"/>
        </w:numPr>
        <w:spacing w:before="120" w:after="120"/>
        <w:ind w:left="714" w:hanging="357"/>
        <w:rPr>
          <w:rFonts w:ascii="Arial" w:hAnsi="Arial" w:cs="Arial"/>
        </w:rPr>
      </w:pPr>
      <w:r w:rsidRPr="00B934B6">
        <w:rPr>
          <w:rFonts w:ascii="Arial" w:hAnsi="Arial" w:cs="Arial"/>
        </w:rPr>
        <w:t xml:space="preserve">Workers in the youngest age group (18 – 24) experienced the lowest levels of engagement. </w:t>
      </w:r>
    </w:p>
    <w:p w:rsidR="003F18CA" w:rsidRPr="00B934B6" w:rsidRDefault="003F18CA" w:rsidP="0023074F">
      <w:pPr>
        <w:pStyle w:val="ListParagraph"/>
        <w:numPr>
          <w:ilvl w:val="0"/>
          <w:numId w:val="4"/>
        </w:numPr>
        <w:spacing w:before="120" w:after="120"/>
        <w:ind w:left="714" w:hanging="357"/>
        <w:rPr>
          <w:rFonts w:ascii="Arial" w:hAnsi="Arial" w:cs="Arial"/>
        </w:rPr>
      </w:pPr>
      <w:r w:rsidRPr="00B934B6">
        <w:rPr>
          <w:rFonts w:ascii="Arial" w:hAnsi="Arial" w:cs="Arial"/>
        </w:rPr>
        <w:t>Engagement was strongly associated with PSC and skill discretion for workers in the youngest age group.</w:t>
      </w:r>
    </w:p>
    <w:p w:rsidR="003F18CA" w:rsidRPr="00FE66CE" w:rsidRDefault="003F18CA" w:rsidP="00B934B6">
      <w:r>
        <w:t>In older workers, s</w:t>
      </w:r>
      <w:r w:rsidRPr="00FE66CE">
        <w:t xml:space="preserve">ince </w:t>
      </w:r>
      <w:r>
        <w:t>work pressure</w:t>
      </w:r>
      <w:r w:rsidRPr="00FE66CE">
        <w:t xml:space="preserve"> (such as ‘working hard and fast’) </w:t>
      </w:r>
      <w:r>
        <w:t>is</w:t>
      </w:r>
      <w:r w:rsidRPr="00FE66CE">
        <w:t xml:space="preserve"> strongly associated with poor psychological health, and decision authority is strongly related to engagement, results from the AWB support an increased focus on providing </w:t>
      </w:r>
      <w:r w:rsidR="008231BD">
        <w:t>older</w:t>
      </w:r>
      <w:r w:rsidRPr="00FE66CE">
        <w:t xml:space="preserve"> </w:t>
      </w:r>
      <w:r>
        <w:t xml:space="preserve">workers </w:t>
      </w:r>
      <w:r w:rsidRPr="00FE66CE">
        <w:t>with roles suited to the</w:t>
      </w:r>
      <w:r>
        <w:t xml:space="preserve">ir </w:t>
      </w:r>
      <w:r w:rsidRPr="00FE66CE">
        <w:t>skill set and experience, that are high in autonomy and flexibility.</w:t>
      </w:r>
    </w:p>
    <w:p w:rsidR="003F18CA" w:rsidRPr="00FE66CE" w:rsidRDefault="003F18CA" w:rsidP="00B934B6">
      <w:r>
        <w:t xml:space="preserve">In younger workers, </w:t>
      </w:r>
      <w:r w:rsidRPr="00FE66CE">
        <w:t>PSC and skill discretion are strongly related to engagement</w:t>
      </w:r>
      <w:r w:rsidR="008231BD">
        <w:t xml:space="preserve">. </w:t>
      </w:r>
      <w:r w:rsidR="00D5242B" w:rsidRPr="00FE66CE">
        <w:t>Results</w:t>
      </w:r>
      <w:r w:rsidRPr="00FE66CE">
        <w:t xml:space="preserve"> from the AWB data advocate for an increas</w:t>
      </w:r>
      <w:r w:rsidR="0036234E">
        <w:t>ed focus on high levels of PSC</w:t>
      </w:r>
      <w:r w:rsidR="008231BD">
        <w:t xml:space="preserve"> for younger workers</w:t>
      </w:r>
      <w:r w:rsidR="0036234E">
        <w:t>.</w:t>
      </w:r>
      <w:r w:rsidR="00D5242B">
        <w:t xml:space="preserve"> For example,</w:t>
      </w:r>
      <w:r w:rsidRPr="00FE66CE">
        <w:t xml:space="preserve"> </w:t>
      </w:r>
      <w:r w:rsidR="00D5242B" w:rsidRPr="00FE66CE">
        <w:t xml:space="preserve">we could reasonably expect </w:t>
      </w:r>
      <w:r w:rsidRPr="00FE66CE">
        <w:t xml:space="preserve">an increase in organisational PSC </w:t>
      </w:r>
      <w:r w:rsidR="00D5242B">
        <w:t>will lead to an</w:t>
      </w:r>
      <w:r w:rsidRPr="00FE66CE">
        <w:t xml:space="preserve"> increase in both skill discretion </w:t>
      </w:r>
      <w:r w:rsidR="00D5242B">
        <w:t xml:space="preserve">and engagement </w:t>
      </w:r>
      <w:r w:rsidRPr="00FE66CE">
        <w:t>in workers aged 18 – 24</w:t>
      </w:r>
      <w:r w:rsidR="00D5242B">
        <w:t xml:space="preserve"> due to its relationship with job demands and resources</w:t>
      </w:r>
      <w:r w:rsidRPr="00FE66CE">
        <w:t xml:space="preserve">. Consequently, interventions targeting psychosocial safety climate within organisations that have a strong representation of younger workers (such as retail trade) will </w:t>
      </w:r>
      <w:r w:rsidR="008231BD">
        <w:t>likely</w:t>
      </w:r>
      <w:r w:rsidRPr="00FE66CE">
        <w:t xml:space="preserve"> </w:t>
      </w:r>
      <w:r>
        <w:t xml:space="preserve">also </w:t>
      </w:r>
      <w:r w:rsidRPr="00FE66CE">
        <w:t>result in increa</w:t>
      </w:r>
      <w:r w:rsidR="00AC183E">
        <w:t>sed tenure, and lower turnover.</w:t>
      </w:r>
    </w:p>
    <w:p w:rsidR="003F18CA" w:rsidRDefault="003F18CA" w:rsidP="00B934B6">
      <w:r w:rsidRPr="00FE66CE">
        <w:t>Workers in the early stages of career development, aged 18 – 34, are innovative, have up-to-date knowledge and are fresh, yet are a high-risk group for the development of workplace stress and mental health concerns, and accordingly require a positive workplace environment, increased psychosocial safety climate and increased resources and support to manage job demands. Conversely, workers who remain in the workforce post retirement age are experienced and knowledgeable, with skills and experience that are likely assets to the organisation. Retaining such workers in a positive working environment should be of utmost importance to employers, and</w:t>
      </w:r>
      <w:r w:rsidR="00AC183E">
        <w:t xml:space="preserve"> the working population.</w:t>
      </w:r>
    </w:p>
    <w:p w:rsidR="0076164D" w:rsidRPr="00D5242B" w:rsidRDefault="0076164D" w:rsidP="00D5242B">
      <w:pPr>
        <w:pStyle w:val="Heading2"/>
        <w:tabs>
          <w:tab w:val="left" w:pos="5475"/>
        </w:tabs>
        <w:spacing w:before="0" w:after="100" w:afterAutospacing="1"/>
      </w:pPr>
      <w:bookmarkStart w:id="78" w:name="_Toc343502445"/>
      <w:r w:rsidRPr="00332F09">
        <w:t>Bullying and harassment</w:t>
      </w:r>
      <w:bookmarkEnd w:id="78"/>
    </w:p>
    <w:p w:rsidR="00FF2C8F" w:rsidRPr="00B934B6" w:rsidRDefault="00FF2C8F" w:rsidP="0040008A">
      <w:pPr>
        <w:pStyle w:val="Quote"/>
      </w:pPr>
      <w:r w:rsidRPr="00B934B6">
        <w:t xml:space="preserve">“There is a serious concern regarding levels of bullying and harassment. Results from the AWB show that levels of bullying are at 6.8 per cent, which are substantially </w:t>
      </w:r>
      <w:r w:rsidR="004D27D1" w:rsidRPr="00B934B6">
        <w:t>higher than international rates</w:t>
      </w:r>
      <w:r w:rsidR="009964AD">
        <w:t>.</w:t>
      </w:r>
      <w:r w:rsidRPr="00B934B6">
        <w:t>”</w:t>
      </w:r>
    </w:p>
    <w:p w:rsidR="0076164D" w:rsidRPr="001008DF" w:rsidRDefault="0076164D" w:rsidP="00B934B6">
      <w:pPr>
        <w:rPr>
          <w:b/>
        </w:rPr>
      </w:pPr>
      <w:r>
        <w:rPr>
          <w:rFonts w:eastAsia="Calibri"/>
          <w:lang w:val="en-US" w:eastAsia="en-US"/>
        </w:rPr>
        <w:t xml:space="preserve">Workplace bullying and harassment is well-known to be an ongoing issue for organisations </w:t>
      </w:r>
      <w:r w:rsidR="00BA59E4">
        <w:rPr>
          <w:rFonts w:eastAsia="Calibri"/>
          <w:lang w:val="en-US" w:eastAsia="en-US"/>
        </w:rPr>
        <w:t xml:space="preserve">and communities </w:t>
      </w:r>
      <w:r>
        <w:rPr>
          <w:rFonts w:eastAsia="Calibri"/>
          <w:lang w:val="en-US" w:eastAsia="en-US"/>
        </w:rPr>
        <w:t xml:space="preserve">both in Australia and </w:t>
      </w:r>
      <w:r w:rsidRPr="001D046D">
        <w:rPr>
          <w:rFonts w:eastAsia="Calibri"/>
          <w:lang w:val="en-US" w:eastAsia="en-US"/>
        </w:rPr>
        <w:t xml:space="preserve">around the world. The impact of workplace bullying on individual and organisational outcomes is </w:t>
      </w:r>
      <w:r w:rsidR="003B0BE0" w:rsidRPr="00B92DBC">
        <w:rPr>
          <w:rFonts w:eastAsia="Calibri"/>
          <w:lang w:val="en-US" w:eastAsia="en-US"/>
        </w:rPr>
        <w:t xml:space="preserve">evident </w:t>
      </w:r>
      <w:r w:rsidR="00BA59E4" w:rsidRPr="00B92DBC">
        <w:rPr>
          <w:rFonts w:eastAsia="Calibri"/>
          <w:lang w:val="en-US" w:eastAsia="en-US"/>
        </w:rPr>
        <w:t xml:space="preserve">with </w:t>
      </w:r>
      <w:r w:rsidRPr="00B92DBC">
        <w:rPr>
          <w:rFonts w:eastAsia="Calibri"/>
          <w:lang w:val="en-US" w:eastAsia="en-US"/>
        </w:rPr>
        <w:t>increases in mental stress</w:t>
      </w:r>
      <w:r w:rsidR="00BA59E4" w:rsidRPr="00B86415">
        <w:rPr>
          <w:rFonts w:eastAsia="Calibri"/>
          <w:lang w:val="en-US" w:eastAsia="en-US"/>
        </w:rPr>
        <w:t xml:space="preserve"> compensation</w:t>
      </w:r>
      <w:r w:rsidRPr="00B86415">
        <w:rPr>
          <w:rFonts w:eastAsia="Calibri"/>
          <w:lang w:val="en-US" w:eastAsia="en-US"/>
        </w:rPr>
        <w:t xml:space="preserve"> claims</w:t>
      </w:r>
      <w:r w:rsidR="00BA59E4" w:rsidRPr="00F077CA">
        <w:rPr>
          <w:rFonts w:eastAsia="Calibri"/>
          <w:lang w:val="en-US" w:eastAsia="en-US"/>
        </w:rPr>
        <w:t xml:space="preserve"> as well </w:t>
      </w:r>
      <w:r w:rsidR="00BA59E4" w:rsidRPr="00F077CA">
        <w:rPr>
          <w:rFonts w:eastAsia="Calibri"/>
          <w:lang w:val="en-US" w:eastAsia="en-US"/>
        </w:rPr>
        <w:lastRenderedPageBreak/>
        <w:t>as</w:t>
      </w:r>
      <w:r w:rsidRPr="00F077CA">
        <w:rPr>
          <w:rFonts w:eastAsia="Calibri"/>
          <w:lang w:val="en-US" w:eastAsia="en-US"/>
        </w:rPr>
        <w:t xml:space="preserve"> </w:t>
      </w:r>
      <w:r w:rsidR="00BA59E4" w:rsidRPr="00F077CA">
        <w:rPr>
          <w:rFonts w:eastAsia="Calibri"/>
          <w:lang w:val="en-US" w:eastAsia="en-US"/>
        </w:rPr>
        <w:t>changes in</w:t>
      </w:r>
      <w:r w:rsidR="00CC3DB2" w:rsidRPr="00F077CA">
        <w:rPr>
          <w:rFonts w:eastAsia="Calibri"/>
          <w:lang w:val="en-US" w:eastAsia="en-US"/>
        </w:rPr>
        <w:t xml:space="preserve"> </w:t>
      </w:r>
      <w:r w:rsidR="00BA59E4" w:rsidRPr="00F077CA">
        <w:rPr>
          <w:rFonts w:eastAsia="Calibri"/>
          <w:lang w:val="en-US" w:eastAsia="en-US"/>
        </w:rPr>
        <w:t>legislation</w:t>
      </w:r>
      <w:r w:rsidRPr="00F077CA">
        <w:rPr>
          <w:rFonts w:eastAsia="Calibri"/>
          <w:lang w:val="en-US" w:eastAsia="en-US"/>
        </w:rPr>
        <w:t xml:space="preserve"> and codes of practice that highlight the important influence bullying and harassment has over worker health and wellbeing. </w:t>
      </w:r>
      <w:r w:rsidR="006021E8" w:rsidRPr="00F077CA">
        <w:rPr>
          <w:szCs w:val="22"/>
        </w:rPr>
        <w:t>All work health and safety laws in Australia recognise workplace bullying as a work health and safety issue with the responsibility to prevent workplace bullying covered by the primary duty of care held by employers.</w:t>
      </w:r>
      <w:r w:rsidR="0004604A" w:rsidRPr="00F077CA">
        <w:t xml:space="preserve"> Harassment is generally covered by state based</w:t>
      </w:r>
      <w:r w:rsidRPr="00F077CA">
        <w:t xml:space="preserve"> anti-discrimination legislation.</w:t>
      </w:r>
      <w:r w:rsidRPr="001D046D">
        <w:t xml:space="preserve"> Although some differences in legislation exist between each Australian state, </w:t>
      </w:r>
      <w:r w:rsidRPr="00F077CA">
        <w:t>in general bullying is defined as “</w:t>
      </w:r>
      <w:r w:rsidR="006021E8" w:rsidRPr="00F077CA">
        <w:rPr>
          <w:i/>
          <w:szCs w:val="22"/>
        </w:rPr>
        <w:t>repeated, unreasonable behaviour directed towards a worker or a group of workers, that creates a risk to health and safety</w:t>
      </w:r>
      <w:r w:rsidRPr="00F077CA">
        <w:t>” (Australian Government Productivity Commission</w:t>
      </w:r>
      <w:r w:rsidR="009C535C" w:rsidRPr="00F077CA">
        <w:t>,</w:t>
      </w:r>
      <w:r w:rsidRPr="00F077CA">
        <w:t xml:space="preserve"> 2010</w:t>
      </w:r>
      <w:r w:rsidR="009C535C" w:rsidRPr="00F077CA">
        <w:t>,</w:t>
      </w:r>
      <w:r w:rsidRPr="00F077CA">
        <w:t xml:space="preserve"> p.288).</w:t>
      </w:r>
      <w:r w:rsidRPr="001D046D">
        <w:t xml:space="preserve"> Regrettably, research shows that many issues still exist in relation to addressing bullying and harassment in the workplace such as problems with enforcing codes of practice, witness fear of victimi</w:t>
      </w:r>
      <w:r w:rsidR="0045728B" w:rsidRPr="00B92DBC">
        <w:t>s</w:t>
      </w:r>
      <w:r w:rsidRPr="00B92DBC">
        <w:t>ation, issues with the law, and inadequate resources and training (Johnstone</w:t>
      </w:r>
      <w:r w:rsidR="007B62CF" w:rsidRPr="00B86415">
        <w:t>, Quinlan, &amp; McNamara</w:t>
      </w:r>
      <w:r w:rsidRPr="00B86415">
        <w:t>, 2011).</w:t>
      </w:r>
    </w:p>
    <w:p w:rsidR="0076164D" w:rsidRDefault="0076164D" w:rsidP="00B934B6">
      <w:pPr>
        <w:rPr>
          <w:rFonts w:eastAsia="Calibri"/>
          <w:lang w:val="en-US" w:eastAsia="en-US"/>
        </w:rPr>
      </w:pPr>
      <w:r>
        <w:rPr>
          <w:rFonts w:eastAsia="Calibri"/>
          <w:lang w:val="en-US" w:eastAsia="en-US"/>
        </w:rPr>
        <w:t>Regardless of the importance placed on recogni</w:t>
      </w:r>
      <w:r w:rsidR="0045728B">
        <w:rPr>
          <w:rFonts w:eastAsia="Calibri"/>
          <w:lang w:val="en-US" w:eastAsia="en-US"/>
        </w:rPr>
        <w:t>s</w:t>
      </w:r>
      <w:r>
        <w:rPr>
          <w:rFonts w:eastAsia="Calibri"/>
          <w:lang w:val="en-US" w:eastAsia="en-US"/>
        </w:rPr>
        <w:t>ing and addressing workplace bullying and harassment, there is limited data on actual prevalence r</w:t>
      </w:r>
      <w:r w:rsidR="009260EE">
        <w:rPr>
          <w:rFonts w:eastAsia="Calibri"/>
          <w:lang w:val="en-US" w:eastAsia="en-US"/>
        </w:rPr>
        <w:t xml:space="preserve">ates in Australian workplaces. </w:t>
      </w:r>
      <w:r>
        <w:rPr>
          <w:rFonts w:eastAsia="Calibri"/>
          <w:lang w:val="en-US" w:eastAsia="en-US"/>
        </w:rPr>
        <w:t xml:space="preserve">Measures of bullying and harassment </w:t>
      </w:r>
      <w:r w:rsidR="00421DB2">
        <w:rPr>
          <w:rFonts w:eastAsia="Calibri"/>
          <w:lang w:val="en-US" w:eastAsia="en-US"/>
        </w:rPr>
        <w:t>vary widely</w:t>
      </w:r>
      <w:r>
        <w:rPr>
          <w:rFonts w:eastAsia="Calibri"/>
          <w:lang w:val="en-US" w:eastAsia="en-US"/>
        </w:rPr>
        <w:t xml:space="preserve"> making international comparisons difficult to interpret. </w:t>
      </w:r>
      <w:r w:rsidRPr="00220DAE">
        <w:t>In an overview of international perspectives by Zapf</w:t>
      </w:r>
      <w:r w:rsidR="009C535C">
        <w:t xml:space="preserve"> and colleagues (</w:t>
      </w:r>
      <w:r w:rsidR="009E2F12">
        <w:t xml:space="preserve">Zapf, </w:t>
      </w:r>
      <w:r w:rsidRPr="00220DAE">
        <w:t xml:space="preserve">Einarsen, Hoel, </w:t>
      </w:r>
      <w:r w:rsidR="009C535C">
        <w:t>&amp;</w:t>
      </w:r>
      <w:r w:rsidRPr="00220DAE">
        <w:t xml:space="preserve"> Vartia</w:t>
      </w:r>
      <w:r w:rsidR="009C535C">
        <w:t>,</w:t>
      </w:r>
      <w:r w:rsidRPr="00220DAE">
        <w:t xml:space="preserve"> 2003) the research showed that when participants are presented with a precise definition, similar to the AWB, this results </w:t>
      </w:r>
      <w:r w:rsidR="00CC3DB2" w:rsidRPr="00220DAE">
        <w:t xml:space="preserve">largely </w:t>
      </w:r>
      <w:r w:rsidRPr="00220DAE">
        <w:t xml:space="preserve">in </w:t>
      </w:r>
      <w:r w:rsidR="00C731BA">
        <w:t xml:space="preserve">small </w:t>
      </w:r>
      <w:r w:rsidRPr="00220DAE">
        <w:t>prevalence rates of 1 to 4 per cent</w:t>
      </w:r>
      <w:r w:rsidR="00C731BA">
        <w:t>. In</w:t>
      </w:r>
      <w:r w:rsidRPr="00220DAE">
        <w:t xml:space="preserve"> studies that ask more generally </w:t>
      </w:r>
      <w:r w:rsidR="003B0BE0">
        <w:t>“</w:t>
      </w:r>
      <w:r w:rsidRPr="00220DAE">
        <w:t>have you been bullied during the last 6 months</w:t>
      </w:r>
      <w:r w:rsidR="003B0BE0">
        <w:t>”</w:t>
      </w:r>
      <w:r w:rsidRPr="00220DAE">
        <w:t xml:space="preserve"> without providing a definition</w:t>
      </w:r>
      <w:r w:rsidR="00C731BA">
        <w:t xml:space="preserve">, </w:t>
      </w:r>
      <w:r w:rsidRPr="00220DAE">
        <w:t>higher rates</w:t>
      </w:r>
      <w:r w:rsidR="00C731BA">
        <w:t xml:space="preserve"> are noted</w:t>
      </w:r>
      <w:r w:rsidR="003B0BE0">
        <w:t>,</w:t>
      </w:r>
      <w:r w:rsidRPr="00220DAE">
        <w:t xml:space="preserve"> between 10 to 25 per cent. </w:t>
      </w:r>
      <w:r>
        <w:rPr>
          <w:rFonts w:eastAsia="Calibri"/>
          <w:lang w:val="en-US" w:eastAsia="en-US"/>
        </w:rPr>
        <w:t>In Australia, prevalence statistics vary greatly, generally ranging from 3.5 to 21.5 per cent of the population reporting that they experience bu</w:t>
      </w:r>
      <w:r w:rsidR="00877B99">
        <w:rPr>
          <w:rFonts w:eastAsia="Calibri"/>
          <w:lang w:val="en-US" w:eastAsia="en-US"/>
        </w:rPr>
        <w:t>llying and harassment at work.</w:t>
      </w:r>
    </w:p>
    <w:p w:rsidR="00187EBB" w:rsidRPr="00156806" w:rsidRDefault="00187EBB" w:rsidP="00B934B6">
      <w:r w:rsidRPr="00156806">
        <w:t xml:space="preserve">Participants </w:t>
      </w:r>
      <w:r>
        <w:t xml:space="preserve">in the AWB project </w:t>
      </w:r>
      <w:r w:rsidRPr="00156806">
        <w:t>were provided with the following definition of bullying:</w:t>
      </w:r>
    </w:p>
    <w:p w:rsidR="00187EBB" w:rsidRPr="00B934B6" w:rsidRDefault="00187EBB" w:rsidP="00BE62A5">
      <w:pPr>
        <w:pStyle w:val="Quote"/>
      </w:pPr>
      <w:r w:rsidRPr="00B934B6">
        <w:t>“Bullying is a problem at some wo</w:t>
      </w:r>
      <w:r w:rsidR="00F539BA" w:rsidRPr="00B934B6">
        <w:t>rk-places and for some workers.</w:t>
      </w:r>
      <w:r w:rsidRPr="00B934B6">
        <w:t xml:space="preserve"> To label something, as bullying, the offensive behaviour has to occur repeatedly over a period of time, and the person confronted has to experience difficulties defending him or herself. The behaviour is not bullying if two parties of approximate equal “strength” are in conflict or the incident is an isolated event</w:t>
      </w:r>
      <w:r w:rsidR="00F21884" w:rsidRPr="00B934B6">
        <w:t>.</w:t>
      </w:r>
      <w:r w:rsidRPr="00B934B6">
        <w:t>” (</w:t>
      </w:r>
      <w:r w:rsidR="00225D4B" w:rsidRPr="00B934B6">
        <w:rPr>
          <w:szCs w:val="22"/>
          <w:lang w:val="en-CA"/>
        </w:rPr>
        <w:t>Lindström</w:t>
      </w:r>
      <w:r w:rsidR="00225D4B" w:rsidRPr="00B934B6">
        <w:rPr>
          <w:szCs w:val="22"/>
          <w:lang w:val="en-CA" w:eastAsia="en-US"/>
        </w:rPr>
        <w:t xml:space="preserve"> et al., 2000</w:t>
      </w:r>
      <w:r w:rsidR="00F21884" w:rsidRPr="00B934B6">
        <w:t>;</w:t>
      </w:r>
      <w:r w:rsidR="002817CA" w:rsidRPr="00B934B6">
        <w:t xml:space="preserve"> </w:t>
      </w:r>
      <w:r w:rsidRPr="00B934B6">
        <w:t>Dollard et al</w:t>
      </w:r>
      <w:r w:rsidR="00F21884" w:rsidRPr="00B934B6">
        <w:t>., 2009)</w:t>
      </w:r>
    </w:p>
    <w:p w:rsidR="0076164D" w:rsidRDefault="00E059A8" w:rsidP="00B934B6">
      <w:pPr>
        <w:rPr>
          <w:rFonts w:eastAsia="Calibri"/>
          <w:lang w:val="en-US" w:eastAsia="en-US"/>
        </w:rPr>
      </w:pPr>
      <w:r>
        <w:rPr>
          <w:rFonts w:eastAsia="Calibri"/>
          <w:lang w:val="en-US" w:eastAsia="en-US"/>
        </w:rPr>
        <w:t>Based on the above definition r</w:t>
      </w:r>
      <w:r w:rsidR="0076164D">
        <w:rPr>
          <w:rFonts w:eastAsia="Calibri"/>
          <w:lang w:val="en-US" w:eastAsia="en-US"/>
        </w:rPr>
        <w:t xml:space="preserve">esults from the AWB data </w:t>
      </w:r>
      <w:r w:rsidR="003B0BE0">
        <w:rPr>
          <w:rFonts w:eastAsia="Calibri"/>
          <w:lang w:val="en-US" w:eastAsia="en-US"/>
        </w:rPr>
        <w:t xml:space="preserve">show </w:t>
      </w:r>
      <w:r w:rsidR="0076164D">
        <w:rPr>
          <w:rFonts w:eastAsia="Calibri"/>
          <w:lang w:val="en-US" w:eastAsia="en-US"/>
        </w:rPr>
        <w:t>that 6.8 per cent of respondents experienced bullying in the last six months</w:t>
      </w:r>
      <w:r w:rsidR="00187EBB">
        <w:rPr>
          <w:rFonts w:eastAsia="Calibri"/>
          <w:lang w:val="en-US" w:eastAsia="en-US"/>
        </w:rPr>
        <w:t>.</w:t>
      </w:r>
      <w:r w:rsidR="004D27D1">
        <w:rPr>
          <w:rFonts w:eastAsia="Calibri"/>
          <w:lang w:val="en-US" w:eastAsia="en-US"/>
        </w:rPr>
        <w:t xml:space="preserve"> </w:t>
      </w:r>
      <w:r w:rsidR="00841DDA">
        <w:rPr>
          <w:rFonts w:eastAsia="Calibri"/>
          <w:lang w:val="en-US" w:eastAsia="en-US"/>
        </w:rPr>
        <w:t>Of this 6.8 per cent</w:t>
      </w:r>
      <w:r w:rsidR="00187EBB">
        <w:rPr>
          <w:rFonts w:eastAsia="Calibri"/>
          <w:lang w:val="en-US" w:eastAsia="en-US"/>
        </w:rPr>
        <w:t xml:space="preserve"> it was found that</w:t>
      </w:r>
      <w:r w:rsidR="0076164D">
        <w:rPr>
          <w:rFonts w:eastAsia="Calibri"/>
          <w:lang w:val="en-US" w:eastAsia="en-US"/>
        </w:rPr>
        <w:t xml:space="preserve"> </w:t>
      </w:r>
      <w:r w:rsidR="00225D4B">
        <w:rPr>
          <w:rFonts w:eastAsia="Calibri"/>
          <w:lang w:val="en-US" w:eastAsia="en-US"/>
        </w:rPr>
        <w:t>approximately half (</w:t>
      </w:r>
      <w:r w:rsidR="0076164D">
        <w:rPr>
          <w:rFonts w:eastAsia="Calibri"/>
          <w:lang w:val="en-US" w:eastAsia="en-US"/>
        </w:rPr>
        <w:t xml:space="preserve">3.5 per cent </w:t>
      </w:r>
      <w:r w:rsidR="00225D4B">
        <w:rPr>
          <w:rFonts w:eastAsia="Calibri"/>
          <w:lang w:val="en-US" w:eastAsia="en-US"/>
        </w:rPr>
        <w:t xml:space="preserve">of the total sample) also </w:t>
      </w:r>
      <w:r w:rsidR="00841DDA">
        <w:rPr>
          <w:rFonts w:eastAsia="Calibri"/>
          <w:lang w:val="en-US" w:eastAsia="en-US"/>
        </w:rPr>
        <w:t xml:space="preserve">reported </w:t>
      </w:r>
      <w:r w:rsidR="0076164D">
        <w:rPr>
          <w:rFonts w:eastAsia="Calibri"/>
          <w:lang w:val="en-US" w:eastAsia="en-US"/>
        </w:rPr>
        <w:t>experiencing bullying for</w:t>
      </w:r>
      <w:r w:rsidR="009260EE">
        <w:rPr>
          <w:rFonts w:eastAsia="Calibri"/>
          <w:lang w:val="en-US" w:eastAsia="en-US"/>
        </w:rPr>
        <w:t xml:space="preserve"> longer than a 6 month period. </w:t>
      </w:r>
      <w:r w:rsidR="0076164D">
        <w:rPr>
          <w:rFonts w:eastAsia="Calibri"/>
          <w:lang w:val="en-US" w:eastAsia="en-US"/>
        </w:rPr>
        <w:t>Females reported significant</w:t>
      </w:r>
      <w:r w:rsidR="00B26879">
        <w:rPr>
          <w:rFonts w:eastAsia="Calibri"/>
          <w:lang w:val="en-US" w:eastAsia="en-US"/>
        </w:rPr>
        <w:t>ly</w:t>
      </w:r>
      <w:r w:rsidR="0076164D">
        <w:rPr>
          <w:rFonts w:eastAsia="Calibri"/>
          <w:lang w:val="en-US" w:eastAsia="en-US"/>
        </w:rPr>
        <w:t xml:space="preserve"> higher levels of </w:t>
      </w:r>
      <w:r w:rsidR="00841DDA">
        <w:rPr>
          <w:rFonts w:eastAsia="Calibri"/>
          <w:lang w:val="en-US" w:eastAsia="en-US"/>
        </w:rPr>
        <w:t xml:space="preserve">overall </w:t>
      </w:r>
      <w:r w:rsidR="0076164D">
        <w:rPr>
          <w:rFonts w:eastAsia="Calibri"/>
          <w:lang w:val="en-US" w:eastAsia="en-US"/>
        </w:rPr>
        <w:t>bullying and state</w:t>
      </w:r>
      <w:r>
        <w:rPr>
          <w:rFonts w:eastAsia="Calibri"/>
          <w:lang w:val="en-US" w:eastAsia="en-US"/>
        </w:rPr>
        <w:t>d that</w:t>
      </w:r>
      <w:r w:rsidR="0076164D">
        <w:rPr>
          <w:rFonts w:eastAsia="Calibri"/>
          <w:lang w:val="en-US" w:eastAsia="en-US"/>
        </w:rPr>
        <w:t xml:space="preserve"> they experienced bullying for signifi</w:t>
      </w:r>
      <w:r w:rsidR="00396A00">
        <w:rPr>
          <w:rFonts w:eastAsia="Calibri"/>
          <w:lang w:val="en-US" w:eastAsia="en-US"/>
        </w:rPr>
        <w:t>cantly longer periods of time.</w:t>
      </w:r>
    </w:p>
    <w:p w:rsidR="00AB6BDF" w:rsidRPr="00AB6BDF" w:rsidRDefault="00AB6BDF" w:rsidP="007B41E6">
      <w:r w:rsidRPr="00220DAE">
        <w:t xml:space="preserve">Notably, our measures did not account for people who witnessed bullying or those who were bullied by co-workers of equal power. The AWB bullying questions are based on a Nordic tool that provides a definition stating that bullying can only occur if it is between parties of different strength and the victim experienced difficulties defending themselves. This restriction of what </w:t>
      </w:r>
      <w:r w:rsidRPr="00220DAE">
        <w:rPr>
          <w:i/>
        </w:rPr>
        <w:t xml:space="preserve">bullying </w:t>
      </w:r>
      <w:r w:rsidRPr="00220DAE">
        <w:t>specifically entails may have limited participant responses and may not be capturing all potential risks involved with bullying such as trauma experienced by witnesses and instances where people felt capable of defending themselves. Therefore, we caution that these figures should be considered a conservative estimate.</w:t>
      </w:r>
    </w:p>
    <w:p w:rsidR="0076164D" w:rsidRDefault="0004604A" w:rsidP="00B934B6">
      <w:pPr>
        <w:rPr>
          <w:rFonts w:eastAsia="Calibri"/>
          <w:lang w:val="en-US" w:eastAsia="en-US"/>
        </w:rPr>
      </w:pPr>
      <w:r>
        <w:rPr>
          <w:rFonts w:eastAsia="Calibri"/>
          <w:lang w:val="en-US" w:eastAsia="en-US"/>
        </w:rPr>
        <w:t>In relation to harassment</w:t>
      </w:r>
      <w:r w:rsidR="00AB6BDF">
        <w:rPr>
          <w:rFonts w:eastAsia="Calibri"/>
          <w:lang w:val="en-US" w:eastAsia="en-US"/>
        </w:rPr>
        <w:t>,</w:t>
      </w:r>
      <w:r>
        <w:rPr>
          <w:rFonts w:eastAsia="Calibri"/>
          <w:lang w:val="en-US" w:eastAsia="en-US"/>
        </w:rPr>
        <w:t xml:space="preserve"> specific questions were asked to gauge the particular types of harassment experienced by participants</w:t>
      </w:r>
      <w:r w:rsidR="00841DDA">
        <w:rPr>
          <w:rFonts w:eastAsia="Calibri"/>
          <w:lang w:val="en-US" w:eastAsia="en-US"/>
        </w:rPr>
        <w:t xml:space="preserve"> </w:t>
      </w:r>
      <w:r w:rsidR="00187EBB">
        <w:rPr>
          <w:rFonts w:eastAsia="Calibri"/>
          <w:lang w:val="en-US" w:eastAsia="en-US"/>
        </w:rPr>
        <w:t>at some stage in their</w:t>
      </w:r>
      <w:r w:rsidR="00841DDA">
        <w:rPr>
          <w:rFonts w:eastAsia="Calibri"/>
          <w:lang w:val="en-US" w:eastAsia="en-US"/>
        </w:rPr>
        <w:t xml:space="preserve"> workplace</w:t>
      </w:r>
      <w:r w:rsidR="009260EE">
        <w:rPr>
          <w:rFonts w:eastAsia="Calibri"/>
          <w:lang w:val="en-US" w:eastAsia="en-US"/>
        </w:rPr>
        <w:t xml:space="preserve">. </w:t>
      </w:r>
      <w:r>
        <w:rPr>
          <w:rFonts w:eastAsia="Calibri"/>
          <w:lang w:val="en-US" w:eastAsia="en-US"/>
        </w:rPr>
        <w:t>The results showed that f</w:t>
      </w:r>
      <w:r w:rsidR="0076164D">
        <w:rPr>
          <w:rFonts w:eastAsia="Calibri"/>
          <w:lang w:val="en-US" w:eastAsia="en-US"/>
        </w:rPr>
        <w:t>emales reported experiencing significantly more unwanted sexual advances, humiliation, and unfair treatment due to gender</w:t>
      </w:r>
      <w:r w:rsidR="003B0BE0">
        <w:rPr>
          <w:rFonts w:eastAsia="Calibri"/>
          <w:lang w:val="en-US" w:eastAsia="en-US"/>
        </w:rPr>
        <w:t>,</w:t>
      </w:r>
      <w:r w:rsidR="0076164D">
        <w:rPr>
          <w:rFonts w:eastAsia="Calibri"/>
          <w:lang w:val="en-US" w:eastAsia="en-US"/>
        </w:rPr>
        <w:t xml:space="preserve"> than men. Alternatively</w:t>
      </w:r>
      <w:r w:rsidR="00AB6BDF">
        <w:rPr>
          <w:rFonts w:eastAsia="Calibri"/>
          <w:lang w:val="en-US" w:eastAsia="en-US"/>
        </w:rPr>
        <w:t>,</w:t>
      </w:r>
      <w:r w:rsidR="0076164D">
        <w:rPr>
          <w:rFonts w:eastAsia="Calibri"/>
          <w:lang w:val="en-US" w:eastAsia="en-US"/>
        </w:rPr>
        <w:t xml:space="preserve"> men reported significantly higher rates of physical </w:t>
      </w:r>
      <w:r w:rsidR="0076164D">
        <w:rPr>
          <w:rFonts w:eastAsia="Calibri"/>
          <w:lang w:val="en-US" w:eastAsia="en-US"/>
        </w:rPr>
        <w:lastRenderedPageBreak/>
        <w:t xml:space="preserve">violence and being yelled at or sworn at than women. No significant differences were found between the Australian states for most </w:t>
      </w:r>
      <w:r w:rsidR="0076164D" w:rsidRPr="00EC4877">
        <w:rPr>
          <w:rFonts w:eastAsia="Calibri"/>
          <w:lang w:eastAsia="en-US"/>
        </w:rPr>
        <w:t>bullying</w:t>
      </w:r>
      <w:r w:rsidR="0076164D">
        <w:rPr>
          <w:rFonts w:eastAsia="Calibri"/>
          <w:lang w:val="en-US" w:eastAsia="en-US"/>
        </w:rPr>
        <w:t xml:space="preserve"> and harassment items, although a small difference was found showing NSW participants reported </w:t>
      </w:r>
      <w:r w:rsidR="001D046D">
        <w:rPr>
          <w:rFonts w:eastAsia="Calibri"/>
          <w:lang w:val="en-US" w:eastAsia="en-US"/>
        </w:rPr>
        <w:t xml:space="preserve">marginally </w:t>
      </w:r>
      <w:r w:rsidR="0076164D">
        <w:rPr>
          <w:rFonts w:eastAsia="Calibri"/>
          <w:lang w:val="en-US" w:eastAsia="en-US"/>
        </w:rPr>
        <w:t>higher levels of humiliation in front of others than WA respondents.</w:t>
      </w:r>
    </w:p>
    <w:p w:rsidR="006C1846" w:rsidRDefault="00C330DF" w:rsidP="0004604A">
      <w:pPr>
        <w:pStyle w:val="SWSABody"/>
        <w:spacing w:before="100" w:beforeAutospacing="1" w:after="0" w:line="276" w:lineRule="auto"/>
        <w:rPr>
          <w:rFonts w:eastAsia="Calibri"/>
          <w:lang w:val="en-US" w:eastAsia="en-US"/>
        </w:rPr>
      </w:pPr>
      <w:r>
        <w:rPr>
          <w:rFonts w:ascii="Arial" w:hAnsi="Arial" w:cs="Times New Roman"/>
          <w:noProof/>
          <w:sz w:val="18"/>
          <w:szCs w:val="18"/>
        </w:rPr>
        <w:drawing>
          <wp:inline distT="0" distB="0" distL="0" distR="0" wp14:anchorId="5A63C666" wp14:editId="40BF12B1">
            <wp:extent cx="6191161" cy="4391025"/>
            <wp:effectExtent l="0" t="0" r="635" b="0"/>
            <wp:docPr id="6" name="Picture 6" descr="The majority of harassment reported took the form of being sworn or yelled at while at work (33.8%) followed by being humiliated in front of others. Unwanted sexual advances were the least frequently reported issue at 4.6%." title="Percentage of Australian working population experiencing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amp; H Graph.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93155" cy="4392439"/>
                    </a:xfrm>
                    <a:prstGeom prst="rect">
                      <a:avLst/>
                    </a:prstGeom>
                  </pic:spPr>
                </pic:pic>
              </a:graphicData>
            </a:graphic>
          </wp:inline>
        </w:drawing>
      </w:r>
    </w:p>
    <w:p w:rsidR="009B6B1F" w:rsidRPr="00396A00" w:rsidRDefault="009B6B1F" w:rsidP="00396A00">
      <w:pPr>
        <w:pStyle w:val="FigureCaption"/>
        <w:rPr>
          <w:rFonts w:eastAsia="Calibri"/>
        </w:rPr>
      </w:pPr>
      <w:proofErr w:type="gramStart"/>
      <w:r w:rsidRPr="00396A00">
        <w:rPr>
          <w:rFonts w:eastAsia="Calibri"/>
        </w:rPr>
        <w:t>Figure 20.</w:t>
      </w:r>
      <w:proofErr w:type="gramEnd"/>
      <w:r w:rsidRPr="00396A00">
        <w:rPr>
          <w:rFonts w:eastAsia="Calibri"/>
        </w:rPr>
        <w:t xml:space="preserve"> Percentages of harassment for AWB sample population</w:t>
      </w:r>
    </w:p>
    <w:p w:rsidR="00FB0119" w:rsidRPr="00B934B6" w:rsidRDefault="00FB0119" w:rsidP="0040008A">
      <w:pPr>
        <w:pStyle w:val="Quote"/>
        <w:rPr>
          <w:rFonts w:eastAsia="Calibri"/>
          <w:lang w:val="en-US" w:eastAsia="en-US"/>
        </w:rPr>
      </w:pPr>
      <w:r w:rsidRPr="00B934B6">
        <w:rPr>
          <w:rFonts w:eastAsia="Calibri"/>
          <w:lang w:val="en-US" w:eastAsia="en-US"/>
        </w:rPr>
        <w:t>“Females report significantly higher levels of overall sexual harassment and bullying and experience bullying for significantly longer periods of time than men</w:t>
      </w:r>
      <w:r w:rsidR="009964AD">
        <w:rPr>
          <w:rFonts w:eastAsia="Calibri"/>
          <w:lang w:val="en-US" w:eastAsia="en-US"/>
        </w:rPr>
        <w:t>.</w:t>
      </w:r>
      <w:r w:rsidRPr="00B934B6">
        <w:rPr>
          <w:rFonts w:eastAsia="Calibri"/>
          <w:lang w:val="en-US" w:eastAsia="en-US"/>
        </w:rPr>
        <w:t>”</w:t>
      </w:r>
    </w:p>
    <w:p w:rsidR="0076164D" w:rsidRDefault="008231BD" w:rsidP="00B934B6">
      <w:pPr>
        <w:rPr>
          <w:rFonts w:eastAsia="Calibri"/>
          <w:lang w:val="en-US" w:eastAsia="en-US"/>
        </w:rPr>
      </w:pPr>
      <w:r>
        <w:rPr>
          <w:rFonts w:eastAsia="Calibri"/>
          <w:lang w:val="en-US" w:eastAsia="en-US"/>
        </w:rPr>
        <w:t>Since harassment shows one of the strongest relationships to psychological health, t</w:t>
      </w:r>
      <w:r w:rsidR="0076164D">
        <w:rPr>
          <w:rFonts w:eastAsia="Calibri"/>
          <w:lang w:val="en-US" w:eastAsia="en-US"/>
        </w:rPr>
        <w:t xml:space="preserve">he AWB results suggest that continued efforts </w:t>
      </w:r>
      <w:r>
        <w:rPr>
          <w:rFonts w:eastAsia="Calibri"/>
          <w:lang w:val="en-US" w:eastAsia="en-US"/>
        </w:rPr>
        <w:t>must</w:t>
      </w:r>
      <w:r w:rsidR="0076164D">
        <w:rPr>
          <w:rFonts w:eastAsia="Calibri"/>
          <w:lang w:val="en-US" w:eastAsia="en-US"/>
        </w:rPr>
        <w:t xml:space="preserve"> be made in order to protect women from sexual harassment </w:t>
      </w:r>
      <w:r w:rsidR="00AD084C">
        <w:rPr>
          <w:rFonts w:eastAsia="Calibri"/>
          <w:lang w:val="en-US" w:eastAsia="en-US"/>
        </w:rPr>
        <w:t xml:space="preserve">and bullying </w:t>
      </w:r>
      <w:r w:rsidR="0076164D">
        <w:rPr>
          <w:rFonts w:eastAsia="Calibri"/>
          <w:lang w:val="en-US" w:eastAsia="en-US"/>
        </w:rPr>
        <w:t>and to prom</w:t>
      </w:r>
      <w:r w:rsidR="00AD084C">
        <w:rPr>
          <w:rFonts w:eastAsia="Calibri"/>
          <w:lang w:val="en-US" w:eastAsia="en-US"/>
        </w:rPr>
        <w:t xml:space="preserve">ote equality in the workplace. </w:t>
      </w:r>
      <w:r>
        <w:rPr>
          <w:rFonts w:eastAsia="Calibri"/>
          <w:lang w:val="en-US" w:eastAsia="en-US"/>
        </w:rPr>
        <w:t xml:space="preserve">There is also </w:t>
      </w:r>
      <w:r w:rsidR="0076164D">
        <w:rPr>
          <w:rFonts w:eastAsia="Calibri"/>
          <w:lang w:val="en-US" w:eastAsia="en-US"/>
        </w:rPr>
        <w:t xml:space="preserve">a substantial need to promote </w:t>
      </w:r>
      <w:r w:rsidR="00131A3B">
        <w:rPr>
          <w:rFonts w:eastAsia="Calibri"/>
          <w:lang w:val="en-US" w:eastAsia="en-US"/>
        </w:rPr>
        <w:t xml:space="preserve">better </w:t>
      </w:r>
      <w:r w:rsidR="0076164D">
        <w:rPr>
          <w:rFonts w:eastAsia="Calibri"/>
          <w:lang w:val="en-US" w:eastAsia="en-US"/>
        </w:rPr>
        <w:t xml:space="preserve">practices </w:t>
      </w:r>
      <w:r w:rsidR="003B0BE0">
        <w:rPr>
          <w:rFonts w:eastAsia="Calibri"/>
          <w:lang w:val="en-US" w:eastAsia="en-US"/>
        </w:rPr>
        <w:t xml:space="preserve">to protect </w:t>
      </w:r>
      <w:r w:rsidR="0076164D">
        <w:rPr>
          <w:rFonts w:eastAsia="Calibri"/>
          <w:lang w:val="en-US" w:eastAsia="en-US"/>
        </w:rPr>
        <w:t>men including reduced sexual based humour and to d</w:t>
      </w:r>
      <w:r w:rsidR="009260EE">
        <w:rPr>
          <w:rFonts w:eastAsia="Calibri"/>
          <w:lang w:val="en-US" w:eastAsia="en-US"/>
        </w:rPr>
        <w:t xml:space="preserve">iscourage swearing or yelling. </w:t>
      </w:r>
      <w:r w:rsidR="0076164D">
        <w:rPr>
          <w:rFonts w:eastAsia="Calibri"/>
          <w:lang w:val="en-US" w:eastAsia="en-US"/>
        </w:rPr>
        <w:t xml:space="preserve">All employees would benefit from safe work practices that specifically focus on creating a healthier working environment where sexual harassment, gender based bias, sexual humour, swearing and yelling is considered </w:t>
      </w:r>
      <w:r w:rsidR="00AD084C">
        <w:rPr>
          <w:rFonts w:eastAsia="Calibri"/>
          <w:lang w:val="en-US" w:eastAsia="en-US"/>
        </w:rPr>
        <w:t>not</w:t>
      </w:r>
      <w:r w:rsidR="0076164D">
        <w:rPr>
          <w:rFonts w:eastAsia="Calibri"/>
          <w:lang w:val="en-US" w:eastAsia="en-US"/>
        </w:rPr>
        <w:t xml:space="preserve"> acceptable</w:t>
      </w:r>
      <w:r w:rsidR="003B0BE0">
        <w:rPr>
          <w:rFonts w:eastAsia="Calibri"/>
          <w:lang w:val="en-US" w:eastAsia="en-US"/>
        </w:rPr>
        <w:t xml:space="preserve"> </w:t>
      </w:r>
      <w:r w:rsidR="0076164D">
        <w:rPr>
          <w:rFonts w:eastAsia="Calibri"/>
          <w:lang w:val="en-US" w:eastAsia="en-US"/>
        </w:rPr>
        <w:t xml:space="preserve">or appropriate workplace </w:t>
      </w:r>
      <w:r w:rsidR="00AD084C">
        <w:rPr>
          <w:rFonts w:eastAsia="Calibri"/>
          <w:lang w:val="en-US" w:eastAsia="en-US"/>
        </w:rPr>
        <w:t xml:space="preserve">behavior. Given their impact, harassment behaviour should be </w:t>
      </w:r>
      <w:r w:rsidR="0076164D">
        <w:rPr>
          <w:rFonts w:eastAsia="Calibri"/>
          <w:lang w:val="en-US" w:eastAsia="en-US"/>
        </w:rPr>
        <w:t>high priority for better health outcomes and reduced psychosocial risk at work.</w:t>
      </w:r>
    </w:p>
    <w:p w:rsidR="0080173D" w:rsidRPr="008231BD" w:rsidRDefault="0080173D" w:rsidP="008231BD">
      <w:pPr>
        <w:pStyle w:val="SWSABody"/>
        <w:spacing w:before="100" w:beforeAutospacing="1" w:after="100" w:afterAutospacing="1" w:line="276" w:lineRule="auto"/>
        <w:ind w:left="851" w:right="822"/>
        <w:rPr>
          <w:i/>
        </w:rPr>
      </w:pPr>
    </w:p>
    <w:p w:rsidR="0076164D" w:rsidRPr="00332F09" w:rsidRDefault="0076164D" w:rsidP="00EC4877">
      <w:pPr>
        <w:pStyle w:val="Heading2"/>
        <w:spacing w:before="100" w:beforeAutospacing="1" w:after="100" w:afterAutospacing="1"/>
      </w:pPr>
      <w:bookmarkStart w:id="79" w:name="_Toc343502446"/>
      <w:r>
        <w:lastRenderedPageBreak/>
        <w:t>Work-family conflict</w:t>
      </w:r>
      <w:bookmarkEnd w:id="79"/>
    </w:p>
    <w:p w:rsidR="00FF2C8F" w:rsidRPr="00B934B6" w:rsidRDefault="00FF2C8F" w:rsidP="0040008A">
      <w:pPr>
        <w:pStyle w:val="Quote"/>
      </w:pPr>
      <w:r w:rsidRPr="00B934B6">
        <w:t xml:space="preserve">“Work-family conflict is one of the major contributors to poor worker </w:t>
      </w:r>
      <w:r w:rsidR="004D27D1" w:rsidRPr="00B934B6">
        <w:t>health and wellbeing</w:t>
      </w:r>
      <w:r w:rsidR="009964AD">
        <w:t>.</w:t>
      </w:r>
      <w:r w:rsidRPr="00B934B6">
        <w:t>”</w:t>
      </w:r>
    </w:p>
    <w:p w:rsidR="0076164D" w:rsidRDefault="0076164D" w:rsidP="00B934B6">
      <w:pPr>
        <w:rPr>
          <w:rFonts w:eastAsia="Calibri"/>
          <w:lang w:val="en-US" w:eastAsia="en-US"/>
        </w:rPr>
      </w:pPr>
      <w:r>
        <w:rPr>
          <w:rFonts w:eastAsia="Calibri"/>
          <w:lang w:val="en-US" w:eastAsia="en-US"/>
        </w:rPr>
        <w:t xml:space="preserve">As </w:t>
      </w:r>
      <w:r w:rsidR="00AD084C">
        <w:rPr>
          <w:rFonts w:eastAsia="Calibri"/>
          <w:lang w:val="en-US" w:eastAsia="en-US"/>
        </w:rPr>
        <w:t>a consequence of globali</w:t>
      </w:r>
      <w:r w:rsidR="009964AD">
        <w:rPr>
          <w:rFonts w:eastAsia="Calibri"/>
          <w:lang w:val="en-US" w:eastAsia="en-US"/>
        </w:rPr>
        <w:t>s</w:t>
      </w:r>
      <w:r w:rsidR="00AD084C">
        <w:rPr>
          <w:rFonts w:eastAsia="Calibri"/>
          <w:lang w:val="en-US" w:eastAsia="en-US"/>
        </w:rPr>
        <w:t xml:space="preserve">ation there is </w:t>
      </w:r>
      <w:r>
        <w:rPr>
          <w:rFonts w:eastAsia="Calibri"/>
          <w:lang w:val="en-US" w:eastAsia="en-US"/>
        </w:rPr>
        <w:t>an increased pressure to perform in the workplace</w:t>
      </w:r>
      <w:r w:rsidR="003D1508">
        <w:rPr>
          <w:rFonts w:eastAsia="Calibri"/>
          <w:lang w:val="en-US" w:eastAsia="en-US"/>
        </w:rPr>
        <w:t xml:space="preserve">. Workers are laboring for longer </w:t>
      </w:r>
      <w:r>
        <w:rPr>
          <w:rFonts w:eastAsia="Calibri"/>
          <w:lang w:val="en-US" w:eastAsia="en-US"/>
        </w:rPr>
        <w:t xml:space="preserve">hours, </w:t>
      </w:r>
      <w:r w:rsidR="003D1508">
        <w:rPr>
          <w:rFonts w:eastAsia="Calibri"/>
          <w:lang w:val="en-US" w:eastAsia="en-US"/>
        </w:rPr>
        <w:t xml:space="preserve">there are </w:t>
      </w:r>
      <w:r w:rsidR="004D0D85">
        <w:rPr>
          <w:rFonts w:eastAsia="Calibri"/>
          <w:lang w:val="en-US" w:eastAsia="en-US"/>
        </w:rPr>
        <w:t xml:space="preserve">increased </w:t>
      </w:r>
      <w:r>
        <w:rPr>
          <w:rFonts w:eastAsia="Calibri"/>
          <w:lang w:val="en-US" w:eastAsia="en-US"/>
        </w:rPr>
        <w:t xml:space="preserve">concerns regarding job security, and an unwanted </w:t>
      </w:r>
      <w:r w:rsidR="003D1508">
        <w:rPr>
          <w:rFonts w:eastAsia="Calibri"/>
          <w:lang w:val="en-US" w:eastAsia="en-US"/>
        </w:rPr>
        <w:t xml:space="preserve">pressure to manage </w:t>
      </w:r>
      <w:r>
        <w:rPr>
          <w:rFonts w:eastAsia="Calibri"/>
          <w:lang w:val="en-US" w:eastAsia="en-US"/>
        </w:rPr>
        <w:t>the competing demands of work and life (Geurts &amp; Demerouti, 2003). Work-family conflict</w:t>
      </w:r>
      <w:r w:rsidR="00A20ABA">
        <w:rPr>
          <w:rFonts w:eastAsia="Calibri"/>
          <w:lang w:val="en-US" w:eastAsia="en-US"/>
        </w:rPr>
        <w:t xml:space="preserve"> (WFC)</w:t>
      </w:r>
      <w:r>
        <w:rPr>
          <w:rFonts w:eastAsia="Calibri"/>
          <w:lang w:val="en-US" w:eastAsia="en-US"/>
        </w:rPr>
        <w:t xml:space="preserve"> is one of the most researched constructs in the work-life balance literature and has been strongly </w:t>
      </w:r>
      <w:r w:rsidR="003E605D">
        <w:rPr>
          <w:rFonts w:eastAsia="Calibri"/>
          <w:lang w:val="en-US" w:eastAsia="en-US"/>
        </w:rPr>
        <w:t xml:space="preserve">linked </w:t>
      </w:r>
      <w:r>
        <w:rPr>
          <w:rFonts w:eastAsia="Calibri"/>
          <w:lang w:val="en-US" w:eastAsia="en-US"/>
        </w:rPr>
        <w:t xml:space="preserve">to work domain factors as well as poor psychological health outcomes (Canivet et al., 2010; Geurts &amp; Demerouti, 2003; Jianwei &amp; Yuxin, 2011). </w:t>
      </w:r>
      <w:r w:rsidR="003D1508">
        <w:rPr>
          <w:rFonts w:eastAsia="Calibri"/>
          <w:lang w:val="en-US" w:eastAsia="en-US"/>
        </w:rPr>
        <w:t>Work-family conflict</w:t>
      </w:r>
      <w:r>
        <w:rPr>
          <w:rFonts w:eastAsia="Calibri"/>
          <w:lang w:val="en-US" w:eastAsia="en-US"/>
        </w:rPr>
        <w:t xml:space="preserve"> occurs when the demands of a person’s role adversely impact</w:t>
      </w:r>
      <w:r w:rsidR="003D1508">
        <w:rPr>
          <w:rFonts w:eastAsia="Calibri"/>
          <w:lang w:val="en-US" w:eastAsia="en-US"/>
        </w:rPr>
        <w:t>s</w:t>
      </w:r>
      <w:r>
        <w:rPr>
          <w:rFonts w:eastAsia="Calibri"/>
          <w:lang w:val="en-US" w:eastAsia="en-US"/>
        </w:rPr>
        <w:t xml:space="preserve"> on their ability to adequately fulfil their role as part of their family (e.g. parent, spouse, child, carer, etc</w:t>
      </w:r>
      <w:r w:rsidR="00EE248F">
        <w:rPr>
          <w:rFonts w:eastAsia="Calibri"/>
          <w:lang w:val="en-US" w:eastAsia="en-US"/>
        </w:rPr>
        <w:t>.</w:t>
      </w:r>
      <w:r>
        <w:rPr>
          <w:rFonts w:eastAsia="Calibri"/>
          <w:lang w:val="en-US" w:eastAsia="en-US"/>
        </w:rPr>
        <w:t xml:space="preserve">) </w:t>
      </w:r>
      <w:proofErr w:type="gramStart"/>
      <w:r>
        <w:rPr>
          <w:rFonts w:eastAsia="Calibri"/>
          <w:lang w:val="en-US" w:eastAsia="en-US"/>
        </w:rPr>
        <w:t>(Geurts &amp; Demerouti, 2003; Kattenbach, Demerouti, &amp; Nachreiner, 2010; Leka &amp; Jain, 2010).</w:t>
      </w:r>
      <w:proofErr w:type="gramEnd"/>
      <w:r>
        <w:rPr>
          <w:rFonts w:eastAsia="Calibri"/>
          <w:lang w:val="en-US" w:eastAsia="en-US"/>
        </w:rPr>
        <w:t xml:space="preserve"> Consequences of WFC include work and family stress (Grandey &amp; Cropanzano, 1999), burnout and psychological strain (Frone, Russell, &amp; Cooper, 1997; Geurts &amp; Demerouti, 2003; Hall, Dollard, Tuckey, Winefield, &amp; Thompson, 2010; Jianwei &amp; Yuxin, 2011; Leka &amp; Jain, 2010), and reduced performance at work (Geurts &amp; Demerouti, 2003; Grandey &amp; Cropanzano, 1999). Accordingly, WFC comes at a cost to individuals, families, and employers (Skinner &amp; Pocock, 2011) and t</w:t>
      </w:r>
      <w:r w:rsidR="00396A00">
        <w:rPr>
          <w:rFonts w:eastAsia="Calibri"/>
          <w:lang w:val="en-US" w:eastAsia="en-US"/>
        </w:rPr>
        <w:t>herefore warrants intervention.</w:t>
      </w:r>
    </w:p>
    <w:p w:rsidR="0076164D" w:rsidRDefault="003E3893" w:rsidP="00B934B6">
      <w:r>
        <w:t xml:space="preserve">Results from the AWB relating to </w:t>
      </w:r>
      <w:r w:rsidR="0076164D">
        <w:t xml:space="preserve">WFC in Australia were explored and interpreted in </w:t>
      </w:r>
      <w:r w:rsidR="003E605D">
        <w:t>the light of</w:t>
      </w:r>
      <w:r w:rsidR="0076164D">
        <w:t xml:space="preserve"> previous research. Results indicate:</w:t>
      </w:r>
    </w:p>
    <w:p w:rsidR="0076164D" w:rsidRPr="0040008A" w:rsidRDefault="0076164D" w:rsidP="0040008A">
      <w:pPr>
        <w:pStyle w:val="ListParagraph"/>
        <w:numPr>
          <w:ilvl w:val="0"/>
          <w:numId w:val="4"/>
        </w:numPr>
        <w:spacing w:before="120" w:after="120"/>
        <w:ind w:left="714" w:hanging="357"/>
        <w:rPr>
          <w:rFonts w:ascii="Arial" w:hAnsi="Arial" w:cs="Arial"/>
        </w:rPr>
      </w:pPr>
      <w:r w:rsidRPr="0040008A">
        <w:rPr>
          <w:rFonts w:ascii="Arial" w:hAnsi="Arial" w:cs="Arial"/>
        </w:rPr>
        <w:t>WFC had a strong association with poor psychological health and general physical health</w:t>
      </w:r>
    </w:p>
    <w:p w:rsidR="00131A3B" w:rsidRPr="0040008A" w:rsidRDefault="0076164D" w:rsidP="0040008A">
      <w:pPr>
        <w:pStyle w:val="ListParagraph"/>
        <w:numPr>
          <w:ilvl w:val="0"/>
          <w:numId w:val="4"/>
        </w:numPr>
        <w:spacing w:before="120" w:after="120"/>
        <w:ind w:left="714" w:hanging="357"/>
        <w:rPr>
          <w:rFonts w:ascii="Arial" w:hAnsi="Arial" w:cs="Arial"/>
        </w:rPr>
      </w:pPr>
      <w:r w:rsidRPr="0040008A">
        <w:rPr>
          <w:rFonts w:ascii="Arial" w:hAnsi="Arial" w:cs="Arial"/>
        </w:rPr>
        <w:t xml:space="preserve">WFC was most strongly correlated with emotional demands, </w:t>
      </w:r>
      <w:r w:rsidR="008731C2" w:rsidRPr="0040008A">
        <w:rPr>
          <w:rFonts w:ascii="Arial" w:hAnsi="Arial" w:cs="Arial"/>
        </w:rPr>
        <w:t>work pressure</w:t>
      </w:r>
      <w:r w:rsidRPr="0040008A">
        <w:rPr>
          <w:rFonts w:ascii="Arial" w:hAnsi="Arial" w:cs="Arial"/>
        </w:rPr>
        <w:t>, organisational harassment and PSC</w:t>
      </w:r>
    </w:p>
    <w:p w:rsidR="0076164D" w:rsidRPr="0040008A" w:rsidRDefault="003A307D" w:rsidP="0040008A">
      <w:pPr>
        <w:pStyle w:val="ListParagraph"/>
        <w:numPr>
          <w:ilvl w:val="0"/>
          <w:numId w:val="4"/>
        </w:numPr>
        <w:spacing w:before="120" w:after="120"/>
        <w:ind w:left="714" w:hanging="357"/>
        <w:rPr>
          <w:rFonts w:ascii="Arial" w:hAnsi="Arial" w:cs="Arial"/>
        </w:rPr>
      </w:pPr>
      <w:r w:rsidRPr="0040008A">
        <w:rPr>
          <w:rFonts w:ascii="Arial" w:hAnsi="Arial" w:cs="Arial"/>
        </w:rPr>
        <w:t>g</w:t>
      </w:r>
      <w:r w:rsidR="0076164D" w:rsidRPr="0040008A">
        <w:rPr>
          <w:rFonts w:ascii="Arial" w:hAnsi="Arial" w:cs="Arial"/>
        </w:rPr>
        <w:t>reater levels of WFC were reported by men, although there was no significant difference between men and women in the strength of the relationship between WFC and poor psychological health, i.e. WFC affects psychological wellbeing of workers similarly for both genders</w:t>
      </w:r>
    </w:p>
    <w:p w:rsidR="0076164D" w:rsidRPr="0040008A" w:rsidRDefault="0076164D" w:rsidP="0040008A">
      <w:pPr>
        <w:pStyle w:val="ListParagraph"/>
        <w:numPr>
          <w:ilvl w:val="0"/>
          <w:numId w:val="4"/>
        </w:numPr>
        <w:spacing w:before="120" w:after="120"/>
        <w:ind w:left="714" w:hanging="357"/>
        <w:rPr>
          <w:rFonts w:ascii="Arial" w:hAnsi="Arial" w:cs="Arial"/>
        </w:rPr>
      </w:pPr>
      <w:r w:rsidRPr="0040008A">
        <w:rPr>
          <w:rFonts w:ascii="Arial" w:hAnsi="Arial" w:cs="Arial"/>
        </w:rPr>
        <w:t>WFC was highest in middle aged workers</w:t>
      </w:r>
    </w:p>
    <w:p w:rsidR="0076164D" w:rsidRPr="0040008A" w:rsidRDefault="003A307D" w:rsidP="0040008A">
      <w:pPr>
        <w:pStyle w:val="ListParagraph"/>
        <w:numPr>
          <w:ilvl w:val="0"/>
          <w:numId w:val="4"/>
        </w:numPr>
        <w:spacing w:before="120" w:after="120"/>
        <w:ind w:left="714" w:hanging="357"/>
        <w:rPr>
          <w:rFonts w:ascii="Arial" w:hAnsi="Arial" w:cs="Arial"/>
        </w:rPr>
      </w:pPr>
      <w:r w:rsidRPr="0040008A">
        <w:rPr>
          <w:rFonts w:ascii="Arial" w:hAnsi="Arial" w:cs="Arial"/>
        </w:rPr>
        <w:t>t</w:t>
      </w:r>
      <w:r w:rsidR="0076164D" w:rsidRPr="0040008A">
        <w:rPr>
          <w:rFonts w:ascii="Arial" w:hAnsi="Arial" w:cs="Arial"/>
        </w:rPr>
        <w:t>he relationship between WFC and poor psychological health was strongest for the oldest (65+) and youngest (18-24) workers</w:t>
      </w:r>
      <w:r w:rsidR="00DA2B94">
        <w:rPr>
          <w:rFonts w:ascii="Arial" w:hAnsi="Arial" w:cs="Arial"/>
        </w:rPr>
        <w:t>, and</w:t>
      </w:r>
    </w:p>
    <w:p w:rsidR="0076164D" w:rsidRPr="0040008A" w:rsidRDefault="003A307D" w:rsidP="0040008A">
      <w:pPr>
        <w:pStyle w:val="ListParagraph"/>
        <w:numPr>
          <w:ilvl w:val="0"/>
          <w:numId w:val="4"/>
        </w:numPr>
        <w:spacing w:before="120" w:after="120"/>
        <w:ind w:left="714" w:hanging="357"/>
        <w:rPr>
          <w:rFonts w:ascii="Arial" w:hAnsi="Arial" w:cs="Arial"/>
        </w:rPr>
      </w:pPr>
      <w:proofErr w:type="gramStart"/>
      <w:r w:rsidRPr="0040008A">
        <w:rPr>
          <w:rFonts w:ascii="Arial" w:hAnsi="Arial" w:cs="Arial"/>
        </w:rPr>
        <w:t>l</w:t>
      </w:r>
      <w:r w:rsidR="0076164D" w:rsidRPr="0040008A">
        <w:rPr>
          <w:rFonts w:ascii="Arial" w:hAnsi="Arial" w:cs="Arial"/>
        </w:rPr>
        <w:t>evels</w:t>
      </w:r>
      <w:proofErr w:type="gramEnd"/>
      <w:r w:rsidR="0076164D" w:rsidRPr="0040008A">
        <w:rPr>
          <w:rFonts w:ascii="Arial" w:hAnsi="Arial" w:cs="Arial"/>
        </w:rPr>
        <w:t xml:space="preserve"> of WFC were highest in the </w:t>
      </w:r>
      <w:r w:rsidR="003E3893" w:rsidRPr="0040008A">
        <w:rPr>
          <w:rFonts w:ascii="Arial" w:hAnsi="Arial" w:cs="Arial"/>
        </w:rPr>
        <w:t>M</w:t>
      </w:r>
      <w:r w:rsidR="0076164D" w:rsidRPr="0040008A">
        <w:rPr>
          <w:rFonts w:ascii="Arial" w:hAnsi="Arial" w:cs="Arial"/>
        </w:rPr>
        <w:t>ining</w:t>
      </w:r>
      <w:r w:rsidR="003E605D" w:rsidRPr="0040008A">
        <w:rPr>
          <w:rFonts w:ascii="Arial" w:hAnsi="Arial" w:cs="Arial"/>
        </w:rPr>
        <w:t>,</w:t>
      </w:r>
      <w:r w:rsidR="0076164D" w:rsidRPr="0040008A">
        <w:rPr>
          <w:rFonts w:ascii="Arial" w:hAnsi="Arial" w:cs="Arial"/>
        </w:rPr>
        <w:t xml:space="preserve"> and </w:t>
      </w:r>
      <w:r w:rsidR="003E3893" w:rsidRPr="0040008A">
        <w:rPr>
          <w:rFonts w:ascii="Arial" w:hAnsi="Arial" w:cs="Arial"/>
        </w:rPr>
        <w:t>T</w:t>
      </w:r>
      <w:r w:rsidR="0076164D" w:rsidRPr="0040008A">
        <w:rPr>
          <w:rFonts w:ascii="Arial" w:hAnsi="Arial" w:cs="Arial"/>
        </w:rPr>
        <w:t>ransport and storage industries.</w:t>
      </w:r>
    </w:p>
    <w:p w:rsidR="0076164D" w:rsidRDefault="0076164D" w:rsidP="00B934B6">
      <w:pPr>
        <w:rPr>
          <w:rFonts w:eastAsia="Calibri"/>
          <w:lang w:val="en-US" w:eastAsia="en-US"/>
        </w:rPr>
      </w:pPr>
      <w:r>
        <w:rPr>
          <w:rFonts w:eastAsia="Calibri"/>
          <w:lang w:val="en-US" w:eastAsia="en-US"/>
        </w:rPr>
        <w:t xml:space="preserve">Assessment of risk factors for WFC in the AWB sample indicated that WFC was highest in workers who were male, between 35 and 54 years of age, had two or more children, worked more than 40 hours per week, were employed full-time, and worked day or rotating shifts. High levels of all risk factors were particularly evident in the </w:t>
      </w:r>
      <w:r w:rsidR="0045728B">
        <w:rPr>
          <w:rFonts w:eastAsia="Calibri"/>
          <w:lang w:val="en-US" w:eastAsia="en-US"/>
        </w:rPr>
        <w:t>M</w:t>
      </w:r>
      <w:r>
        <w:rPr>
          <w:rFonts w:eastAsia="Calibri"/>
          <w:lang w:val="en-US" w:eastAsia="en-US"/>
        </w:rPr>
        <w:t xml:space="preserve">ining and </w:t>
      </w:r>
      <w:r w:rsidR="0045728B">
        <w:rPr>
          <w:rFonts w:eastAsia="Calibri"/>
          <w:lang w:val="en-US" w:eastAsia="en-US"/>
        </w:rPr>
        <w:t>T</w:t>
      </w:r>
      <w:r>
        <w:rPr>
          <w:rFonts w:eastAsia="Calibri"/>
          <w:lang w:val="en-US" w:eastAsia="en-US"/>
        </w:rPr>
        <w:t>ransport and storage industries, which had the highest levels of WFC. These risk factors were congruent with existing research (Barnett, 1998; Frone et al., 1997; Geurts &amp; Demerouti</w:t>
      </w:r>
      <w:r w:rsidR="00396A00">
        <w:rPr>
          <w:rFonts w:eastAsia="Calibri"/>
          <w:lang w:val="en-US" w:eastAsia="en-US"/>
        </w:rPr>
        <w:t>, 2003; Jianwei &amp; Yuxin, 2011).</w:t>
      </w:r>
    </w:p>
    <w:p w:rsidR="0076164D" w:rsidRDefault="0076164D" w:rsidP="00B934B6">
      <w:pPr>
        <w:rPr>
          <w:rFonts w:eastAsia="Calibri"/>
          <w:lang w:val="en-US" w:eastAsia="en-US"/>
        </w:rPr>
      </w:pPr>
      <w:r>
        <w:rPr>
          <w:rFonts w:eastAsia="Calibri"/>
          <w:lang w:val="en-US" w:eastAsia="en-US"/>
        </w:rPr>
        <w:t xml:space="preserve">The </w:t>
      </w:r>
      <w:r w:rsidR="003E3893">
        <w:rPr>
          <w:rFonts w:eastAsia="Calibri"/>
          <w:lang w:val="en-US" w:eastAsia="en-US"/>
        </w:rPr>
        <w:t>job demands</w:t>
      </w:r>
      <w:r>
        <w:rPr>
          <w:rFonts w:eastAsia="Calibri"/>
          <w:lang w:val="en-US" w:eastAsia="en-US"/>
        </w:rPr>
        <w:t xml:space="preserve"> most strongly associated with WFC included </w:t>
      </w:r>
      <w:r w:rsidR="008731C2">
        <w:rPr>
          <w:rFonts w:eastAsia="Calibri"/>
          <w:lang w:val="en-US" w:eastAsia="en-US"/>
        </w:rPr>
        <w:t>work pressure</w:t>
      </w:r>
      <w:r>
        <w:rPr>
          <w:rFonts w:eastAsia="Calibri"/>
          <w:lang w:val="en-US" w:eastAsia="en-US"/>
        </w:rPr>
        <w:t xml:space="preserve">, emotional demands, harassment and PSC. This is congruent with previous research linking workplace psychosocial demands to the development of WFC (Geurts &amp; Demerouti, 2003; Jianwei &amp; Yuxin, 2011). Interventions beyond the implementation of flexible work environments to improve work-family conflict could therefore be directed at reducing harassment (team building), reducing emotional demands (one-to-one supervision and debriefing), reducing </w:t>
      </w:r>
      <w:r w:rsidR="008731C2">
        <w:rPr>
          <w:rFonts w:eastAsia="Calibri"/>
          <w:lang w:val="en-US" w:eastAsia="en-US"/>
        </w:rPr>
        <w:t>work pressure</w:t>
      </w:r>
      <w:r>
        <w:rPr>
          <w:rFonts w:eastAsia="Calibri"/>
          <w:lang w:val="en-US" w:eastAsia="en-US"/>
        </w:rPr>
        <w:t xml:space="preserve"> (appropriate management of workload and deadlines) and increasing overall PSC. Organisational interventions aimed at improving WFC should consider targeting PSC, which would focus on improving </w:t>
      </w:r>
      <w:proofErr w:type="gramStart"/>
      <w:r>
        <w:rPr>
          <w:rFonts w:eastAsia="Calibri"/>
          <w:lang w:val="en-US" w:eastAsia="en-US"/>
        </w:rPr>
        <w:t>policies,</w:t>
      </w:r>
      <w:proofErr w:type="gramEnd"/>
      <w:r>
        <w:rPr>
          <w:rFonts w:eastAsia="Calibri"/>
          <w:lang w:val="en-US" w:eastAsia="en-US"/>
        </w:rPr>
        <w:t xml:space="preserve"> </w:t>
      </w:r>
      <w:r>
        <w:rPr>
          <w:rFonts w:eastAsia="Calibri"/>
          <w:lang w:val="en-US" w:eastAsia="en-US"/>
        </w:rPr>
        <w:lastRenderedPageBreak/>
        <w:t>practices and procedures within the organisation that eventually affect psychological health. For example, an environment high in PSC would ensure flexible work</w:t>
      </w:r>
      <w:r w:rsidR="003E3893">
        <w:rPr>
          <w:rFonts w:eastAsia="Calibri"/>
          <w:lang w:val="en-US" w:eastAsia="en-US"/>
        </w:rPr>
        <w:t>place</w:t>
      </w:r>
      <w:r>
        <w:rPr>
          <w:rFonts w:eastAsia="Calibri"/>
          <w:lang w:val="en-US" w:eastAsia="en-US"/>
        </w:rPr>
        <w:t xml:space="preserve"> </w:t>
      </w:r>
      <w:r w:rsidR="003E3893">
        <w:rPr>
          <w:rFonts w:eastAsia="Calibri"/>
          <w:lang w:val="en-US" w:eastAsia="en-US"/>
        </w:rPr>
        <w:t xml:space="preserve">policies </w:t>
      </w:r>
      <w:r>
        <w:rPr>
          <w:rFonts w:eastAsia="Calibri"/>
          <w:lang w:val="en-US" w:eastAsia="en-US"/>
        </w:rPr>
        <w:t xml:space="preserve">were in place </w:t>
      </w:r>
      <w:r w:rsidR="003E3893">
        <w:rPr>
          <w:rFonts w:eastAsia="Calibri"/>
          <w:lang w:val="en-US" w:eastAsia="en-US"/>
        </w:rPr>
        <w:t xml:space="preserve">and workers felt confident that they would be supported by their managers to utilise these procedures </w:t>
      </w:r>
      <w:r>
        <w:rPr>
          <w:rFonts w:eastAsia="Calibri"/>
          <w:lang w:val="en-US" w:eastAsia="en-US"/>
        </w:rPr>
        <w:t>so that WFC was reduced for employees.</w:t>
      </w:r>
    </w:p>
    <w:p w:rsidR="0076164D" w:rsidRDefault="0076164D" w:rsidP="00B934B6">
      <w:pPr>
        <w:rPr>
          <w:rFonts w:eastAsia="Calibri"/>
          <w:lang w:val="en-US" w:eastAsia="en-US"/>
        </w:rPr>
      </w:pPr>
      <w:r>
        <w:rPr>
          <w:rFonts w:eastAsia="Calibri"/>
          <w:lang w:val="en-US" w:eastAsia="en-US"/>
        </w:rPr>
        <w:t xml:space="preserve">As WFC is related to poor psychological and physical health, it is crucial </w:t>
      </w:r>
      <w:proofErr w:type="gramStart"/>
      <w:r>
        <w:rPr>
          <w:rFonts w:eastAsia="Calibri"/>
          <w:lang w:val="en-US" w:eastAsia="en-US"/>
        </w:rPr>
        <w:t>that employers</w:t>
      </w:r>
      <w:proofErr w:type="gramEnd"/>
      <w:r>
        <w:rPr>
          <w:rFonts w:eastAsia="Calibri"/>
          <w:lang w:val="en-US" w:eastAsia="en-US"/>
        </w:rPr>
        <w:t xml:space="preserve"> consider this demand as having a serious impact on worker wellbeing and hence productivity, which may result in increased costs to employer</w:t>
      </w:r>
      <w:r w:rsidR="003E605D">
        <w:rPr>
          <w:rFonts w:eastAsia="Calibri"/>
          <w:lang w:val="en-US" w:eastAsia="en-US"/>
        </w:rPr>
        <w:t>s</w:t>
      </w:r>
      <w:r>
        <w:rPr>
          <w:rFonts w:eastAsia="Calibri"/>
          <w:lang w:val="en-US" w:eastAsia="en-US"/>
        </w:rPr>
        <w:t xml:space="preserve"> via increased staff turnover, sickness absenteeism and workers</w:t>
      </w:r>
      <w:r w:rsidR="0045728B">
        <w:rPr>
          <w:rFonts w:eastAsia="Calibri"/>
          <w:lang w:val="en-US" w:eastAsia="en-US"/>
        </w:rPr>
        <w:t>’</w:t>
      </w:r>
      <w:r>
        <w:rPr>
          <w:rFonts w:eastAsia="Calibri"/>
          <w:lang w:val="en-US" w:eastAsia="en-US"/>
        </w:rPr>
        <w:t xml:space="preserve"> compensation claims. </w:t>
      </w:r>
      <w:r w:rsidR="003A307D">
        <w:rPr>
          <w:rFonts w:eastAsia="Calibri"/>
          <w:lang w:val="en-US" w:eastAsia="en-US"/>
        </w:rPr>
        <w:t>WFC</w:t>
      </w:r>
      <w:r>
        <w:rPr>
          <w:rFonts w:eastAsia="Calibri"/>
          <w:lang w:val="en-US" w:eastAsia="en-US"/>
        </w:rPr>
        <w:t xml:space="preserve"> is a workplace issue that warrants intervention in order to reduce organisational costs and increase worker wellbeing and PSC should be considered as an appropriate </w:t>
      </w:r>
      <w:r w:rsidR="003E3893">
        <w:rPr>
          <w:rFonts w:eastAsia="Calibri"/>
          <w:lang w:val="en-US" w:eastAsia="en-US"/>
        </w:rPr>
        <w:t xml:space="preserve">target </w:t>
      </w:r>
      <w:r>
        <w:rPr>
          <w:rFonts w:eastAsia="Calibri"/>
          <w:lang w:val="en-US" w:eastAsia="en-US"/>
        </w:rPr>
        <w:t>for intervention.</w:t>
      </w:r>
    </w:p>
    <w:p w:rsidR="00876A5D" w:rsidRPr="00690245" w:rsidRDefault="00876A5D" w:rsidP="00396A00">
      <w:pPr>
        <w:pStyle w:val="Heading3"/>
        <w:rPr>
          <w:rStyle w:val="IntenseEmphasis"/>
        </w:rPr>
      </w:pPr>
      <w:bookmarkStart w:id="80" w:name="_Toc343502447"/>
      <w:r w:rsidRPr="00690245">
        <w:rPr>
          <w:rStyle w:val="IntenseEmphasis"/>
        </w:rPr>
        <w:t>Working hours</w:t>
      </w:r>
      <w:bookmarkEnd w:id="80"/>
    </w:p>
    <w:p w:rsidR="007321BF" w:rsidRPr="00B934B6" w:rsidRDefault="007321BF" w:rsidP="007321BF">
      <w:pPr>
        <w:ind w:left="284" w:right="397"/>
        <w:rPr>
          <w:rFonts w:cs="Arial"/>
          <w:i/>
        </w:rPr>
      </w:pPr>
      <w:r w:rsidRPr="00B934B6">
        <w:rPr>
          <w:rFonts w:cs="Arial"/>
          <w:i/>
        </w:rPr>
        <w:t xml:space="preserve">“A major issue in the workplace is that 40 per cent of </w:t>
      </w:r>
      <w:r w:rsidR="00E634CA" w:rsidRPr="00B934B6">
        <w:rPr>
          <w:rFonts w:cs="Arial"/>
          <w:i/>
        </w:rPr>
        <w:t>Australian workers are</w:t>
      </w:r>
      <w:r w:rsidRPr="00B934B6">
        <w:rPr>
          <w:rFonts w:cs="Arial"/>
          <w:i/>
        </w:rPr>
        <w:t xml:space="preserve"> work</w:t>
      </w:r>
      <w:r w:rsidR="00E634CA" w:rsidRPr="00B934B6">
        <w:rPr>
          <w:rFonts w:cs="Arial"/>
          <w:i/>
        </w:rPr>
        <w:t>ing</w:t>
      </w:r>
      <w:r w:rsidRPr="00B934B6">
        <w:rPr>
          <w:rFonts w:cs="Arial"/>
          <w:i/>
        </w:rPr>
        <w:t xml:space="preserve"> more than the national standard of 38 hours and 18 per cent work longer than 48 hours per week</w:t>
      </w:r>
      <w:r w:rsidR="009964AD">
        <w:rPr>
          <w:rFonts w:cs="Arial"/>
          <w:i/>
        </w:rPr>
        <w:t>.</w:t>
      </w:r>
      <w:r w:rsidR="004D27D1" w:rsidRPr="00B934B6">
        <w:rPr>
          <w:rFonts w:cs="Arial"/>
          <w:i/>
        </w:rPr>
        <w:t>”</w:t>
      </w:r>
    </w:p>
    <w:p w:rsidR="00876A5D" w:rsidRDefault="003E605D" w:rsidP="00B934B6">
      <w:r>
        <w:t>The</w:t>
      </w:r>
      <w:r w:rsidR="00876A5D">
        <w:t xml:space="preserve"> </w:t>
      </w:r>
      <w:r w:rsidR="00876A5D" w:rsidRPr="0045728B">
        <w:rPr>
          <w:i/>
        </w:rPr>
        <w:t>Fair Work Act 2009</w:t>
      </w:r>
      <w:r w:rsidR="00876A5D">
        <w:t xml:space="preserve"> states that employees are to work a maximum of 38 hours per work unless </w:t>
      </w:r>
      <w:r>
        <w:t xml:space="preserve">a </w:t>
      </w:r>
      <w:r w:rsidR="00876A5D">
        <w:t>request of additional hours is reasonable</w:t>
      </w:r>
      <w:r w:rsidR="004E159D">
        <w:t>. D</w:t>
      </w:r>
      <w:r w:rsidR="00876A5D">
        <w:t xml:space="preserve">ata from </w:t>
      </w:r>
      <w:r>
        <w:t xml:space="preserve">the </w:t>
      </w:r>
      <w:r w:rsidR="00876A5D" w:rsidRPr="000E0D2C">
        <w:rPr>
          <w:rFonts w:eastAsia="MS Mincho"/>
        </w:rPr>
        <w:t xml:space="preserve">Organisation for Economic Cooperation and Development </w:t>
      </w:r>
      <w:r w:rsidR="007E700B" w:rsidRPr="000E0D2C">
        <w:rPr>
          <w:rFonts w:eastAsia="MS Mincho"/>
        </w:rPr>
        <w:fldChar w:fldCharType="begin"/>
      </w:r>
      <w:r w:rsidR="00876A5D" w:rsidRPr="000E0D2C">
        <w:rPr>
          <w:rFonts w:eastAsia="MS Mincho"/>
        </w:rPr>
        <w:instrText xml:space="preserve"> ADDIN EN.CITE &lt;EndNote&gt;&lt;Cite ExcludeAuth="1"&gt;&lt;Author&gt;Organisation for Economic Co-operation and Development&lt;/Author&gt;&lt;Year&gt;2011&lt;/Year&gt;&lt;RecNum&gt;65&lt;/RecNum&gt;&lt;Prefix&gt;OECD`; &lt;/Prefix&gt;&lt;DisplayText&gt;(OECD; 2011)&lt;/DisplayText&gt;&lt;record&gt;&lt;rec-number&gt;65&lt;/rec-number&gt;&lt;foreign-keys&gt;&lt;key app="EN" db-id="vz5v2trd1pzre9evpzo5p92z0xps5fpasdex"&gt;65&lt;/key&gt;&lt;/foreign-keys&gt;&lt;ref-type name="Web Page"&gt;12&lt;/ref-type&gt;&lt;contributors&gt;&lt;authors&gt;&lt;author&gt;Organisation for Economic Co-operation and Development,&lt;/author&gt;&lt;/authors&gt;&lt;/contributors&gt;&lt;titles&gt;&lt;title&gt;OECD. Stat Extracts: Average annual hours actually worked per worker&lt;/title&gt;&lt;/titles&gt;&lt;volume&gt;2011&lt;/volume&gt;&lt;number&gt;10 November&lt;/number&gt;&lt;dates&gt;&lt;year&gt;2011&lt;/year&gt;&lt;pub-dates&gt;&lt;date&gt;22 June 2011&lt;/date&gt;&lt;/pub-dates&gt;&lt;/dates&gt;&lt;urls&gt;&lt;related-urls&gt;&lt;url&gt;http://stats.oecd.org/Index.aspx?DataSetCode=ANHRS&lt;/url&gt;&lt;/related-urls&gt;&lt;/urls&gt;&lt;/record&gt;&lt;/Cite&gt;&lt;/EndNote&gt;</w:instrText>
      </w:r>
      <w:r w:rsidR="007E700B" w:rsidRPr="000E0D2C">
        <w:rPr>
          <w:rFonts w:eastAsia="MS Mincho"/>
        </w:rPr>
        <w:fldChar w:fldCharType="separate"/>
      </w:r>
      <w:r w:rsidR="00876A5D" w:rsidRPr="000E0D2C">
        <w:rPr>
          <w:rFonts w:eastAsia="MS Mincho"/>
          <w:noProof/>
        </w:rPr>
        <w:t>(</w:t>
      </w:r>
      <w:hyperlink w:anchor="_ENREF_29" w:tooltip="Organisation for Economic Co-operation and Development, 2011 #65" w:history="1">
        <w:r w:rsidR="00876A5D" w:rsidRPr="000E0D2C">
          <w:rPr>
            <w:rFonts w:eastAsia="MS Mincho"/>
            <w:noProof/>
          </w:rPr>
          <w:t>OECD; 2011</w:t>
        </w:r>
      </w:hyperlink>
      <w:r w:rsidR="00876A5D" w:rsidRPr="000E0D2C">
        <w:rPr>
          <w:rFonts w:eastAsia="MS Mincho"/>
          <w:noProof/>
        </w:rPr>
        <w:t>)</w:t>
      </w:r>
      <w:r w:rsidR="007E700B" w:rsidRPr="000E0D2C">
        <w:rPr>
          <w:rFonts w:eastAsia="MS Mincho"/>
        </w:rPr>
        <w:fldChar w:fldCharType="end"/>
      </w:r>
      <w:r w:rsidR="00876A5D">
        <w:rPr>
          <w:rFonts w:eastAsia="MS Mincho"/>
        </w:rPr>
        <w:t xml:space="preserve"> shows that full-time employees in Australia are working on average 42.6</w:t>
      </w:r>
      <w:r w:rsidR="00E95228">
        <w:rPr>
          <w:rFonts w:eastAsia="MS Mincho"/>
        </w:rPr>
        <w:t xml:space="preserve"> hours per week</w:t>
      </w:r>
      <w:r>
        <w:rPr>
          <w:rFonts w:eastAsia="MS Mincho"/>
        </w:rPr>
        <w:t xml:space="preserve"> (see Figure</w:t>
      </w:r>
      <w:r w:rsidR="00032E3D">
        <w:rPr>
          <w:rFonts w:eastAsia="MS Mincho"/>
        </w:rPr>
        <w:t xml:space="preserve"> </w:t>
      </w:r>
      <w:r w:rsidR="0015338D">
        <w:rPr>
          <w:rFonts w:eastAsia="MS Mincho"/>
        </w:rPr>
        <w:t>21</w:t>
      </w:r>
      <w:r>
        <w:rPr>
          <w:rFonts w:eastAsia="MS Mincho"/>
        </w:rPr>
        <w:t>)</w:t>
      </w:r>
      <w:r w:rsidR="00876A5D">
        <w:rPr>
          <w:rFonts w:eastAsia="MS Mincho"/>
        </w:rPr>
        <w:t xml:space="preserve">. </w:t>
      </w:r>
      <w:r w:rsidR="004E159D">
        <w:t>This places Australia as the fifth highest coun</w:t>
      </w:r>
      <w:r w:rsidR="00396A00">
        <w:t>try for average working hours.</w:t>
      </w:r>
    </w:p>
    <w:p w:rsidR="006F610C" w:rsidRDefault="007321BF" w:rsidP="00876A5D">
      <w:pPr>
        <w:pStyle w:val="SWSABody"/>
        <w:spacing w:before="100" w:beforeAutospacing="1" w:after="100" w:afterAutospacing="1" w:line="276" w:lineRule="auto"/>
      </w:pPr>
      <w:r>
        <w:br w:type="page"/>
      </w:r>
    </w:p>
    <w:p w:rsidR="009B6B1F" w:rsidRDefault="00EF58AD" w:rsidP="00876A5D">
      <w:pPr>
        <w:pStyle w:val="SWSABody"/>
        <w:spacing w:before="100" w:beforeAutospacing="1" w:after="100" w:afterAutospacing="1" w:line="276" w:lineRule="auto"/>
      </w:pPr>
      <w:r>
        <w:rPr>
          <w:noProof/>
        </w:rPr>
        <w:lastRenderedPageBreak/>
        <w:drawing>
          <wp:inline distT="0" distB="0" distL="0" distR="0" wp14:anchorId="7D3CEFC2" wp14:editId="25C6CF0D">
            <wp:extent cx="5926455" cy="6293485"/>
            <wp:effectExtent l="0" t="0" r="0" b="0"/>
            <wp:docPr id="29" name="Picture 29" descr="Full-time employees in Australia are working on average 42.6 hours per week. This places Australia as the fifth highest country for average working hours.  Denmark has the shortest weekly working hours at just over 37 hours whilst Turkey has the longest at just over 52 hours." title="International comparison of weekly work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5926455" cy="6293485"/>
                    </a:xfrm>
                    <a:prstGeom prst="rect">
                      <a:avLst/>
                    </a:prstGeom>
                    <a:noFill/>
                  </pic:spPr>
                </pic:pic>
              </a:graphicData>
            </a:graphic>
          </wp:inline>
        </w:drawing>
      </w:r>
    </w:p>
    <w:p w:rsidR="009B6B1F" w:rsidRPr="009964AD" w:rsidRDefault="009B6B1F" w:rsidP="00396A00">
      <w:pPr>
        <w:pStyle w:val="FigureCaption"/>
      </w:pPr>
      <w:proofErr w:type="gramStart"/>
      <w:r w:rsidRPr="00FB1790">
        <w:t>Figure 21.</w:t>
      </w:r>
      <w:proofErr w:type="gramEnd"/>
      <w:r w:rsidRPr="00FB1790">
        <w:t xml:space="preserve"> </w:t>
      </w:r>
      <w:proofErr w:type="gramStart"/>
      <w:r w:rsidRPr="00FB1790">
        <w:t>Average</w:t>
      </w:r>
      <w:r w:rsidRPr="009964AD">
        <w:t xml:space="preserve"> weekly working hours by country.</w:t>
      </w:r>
      <w:proofErr w:type="gramEnd"/>
    </w:p>
    <w:p w:rsidR="00876A5D" w:rsidRDefault="00876A5D" w:rsidP="00B934B6">
      <w:pPr>
        <w:rPr>
          <w:lang w:eastAsia="ja-JP"/>
        </w:rPr>
      </w:pPr>
      <w:r>
        <w:t xml:space="preserve">AWB </w:t>
      </w:r>
      <w:r w:rsidR="00E95228">
        <w:t xml:space="preserve">data of </w:t>
      </w:r>
      <w:r>
        <w:t xml:space="preserve">2171 full time employees reported an average of 39 hours with a median and mode of 40 hours per week.  The following </w:t>
      </w:r>
      <w:r w:rsidR="00076B2E">
        <w:t xml:space="preserve">fraction </w:t>
      </w:r>
      <w:r>
        <w:t xml:space="preserve">of workers engaged in long working hours was based on </w:t>
      </w:r>
      <w:r w:rsidR="00032E3D">
        <w:t>t</w:t>
      </w:r>
      <w:r w:rsidR="003E605D">
        <w:t xml:space="preserve">he </w:t>
      </w:r>
      <w:r>
        <w:rPr>
          <w:lang w:eastAsia="ja-JP"/>
        </w:rPr>
        <w:t xml:space="preserve">ILO </w:t>
      </w:r>
      <w:r w:rsidRPr="000E0D2C">
        <w:rPr>
          <w:lang w:eastAsia="ja-JP"/>
        </w:rPr>
        <w:t>benchmark for long work hours of 48+ hours</w:t>
      </w:r>
      <w:r>
        <w:rPr>
          <w:lang w:eastAsia="ja-JP"/>
        </w:rPr>
        <w:t xml:space="preserve"> and the ABS </w:t>
      </w:r>
      <w:r w:rsidRPr="000E0D2C">
        <w:rPr>
          <w:lang w:eastAsia="ja-JP"/>
        </w:rPr>
        <w:t xml:space="preserve">benchmark </w:t>
      </w:r>
      <w:r w:rsidR="00076B2E">
        <w:rPr>
          <w:lang w:eastAsia="ja-JP"/>
        </w:rPr>
        <w:t xml:space="preserve">for long hours as </w:t>
      </w:r>
      <w:r w:rsidRPr="000E0D2C">
        <w:rPr>
          <w:lang w:eastAsia="ja-JP"/>
        </w:rPr>
        <w:t>50+ hours</w:t>
      </w:r>
      <w:r>
        <w:rPr>
          <w:lang w:eastAsia="ja-JP"/>
        </w:rPr>
        <w:t>.</w:t>
      </w:r>
    </w:p>
    <w:p w:rsidR="00032E3D" w:rsidRDefault="00C108FB" w:rsidP="00876A5D">
      <w:pPr>
        <w:pStyle w:val="SWSABody"/>
        <w:spacing w:before="100" w:beforeAutospacing="1" w:after="100" w:afterAutospacing="1" w:line="276" w:lineRule="auto"/>
        <w:rPr>
          <w:lang w:eastAsia="ja-JP"/>
        </w:rPr>
      </w:pPr>
      <w:r>
        <w:rPr>
          <w:lang w:eastAsia="ja-JP"/>
        </w:rPr>
        <w:br w:type="page"/>
      </w:r>
    </w:p>
    <w:p w:rsidR="00876A5D" w:rsidRDefault="00EF58AD" w:rsidP="00876A5D">
      <w:pPr>
        <w:pStyle w:val="SWSABody"/>
        <w:spacing w:before="100" w:beforeAutospacing="1" w:after="100" w:afterAutospacing="1" w:line="276" w:lineRule="auto"/>
      </w:pPr>
      <w:r>
        <w:rPr>
          <w:noProof/>
        </w:rPr>
        <w:lastRenderedPageBreak/>
        <w:drawing>
          <wp:inline distT="0" distB="0" distL="0" distR="0" wp14:anchorId="5701FD03" wp14:editId="02544D63">
            <wp:extent cx="5743575" cy="3343275"/>
            <wp:effectExtent l="0" t="0" r="0" b="9525"/>
            <wp:docPr id="15" name="Picture 15" descr="18 per cent of Australian full-time employees are working longer than the ILO benchmark of 48+ hours per work week and 10 per cent are working longer than the ABS benchmark of 50+ hours." title="Benchmarks for working hours as defined by the national standard, ILO and 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inghoursAus"/>
                    <pic:cNvPicPr>
                      <a:picLocks noChangeAspect="1" noChangeArrowheads="1"/>
                    </pic:cNvPicPr>
                  </pic:nvPicPr>
                  <pic:blipFill>
                    <a:blip r:embed="rId28" cstate="print"/>
                    <a:srcRect/>
                    <a:stretch>
                      <a:fillRect/>
                    </a:stretch>
                  </pic:blipFill>
                  <pic:spPr bwMode="auto">
                    <a:xfrm>
                      <a:off x="0" y="0"/>
                      <a:ext cx="5745480" cy="3344384"/>
                    </a:xfrm>
                    <a:prstGeom prst="rect">
                      <a:avLst/>
                    </a:prstGeom>
                    <a:noFill/>
                    <a:ln w="9525">
                      <a:noFill/>
                      <a:miter lim="800000"/>
                      <a:headEnd/>
                      <a:tailEnd/>
                    </a:ln>
                  </pic:spPr>
                </pic:pic>
              </a:graphicData>
            </a:graphic>
          </wp:inline>
        </w:drawing>
      </w:r>
    </w:p>
    <w:p w:rsidR="009B6B1F" w:rsidRPr="009964AD" w:rsidRDefault="009B6B1F" w:rsidP="00396A00">
      <w:pPr>
        <w:pStyle w:val="FigureCaption"/>
        <w:rPr>
          <w:lang w:eastAsia="ja-JP"/>
        </w:rPr>
      </w:pPr>
      <w:proofErr w:type="gramStart"/>
      <w:r w:rsidRPr="00FB1790">
        <w:rPr>
          <w:lang w:eastAsia="ja-JP"/>
        </w:rPr>
        <w:t>Figure 22.</w:t>
      </w:r>
      <w:proofErr w:type="gramEnd"/>
      <w:r w:rsidRPr="00FB1790">
        <w:rPr>
          <w:lang w:eastAsia="ja-JP"/>
        </w:rPr>
        <w:t xml:space="preserve"> Long</w:t>
      </w:r>
      <w:r w:rsidRPr="009964AD">
        <w:rPr>
          <w:lang w:eastAsia="ja-JP"/>
        </w:rPr>
        <w:t xml:space="preserve"> working hours defined by national standard, ILO and ABS.</w:t>
      </w:r>
    </w:p>
    <w:p w:rsidR="00876A5D" w:rsidRDefault="00076B2E" w:rsidP="00B934B6">
      <w:r>
        <w:t xml:space="preserve">Our sample suggests that </w:t>
      </w:r>
      <w:r w:rsidR="00876A5D">
        <w:t xml:space="preserve">18 per cent of </w:t>
      </w:r>
      <w:r w:rsidR="00EE248F" w:rsidRPr="00E53656">
        <w:t>Australian</w:t>
      </w:r>
      <w:r w:rsidR="00EE248F">
        <w:t xml:space="preserve"> full</w:t>
      </w:r>
      <w:r w:rsidR="00876A5D">
        <w:t>-time employees are working longer than the ILO benchmark of 48+ hours per work week and 10 per cent are working longer than the ABS benchmark of 50+ hours.</w:t>
      </w:r>
      <w:r w:rsidR="009D5A2C">
        <w:t xml:space="preserve"> This an important issue as working hours was an important factor contributing to </w:t>
      </w:r>
      <w:r w:rsidR="0045728B">
        <w:t>WFC</w:t>
      </w:r>
      <w:r w:rsidR="009D5A2C">
        <w:t>, which is consistently associated with poor health outcomes in this sample.</w:t>
      </w:r>
    </w:p>
    <w:p w:rsidR="0076164D" w:rsidRPr="00332F09" w:rsidRDefault="00186C99" w:rsidP="00EC4877">
      <w:pPr>
        <w:pStyle w:val="Heading2"/>
        <w:spacing w:before="100" w:beforeAutospacing="1" w:after="100" w:afterAutospacing="1"/>
      </w:pPr>
      <w:bookmarkStart w:id="81" w:name="_Toc343502448"/>
      <w:r>
        <w:t xml:space="preserve">Rates of </w:t>
      </w:r>
      <w:r w:rsidR="0090084D">
        <w:t>h</w:t>
      </w:r>
      <w:r w:rsidR="0076164D">
        <w:t>ealth outcomes: Depression, d</w:t>
      </w:r>
      <w:r w:rsidR="0076164D" w:rsidRPr="00332F09">
        <w:t xml:space="preserve">istress, </w:t>
      </w:r>
      <w:r w:rsidR="0076164D">
        <w:t>e</w:t>
      </w:r>
      <w:r w:rsidR="0076164D" w:rsidRPr="00332F09">
        <w:t xml:space="preserve">motional </w:t>
      </w:r>
      <w:r w:rsidR="0076164D">
        <w:t>e</w:t>
      </w:r>
      <w:r w:rsidR="0076164D" w:rsidRPr="00332F09">
        <w:t xml:space="preserve">xhaustion, </w:t>
      </w:r>
      <w:r w:rsidR="0076164D">
        <w:t>g</w:t>
      </w:r>
      <w:r w:rsidR="0076164D" w:rsidRPr="00332F09">
        <w:t xml:space="preserve">eneral </w:t>
      </w:r>
      <w:r w:rsidR="0076164D">
        <w:t>p</w:t>
      </w:r>
      <w:r w:rsidR="0076164D" w:rsidRPr="00332F09">
        <w:t xml:space="preserve">hysical </w:t>
      </w:r>
      <w:r w:rsidR="0076164D">
        <w:t>h</w:t>
      </w:r>
      <w:r w:rsidR="0076164D" w:rsidRPr="00332F09">
        <w:t>ealth</w:t>
      </w:r>
      <w:bookmarkEnd w:id="81"/>
    </w:p>
    <w:p w:rsidR="007321BF" w:rsidRPr="00B934B6" w:rsidRDefault="007321BF" w:rsidP="0040008A">
      <w:pPr>
        <w:pStyle w:val="Quote"/>
      </w:pPr>
      <w:r w:rsidRPr="00B934B6">
        <w:t>“For all workers, factors including PSC, emotional demands, work pressure, bullying, justice, rewards, and decision authority were significant contributors to poor psychological health, and prevention strategies should fo</w:t>
      </w:r>
      <w:r w:rsidR="004D27D1" w:rsidRPr="00B934B6">
        <w:t>cus on addressing these aspects</w:t>
      </w:r>
      <w:r w:rsidR="009964AD">
        <w:t>.</w:t>
      </w:r>
      <w:r w:rsidRPr="00B934B6">
        <w:t>”</w:t>
      </w:r>
    </w:p>
    <w:p w:rsidR="00210364" w:rsidRDefault="00E65C44" w:rsidP="00B934B6">
      <w:pPr>
        <w:rPr>
          <w:rFonts w:eastAsia="Calibri"/>
          <w:lang w:val="en-US" w:eastAsia="en-US"/>
        </w:rPr>
      </w:pPr>
      <w:r w:rsidRPr="00E65C44">
        <w:rPr>
          <w:rFonts w:eastAsia="Calibri"/>
          <w:lang w:val="en-US" w:eastAsia="en-US"/>
        </w:rPr>
        <w:t xml:space="preserve">There is an extensive evidence base </w:t>
      </w:r>
      <w:r w:rsidR="00F12E44">
        <w:rPr>
          <w:rFonts w:eastAsia="Calibri"/>
          <w:lang w:val="en-US" w:eastAsia="en-US"/>
        </w:rPr>
        <w:t>which</w:t>
      </w:r>
      <w:r w:rsidR="00F12E44" w:rsidRPr="00E65C44">
        <w:rPr>
          <w:rFonts w:eastAsia="Calibri"/>
          <w:lang w:val="en-US" w:eastAsia="en-US"/>
        </w:rPr>
        <w:t xml:space="preserve"> </w:t>
      </w:r>
      <w:r w:rsidRPr="00E65C44">
        <w:rPr>
          <w:rFonts w:eastAsia="Calibri"/>
          <w:lang w:val="en-US" w:eastAsia="en-US"/>
        </w:rPr>
        <w:t xml:space="preserve">consistently demonstrates that psychosocial factors in the workplace, such as job demands and resources, impact on </w:t>
      </w:r>
      <w:r w:rsidR="00AE1EF6">
        <w:rPr>
          <w:rFonts w:eastAsia="Calibri"/>
          <w:lang w:val="en-US" w:eastAsia="en-US"/>
        </w:rPr>
        <w:t>mental health as well as physical</w:t>
      </w:r>
      <w:r w:rsidR="00AE1EF6" w:rsidRPr="00E65C44">
        <w:rPr>
          <w:rFonts w:eastAsia="Calibri"/>
          <w:lang w:val="en-US" w:eastAsia="en-US"/>
        </w:rPr>
        <w:t xml:space="preserve"> </w:t>
      </w:r>
      <w:r w:rsidRPr="00E65C44">
        <w:rPr>
          <w:rFonts w:eastAsia="Calibri"/>
          <w:lang w:val="en-US" w:eastAsia="en-US"/>
        </w:rPr>
        <w:t xml:space="preserve">wellbeing (Bakker, Demerouti, &amp; Euwema, 2005; Demerouti &amp; Bakker, 2011; Demerouti, </w:t>
      </w:r>
      <w:r w:rsidR="0019255B" w:rsidRPr="00E65C44">
        <w:rPr>
          <w:rFonts w:eastAsia="Calibri"/>
          <w:lang w:val="en-US" w:eastAsia="en-US"/>
        </w:rPr>
        <w:t xml:space="preserve">Nachreiner, </w:t>
      </w:r>
      <w:r w:rsidRPr="00E65C44">
        <w:rPr>
          <w:rFonts w:eastAsia="Calibri"/>
          <w:lang w:val="en-US" w:eastAsia="en-US"/>
        </w:rPr>
        <w:t>Bakker, &amp; Schaufeli, 2001; Häusser, Mojzisch, Niesel, &amp; Schulz-Hardt, 2010; Law, Dollard, Tuckey, &amp; Dormann, 2011; Leka &amp; Jain, 2010; Purvanova &amp; Muros, 2010; Xanthopoulou et al., 2007</w:t>
      </w:r>
      <w:r w:rsidR="002140DB">
        <w:rPr>
          <w:rFonts w:eastAsia="Calibri"/>
          <w:lang w:val="en-US" w:eastAsia="en-US"/>
        </w:rPr>
        <w:t>).</w:t>
      </w:r>
    </w:p>
    <w:p w:rsidR="00040851" w:rsidRDefault="00E65C44" w:rsidP="00B934B6">
      <w:pPr>
        <w:rPr>
          <w:rFonts w:eastAsia="Calibri"/>
          <w:lang w:val="en-US" w:eastAsia="en-US"/>
        </w:rPr>
      </w:pPr>
      <w:r w:rsidRPr="00E65C44">
        <w:rPr>
          <w:rFonts w:eastAsia="Calibri"/>
          <w:lang w:val="en-US" w:eastAsia="en-US"/>
        </w:rPr>
        <w:t>Prevalence rates of emotional exhaustion</w:t>
      </w:r>
      <w:r w:rsidR="007C1CCA">
        <w:rPr>
          <w:rFonts w:eastAsia="Calibri"/>
          <w:lang w:val="en-US" w:eastAsia="en-US"/>
        </w:rPr>
        <w:t xml:space="preserve"> (burnout)</w:t>
      </w:r>
      <w:r w:rsidRPr="00E65C44">
        <w:rPr>
          <w:rFonts w:eastAsia="Calibri"/>
          <w:lang w:val="en-US" w:eastAsia="en-US"/>
        </w:rPr>
        <w:t xml:space="preserve">, psychological distress, depression and overall physical health </w:t>
      </w:r>
      <w:r w:rsidR="00F132DF">
        <w:rPr>
          <w:rFonts w:eastAsia="Calibri"/>
          <w:lang w:val="en-US" w:eastAsia="en-US"/>
        </w:rPr>
        <w:t>for the AWB sample were examine</w:t>
      </w:r>
      <w:r w:rsidR="00465742">
        <w:rPr>
          <w:rFonts w:eastAsia="Calibri"/>
          <w:lang w:val="en-US" w:eastAsia="en-US"/>
        </w:rPr>
        <w:t>d</w:t>
      </w:r>
      <w:r w:rsidR="00F132DF">
        <w:rPr>
          <w:rFonts w:eastAsia="Calibri"/>
          <w:lang w:val="en-US" w:eastAsia="en-US"/>
        </w:rPr>
        <w:t xml:space="preserve"> and compared with ABS population statistics</w:t>
      </w:r>
      <w:r w:rsidRPr="00E65C44">
        <w:rPr>
          <w:rFonts w:eastAsia="Calibri"/>
          <w:lang w:val="en-US" w:eastAsia="en-US"/>
        </w:rPr>
        <w:t>.</w:t>
      </w:r>
      <w:r w:rsidR="009260EE">
        <w:rPr>
          <w:rFonts w:eastAsia="Calibri"/>
          <w:lang w:val="en-US" w:eastAsia="en-US"/>
        </w:rPr>
        <w:t xml:space="preserve"> </w:t>
      </w:r>
      <w:r w:rsidR="00F132DF">
        <w:rPr>
          <w:rFonts w:eastAsia="Calibri"/>
          <w:lang w:val="en-US" w:eastAsia="en-US"/>
        </w:rPr>
        <w:t>ABS</w:t>
      </w:r>
      <w:r w:rsidR="00F132DF" w:rsidRPr="00F132DF">
        <w:rPr>
          <w:rFonts w:eastAsia="Calibri"/>
          <w:lang w:val="en-US" w:eastAsia="en-US"/>
        </w:rPr>
        <w:t xml:space="preserve"> data reports that in 2010 there were approximately 10.</w:t>
      </w:r>
      <w:r w:rsidR="009260EE">
        <w:rPr>
          <w:rFonts w:eastAsia="Calibri"/>
          <w:lang w:val="en-US" w:eastAsia="en-US"/>
        </w:rPr>
        <w:t xml:space="preserve">2 million working Australians. </w:t>
      </w:r>
      <w:r w:rsidR="00F132DF" w:rsidRPr="00F132DF">
        <w:rPr>
          <w:rFonts w:eastAsia="Calibri"/>
          <w:lang w:val="en-US" w:eastAsia="en-US"/>
        </w:rPr>
        <w:t>Based on this figure r</w:t>
      </w:r>
      <w:r w:rsidR="00F132DF">
        <w:rPr>
          <w:rFonts w:eastAsia="Calibri"/>
          <w:lang w:val="en-US" w:eastAsia="en-US"/>
        </w:rPr>
        <w:t xml:space="preserve">esults from the AWB participants </w:t>
      </w:r>
      <w:r w:rsidR="00465742">
        <w:rPr>
          <w:rFonts w:eastAsia="Calibri"/>
          <w:lang w:val="en-US" w:eastAsia="en-US"/>
        </w:rPr>
        <w:t xml:space="preserve">were </w:t>
      </w:r>
      <w:r w:rsidR="00116E7C">
        <w:rPr>
          <w:rFonts w:eastAsia="Calibri"/>
          <w:lang w:val="en-US" w:eastAsia="en-US"/>
        </w:rPr>
        <w:t>equated</w:t>
      </w:r>
      <w:r w:rsidR="00F132DF">
        <w:rPr>
          <w:rFonts w:eastAsia="Calibri"/>
          <w:lang w:val="en-US" w:eastAsia="en-US"/>
        </w:rPr>
        <w:t xml:space="preserve"> to a wider </w:t>
      </w:r>
      <w:r w:rsidR="00116E7C">
        <w:rPr>
          <w:rFonts w:eastAsia="Calibri"/>
          <w:lang w:val="en-US" w:eastAsia="en-US"/>
        </w:rPr>
        <w:t xml:space="preserve">Australian </w:t>
      </w:r>
      <w:r w:rsidR="00F132DF">
        <w:rPr>
          <w:rFonts w:eastAsia="Calibri"/>
          <w:lang w:val="en-US" w:eastAsia="en-US"/>
        </w:rPr>
        <w:t xml:space="preserve">working </w:t>
      </w:r>
      <w:r w:rsidR="00116E7C">
        <w:rPr>
          <w:rFonts w:eastAsia="Calibri"/>
          <w:lang w:val="en-US" w:eastAsia="en-US"/>
        </w:rPr>
        <w:t>population</w:t>
      </w:r>
      <w:r w:rsidR="00F132DF">
        <w:rPr>
          <w:rFonts w:eastAsia="Calibri"/>
          <w:lang w:val="en-US" w:eastAsia="en-US"/>
        </w:rPr>
        <w:t xml:space="preserve"> estimating that </w:t>
      </w:r>
      <w:r w:rsidRPr="00E65C44">
        <w:rPr>
          <w:rFonts w:eastAsia="Calibri"/>
          <w:lang w:val="en-US" w:eastAsia="en-US"/>
        </w:rPr>
        <w:t>approximately 4 million working Aus</w:t>
      </w:r>
      <w:r w:rsidR="008F1CB1">
        <w:rPr>
          <w:rFonts w:eastAsia="Calibri"/>
          <w:lang w:val="en-US" w:eastAsia="en-US"/>
        </w:rPr>
        <w:t>tralians (39.15 per cent) scored</w:t>
      </w:r>
      <w:r w:rsidRPr="00E65C44">
        <w:rPr>
          <w:rFonts w:eastAsia="Calibri"/>
          <w:lang w:val="en-US" w:eastAsia="en-US"/>
        </w:rPr>
        <w:t xml:space="preserve"> in the two upper quartiles of emotional exhaustion. Further, approximately </w:t>
      </w:r>
      <w:r w:rsidR="0045728B">
        <w:rPr>
          <w:rFonts w:eastAsia="Calibri"/>
          <w:lang w:val="en-US" w:eastAsia="en-US"/>
        </w:rPr>
        <w:t>500 000</w:t>
      </w:r>
      <w:r w:rsidRPr="00E65C44">
        <w:rPr>
          <w:rFonts w:eastAsia="Calibri"/>
          <w:lang w:val="en-US" w:eastAsia="en-US"/>
        </w:rPr>
        <w:t xml:space="preserve"> (4.78 per cent) reported experienc</w:t>
      </w:r>
      <w:r w:rsidR="00626AF0">
        <w:rPr>
          <w:rFonts w:eastAsia="Calibri"/>
          <w:lang w:val="en-US" w:eastAsia="en-US"/>
        </w:rPr>
        <w:t>ing</w:t>
      </w:r>
      <w:r w:rsidRPr="00E65C44">
        <w:rPr>
          <w:rFonts w:eastAsia="Calibri"/>
          <w:lang w:val="en-US" w:eastAsia="en-US"/>
        </w:rPr>
        <w:t xml:space="preserve"> levels of psychological distr</w:t>
      </w:r>
      <w:r w:rsidR="00396A00">
        <w:rPr>
          <w:rFonts w:eastAsia="Calibri"/>
          <w:lang w:val="en-US" w:eastAsia="en-US"/>
        </w:rPr>
        <w:t>ess in the two upper quartiles.</w:t>
      </w:r>
    </w:p>
    <w:p w:rsidR="00186C99" w:rsidRDefault="00B44E8A" w:rsidP="00B934B6">
      <w:pPr>
        <w:rPr>
          <w:rFonts w:eastAsia="Calibri"/>
          <w:lang w:val="en-US" w:eastAsia="en-US"/>
        </w:rPr>
      </w:pPr>
      <w:r>
        <w:rPr>
          <w:rFonts w:eastAsia="Calibri"/>
          <w:lang w:val="en-US" w:eastAsia="en-US"/>
        </w:rPr>
        <w:lastRenderedPageBreak/>
        <w:t>The depression measure provides clinical indic</w:t>
      </w:r>
      <w:r w:rsidR="00186C99">
        <w:rPr>
          <w:rFonts w:eastAsia="Calibri"/>
          <w:lang w:val="en-US" w:eastAsia="en-US"/>
        </w:rPr>
        <w:t>a</w:t>
      </w:r>
      <w:r>
        <w:rPr>
          <w:rFonts w:eastAsia="Calibri"/>
          <w:lang w:val="en-US" w:eastAsia="en-US"/>
        </w:rPr>
        <w:t xml:space="preserve">tors for levels of depression in the sample population. </w:t>
      </w:r>
      <w:r w:rsidR="000E4FA8">
        <w:rPr>
          <w:rFonts w:eastAsia="Calibri"/>
          <w:lang w:val="en-US" w:eastAsia="en-US"/>
        </w:rPr>
        <w:t>R</w:t>
      </w:r>
      <w:r>
        <w:rPr>
          <w:rFonts w:eastAsia="Calibri"/>
          <w:lang w:val="en-US" w:eastAsia="en-US"/>
        </w:rPr>
        <w:t xml:space="preserve">esults </w:t>
      </w:r>
      <w:r w:rsidR="009158E8">
        <w:rPr>
          <w:rFonts w:eastAsia="Calibri"/>
          <w:lang w:val="en-US" w:eastAsia="en-US"/>
        </w:rPr>
        <w:t xml:space="preserve">suggest that </w:t>
      </w:r>
      <w:r w:rsidR="00186C99">
        <w:rPr>
          <w:rFonts w:eastAsia="Calibri"/>
          <w:lang w:val="en-US" w:eastAsia="en-US"/>
        </w:rPr>
        <w:t>approximately:</w:t>
      </w:r>
    </w:p>
    <w:p w:rsidR="00186C99" w:rsidRPr="00B934B6" w:rsidRDefault="00E65C44" w:rsidP="0023074F">
      <w:pPr>
        <w:numPr>
          <w:ilvl w:val="0"/>
          <w:numId w:val="9"/>
        </w:numPr>
        <w:spacing w:before="100" w:beforeAutospacing="1" w:after="100" w:afterAutospacing="1"/>
        <w:rPr>
          <w:rFonts w:eastAsia="Calibri" w:cs="Arial"/>
          <w:lang w:val="en-US" w:eastAsia="en-US"/>
        </w:rPr>
      </w:pPr>
      <w:r w:rsidRPr="00B934B6">
        <w:rPr>
          <w:rFonts w:eastAsia="Calibri" w:cs="Arial"/>
          <w:lang w:val="en-US" w:eastAsia="en-US"/>
        </w:rPr>
        <w:t>1.7 million</w:t>
      </w:r>
      <w:r w:rsidR="00981EB6" w:rsidRPr="00B934B6">
        <w:rPr>
          <w:rFonts w:eastAsia="Calibri" w:cs="Arial"/>
          <w:lang w:val="en-US" w:eastAsia="en-US"/>
        </w:rPr>
        <w:t xml:space="preserve"> (16 per cent)</w:t>
      </w:r>
      <w:r w:rsidRPr="00B934B6">
        <w:rPr>
          <w:rFonts w:eastAsia="Calibri" w:cs="Arial"/>
          <w:lang w:val="en-US" w:eastAsia="en-US"/>
        </w:rPr>
        <w:t xml:space="preserve"> workers in Australia experience mild levels of depression</w:t>
      </w:r>
      <w:r w:rsidR="0045728B" w:rsidRPr="00B934B6">
        <w:rPr>
          <w:rFonts w:eastAsia="Calibri" w:cs="Arial"/>
          <w:lang w:val="en-US" w:eastAsia="en-US"/>
        </w:rPr>
        <w:t>, and</w:t>
      </w:r>
    </w:p>
    <w:p w:rsidR="00186C99" w:rsidRPr="00B934B6" w:rsidRDefault="0013376C" w:rsidP="008475B9">
      <w:pPr>
        <w:numPr>
          <w:ilvl w:val="0"/>
          <w:numId w:val="9"/>
        </w:numPr>
        <w:spacing w:before="100" w:beforeAutospacing="1" w:after="120"/>
        <w:ind w:left="714" w:hanging="357"/>
        <w:rPr>
          <w:rFonts w:eastAsia="Calibri" w:cs="Arial"/>
          <w:lang w:val="en-US" w:eastAsia="en-US"/>
        </w:rPr>
      </w:pPr>
      <w:r w:rsidRPr="00B934B6">
        <w:rPr>
          <w:rFonts w:eastAsia="Calibri" w:cs="Arial"/>
          <w:lang w:val="en-US" w:eastAsia="en-US"/>
        </w:rPr>
        <w:t xml:space="preserve">562 </w:t>
      </w:r>
      <w:r w:rsidR="00981EB6" w:rsidRPr="00B934B6">
        <w:rPr>
          <w:rFonts w:eastAsia="Calibri" w:cs="Arial"/>
          <w:lang w:val="en-US" w:eastAsia="en-US"/>
        </w:rPr>
        <w:t>000 (</w:t>
      </w:r>
      <w:r w:rsidR="00752416" w:rsidRPr="00B934B6">
        <w:rPr>
          <w:rFonts w:eastAsia="Calibri" w:cs="Arial"/>
          <w:lang w:val="en-US" w:eastAsia="en-US"/>
        </w:rPr>
        <w:t xml:space="preserve">5.5 </w:t>
      </w:r>
      <w:r w:rsidR="00E65C44" w:rsidRPr="00B934B6">
        <w:rPr>
          <w:rFonts w:eastAsia="Calibri" w:cs="Arial"/>
          <w:lang w:val="en-US" w:eastAsia="en-US"/>
        </w:rPr>
        <w:t>per cent</w:t>
      </w:r>
      <w:r w:rsidR="00981EB6" w:rsidRPr="00B934B6">
        <w:rPr>
          <w:rFonts w:eastAsia="Calibri" w:cs="Arial"/>
          <w:lang w:val="en-US" w:eastAsia="en-US"/>
        </w:rPr>
        <w:t>)</w:t>
      </w:r>
      <w:r w:rsidR="00E65C44" w:rsidRPr="00B934B6">
        <w:rPr>
          <w:rFonts w:eastAsia="Calibri" w:cs="Arial"/>
          <w:lang w:val="en-US" w:eastAsia="en-US"/>
        </w:rPr>
        <w:t xml:space="preserve"> Australian workers experience symptoms of clinical depression r</w:t>
      </w:r>
      <w:r w:rsidR="00396A00">
        <w:rPr>
          <w:rFonts w:eastAsia="Calibri" w:cs="Arial"/>
          <w:lang w:val="en-US" w:eastAsia="en-US"/>
        </w:rPr>
        <w:t>anging from moderate to severe.</w:t>
      </w:r>
    </w:p>
    <w:p w:rsidR="008F1CB1" w:rsidRDefault="000E4FA8" w:rsidP="00B934B6">
      <w:pPr>
        <w:rPr>
          <w:rFonts w:eastAsia="Calibri"/>
          <w:lang w:val="en-US" w:eastAsia="en-US"/>
        </w:rPr>
      </w:pPr>
      <w:r>
        <w:rPr>
          <w:rFonts w:eastAsia="Calibri"/>
          <w:lang w:val="en-US" w:eastAsia="en-US"/>
        </w:rPr>
        <w:t xml:space="preserve">For physical health results show </w:t>
      </w:r>
      <w:r w:rsidR="00186C99" w:rsidRPr="00E65C44">
        <w:rPr>
          <w:rFonts w:eastAsia="Calibri"/>
          <w:lang w:val="en-US" w:eastAsia="en-US"/>
        </w:rPr>
        <w:t>1.1 million workers in Australia reported in the poorest</w:t>
      </w:r>
      <w:r w:rsidR="009260EE">
        <w:rPr>
          <w:rFonts w:eastAsia="Calibri"/>
          <w:lang w:val="en-US" w:eastAsia="en-US"/>
        </w:rPr>
        <w:t xml:space="preserve"> two quartiles (11.85</w:t>
      </w:r>
      <w:r w:rsidR="009158E8">
        <w:rPr>
          <w:rFonts w:eastAsia="Calibri"/>
          <w:lang w:val="en-US" w:eastAsia="en-US"/>
        </w:rPr>
        <w:t xml:space="preserve"> </w:t>
      </w:r>
      <w:r w:rsidR="00186C99">
        <w:rPr>
          <w:rFonts w:eastAsia="Calibri"/>
          <w:lang w:val="en-US" w:eastAsia="en-US"/>
        </w:rPr>
        <w:t>per cent).</w:t>
      </w:r>
      <w:r w:rsidR="009260EE">
        <w:rPr>
          <w:rFonts w:eastAsia="Calibri"/>
          <w:lang w:val="en-US" w:eastAsia="en-US"/>
        </w:rPr>
        <w:t xml:space="preserve"> </w:t>
      </w:r>
      <w:r w:rsidR="00186C99">
        <w:rPr>
          <w:rFonts w:eastAsia="Calibri"/>
          <w:lang w:val="en-US" w:eastAsia="en-US"/>
        </w:rPr>
        <w:t xml:space="preserve">The prevalence of mental health problems was </w:t>
      </w:r>
      <w:r w:rsidR="00E65C44" w:rsidRPr="00E65C44">
        <w:rPr>
          <w:rFonts w:eastAsia="Calibri"/>
          <w:lang w:val="en-US" w:eastAsia="en-US"/>
        </w:rPr>
        <w:t>higher than the prevalence of general physical health</w:t>
      </w:r>
      <w:r w:rsidR="0089693E">
        <w:rPr>
          <w:rFonts w:eastAsia="Calibri"/>
          <w:lang w:val="en-US" w:eastAsia="en-US"/>
        </w:rPr>
        <w:t xml:space="preserve"> issues</w:t>
      </w:r>
      <w:r w:rsidR="00186C99">
        <w:rPr>
          <w:rFonts w:eastAsia="Calibri"/>
          <w:lang w:val="en-US" w:eastAsia="en-US"/>
        </w:rPr>
        <w:t>.</w:t>
      </w:r>
    </w:p>
    <w:p w:rsidR="00C330DF" w:rsidRDefault="00DD6555" w:rsidP="00B934B6">
      <w:pPr>
        <w:rPr>
          <w:rFonts w:eastAsia="Calibri"/>
          <w:lang w:val="en-US" w:eastAsia="en-US"/>
        </w:rPr>
      </w:pPr>
      <w:r>
        <w:rPr>
          <w:rFonts w:eastAsia="Calibri"/>
          <w:lang w:val="en-US" w:eastAsia="en-US"/>
        </w:rPr>
        <w:t xml:space="preserve">Comparisons between health outcomes from the AWB with workforce statistics from ABS are </w:t>
      </w:r>
      <w:r w:rsidR="006C3174">
        <w:rPr>
          <w:rFonts w:eastAsia="Calibri"/>
          <w:lang w:val="en-US" w:eastAsia="en-US"/>
        </w:rPr>
        <w:t>problematic</w:t>
      </w:r>
      <w:r>
        <w:rPr>
          <w:rFonts w:eastAsia="Calibri"/>
          <w:lang w:val="en-US" w:eastAsia="en-US"/>
        </w:rPr>
        <w:t xml:space="preserve"> due to differences in definitions and scales used to measure mental health. However, i</w:t>
      </w:r>
      <w:r w:rsidRPr="00E65C44">
        <w:rPr>
          <w:rFonts w:eastAsia="Calibri"/>
          <w:lang w:val="en-US" w:eastAsia="en-US"/>
        </w:rPr>
        <w:t xml:space="preserve">t was noted that in the AWB sample of working Australians prevalence rates </w:t>
      </w:r>
      <w:r>
        <w:rPr>
          <w:rFonts w:eastAsia="Calibri"/>
          <w:lang w:val="en-US" w:eastAsia="en-US"/>
        </w:rPr>
        <w:t>for</w:t>
      </w:r>
      <w:r w:rsidRPr="00E65C44">
        <w:rPr>
          <w:rFonts w:eastAsia="Calibri"/>
          <w:lang w:val="en-US" w:eastAsia="en-US"/>
        </w:rPr>
        <w:t xml:space="preserve"> </w:t>
      </w:r>
      <w:r>
        <w:rPr>
          <w:rFonts w:eastAsia="Calibri"/>
          <w:lang w:val="en-US" w:eastAsia="en-US"/>
        </w:rPr>
        <w:t xml:space="preserve">clinical </w:t>
      </w:r>
      <w:r w:rsidRPr="00E65C44">
        <w:rPr>
          <w:rFonts w:eastAsia="Calibri"/>
          <w:lang w:val="en-US" w:eastAsia="en-US"/>
        </w:rPr>
        <w:t>depression</w:t>
      </w:r>
      <w:r>
        <w:rPr>
          <w:rFonts w:eastAsia="Calibri"/>
          <w:lang w:val="en-US" w:eastAsia="en-US"/>
        </w:rPr>
        <w:t xml:space="preserve"> (5.5 per cent)</w:t>
      </w:r>
      <w:r w:rsidR="006C3174">
        <w:rPr>
          <w:rFonts w:eastAsia="Calibri"/>
          <w:lang w:val="en-US" w:eastAsia="en-US"/>
        </w:rPr>
        <w:t>,</w:t>
      </w:r>
      <w:r>
        <w:rPr>
          <w:rFonts w:eastAsia="Calibri"/>
          <w:lang w:val="en-US" w:eastAsia="en-US"/>
        </w:rPr>
        <w:t xml:space="preserve"> as set by the PHQ-9 </w:t>
      </w:r>
      <w:r>
        <w:rPr>
          <w:szCs w:val="22"/>
          <w:lang w:val="en-CA" w:eastAsia="en-US"/>
        </w:rPr>
        <w:t>Spitzer, Kroenke, and Williams</w:t>
      </w:r>
      <w:r w:rsidRPr="00437685">
        <w:rPr>
          <w:szCs w:val="22"/>
          <w:lang w:val="en-CA" w:eastAsia="en-US"/>
        </w:rPr>
        <w:t xml:space="preserve"> </w:t>
      </w:r>
      <w:r>
        <w:rPr>
          <w:szCs w:val="22"/>
          <w:lang w:val="en-CA" w:eastAsia="en-US"/>
        </w:rPr>
        <w:t>(</w:t>
      </w:r>
      <w:r w:rsidRPr="00437685">
        <w:rPr>
          <w:szCs w:val="22"/>
          <w:lang w:val="en-CA" w:eastAsia="en-US"/>
        </w:rPr>
        <w:t>1999</w:t>
      </w:r>
      <w:r>
        <w:rPr>
          <w:szCs w:val="22"/>
          <w:lang w:val="en-CA" w:eastAsia="en-US"/>
        </w:rPr>
        <w:t>)</w:t>
      </w:r>
      <w:r w:rsidR="006C3174">
        <w:rPr>
          <w:szCs w:val="22"/>
          <w:lang w:val="en-CA" w:eastAsia="en-US"/>
        </w:rPr>
        <w:t>,</w:t>
      </w:r>
      <w:r>
        <w:rPr>
          <w:szCs w:val="22"/>
          <w:lang w:val="en-CA" w:eastAsia="en-US"/>
        </w:rPr>
        <w:t xml:space="preserve"> </w:t>
      </w:r>
      <w:r>
        <w:rPr>
          <w:rFonts w:eastAsia="Calibri"/>
          <w:lang w:val="en-US" w:eastAsia="en-US"/>
        </w:rPr>
        <w:t>are</w:t>
      </w:r>
      <w:r w:rsidRPr="00040851">
        <w:rPr>
          <w:rFonts w:eastAsia="Calibri"/>
          <w:lang w:val="en-US" w:eastAsia="en-US"/>
        </w:rPr>
        <w:t xml:space="preserve"> </w:t>
      </w:r>
      <w:r>
        <w:rPr>
          <w:rFonts w:eastAsia="Calibri"/>
          <w:lang w:val="en-US" w:eastAsia="en-US"/>
        </w:rPr>
        <w:t>similar to the prevalence rates for affective disorders (including depression) within the working population da</w:t>
      </w:r>
      <w:r w:rsidR="00F539BA">
        <w:rPr>
          <w:rFonts w:eastAsia="Calibri"/>
          <w:lang w:val="en-US" w:eastAsia="en-US"/>
        </w:rPr>
        <w:t xml:space="preserve">ta reported by the ABS (2008). </w:t>
      </w:r>
      <w:r>
        <w:rPr>
          <w:rFonts w:eastAsia="Calibri"/>
          <w:lang w:val="en-US" w:eastAsia="en-US"/>
        </w:rPr>
        <w:t>R</w:t>
      </w:r>
      <w:r w:rsidRPr="00E65C44">
        <w:rPr>
          <w:rFonts w:eastAsia="Calibri"/>
          <w:lang w:val="en-US" w:eastAsia="en-US"/>
        </w:rPr>
        <w:t xml:space="preserve">ates of </w:t>
      </w:r>
      <w:r>
        <w:rPr>
          <w:rFonts w:eastAsia="Calibri"/>
          <w:lang w:val="en-US" w:eastAsia="en-US"/>
        </w:rPr>
        <w:t>psychological distress</w:t>
      </w:r>
      <w:r w:rsidRPr="00E65C44">
        <w:rPr>
          <w:rFonts w:eastAsia="Calibri"/>
          <w:lang w:val="en-US" w:eastAsia="en-US"/>
        </w:rPr>
        <w:t xml:space="preserve"> </w:t>
      </w:r>
      <w:r>
        <w:rPr>
          <w:rFonts w:eastAsia="Calibri"/>
          <w:lang w:val="en-US" w:eastAsia="en-US"/>
        </w:rPr>
        <w:t xml:space="preserve">(4.7 per cent) within the AWB working population were </w:t>
      </w:r>
      <w:r w:rsidRPr="00E65C44">
        <w:rPr>
          <w:rFonts w:eastAsia="Calibri"/>
          <w:lang w:val="en-US" w:eastAsia="en-US"/>
        </w:rPr>
        <w:t>lower than the</w:t>
      </w:r>
      <w:r>
        <w:rPr>
          <w:rFonts w:eastAsia="Calibri"/>
          <w:lang w:val="en-US" w:eastAsia="en-US"/>
        </w:rPr>
        <w:t xml:space="preserve"> anxiety disorder </w:t>
      </w:r>
      <w:r w:rsidR="006C3174">
        <w:rPr>
          <w:rFonts w:eastAsia="Calibri"/>
          <w:lang w:val="en-US" w:eastAsia="en-US"/>
        </w:rPr>
        <w:t xml:space="preserve">rates </w:t>
      </w:r>
      <w:r>
        <w:rPr>
          <w:rFonts w:eastAsia="Calibri"/>
          <w:lang w:val="en-US" w:eastAsia="en-US"/>
        </w:rPr>
        <w:t>(14.2 per cent; including distress) for the working</w:t>
      </w:r>
      <w:r w:rsidRPr="00E65C44">
        <w:rPr>
          <w:rFonts w:eastAsia="Calibri"/>
          <w:lang w:val="en-US" w:eastAsia="en-US"/>
        </w:rPr>
        <w:t xml:space="preserve"> population as </w:t>
      </w:r>
      <w:r>
        <w:rPr>
          <w:rFonts w:eastAsia="Calibri"/>
          <w:lang w:val="en-US" w:eastAsia="en-US"/>
        </w:rPr>
        <w:t>found</w:t>
      </w:r>
      <w:r w:rsidRPr="00E65C44">
        <w:rPr>
          <w:rFonts w:eastAsia="Calibri"/>
          <w:lang w:val="en-US" w:eastAsia="en-US"/>
        </w:rPr>
        <w:t xml:space="preserve"> </w:t>
      </w:r>
      <w:r>
        <w:rPr>
          <w:rFonts w:eastAsia="Calibri"/>
          <w:lang w:val="en-US" w:eastAsia="en-US"/>
        </w:rPr>
        <w:t>by</w:t>
      </w:r>
      <w:r w:rsidRPr="00E65C44">
        <w:rPr>
          <w:rFonts w:eastAsia="Calibri"/>
          <w:lang w:val="en-US" w:eastAsia="en-US"/>
        </w:rPr>
        <w:t xml:space="preserve"> the </w:t>
      </w:r>
      <w:r>
        <w:rPr>
          <w:rFonts w:eastAsia="Calibri"/>
          <w:lang w:val="en-US" w:eastAsia="en-US"/>
        </w:rPr>
        <w:t>ABS</w:t>
      </w:r>
      <w:r w:rsidRPr="00E65C44">
        <w:rPr>
          <w:rFonts w:eastAsia="Calibri"/>
          <w:lang w:val="en-US" w:eastAsia="en-US"/>
        </w:rPr>
        <w:t xml:space="preserve"> </w:t>
      </w:r>
      <w:r>
        <w:rPr>
          <w:rFonts w:eastAsia="Calibri"/>
          <w:lang w:val="en-US" w:eastAsia="en-US"/>
        </w:rPr>
        <w:t>(</w:t>
      </w:r>
      <w:r w:rsidRPr="00E65C44">
        <w:rPr>
          <w:rFonts w:eastAsia="Calibri"/>
          <w:lang w:val="en-US" w:eastAsia="en-US"/>
        </w:rPr>
        <w:t>ABS</w:t>
      </w:r>
      <w:r>
        <w:rPr>
          <w:rFonts w:eastAsia="Calibri"/>
          <w:lang w:val="en-US" w:eastAsia="en-US"/>
        </w:rPr>
        <w:t xml:space="preserve">, </w:t>
      </w:r>
      <w:r w:rsidRPr="00E65C44">
        <w:rPr>
          <w:rFonts w:eastAsia="Calibri"/>
          <w:lang w:val="en-US" w:eastAsia="en-US"/>
        </w:rPr>
        <w:t>2008).</w:t>
      </w:r>
      <w:r>
        <w:rPr>
          <w:rFonts w:eastAsia="Calibri"/>
          <w:lang w:val="en-US" w:eastAsia="en-US"/>
        </w:rPr>
        <w:t xml:space="preserve"> Again, these</w:t>
      </w:r>
      <w:r w:rsidR="006C3174">
        <w:rPr>
          <w:rFonts w:eastAsia="Calibri"/>
          <w:lang w:val="en-US" w:eastAsia="en-US"/>
        </w:rPr>
        <w:t xml:space="preserve"> similarities and variations</w:t>
      </w:r>
      <w:r>
        <w:rPr>
          <w:rFonts w:eastAsia="Calibri"/>
          <w:lang w:val="en-US" w:eastAsia="en-US"/>
        </w:rPr>
        <w:t xml:space="preserve"> may be more reflective of </w:t>
      </w:r>
      <w:r w:rsidR="006C3174">
        <w:rPr>
          <w:rFonts w:eastAsia="Calibri"/>
          <w:lang w:val="en-US" w:eastAsia="en-US"/>
        </w:rPr>
        <w:t>differences</w:t>
      </w:r>
      <w:r>
        <w:rPr>
          <w:rFonts w:eastAsia="Calibri"/>
          <w:lang w:val="en-US" w:eastAsia="en-US"/>
        </w:rPr>
        <w:t xml:space="preserve"> in definitions and methods of data collection.</w:t>
      </w:r>
    </w:p>
    <w:p w:rsidR="0092458F" w:rsidRPr="0092458F" w:rsidRDefault="0092458F" w:rsidP="00EC4877">
      <w:pPr>
        <w:pStyle w:val="Heading2"/>
        <w:spacing w:before="100" w:beforeAutospacing="1" w:after="100" w:afterAutospacing="1"/>
      </w:pPr>
      <w:bookmarkStart w:id="82" w:name="_Toc343502449"/>
      <w:r w:rsidRPr="0092458F">
        <w:t xml:space="preserve">The cost of employee productivity loss: </w:t>
      </w:r>
      <w:r w:rsidR="003F5B05">
        <w:t>D</w:t>
      </w:r>
      <w:r w:rsidR="003F5B05" w:rsidRPr="0092458F">
        <w:t>epression</w:t>
      </w:r>
      <w:r w:rsidRPr="0092458F">
        <w:t xml:space="preserve"> as a </w:t>
      </w:r>
      <w:r w:rsidR="00C70FAE">
        <w:t>significant</w:t>
      </w:r>
      <w:r w:rsidR="00C70FAE" w:rsidRPr="0092458F">
        <w:t xml:space="preserve"> </w:t>
      </w:r>
      <w:r w:rsidRPr="0092458F">
        <w:t>contributor</w:t>
      </w:r>
      <w:bookmarkEnd w:id="82"/>
    </w:p>
    <w:p w:rsidR="007321BF" w:rsidRPr="00B934B6" w:rsidRDefault="007321BF" w:rsidP="00BE62A5">
      <w:pPr>
        <w:pStyle w:val="Quote"/>
      </w:pPr>
      <w:r w:rsidRPr="00B934B6">
        <w:t xml:space="preserve">“A prominent finding is that the cost is mostly due to workers showing mild symptoms of depression taking twice as many sick days </w:t>
      </w:r>
      <w:r w:rsidR="00F75927" w:rsidRPr="00B934B6">
        <w:t>compared with</w:t>
      </w:r>
      <w:r w:rsidRPr="00B934B6">
        <w:t xml:space="preserve"> those who </w:t>
      </w:r>
      <w:r w:rsidR="00F75927" w:rsidRPr="00B934B6">
        <w:t>show no</w:t>
      </w:r>
      <w:r w:rsidRPr="00B934B6">
        <w:t xml:space="preserve"> sympto</w:t>
      </w:r>
      <w:r w:rsidR="004D27D1" w:rsidRPr="00B934B6">
        <w:t>ms of depression at all</w:t>
      </w:r>
      <w:r w:rsidR="009964AD">
        <w:t>.</w:t>
      </w:r>
      <w:r w:rsidRPr="00B934B6">
        <w:t>”</w:t>
      </w:r>
    </w:p>
    <w:p w:rsidR="00076B2E" w:rsidRDefault="00E24871" w:rsidP="00B934B6">
      <w:r>
        <w:t>R</w:t>
      </w:r>
      <w:r w:rsidR="0092458F" w:rsidRPr="00984F46">
        <w:t xml:space="preserve">esearch has established that depression </w:t>
      </w:r>
      <w:r w:rsidR="00DD033A">
        <w:t>is</w:t>
      </w:r>
      <w:r w:rsidR="0092458F" w:rsidRPr="00984F46">
        <w:t xml:space="preserve"> linked to increased absenteeism rates (Laitinen-Krispijn &amp; Bijl, 2000; Lim, Sanderson, &amp; Andrews, 2000). </w:t>
      </w:r>
      <w:r w:rsidR="00F02E06">
        <w:t>For example</w:t>
      </w:r>
      <w:r w:rsidR="0092458F" w:rsidRPr="00984F46">
        <w:t xml:space="preserve"> Kessler </w:t>
      </w:r>
      <w:r w:rsidR="007B62CF">
        <w:t xml:space="preserve">and colleagues </w:t>
      </w:r>
      <w:r w:rsidR="0092458F" w:rsidRPr="00984F46">
        <w:t xml:space="preserve">(1999) found </w:t>
      </w:r>
      <w:r w:rsidR="00685CC1">
        <w:t xml:space="preserve">in a US sample </w:t>
      </w:r>
      <w:r w:rsidR="0092458F" w:rsidRPr="00984F46">
        <w:t xml:space="preserve">that depressed workers take 1.5 to 3.2 times as many short-term work-disability days (absent days and low productivity days) </w:t>
      </w:r>
      <w:r w:rsidR="00685CC1">
        <w:t>than non-depressed workers</w:t>
      </w:r>
      <w:r w:rsidR="0092458F" w:rsidRPr="00984F46">
        <w:t>.</w:t>
      </w:r>
      <w:r w:rsidR="00F02E06">
        <w:t xml:space="preserve"> </w:t>
      </w:r>
      <w:r w:rsidR="0092458F" w:rsidRPr="00984F46">
        <w:t xml:space="preserve">In support of this finding, results </w:t>
      </w:r>
      <w:r w:rsidR="00685CC1">
        <w:t xml:space="preserve">extrapolated </w:t>
      </w:r>
      <w:r w:rsidR="0092458F" w:rsidRPr="00984F46">
        <w:t>from</w:t>
      </w:r>
      <w:r w:rsidR="009158E8">
        <w:t xml:space="preserve"> longitudinal data within</w:t>
      </w:r>
      <w:r w:rsidR="0092458F" w:rsidRPr="00984F46">
        <w:t xml:space="preserve"> the AWB sample </w:t>
      </w:r>
      <w:r w:rsidR="007321BF">
        <w:t xml:space="preserve">using </w:t>
      </w:r>
      <w:r w:rsidR="00685CC1">
        <w:t xml:space="preserve">NSW </w:t>
      </w:r>
      <w:r w:rsidR="007321BF">
        <w:t xml:space="preserve">and WA Time 1 (2009) and </w:t>
      </w:r>
      <w:r w:rsidR="009158E8">
        <w:t>Time 2</w:t>
      </w:r>
      <w:r w:rsidR="007321BF">
        <w:t xml:space="preserve"> (2010</w:t>
      </w:r>
      <w:r w:rsidR="00685CC1">
        <w:t>)</w:t>
      </w:r>
      <w:r w:rsidR="007321BF">
        <w:t xml:space="preserve"> </w:t>
      </w:r>
      <w:r w:rsidR="00685CC1" w:rsidRPr="00984F46">
        <w:t>indicate that</w:t>
      </w:r>
      <w:r w:rsidR="000320CD">
        <w:t>:</w:t>
      </w:r>
    </w:p>
    <w:p w:rsidR="00076B2E" w:rsidRPr="0040008A" w:rsidRDefault="0045728B" w:rsidP="006409D1">
      <w:pPr>
        <w:pStyle w:val="ListParagraph"/>
        <w:numPr>
          <w:ilvl w:val="0"/>
          <w:numId w:val="4"/>
        </w:numPr>
        <w:spacing w:before="120" w:after="120"/>
        <w:ind w:left="714" w:hanging="357"/>
        <w:rPr>
          <w:rFonts w:ascii="Arial" w:hAnsi="Arial" w:cs="Arial"/>
        </w:rPr>
      </w:pPr>
      <w:r w:rsidRPr="0040008A">
        <w:rPr>
          <w:rFonts w:ascii="Arial" w:hAnsi="Arial" w:cs="Arial"/>
        </w:rPr>
        <w:t>s</w:t>
      </w:r>
      <w:r w:rsidR="00685CC1" w:rsidRPr="0040008A">
        <w:rPr>
          <w:rFonts w:ascii="Arial" w:hAnsi="Arial" w:cs="Arial"/>
        </w:rPr>
        <w:t>everely depressed workers were nearly 6 per cent less productive at work (presenteeism)</w:t>
      </w:r>
      <w:r w:rsidR="00076B2E" w:rsidRPr="0040008A">
        <w:rPr>
          <w:rFonts w:ascii="Arial" w:hAnsi="Arial" w:cs="Arial"/>
        </w:rPr>
        <w:t xml:space="preserve"> as mildly depressed workers</w:t>
      </w:r>
      <w:r w:rsidRPr="0040008A">
        <w:rPr>
          <w:rFonts w:ascii="Arial" w:hAnsi="Arial" w:cs="Arial"/>
        </w:rPr>
        <w:t>, and</w:t>
      </w:r>
    </w:p>
    <w:p w:rsidR="00685CC1" w:rsidRPr="0040008A" w:rsidRDefault="0045728B" w:rsidP="006409D1">
      <w:pPr>
        <w:pStyle w:val="ListParagraph"/>
        <w:numPr>
          <w:ilvl w:val="0"/>
          <w:numId w:val="4"/>
        </w:numPr>
        <w:spacing w:before="120" w:after="120"/>
        <w:ind w:left="714" w:hanging="357"/>
        <w:rPr>
          <w:rFonts w:ascii="Arial" w:hAnsi="Arial" w:cs="Arial"/>
        </w:rPr>
      </w:pPr>
      <w:proofErr w:type="gramStart"/>
      <w:r w:rsidRPr="0040008A">
        <w:rPr>
          <w:rFonts w:ascii="Arial" w:hAnsi="Arial" w:cs="Arial"/>
        </w:rPr>
        <w:t>s</w:t>
      </w:r>
      <w:r w:rsidR="00076B2E" w:rsidRPr="0040008A">
        <w:rPr>
          <w:rFonts w:ascii="Arial" w:hAnsi="Arial" w:cs="Arial"/>
        </w:rPr>
        <w:t>everely</w:t>
      </w:r>
      <w:proofErr w:type="gramEnd"/>
      <w:r w:rsidR="00076B2E" w:rsidRPr="0040008A">
        <w:rPr>
          <w:rFonts w:ascii="Arial" w:hAnsi="Arial" w:cs="Arial"/>
        </w:rPr>
        <w:t xml:space="preserve"> depressed workers </w:t>
      </w:r>
      <w:r w:rsidR="00685CC1" w:rsidRPr="0040008A">
        <w:rPr>
          <w:rFonts w:ascii="Arial" w:hAnsi="Arial" w:cs="Arial"/>
        </w:rPr>
        <w:t>take nearly three times as many sick days as mildly depressed workers (McTernan, Dollard &amp; LaMontagne</w:t>
      </w:r>
      <w:r w:rsidR="000430FA" w:rsidRPr="0040008A">
        <w:rPr>
          <w:rFonts w:ascii="Arial" w:hAnsi="Arial" w:cs="Arial"/>
        </w:rPr>
        <w:t>, in review</w:t>
      </w:r>
      <w:r w:rsidR="00685CC1" w:rsidRPr="0040008A">
        <w:rPr>
          <w:rFonts w:ascii="Arial" w:hAnsi="Arial" w:cs="Arial"/>
        </w:rPr>
        <w:t>).</w:t>
      </w:r>
    </w:p>
    <w:p w:rsidR="0092458F" w:rsidRDefault="00685CC1" w:rsidP="00B934B6">
      <w:r>
        <w:t>The study also estimated that</w:t>
      </w:r>
      <w:r w:rsidR="0092458F" w:rsidRPr="00984F46">
        <w:t xml:space="preserve"> depression costs </w:t>
      </w:r>
      <w:r w:rsidR="0092458F" w:rsidRPr="00156806">
        <w:t>Australian</w:t>
      </w:r>
      <w:r w:rsidR="0092458F" w:rsidRPr="00984F46">
        <w:t xml:space="preserve"> employers approximately </w:t>
      </w:r>
      <w:r w:rsidR="000320CD">
        <w:t>AUD</w:t>
      </w:r>
      <w:r w:rsidR="003F74A1">
        <w:t>$</w:t>
      </w:r>
      <w:r w:rsidR="0092458F" w:rsidRPr="00984F46">
        <w:t>8 billion annually</w:t>
      </w:r>
      <w:r w:rsidR="000320CD" w:rsidRPr="000320CD">
        <w:t xml:space="preserve"> </w:t>
      </w:r>
      <w:r w:rsidR="000320CD">
        <w:t xml:space="preserve">because of </w:t>
      </w:r>
      <w:r w:rsidR="000320CD" w:rsidRPr="00984F46">
        <w:t>sickness absence and presenteeism</w:t>
      </w:r>
      <w:r w:rsidR="000320CD">
        <w:t xml:space="preserve"> </w:t>
      </w:r>
      <w:r w:rsidR="000320CD" w:rsidRPr="004639BD">
        <w:t xml:space="preserve">(that is being at work </w:t>
      </w:r>
      <w:r w:rsidR="008F1CB1">
        <w:t>but not being fully productive for reasons such as illness, personal issues or distractions in the environment</w:t>
      </w:r>
      <w:r w:rsidR="002140DB">
        <w:t>)</w:t>
      </w:r>
      <w:r w:rsidR="000320CD">
        <w:t>.</w:t>
      </w:r>
      <w:r w:rsidR="0092458F" w:rsidRPr="00984F46">
        <w:t xml:space="preserve"> </w:t>
      </w:r>
      <w:r w:rsidR="00076B2E">
        <w:t xml:space="preserve">Importantly </w:t>
      </w:r>
      <w:r w:rsidR="0092458F" w:rsidRPr="00984F46">
        <w:t xml:space="preserve">the majority of dollars lost are due to employees who report only </w:t>
      </w:r>
      <w:r w:rsidR="0092458F" w:rsidRPr="00984F46">
        <w:rPr>
          <w:i/>
        </w:rPr>
        <w:t xml:space="preserve">mild </w:t>
      </w:r>
      <w:r w:rsidR="0092458F" w:rsidRPr="00984F46">
        <w:t xml:space="preserve">symptoms of depression, when compared to those reporting moderate to severe depression. Furthermore, </w:t>
      </w:r>
      <w:r>
        <w:t>the</w:t>
      </w:r>
      <w:r w:rsidRPr="00984F46">
        <w:t xml:space="preserve"> </w:t>
      </w:r>
      <w:r w:rsidR="0092458F" w:rsidRPr="00984F46">
        <w:t>findings suggest that up to 8.66</w:t>
      </w:r>
      <w:r w:rsidR="00076B2E">
        <w:t xml:space="preserve"> </w:t>
      </w:r>
      <w:r w:rsidR="00E9071D">
        <w:t>per cent</w:t>
      </w:r>
      <w:r w:rsidR="0092458F" w:rsidRPr="00984F46">
        <w:t xml:space="preserve"> of that burden</w:t>
      </w:r>
      <w:r w:rsidR="00905BEE">
        <w:t>, AUD$693 million</w:t>
      </w:r>
      <w:r w:rsidR="0092458F" w:rsidRPr="00984F46">
        <w:t xml:space="preserve"> could be alleviated by eliminating wor</w:t>
      </w:r>
      <w:r w:rsidR="00396A00">
        <w:t>kplace bullying and job strain.</w:t>
      </w:r>
    </w:p>
    <w:p w:rsidR="000320CD" w:rsidRPr="0040008A" w:rsidRDefault="000320CD" w:rsidP="006409D1">
      <w:pPr>
        <w:pStyle w:val="ListParagraph"/>
        <w:numPr>
          <w:ilvl w:val="0"/>
          <w:numId w:val="4"/>
        </w:numPr>
        <w:spacing w:before="120" w:after="120"/>
        <w:ind w:left="714" w:hanging="357"/>
        <w:rPr>
          <w:rFonts w:ascii="Arial" w:hAnsi="Arial" w:cs="Arial"/>
        </w:rPr>
      </w:pPr>
      <w:r w:rsidRPr="0040008A">
        <w:rPr>
          <w:rFonts w:ascii="Arial" w:hAnsi="Arial" w:cs="Arial"/>
        </w:rPr>
        <w:t xml:space="preserve">The </w:t>
      </w:r>
      <w:r w:rsidR="009158E8" w:rsidRPr="0040008A">
        <w:rPr>
          <w:rFonts w:ascii="Arial" w:hAnsi="Arial" w:cs="Arial"/>
        </w:rPr>
        <w:t xml:space="preserve">estimated </w:t>
      </w:r>
      <w:r w:rsidRPr="0040008A">
        <w:rPr>
          <w:rFonts w:ascii="Arial" w:hAnsi="Arial" w:cs="Arial"/>
        </w:rPr>
        <w:t xml:space="preserve">national burden to employers of depression </w:t>
      </w:r>
      <w:r w:rsidR="003F74A1" w:rsidRPr="0040008A">
        <w:rPr>
          <w:rFonts w:ascii="Arial" w:hAnsi="Arial" w:cs="Arial"/>
        </w:rPr>
        <w:t xml:space="preserve">related </w:t>
      </w:r>
      <w:r w:rsidRPr="0040008A">
        <w:rPr>
          <w:rFonts w:ascii="Arial" w:hAnsi="Arial" w:cs="Arial"/>
        </w:rPr>
        <w:t xml:space="preserve">to bullying and job strain is </w:t>
      </w:r>
      <w:r w:rsidR="003F74A1" w:rsidRPr="0040008A">
        <w:rPr>
          <w:rFonts w:ascii="Arial" w:hAnsi="Arial" w:cs="Arial"/>
        </w:rPr>
        <w:t>AUD</w:t>
      </w:r>
      <w:r w:rsidRPr="0040008A">
        <w:rPr>
          <w:rFonts w:ascii="Arial" w:hAnsi="Arial" w:cs="Arial"/>
        </w:rPr>
        <w:t>$</w:t>
      </w:r>
      <w:r w:rsidR="00905BEE" w:rsidRPr="0040008A">
        <w:rPr>
          <w:rFonts w:ascii="Arial" w:hAnsi="Arial" w:cs="Arial"/>
        </w:rPr>
        <w:t>693 million.</w:t>
      </w:r>
    </w:p>
    <w:p w:rsidR="000320CD" w:rsidRPr="006409D1" w:rsidRDefault="0092458F" w:rsidP="006409D1">
      <w:pPr>
        <w:pStyle w:val="ListParagraph"/>
        <w:numPr>
          <w:ilvl w:val="0"/>
          <w:numId w:val="4"/>
        </w:numPr>
        <w:spacing w:before="120" w:after="120"/>
        <w:ind w:left="714" w:hanging="357"/>
        <w:rPr>
          <w:rFonts w:ascii="Arial" w:hAnsi="Arial" w:cs="Arial"/>
        </w:rPr>
      </w:pPr>
      <w:r w:rsidRPr="006409D1">
        <w:rPr>
          <w:rFonts w:ascii="Arial" w:hAnsi="Arial" w:cs="Arial"/>
        </w:rPr>
        <w:lastRenderedPageBreak/>
        <w:t>Despite the more severe levels of depression leading to greater productivity loss per worker, the large number of mildly depressed workers (24 per cent, compared to 0.6 per cent severely depressed)</w:t>
      </w:r>
      <w:r w:rsidR="008157D1" w:rsidRPr="006409D1">
        <w:rPr>
          <w:rFonts w:ascii="Arial" w:hAnsi="Arial" w:cs="Arial"/>
        </w:rPr>
        <w:t xml:space="preserve"> represent the greater productivity cost</w:t>
      </w:r>
      <w:r w:rsidR="00E71065" w:rsidRPr="006409D1">
        <w:rPr>
          <w:rFonts w:ascii="Arial" w:hAnsi="Arial" w:cs="Arial"/>
        </w:rPr>
        <w:t>.</w:t>
      </w:r>
    </w:p>
    <w:p w:rsidR="000320CD" w:rsidRPr="0040008A" w:rsidRDefault="008157D1" w:rsidP="006409D1">
      <w:pPr>
        <w:pStyle w:val="ListParagraph"/>
        <w:numPr>
          <w:ilvl w:val="0"/>
          <w:numId w:val="4"/>
        </w:numPr>
        <w:spacing w:before="120" w:after="120"/>
        <w:ind w:left="714" w:hanging="357"/>
        <w:rPr>
          <w:rFonts w:ascii="Arial" w:hAnsi="Arial" w:cs="Arial"/>
        </w:rPr>
      </w:pPr>
      <w:r w:rsidRPr="0040008A">
        <w:rPr>
          <w:rFonts w:ascii="Arial" w:hAnsi="Arial" w:cs="Arial"/>
        </w:rPr>
        <w:t>Participants with m</w:t>
      </w:r>
      <w:r w:rsidR="000320CD" w:rsidRPr="0040008A">
        <w:rPr>
          <w:rFonts w:ascii="Arial" w:hAnsi="Arial" w:cs="Arial"/>
        </w:rPr>
        <w:t>ild depression actually represent the greatest volume of the financial burden (61 per cent).</w:t>
      </w:r>
    </w:p>
    <w:p w:rsidR="0092458F" w:rsidRDefault="0092458F" w:rsidP="00B934B6">
      <w:r w:rsidRPr="00984F46">
        <w:t xml:space="preserve">This </w:t>
      </w:r>
      <w:r w:rsidR="00210364">
        <w:t>information is</w:t>
      </w:r>
      <w:r w:rsidR="00210364" w:rsidRPr="00984F46">
        <w:t xml:space="preserve"> </w:t>
      </w:r>
      <w:r w:rsidRPr="00984F46">
        <w:t xml:space="preserve">crucial to intervention as employers may not be aware of the high costs associated with even mild levels of depression, and may also struggle to recognise or address these lower levels of depression in the workplace. Therefore </w:t>
      </w:r>
      <w:r>
        <w:t xml:space="preserve">there is a need to </w:t>
      </w:r>
      <w:r w:rsidRPr="00984F46">
        <w:t xml:space="preserve">focus on known lead </w:t>
      </w:r>
      <w:r w:rsidR="009260EE">
        <w:t xml:space="preserve">risk indicators of depression. </w:t>
      </w:r>
      <w:r w:rsidRPr="00984F46">
        <w:t xml:space="preserve">In light of these findings, it is reasonable to suggest that a national intervention program aimed at reducing bullying and managing job strain will not only improve worker wellbeing but also reduce tangible costs and increase productivity outcomes in the workplace, benefiting both employers and the wider Australian community. Finally it is important to note when interpreting these findings that other negative outcomes from depression were not measured, such as tenure and turnover rates and the effect depressed worker’s behaviour may have on the productivity of co-workers; in other words </w:t>
      </w:r>
      <w:r w:rsidR="00685CC1">
        <w:t>the</w:t>
      </w:r>
      <w:r w:rsidR="00685CC1" w:rsidRPr="00984F46">
        <w:t xml:space="preserve"> </w:t>
      </w:r>
      <w:r w:rsidR="00076B2E">
        <w:t xml:space="preserve">cost </w:t>
      </w:r>
      <w:r w:rsidR="00396A00">
        <w:t>estimate is conservative.</w:t>
      </w:r>
    </w:p>
    <w:p w:rsidR="0092458F" w:rsidRPr="009C712C" w:rsidRDefault="0092458F" w:rsidP="00EC4877">
      <w:pPr>
        <w:pStyle w:val="Heading2"/>
        <w:spacing w:before="100" w:beforeAutospacing="1" w:after="100" w:afterAutospacing="1"/>
      </w:pPr>
      <w:bookmarkStart w:id="83" w:name="_Toc343502450"/>
      <w:r w:rsidRPr="009C712C">
        <w:t>Estimating lost productivity costs of poor psychological health in the workplace</w:t>
      </w:r>
      <w:bookmarkEnd w:id="83"/>
      <w:r>
        <w:t xml:space="preserve"> </w:t>
      </w:r>
    </w:p>
    <w:p w:rsidR="007321BF" w:rsidRPr="00B934B6" w:rsidRDefault="007321BF" w:rsidP="0040008A">
      <w:pPr>
        <w:pStyle w:val="Quote"/>
      </w:pPr>
      <w:r w:rsidRPr="00B934B6">
        <w:t>“</w:t>
      </w:r>
      <w:r w:rsidR="00DD033A" w:rsidRPr="00B934B6">
        <w:t>Regardless of cause, t</w:t>
      </w:r>
      <w:r w:rsidRPr="00B934B6">
        <w:t>he estimated cost of productivity loss for the most psychologically unhealthy 25 per cent of the Australian workforce was AUD$17.84 billion</w:t>
      </w:r>
      <w:r w:rsidR="009964AD">
        <w:t>.</w:t>
      </w:r>
      <w:r w:rsidR="004D27D1" w:rsidRPr="00B934B6">
        <w:t>”</w:t>
      </w:r>
    </w:p>
    <w:p w:rsidR="0092458F" w:rsidRPr="00555498" w:rsidRDefault="00414F87" w:rsidP="00B934B6">
      <w:r>
        <w:t>The results from our report add to the</w:t>
      </w:r>
      <w:r w:rsidR="0092458F" w:rsidRPr="004639BD">
        <w:t xml:space="preserve"> growing evidence that other aspects of psychological health aside from depression</w:t>
      </w:r>
      <w:r>
        <w:t>, such as psychological distress and emotional exhaustion,</w:t>
      </w:r>
      <w:r w:rsidR="0092458F" w:rsidRPr="004639BD">
        <w:t xml:space="preserve"> affect productivity via presenteeism and absenteeism. </w:t>
      </w:r>
      <w:r w:rsidR="0092458F" w:rsidRPr="006F6E0F">
        <w:t>The volume of available literature is limited however, and cost estimates have not been reviewed.</w:t>
      </w:r>
      <w:r w:rsidR="0092458F" w:rsidRPr="006F6E0F">
        <w:rPr>
          <w:color w:val="632423"/>
        </w:rPr>
        <w:t xml:space="preserve"> </w:t>
      </w:r>
      <w:r w:rsidR="0092458F" w:rsidRPr="00555498">
        <w:t>Additionally, a variety of causes of poor mental health exist in the workplace with differing time-related exposure effects. To address this void we examined the collective end point of the problem: a combined index of poor mental health</w:t>
      </w:r>
      <w:r w:rsidR="0092458F">
        <w:t>,</w:t>
      </w:r>
      <w:r w:rsidR="0092458F" w:rsidRPr="00555498">
        <w:t xml:space="preserve"> and its relationship to productivity loss.</w:t>
      </w:r>
      <w:r w:rsidR="003E1218">
        <w:t xml:space="preserve"> This study considers that poor mental health has an impact at work, despite its origins. </w:t>
      </w:r>
      <w:r w:rsidR="00DD033A">
        <w:t xml:space="preserve">Psychological health </w:t>
      </w:r>
      <w:r w:rsidR="00DD033A" w:rsidRPr="00DD033A">
        <w:rPr>
          <w:i/>
        </w:rPr>
        <w:t xml:space="preserve">arising from all causes </w:t>
      </w:r>
      <w:r w:rsidR="00396A00">
        <w:t>is considered here.</w:t>
      </w:r>
    </w:p>
    <w:p w:rsidR="0092458F" w:rsidRPr="00DA2B94" w:rsidRDefault="0092458F" w:rsidP="00B934B6">
      <w:pPr>
        <w:rPr>
          <w:color w:val="auto"/>
        </w:rPr>
      </w:pPr>
      <w:r>
        <w:t>To create the index, two additional psychological health outcomes were used in addition to depression</w:t>
      </w:r>
      <w:r w:rsidRPr="00127FA3">
        <w:t>.</w:t>
      </w:r>
      <w:r>
        <w:rPr>
          <w:color w:val="632423"/>
        </w:rPr>
        <w:t xml:space="preserve"> </w:t>
      </w:r>
      <w:r w:rsidRPr="005B2451">
        <w:rPr>
          <w:color w:val="000000"/>
        </w:rPr>
        <w:t xml:space="preserve">Psychological distress is a </w:t>
      </w:r>
      <w:r w:rsidRPr="00921FE4">
        <w:t xml:space="preserve">mental state that </w:t>
      </w:r>
      <w:r w:rsidRPr="00744AD5">
        <w:t xml:space="preserve">encompasses both </w:t>
      </w:r>
      <w:r w:rsidRPr="005B2451">
        <w:rPr>
          <w:color w:val="000000"/>
        </w:rPr>
        <w:t xml:space="preserve">depressive and anxiety symptoms (Kessler &amp; Mroczek, 1994). </w:t>
      </w:r>
      <w:r w:rsidRPr="00744AD5">
        <w:t>P</w:t>
      </w:r>
      <w:r w:rsidRPr="005B2451">
        <w:rPr>
          <w:color w:val="000000"/>
        </w:rPr>
        <w:t xml:space="preserve">sychological distress </w:t>
      </w:r>
      <w:r w:rsidRPr="00744AD5">
        <w:t>has been found to relate to</w:t>
      </w:r>
      <w:r w:rsidRPr="005B2451">
        <w:rPr>
          <w:color w:val="000000"/>
        </w:rPr>
        <w:t xml:space="preserve"> </w:t>
      </w:r>
      <w:r w:rsidRPr="00744AD5">
        <w:t>higher</w:t>
      </w:r>
      <w:r w:rsidRPr="005B2451">
        <w:rPr>
          <w:color w:val="000000"/>
        </w:rPr>
        <w:t xml:space="preserve"> work and family life </w:t>
      </w:r>
      <w:r w:rsidRPr="0012325D">
        <w:rPr>
          <w:rFonts w:cs="Arial"/>
          <w:color w:val="000000"/>
        </w:rPr>
        <w:t>interference (Major, Klein</w:t>
      </w:r>
      <w:r w:rsidR="00CE6CF5" w:rsidRPr="0012325D">
        <w:rPr>
          <w:rFonts w:cs="Arial"/>
          <w:color w:val="000000"/>
        </w:rPr>
        <w:t>,</w:t>
      </w:r>
      <w:r w:rsidRPr="00C246FC">
        <w:rPr>
          <w:rFonts w:cs="Arial"/>
          <w:color w:val="000000"/>
        </w:rPr>
        <w:t xml:space="preserve"> &amp; Ehrhart, 2002), </w:t>
      </w:r>
      <w:r w:rsidRPr="00C246FC">
        <w:rPr>
          <w:rFonts w:cs="Arial"/>
        </w:rPr>
        <w:t>greater</w:t>
      </w:r>
      <w:r w:rsidRPr="00C246FC">
        <w:rPr>
          <w:rFonts w:cs="Arial"/>
          <w:color w:val="000000"/>
        </w:rPr>
        <w:t xml:space="preserve"> </w:t>
      </w:r>
      <w:r w:rsidRPr="005D624C">
        <w:rPr>
          <w:rFonts w:cs="Arial"/>
        </w:rPr>
        <w:t>absence</w:t>
      </w:r>
      <w:r w:rsidRPr="005D624C">
        <w:rPr>
          <w:rFonts w:cs="Arial"/>
          <w:color w:val="000000"/>
        </w:rPr>
        <w:t xml:space="preserve"> </w:t>
      </w:r>
      <w:r w:rsidRPr="00D83E14">
        <w:rPr>
          <w:rFonts w:cs="Arial"/>
        </w:rPr>
        <w:t xml:space="preserve">from work </w:t>
      </w:r>
      <w:r w:rsidRPr="00D83E14">
        <w:rPr>
          <w:rFonts w:cs="Arial"/>
          <w:color w:val="000000"/>
        </w:rPr>
        <w:t xml:space="preserve">(Hardy, Woods &amp; Wall, 2003) </w:t>
      </w:r>
      <w:r w:rsidRPr="00BE62A5">
        <w:rPr>
          <w:rFonts w:cs="Arial"/>
        </w:rPr>
        <w:t>and</w:t>
      </w:r>
      <w:r w:rsidRPr="00BE62A5">
        <w:rPr>
          <w:rFonts w:cs="Arial"/>
          <w:color w:val="000000"/>
        </w:rPr>
        <w:t xml:space="preserve"> specifically sickness absenteeism (</w:t>
      </w:r>
      <w:r w:rsidR="001937E7" w:rsidRPr="00BE62A5">
        <w:rPr>
          <w:rStyle w:val="citation"/>
          <w:rFonts w:cs="Arial"/>
          <w:szCs w:val="22"/>
        </w:rPr>
        <w:t>Bültmann</w:t>
      </w:r>
      <w:r w:rsidR="001937E7" w:rsidRPr="0012325D">
        <w:rPr>
          <w:rFonts w:cs="Arial"/>
          <w:color w:val="000000"/>
        </w:rPr>
        <w:t xml:space="preserve"> </w:t>
      </w:r>
      <w:r w:rsidRPr="0012325D">
        <w:rPr>
          <w:rFonts w:cs="Arial"/>
          <w:color w:val="000000"/>
        </w:rPr>
        <w:t xml:space="preserve">et al., 2005; Munir et al., 2007), and </w:t>
      </w:r>
      <w:r w:rsidRPr="00BE62A5">
        <w:rPr>
          <w:rFonts w:cs="Arial"/>
        </w:rPr>
        <w:t>higher</w:t>
      </w:r>
      <w:r w:rsidRPr="00BE62A5">
        <w:rPr>
          <w:rFonts w:cs="Arial"/>
          <w:color w:val="000000"/>
        </w:rPr>
        <w:t xml:space="preserve"> presenteeism (Munir et al., 2007).</w:t>
      </w:r>
    </w:p>
    <w:p w:rsidR="0092458F" w:rsidRPr="005B2451" w:rsidRDefault="0092458F" w:rsidP="00B934B6">
      <w:pPr>
        <w:rPr>
          <w:color w:val="000000"/>
        </w:rPr>
      </w:pPr>
      <w:r w:rsidRPr="00717990">
        <w:t>Another form of poor psychological health, e</w:t>
      </w:r>
      <w:r w:rsidRPr="005B2451">
        <w:rPr>
          <w:color w:val="000000"/>
        </w:rPr>
        <w:t>motional exhaustion</w:t>
      </w:r>
      <w:r w:rsidR="003E1218">
        <w:rPr>
          <w:color w:val="000000"/>
        </w:rPr>
        <w:t xml:space="preserve"> – a core component of burnout</w:t>
      </w:r>
      <w:r w:rsidRPr="00717990">
        <w:t>,</w:t>
      </w:r>
      <w:r w:rsidRPr="005B2451">
        <w:rPr>
          <w:color w:val="000000"/>
        </w:rPr>
        <w:t xml:space="preserve"> </w:t>
      </w:r>
      <w:r w:rsidRPr="00717990">
        <w:t>encompasses</w:t>
      </w:r>
      <w:r w:rsidRPr="005B2451">
        <w:rPr>
          <w:color w:val="000000"/>
        </w:rPr>
        <w:t xml:space="preserve"> physical and emotional fatigue </w:t>
      </w:r>
      <w:r w:rsidRPr="00717990">
        <w:t>that occurs in the workplace</w:t>
      </w:r>
      <w:r w:rsidRPr="005B2451">
        <w:rPr>
          <w:color w:val="000000"/>
        </w:rPr>
        <w:t xml:space="preserve"> (Maslach, Schaufeli, &amp; Leiter, 2001)</w:t>
      </w:r>
      <w:r w:rsidR="000320CD">
        <w:rPr>
          <w:color w:val="000000"/>
        </w:rPr>
        <w:t xml:space="preserve"> was</w:t>
      </w:r>
      <w:r w:rsidR="00795EBB">
        <w:rPr>
          <w:color w:val="000000"/>
        </w:rPr>
        <w:t xml:space="preserve"> also</w:t>
      </w:r>
      <w:r w:rsidR="000320CD">
        <w:rPr>
          <w:color w:val="000000"/>
        </w:rPr>
        <w:t xml:space="preserve"> used</w:t>
      </w:r>
      <w:r w:rsidRPr="005B2451">
        <w:rPr>
          <w:color w:val="000000"/>
        </w:rPr>
        <w:t xml:space="preserve">. </w:t>
      </w:r>
      <w:r w:rsidRPr="00717990">
        <w:t>High levels o</w:t>
      </w:r>
      <w:r w:rsidRPr="005B2451">
        <w:rPr>
          <w:color w:val="000000"/>
        </w:rPr>
        <w:t>f emotional exhaustion ha</w:t>
      </w:r>
      <w:r w:rsidRPr="00717990">
        <w:t>ve been linked to</w:t>
      </w:r>
      <w:r w:rsidRPr="005B2451">
        <w:rPr>
          <w:color w:val="000000"/>
        </w:rPr>
        <w:t xml:space="preserve"> decreased job performance (Babakus, Cravens, Johnston, &amp; Moncrief, 1999; Wright &amp; Bonett, 1997; Wright &amp; Cropanzano, 1998), an increased risk of job turnover (Babakus et al., 1999; Jackson, Schwab, &amp; Schuler, 1986; Wright &amp; Cropanzano, 1998), and negative attitudes towards work (Leiter &amp; Maslach, 1988; Wolpin, Burke, &amp; Greenglass, 1991).</w:t>
      </w:r>
    </w:p>
    <w:p w:rsidR="0092458F" w:rsidRPr="004D30BD" w:rsidRDefault="0092458F" w:rsidP="00B934B6">
      <w:r w:rsidRPr="004D30BD">
        <w:t xml:space="preserve">Psychological distress, emotional exhaustion and depression were standardised, and then combined into a composite score that was divided into four quadrants. Quadrants were separated </w:t>
      </w:r>
      <w:r w:rsidRPr="004D30BD">
        <w:lastRenderedPageBreak/>
        <w:t>by the participants’ scores (the lowest scoring 25</w:t>
      </w:r>
      <w:r w:rsidR="00E9071D">
        <w:t xml:space="preserve"> per cent</w:t>
      </w:r>
      <w:r w:rsidRPr="004D30BD">
        <w:t>, the next lowest 25</w:t>
      </w:r>
      <w:r w:rsidR="00E9071D">
        <w:t xml:space="preserve"> per cent</w:t>
      </w:r>
      <w:r w:rsidRPr="004D30BD">
        <w:t>, the next highest 25</w:t>
      </w:r>
      <w:r w:rsidR="00E9071D">
        <w:t xml:space="preserve"> per cent</w:t>
      </w:r>
      <w:r w:rsidRPr="004D30BD">
        <w:t xml:space="preserve"> and the highest 25</w:t>
      </w:r>
      <w:r w:rsidR="00E9071D">
        <w:t xml:space="preserve"> per cent</w:t>
      </w:r>
      <w:r w:rsidRPr="004D30BD">
        <w:t xml:space="preserve">), reflecting </w:t>
      </w:r>
      <w:r w:rsidR="000320CD">
        <w:t>levels</w:t>
      </w:r>
      <w:r w:rsidR="000320CD" w:rsidRPr="004D30BD">
        <w:t xml:space="preserve"> </w:t>
      </w:r>
      <w:r w:rsidRPr="004D30BD">
        <w:t xml:space="preserve">of psychological health. Means for each quadrant were then generated for sickness absence (days missed in the last month) and presenteeism scores (measured on a scale from 0-10 </w:t>
      </w:r>
      <w:r w:rsidR="00685CC1">
        <w:t xml:space="preserve">regarding </w:t>
      </w:r>
      <w:r w:rsidRPr="004D30BD">
        <w:t>how hard they felt they worked in the last month)</w:t>
      </w:r>
      <w:r w:rsidR="00C70FAE">
        <w:t xml:space="preserve">. This information was </w:t>
      </w:r>
      <w:r w:rsidRPr="004D30BD">
        <w:t>combined with national wage data (ABC Diamond, 2009) and national labour figures</w:t>
      </w:r>
      <w:r w:rsidR="00C70FAE">
        <w:t xml:space="preserve"> to estimate cost of sick days and presenteeism</w:t>
      </w:r>
      <w:r w:rsidRPr="004D30BD">
        <w:t xml:space="preserve">. Our findings </w:t>
      </w:r>
      <w:r w:rsidR="00C70FAE">
        <w:t>showed</w:t>
      </w:r>
      <w:r w:rsidRPr="004D30BD">
        <w:t>:</w:t>
      </w:r>
    </w:p>
    <w:p w:rsidR="0092458F" w:rsidRPr="00B934B6" w:rsidRDefault="0045728B" w:rsidP="0023074F">
      <w:pPr>
        <w:pStyle w:val="ListParagraph"/>
        <w:numPr>
          <w:ilvl w:val="0"/>
          <w:numId w:val="3"/>
        </w:numPr>
        <w:spacing w:before="100" w:beforeAutospacing="1" w:after="100" w:afterAutospacing="1"/>
        <w:rPr>
          <w:rFonts w:ascii="Arial" w:hAnsi="Arial" w:cs="Arial"/>
        </w:rPr>
      </w:pPr>
      <w:r w:rsidRPr="00B934B6">
        <w:rPr>
          <w:rFonts w:ascii="Arial" w:hAnsi="Arial" w:cs="Arial"/>
        </w:rPr>
        <w:t>t</w:t>
      </w:r>
      <w:r w:rsidR="0092458F" w:rsidRPr="00B934B6">
        <w:rPr>
          <w:rFonts w:ascii="Arial" w:hAnsi="Arial" w:cs="Arial"/>
        </w:rPr>
        <w:t>he least psychological</w:t>
      </w:r>
      <w:r w:rsidR="000320CD" w:rsidRPr="00B934B6">
        <w:rPr>
          <w:rFonts w:ascii="Arial" w:hAnsi="Arial" w:cs="Arial"/>
        </w:rPr>
        <w:t>ly</w:t>
      </w:r>
      <w:r w:rsidR="0092458F" w:rsidRPr="00B934B6">
        <w:rPr>
          <w:rFonts w:ascii="Arial" w:hAnsi="Arial" w:cs="Arial"/>
        </w:rPr>
        <w:t xml:space="preserve"> healthy workers</w:t>
      </w:r>
      <w:r w:rsidR="00685CC1" w:rsidRPr="00B934B6">
        <w:rPr>
          <w:rFonts w:ascii="Arial" w:hAnsi="Arial" w:cs="Arial"/>
        </w:rPr>
        <w:t xml:space="preserve"> (lowest quartile)</w:t>
      </w:r>
      <w:r w:rsidR="0092458F" w:rsidRPr="00B934B6">
        <w:rPr>
          <w:rFonts w:ascii="Arial" w:hAnsi="Arial" w:cs="Arial"/>
        </w:rPr>
        <w:t xml:space="preserve"> had nearly 6 times as much sickness absence </w:t>
      </w:r>
      <w:r w:rsidR="00DA05A6" w:rsidRPr="00B934B6">
        <w:rPr>
          <w:rFonts w:ascii="Arial" w:hAnsi="Arial" w:cs="Arial"/>
        </w:rPr>
        <w:t>compared to the</w:t>
      </w:r>
      <w:r w:rsidR="0092458F" w:rsidRPr="00B934B6">
        <w:rPr>
          <w:rFonts w:ascii="Arial" w:hAnsi="Arial" w:cs="Arial"/>
        </w:rPr>
        <w:t xml:space="preserve"> healthiest</w:t>
      </w:r>
    </w:p>
    <w:p w:rsidR="0092458F" w:rsidRPr="00B934B6" w:rsidRDefault="0045728B" w:rsidP="0023074F">
      <w:pPr>
        <w:pStyle w:val="ListParagraph"/>
        <w:numPr>
          <w:ilvl w:val="0"/>
          <w:numId w:val="3"/>
        </w:numPr>
        <w:spacing w:before="100" w:beforeAutospacing="1" w:after="100" w:afterAutospacing="1"/>
        <w:rPr>
          <w:rFonts w:ascii="Arial" w:hAnsi="Arial" w:cs="Arial"/>
        </w:rPr>
      </w:pPr>
      <w:r w:rsidRPr="00B934B6">
        <w:rPr>
          <w:rFonts w:ascii="Arial" w:hAnsi="Arial" w:cs="Arial"/>
        </w:rPr>
        <w:t>t</w:t>
      </w:r>
      <w:r w:rsidR="0092458F" w:rsidRPr="00B934B6">
        <w:rPr>
          <w:rFonts w:ascii="Arial" w:hAnsi="Arial" w:cs="Arial"/>
        </w:rPr>
        <w:t>he annual productivity loss</w:t>
      </w:r>
      <w:r w:rsidR="00441014" w:rsidRPr="00B934B6">
        <w:rPr>
          <w:rFonts w:ascii="Arial" w:hAnsi="Arial" w:cs="Arial"/>
        </w:rPr>
        <w:t xml:space="preserve"> per worker</w:t>
      </w:r>
      <w:r w:rsidR="0092458F" w:rsidRPr="00B934B6">
        <w:rPr>
          <w:rFonts w:ascii="Arial" w:hAnsi="Arial" w:cs="Arial"/>
        </w:rPr>
        <w:t xml:space="preserve"> through sickness absence and presenteeism was nearly double for the least psychologically healthy (</w:t>
      </w:r>
      <w:r w:rsidR="00A314A6" w:rsidRPr="00B934B6">
        <w:rPr>
          <w:rFonts w:ascii="Arial" w:hAnsi="Arial" w:cs="Arial"/>
        </w:rPr>
        <w:t>AUD</w:t>
      </w:r>
      <w:r w:rsidR="00AA591F" w:rsidRPr="00B934B6">
        <w:rPr>
          <w:rFonts w:ascii="Arial" w:hAnsi="Arial" w:cs="Arial"/>
        </w:rPr>
        <w:t>$</w:t>
      </w:r>
      <w:r w:rsidR="0092458F" w:rsidRPr="00B934B6">
        <w:rPr>
          <w:rFonts w:ascii="Arial" w:hAnsi="Arial" w:cs="Arial"/>
        </w:rPr>
        <w:t>15</w:t>
      </w:r>
      <w:r w:rsidR="007321BF" w:rsidRPr="00B934B6">
        <w:rPr>
          <w:rFonts w:ascii="Arial" w:hAnsi="Arial" w:cs="Arial"/>
        </w:rPr>
        <w:t>,</w:t>
      </w:r>
      <w:r w:rsidR="0092458F" w:rsidRPr="00B934B6">
        <w:rPr>
          <w:rFonts w:ascii="Arial" w:hAnsi="Arial" w:cs="Arial"/>
        </w:rPr>
        <w:t>050) compared to the healthiest (</w:t>
      </w:r>
      <w:r w:rsidR="00A314A6" w:rsidRPr="00B934B6">
        <w:rPr>
          <w:rFonts w:ascii="Arial" w:hAnsi="Arial" w:cs="Arial"/>
        </w:rPr>
        <w:t>AUD</w:t>
      </w:r>
      <w:r w:rsidR="00AA591F" w:rsidRPr="00B934B6">
        <w:rPr>
          <w:rFonts w:ascii="Arial" w:hAnsi="Arial" w:cs="Arial"/>
        </w:rPr>
        <w:t>$</w:t>
      </w:r>
      <w:r w:rsidR="0092458F" w:rsidRPr="00B934B6">
        <w:rPr>
          <w:rFonts w:ascii="Arial" w:hAnsi="Arial" w:cs="Arial"/>
        </w:rPr>
        <w:t>8</w:t>
      </w:r>
      <w:r w:rsidR="007321BF" w:rsidRPr="00B934B6">
        <w:rPr>
          <w:rFonts w:ascii="Arial" w:hAnsi="Arial" w:cs="Arial"/>
        </w:rPr>
        <w:t>,</w:t>
      </w:r>
      <w:r w:rsidR="0092458F" w:rsidRPr="00B934B6">
        <w:rPr>
          <w:rFonts w:ascii="Arial" w:hAnsi="Arial" w:cs="Arial"/>
        </w:rPr>
        <w:t>334)</w:t>
      </w:r>
    </w:p>
    <w:p w:rsidR="0092458F" w:rsidRPr="00B934B6" w:rsidRDefault="0045728B" w:rsidP="0023074F">
      <w:pPr>
        <w:pStyle w:val="ListParagraph"/>
        <w:numPr>
          <w:ilvl w:val="0"/>
          <w:numId w:val="3"/>
        </w:numPr>
        <w:spacing w:before="100" w:beforeAutospacing="1" w:after="100" w:afterAutospacing="1"/>
        <w:rPr>
          <w:rFonts w:ascii="Arial" w:hAnsi="Arial" w:cs="Arial"/>
        </w:rPr>
      </w:pPr>
      <w:r w:rsidRPr="00B934B6">
        <w:rPr>
          <w:rFonts w:ascii="Arial" w:hAnsi="Arial" w:cs="Arial"/>
        </w:rPr>
        <w:t>i</w:t>
      </w:r>
      <w:r w:rsidR="00702D2E" w:rsidRPr="00B934B6">
        <w:rPr>
          <w:rFonts w:ascii="Arial" w:hAnsi="Arial" w:cs="Arial"/>
        </w:rPr>
        <w:t>mproving the psychological health of the most unhealthy 25 per cent to the levels of the 25</w:t>
      </w:r>
      <w:r w:rsidR="00BE62A5">
        <w:rPr>
          <w:rFonts w:ascii="Arial" w:hAnsi="Arial" w:cs="Arial"/>
        </w:rPr>
        <w:t> </w:t>
      </w:r>
      <w:r w:rsidR="00702D2E" w:rsidRPr="00B934B6">
        <w:rPr>
          <w:rFonts w:ascii="Arial" w:hAnsi="Arial" w:cs="Arial"/>
        </w:rPr>
        <w:t xml:space="preserve">per cent most psychologically healthy, would save an estimated </w:t>
      </w:r>
      <w:r w:rsidR="003E1218" w:rsidRPr="00B934B6">
        <w:rPr>
          <w:rFonts w:ascii="Arial" w:hAnsi="Arial" w:cs="Arial"/>
        </w:rPr>
        <w:t>AUD</w:t>
      </w:r>
      <w:r w:rsidR="00AA591F" w:rsidRPr="00B934B6">
        <w:rPr>
          <w:rFonts w:ascii="Arial" w:hAnsi="Arial" w:cs="Arial"/>
        </w:rPr>
        <w:t>$</w:t>
      </w:r>
      <w:r w:rsidR="0092458F" w:rsidRPr="00B934B6">
        <w:rPr>
          <w:rFonts w:ascii="Arial" w:hAnsi="Arial" w:cs="Arial"/>
        </w:rPr>
        <w:t>17.8 billion</w:t>
      </w:r>
      <w:r w:rsidRPr="00B934B6">
        <w:rPr>
          <w:rFonts w:ascii="Arial" w:hAnsi="Arial" w:cs="Arial"/>
        </w:rPr>
        <w:t xml:space="preserve"> and</w:t>
      </w:r>
    </w:p>
    <w:p w:rsidR="0092458F" w:rsidRPr="00B934B6" w:rsidRDefault="0045728B" w:rsidP="0023074F">
      <w:pPr>
        <w:pStyle w:val="ListParagraph"/>
        <w:numPr>
          <w:ilvl w:val="0"/>
          <w:numId w:val="3"/>
        </w:numPr>
        <w:spacing w:before="100" w:beforeAutospacing="1" w:after="100" w:afterAutospacing="1"/>
        <w:rPr>
          <w:rFonts w:ascii="Arial" w:hAnsi="Arial" w:cs="Arial"/>
        </w:rPr>
      </w:pPr>
      <w:proofErr w:type="gramStart"/>
      <w:r w:rsidRPr="00B934B6">
        <w:rPr>
          <w:rFonts w:ascii="Arial" w:hAnsi="Arial" w:cs="Arial"/>
        </w:rPr>
        <w:t>t</w:t>
      </w:r>
      <w:r w:rsidR="0092458F" w:rsidRPr="00B934B6">
        <w:rPr>
          <w:rFonts w:ascii="Arial" w:hAnsi="Arial" w:cs="Arial"/>
        </w:rPr>
        <w:t>he</w:t>
      </w:r>
      <w:proofErr w:type="gramEnd"/>
      <w:r w:rsidR="0092458F" w:rsidRPr="00B934B6">
        <w:rPr>
          <w:rFonts w:ascii="Arial" w:hAnsi="Arial" w:cs="Arial"/>
        </w:rPr>
        <w:t xml:space="preserve"> estimated cost of all other workers over the most psychologically healthy was </w:t>
      </w:r>
      <w:r w:rsidR="003E1218" w:rsidRPr="00B934B6">
        <w:rPr>
          <w:rFonts w:ascii="Arial" w:hAnsi="Arial" w:cs="Arial"/>
        </w:rPr>
        <w:t>AUD</w:t>
      </w:r>
      <w:r w:rsidR="00AA591F" w:rsidRPr="00B934B6">
        <w:rPr>
          <w:rFonts w:ascii="Arial" w:hAnsi="Arial" w:cs="Arial"/>
        </w:rPr>
        <w:t>$</w:t>
      </w:r>
      <w:r w:rsidR="0092458F" w:rsidRPr="00B934B6">
        <w:rPr>
          <w:rFonts w:ascii="Arial" w:hAnsi="Arial" w:cs="Arial"/>
        </w:rPr>
        <w:t>32.</w:t>
      </w:r>
      <w:r w:rsidR="00905BEE">
        <w:rPr>
          <w:rFonts w:ascii="Arial" w:hAnsi="Arial" w:cs="Arial"/>
        </w:rPr>
        <w:t>2</w:t>
      </w:r>
      <w:r w:rsidR="00BE62A5">
        <w:rPr>
          <w:rFonts w:ascii="Arial" w:hAnsi="Arial" w:cs="Arial"/>
        </w:rPr>
        <w:t> </w:t>
      </w:r>
      <w:r w:rsidR="0092458F" w:rsidRPr="00B934B6">
        <w:rPr>
          <w:rFonts w:ascii="Arial" w:hAnsi="Arial" w:cs="Arial"/>
        </w:rPr>
        <w:t>billion.</w:t>
      </w:r>
    </w:p>
    <w:p w:rsidR="0092458F" w:rsidRPr="001F7505" w:rsidRDefault="0092458F" w:rsidP="00B934B6">
      <w:r w:rsidRPr="004D30BD">
        <w:t>The estimated cost</w:t>
      </w:r>
      <w:r w:rsidR="00491E50">
        <w:t xml:space="preserve"> of</w:t>
      </w:r>
      <w:r w:rsidRPr="004D30BD">
        <w:t xml:space="preserve"> </w:t>
      </w:r>
      <w:r w:rsidR="00491E50">
        <w:t xml:space="preserve">productivity loss </w:t>
      </w:r>
      <w:r w:rsidRPr="004D30BD">
        <w:t>for the most psychologically unhealthy 25</w:t>
      </w:r>
      <w:r w:rsidR="00E9071D">
        <w:t xml:space="preserve"> per cent</w:t>
      </w:r>
      <w:r w:rsidRPr="004D30BD">
        <w:t xml:space="preserve"> of the </w:t>
      </w:r>
      <w:r w:rsidRPr="00156806">
        <w:t>Australian</w:t>
      </w:r>
      <w:r w:rsidR="003F6504">
        <w:t xml:space="preserve"> </w:t>
      </w:r>
      <w:r w:rsidRPr="004D30BD">
        <w:t xml:space="preserve">workforce was </w:t>
      </w:r>
      <w:r w:rsidR="003E1218">
        <w:t>AUD</w:t>
      </w:r>
      <w:r w:rsidR="00AA591F" w:rsidRPr="004D30BD">
        <w:t>$</w:t>
      </w:r>
      <w:r w:rsidRPr="004D30BD">
        <w:t>17.84</w:t>
      </w:r>
      <w:r w:rsidR="00685CC1">
        <w:t xml:space="preserve"> billion</w:t>
      </w:r>
      <w:r w:rsidRPr="004D30BD">
        <w:t xml:space="preserve">, which reflects the size of the burden that could be potentially reduced by improving the psychological health of Australian employees. The study goes further to see the cost that could be saved by potentially improving </w:t>
      </w:r>
      <w:r w:rsidR="00465742">
        <w:t xml:space="preserve">all worker </w:t>
      </w:r>
      <w:r w:rsidRPr="004D30BD">
        <w:t>psychological health levels to the top 25</w:t>
      </w:r>
      <w:r w:rsidR="00E9071D">
        <w:t xml:space="preserve"> per cent</w:t>
      </w:r>
      <w:r w:rsidRPr="004D30BD">
        <w:t xml:space="preserve">, which was an estimated </w:t>
      </w:r>
      <w:r w:rsidR="003E1218">
        <w:t>AUD</w:t>
      </w:r>
      <w:r w:rsidR="00AA591F" w:rsidRPr="004D30BD">
        <w:t>$</w:t>
      </w:r>
      <w:r w:rsidRPr="004D30BD">
        <w:t xml:space="preserve">32.18 billion. The present study therefore not only reflects the cost of poor health, but the </w:t>
      </w:r>
      <w:r w:rsidR="00DA05A6">
        <w:t>cost-benefits of</w:t>
      </w:r>
      <w:r w:rsidRPr="004D30BD">
        <w:t xml:space="preserve"> </w:t>
      </w:r>
      <w:r w:rsidRPr="001F7505">
        <w:t>highly psychologically healthy workers.</w:t>
      </w:r>
    </w:p>
    <w:p w:rsidR="0092458F" w:rsidRPr="005F2EA9" w:rsidRDefault="0092458F" w:rsidP="00B934B6">
      <w:r>
        <w:t>As mentioned earlier t</w:t>
      </w:r>
      <w:r w:rsidRPr="001F7505">
        <w:t xml:space="preserve">here </w:t>
      </w:r>
      <w:r>
        <w:t xml:space="preserve">are </w:t>
      </w:r>
      <w:r w:rsidRPr="00E80257">
        <w:t xml:space="preserve">additional costs that need to be considered that the present study does not encapsulate. </w:t>
      </w:r>
      <w:r w:rsidR="008640B9">
        <w:t>In addition to lost</w:t>
      </w:r>
      <w:r w:rsidR="008640B9" w:rsidRPr="00E80257">
        <w:t xml:space="preserve"> productivity by the absence </w:t>
      </w:r>
      <w:r w:rsidR="008640B9">
        <w:t xml:space="preserve">and presenteeism </w:t>
      </w:r>
      <w:r w:rsidR="008640B9" w:rsidRPr="00E80257">
        <w:t>of an employee</w:t>
      </w:r>
      <w:r w:rsidR="008640B9">
        <w:t xml:space="preserve"> canvassed here, additional costs include</w:t>
      </w:r>
      <w:r w:rsidRPr="00E80257">
        <w:t xml:space="preserve"> recruitment, hiring, training and administration costs </w:t>
      </w:r>
      <w:r w:rsidR="008640B9" w:rsidRPr="00E80257">
        <w:t>aris</w:t>
      </w:r>
      <w:r w:rsidR="008640B9">
        <w:t>ing</w:t>
      </w:r>
      <w:r w:rsidR="008640B9" w:rsidRPr="00E80257">
        <w:t xml:space="preserve"> </w:t>
      </w:r>
      <w:r w:rsidRPr="00E80257">
        <w:t xml:space="preserve">from job turnover. </w:t>
      </w:r>
      <w:r w:rsidR="008640B9">
        <w:t xml:space="preserve">These costs would be significant as </w:t>
      </w:r>
      <w:r w:rsidRPr="00E80257">
        <w:t xml:space="preserve">LaMontagne, Sanderson and Cocker (2010) found </w:t>
      </w:r>
      <w:r w:rsidR="008640B9">
        <w:t xml:space="preserve">that </w:t>
      </w:r>
      <w:r w:rsidR="008640B9" w:rsidRPr="00E80257">
        <w:t xml:space="preserve">turnover </w:t>
      </w:r>
      <w:r w:rsidR="008640B9">
        <w:t xml:space="preserve">was the </w:t>
      </w:r>
      <w:r w:rsidR="008640B9" w:rsidRPr="00E80257">
        <w:t xml:space="preserve">largest contributor </w:t>
      </w:r>
      <w:r w:rsidR="008640B9">
        <w:t>(AUD</w:t>
      </w:r>
      <w:r w:rsidR="00AA591F">
        <w:t>$</w:t>
      </w:r>
      <w:r w:rsidR="008640B9">
        <w:t>8.93 billion) of</w:t>
      </w:r>
      <w:r w:rsidR="008640B9" w:rsidRPr="00E80257">
        <w:t xml:space="preserve"> </w:t>
      </w:r>
      <w:r w:rsidRPr="00E80257">
        <w:t>an estimated AUD</w:t>
      </w:r>
      <w:r w:rsidR="00AA591F" w:rsidRPr="00E80257">
        <w:t>$</w:t>
      </w:r>
      <w:r w:rsidRPr="00E80257">
        <w:t xml:space="preserve">12.6 billion </w:t>
      </w:r>
      <w:r w:rsidR="00A314A6" w:rsidRPr="00E80257">
        <w:t xml:space="preserve">cost </w:t>
      </w:r>
      <w:r w:rsidRPr="00E80257">
        <w:t xml:space="preserve">associated </w:t>
      </w:r>
      <w:r w:rsidR="00A314A6">
        <w:t>with</w:t>
      </w:r>
      <w:r w:rsidRPr="00E80257">
        <w:t xml:space="preserve"> depression in the workplace</w:t>
      </w:r>
      <w:r w:rsidR="008640B9">
        <w:t>.</w:t>
      </w:r>
      <w:r w:rsidR="00DD033A">
        <w:t xml:space="preserve"> </w:t>
      </w:r>
      <w:r w:rsidRPr="00E80257">
        <w:t xml:space="preserve">There would also be additional knock on effects </w:t>
      </w:r>
      <w:r w:rsidR="00A314A6">
        <w:t>to</w:t>
      </w:r>
      <w:r w:rsidR="00A314A6" w:rsidRPr="00E80257">
        <w:t xml:space="preserve"> </w:t>
      </w:r>
      <w:r w:rsidRPr="00E80257">
        <w:t>co-worker productivity</w:t>
      </w:r>
      <w:r w:rsidR="008640B9">
        <w:t xml:space="preserve"> while replacements are found and trained. </w:t>
      </w:r>
      <w:r w:rsidRPr="00E80257">
        <w:t xml:space="preserve">As none of these costs are included in our </w:t>
      </w:r>
      <w:r w:rsidRPr="005F2EA9">
        <w:t>estimate, the overall cost could be considerably greater.</w:t>
      </w:r>
    </w:p>
    <w:p w:rsidR="004D27D1" w:rsidRDefault="00DD033A" w:rsidP="00B934B6">
      <w:r>
        <w:t>Regardless of the cause, work or non-work related, p</w:t>
      </w:r>
      <w:r w:rsidR="0092458F" w:rsidRPr="005F2EA9">
        <w:t xml:space="preserve">oor </w:t>
      </w:r>
      <w:r w:rsidR="0092458F" w:rsidRPr="00350729">
        <w:t xml:space="preserve">psychological </w:t>
      </w:r>
      <w:r w:rsidR="0092458F" w:rsidRPr="002163BB">
        <w:t xml:space="preserve">health </w:t>
      </w:r>
      <w:r>
        <w:t>at work is an issue for the health of the</w:t>
      </w:r>
      <w:r w:rsidR="0092458F" w:rsidRPr="00A10BCD">
        <w:t xml:space="preserve"> organisation, as well as its revenue. This relationship was supported by previous literature and demonstrated in our findings</w:t>
      </w:r>
      <w:r w:rsidR="00465742">
        <w:t xml:space="preserve"> (previous section)</w:t>
      </w:r>
      <w:r w:rsidR="0092458F" w:rsidRPr="00A10BCD">
        <w:t>, which showed considerable differences in productivity outcomes (sickness absence and presenteeism) between each</w:t>
      </w:r>
      <w:r w:rsidR="00396A00">
        <w:t xml:space="preserve"> level of psychological health.</w:t>
      </w:r>
    </w:p>
    <w:p w:rsidR="00EC4877" w:rsidRDefault="004D27D1" w:rsidP="00B934B6">
      <w:r>
        <w:t>S</w:t>
      </w:r>
      <w:r w:rsidR="0092458F" w:rsidRPr="00A10BCD">
        <w:t xml:space="preserve">ystematic reviews in the literature show a variety of interventions </w:t>
      </w:r>
      <w:r>
        <w:t xml:space="preserve">that </w:t>
      </w:r>
      <w:r w:rsidR="0092458F" w:rsidRPr="00A10BCD">
        <w:t>are available to minimise psychosocial risks at work (Bambra, Egan, Thomas, Petticrew, &amp; Whitehead, 2007; Bambra et al., 2009; Egan et al., 2007; LaMontagne, Keegel, Louie, Ostry, &amp; Landsbergis, 200</w:t>
      </w:r>
      <w:r w:rsidR="007114D3">
        <w:t>7</w:t>
      </w:r>
      <w:r w:rsidR="0092458F" w:rsidRPr="00A10BCD">
        <w:t xml:space="preserve">). </w:t>
      </w:r>
      <w:r w:rsidR="0092458F">
        <w:t>With various</w:t>
      </w:r>
      <w:r w:rsidR="0092458F" w:rsidRPr="002163BB">
        <w:t xml:space="preserve"> intervention strategies available, </w:t>
      </w:r>
      <w:r w:rsidR="00BD197F">
        <w:t xml:space="preserve">such as psychosocial risk assessment tools, </w:t>
      </w:r>
      <w:r w:rsidR="0092458F" w:rsidRPr="002163BB">
        <w:t>employers stand to benefit from improving and promoting psychological wel</w:t>
      </w:r>
      <w:r w:rsidR="0092458F">
        <w:t xml:space="preserve">lbeing at work via </w:t>
      </w:r>
      <w:r w:rsidR="00A314A6">
        <w:t xml:space="preserve">assisting </w:t>
      </w:r>
      <w:r w:rsidR="0092458F">
        <w:t xml:space="preserve">workers experiencing </w:t>
      </w:r>
      <w:r w:rsidR="0092458F" w:rsidRPr="002163BB">
        <w:t>poor psychological health</w:t>
      </w:r>
      <w:r>
        <w:t xml:space="preserve"> </w:t>
      </w:r>
      <w:r w:rsidRPr="004D27D1">
        <w:rPr>
          <w:i/>
        </w:rPr>
        <w:t>from any cause</w:t>
      </w:r>
      <w:r w:rsidR="0092458F" w:rsidRPr="002163BB">
        <w:t>.</w:t>
      </w:r>
    </w:p>
    <w:p w:rsidR="0076164D" w:rsidRDefault="00396B11" w:rsidP="005F6E13">
      <w:pPr>
        <w:pStyle w:val="Heading1"/>
        <w:spacing w:before="0" w:after="100" w:afterAutospacing="1"/>
      </w:pPr>
      <w:bookmarkStart w:id="84" w:name="_Toc343502451"/>
      <w:r>
        <w:lastRenderedPageBreak/>
        <w:t>Policy</w:t>
      </w:r>
      <w:r w:rsidR="00650965">
        <w:t xml:space="preserve"> implications for intervention</w:t>
      </w:r>
      <w:bookmarkEnd w:id="84"/>
    </w:p>
    <w:p w:rsidR="007321BF" w:rsidRPr="00B934B6" w:rsidRDefault="007321BF" w:rsidP="00A17FF5">
      <w:pPr>
        <w:pStyle w:val="Quote"/>
      </w:pPr>
      <w:r w:rsidRPr="00B934B6">
        <w:t>“</w:t>
      </w:r>
      <w:r w:rsidR="00F539BA" w:rsidRPr="00B934B6">
        <w:t xml:space="preserve">The results from this national </w:t>
      </w:r>
      <w:r w:rsidRPr="00B934B6">
        <w:t>surveillance project shifts attention away from lag indicators, such as compensation claims, and brings Australia up to international best practice standards for proactive psychosocial risk prevention and intervention policy by providing a science driven basis for improving working conditions and worker wellbeing</w:t>
      </w:r>
      <w:r w:rsidR="009964AD">
        <w:t>.</w:t>
      </w:r>
      <w:r w:rsidRPr="00B934B6">
        <w:t>”</w:t>
      </w:r>
    </w:p>
    <w:p w:rsidR="0076164D" w:rsidRDefault="0076164D" w:rsidP="00B934B6">
      <w:r w:rsidRPr="00332F09">
        <w:t>In summary</w:t>
      </w:r>
      <w:r>
        <w:t xml:space="preserve">, </w:t>
      </w:r>
      <w:r w:rsidRPr="00332F09">
        <w:t xml:space="preserve">the AWB results </w:t>
      </w:r>
      <w:r>
        <w:t xml:space="preserve">confirm </w:t>
      </w:r>
      <w:r w:rsidR="00577FA0">
        <w:t xml:space="preserve">important relationships exist with </w:t>
      </w:r>
      <w:r>
        <w:t>psychosocial risk factors at work</w:t>
      </w:r>
      <w:r w:rsidR="00795EBB">
        <w:t>.</w:t>
      </w:r>
      <w:r>
        <w:t xml:space="preserve"> The results also </w:t>
      </w:r>
      <w:r w:rsidR="0092458F">
        <w:t>indicate</w:t>
      </w:r>
      <w:r w:rsidRPr="00332F09">
        <w:t xml:space="preserve"> that </w:t>
      </w:r>
      <w:r>
        <w:t>safe work</w:t>
      </w:r>
      <w:r w:rsidRPr="00332F09">
        <w:t xml:space="preserve"> strategies</w:t>
      </w:r>
      <w:r>
        <w:t xml:space="preserve"> and workplace interventions</w:t>
      </w:r>
      <w:r w:rsidRPr="00332F09">
        <w:t xml:space="preserve"> will </w:t>
      </w:r>
      <w:r>
        <w:t>be</w:t>
      </w:r>
      <w:r w:rsidRPr="00332F09">
        <w:t xml:space="preserve"> most effective if directed at reducing emotional </w:t>
      </w:r>
      <w:r w:rsidR="00AB2A08">
        <w:t xml:space="preserve">demands </w:t>
      </w:r>
      <w:r w:rsidRPr="00332F09">
        <w:t xml:space="preserve">and </w:t>
      </w:r>
      <w:r w:rsidR="008731C2">
        <w:t>work pressure</w:t>
      </w:r>
      <w:r>
        <w:t>,</w:t>
      </w:r>
      <w:r w:rsidRPr="00332F09">
        <w:t xml:space="preserve"> improv</w:t>
      </w:r>
      <w:r>
        <w:t xml:space="preserve">ing </w:t>
      </w:r>
      <w:r w:rsidRPr="00332F09">
        <w:t>work-life balance</w:t>
      </w:r>
      <w:r>
        <w:t>,</w:t>
      </w:r>
      <w:r w:rsidRPr="00332F09">
        <w:t xml:space="preserve"> and proactively address</w:t>
      </w:r>
      <w:r>
        <w:t>ing bullying and</w:t>
      </w:r>
      <w:r w:rsidRPr="00332F09">
        <w:t xml:space="preserve"> harassment issues by promoting appropriate workplace behaviour.</w:t>
      </w:r>
      <w:r>
        <w:t xml:space="preserve"> Organisations and employers </w:t>
      </w:r>
      <w:r w:rsidRPr="00332F09">
        <w:t xml:space="preserve">will also benefit from addressing </w:t>
      </w:r>
      <w:r>
        <w:t xml:space="preserve">levels of </w:t>
      </w:r>
      <w:r w:rsidRPr="00332F09">
        <w:t>organisational reward</w:t>
      </w:r>
      <w:r>
        <w:t xml:space="preserve"> provided to employees</w:t>
      </w:r>
      <w:r w:rsidRPr="00332F09">
        <w:t xml:space="preserve"> by encouraging employers to consider the importance that respect, recognition, job security</w:t>
      </w:r>
      <w:r>
        <w:t>, and the</w:t>
      </w:r>
      <w:r w:rsidRPr="00332F09">
        <w:t xml:space="preserve"> </w:t>
      </w:r>
      <w:r>
        <w:t>opportunity</w:t>
      </w:r>
      <w:r w:rsidRPr="00332F09">
        <w:t xml:space="preserve"> for</w:t>
      </w:r>
      <w:r>
        <w:t xml:space="preserve"> career</w:t>
      </w:r>
      <w:r w:rsidRPr="00332F09">
        <w:t xml:space="preserve"> development can have on improving employee productivity and wellbeing. Th</w:t>
      </w:r>
      <w:r>
        <w:t>ese aspects</w:t>
      </w:r>
      <w:r w:rsidRPr="00332F09">
        <w:t xml:space="preserve"> </w:t>
      </w:r>
      <w:r>
        <w:t>are becoming increasingly</w:t>
      </w:r>
      <w:r w:rsidRPr="00332F09">
        <w:t xml:space="preserve"> important with growing trends towards casual, contract</w:t>
      </w:r>
      <w:r>
        <w:t>,</w:t>
      </w:r>
      <w:r w:rsidRPr="00332F09">
        <w:t xml:space="preserve"> and part-time employment and should therefore feature in </w:t>
      </w:r>
      <w:r w:rsidR="00116E7C">
        <w:t xml:space="preserve">Australian work health and safety </w:t>
      </w:r>
      <w:r w:rsidR="007566E0">
        <w:t>strategy development.</w:t>
      </w:r>
    </w:p>
    <w:p w:rsidR="003006B2" w:rsidRDefault="0076164D" w:rsidP="00B934B6">
      <w:r w:rsidRPr="00332F09">
        <w:t>Other influential factors include supervisor support, organisational justice</w:t>
      </w:r>
      <w:r>
        <w:t>,</w:t>
      </w:r>
      <w:r w:rsidRPr="00332F09">
        <w:t xml:space="preserve"> and increasing employee control </w:t>
      </w:r>
      <w:r>
        <w:t xml:space="preserve">concerning </w:t>
      </w:r>
      <w:r w:rsidRPr="00332F09">
        <w:t>how they utilise their skills and ability to influe</w:t>
      </w:r>
      <w:r w:rsidR="00401438">
        <w:t xml:space="preserve">nce decision-making processes. </w:t>
      </w:r>
      <w:r>
        <w:t xml:space="preserve">Those at most risk such as workers aged 25 to </w:t>
      </w:r>
      <w:r w:rsidR="00650965">
        <w:t xml:space="preserve">44, and employees in the </w:t>
      </w:r>
      <w:r w:rsidR="00465742">
        <w:t>T</w:t>
      </w:r>
      <w:r w:rsidR="00AB2A08">
        <w:t xml:space="preserve">ransport and storage </w:t>
      </w:r>
      <w:r w:rsidR="0045728B">
        <w:t>and</w:t>
      </w:r>
      <w:r w:rsidR="00AB2A08">
        <w:t xml:space="preserve"> </w:t>
      </w:r>
      <w:r w:rsidR="0045728B">
        <w:t>A</w:t>
      </w:r>
      <w:r w:rsidR="00963237">
        <w:t>ccommodation, cafes and restaurants</w:t>
      </w:r>
      <w:r w:rsidR="00650965">
        <w:t xml:space="preserve"> </w:t>
      </w:r>
      <w:r>
        <w:t xml:space="preserve">industries would benefit from specific and immediate </w:t>
      </w:r>
      <w:r w:rsidR="00AB2A08">
        <w:t xml:space="preserve">national </w:t>
      </w:r>
      <w:r>
        <w:t xml:space="preserve">intervention. </w:t>
      </w:r>
      <w:r w:rsidR="003006B2">
        <w:t>State based interventions are needed to target at risk industries that are particular to each state or territory.</w:t>
      </w:r>
    </w:p>
    <w:p w:rsidR="0076164D" w:rsidRDefault="0076164D" w:rsidP="00B934B6">
      <w:r>
        <w:t>Health outcomes for women would likely improve if provided with more control in their work as well as continuing effort</w:t>
      </w:r>
      <w:r w:rsidR="00F75927">
        <w:t>s</w:t>
      </w:r>
      <w:r>
        <w:t xml:space="preserve"> to reduce sexual harassment and improve gender equality. Men would likely benefit from more flexible working conditions and increased work</w:t>
      </w:r>
      <w:r w:rsidR="00453A01">
        <w:t>-</w:t>
      </w:r>
      <w:r>
        <w:t xml:space="preserve">life balance </w:t>
      </w:r>
      <w:r w:rsidR="003006B2">
        <w:t>as well as</w:t>
      </w:r>
      <w:r w:rsidR="00AB2A08">
        <w:t xml:space="preserve"> the</w:t>
      </w:r>
      <w:r>
        <w:t xml:space="preserve"> promotion of positive working environments where sexual humour, swearing and yelling </w:t>
      </w:r>
      <w:r w:rsidR="003006B2">
        <w:t>are</w:t>
      </w:r>
      <w:r>
        <w:t xml:space="preserve"> not </w:t>
      </w:r>
      <w:r w:rsidR="003006B2">
        <w:t xml:space="preserve">considered </w:t>
      </w:r>
      <w:r>
        <w:t>an acceptable practice.</w:t>
      </w:r>
    </w:p>
    <w:p w:rsidR="00876A5D" w:rsidRDefault="0076164D" w:rsidP="00B934B6">
      <w:r w:rsidRPr="00332F09">
        <w:t xml:space="preserve">It should also be </w:t>
      </w:r>
      <w:r w:rsidR="003006B2">
        <w:t>noted</w:t>
      </w:r>
      <w:r w:rsidRPr="00332F09">
        <w:t xml:space="preserve"> that interventions to address these issues may not be effective if organisations have low PSC as research </w:t>
      </w:r>
      <w:r>
        <w:t>indicates</w:t>
      </w:r>
      <w:r w:rsidRPr="00332F09">
        <w:t xml:space="preserve"> that strategies to improve psychosocial risk factors may only be</w:t>
      </w:r>
      <w:r w:rsidR="0072649E">
        <w:t xml:space="preserve"> effective in organisations</w:t>
      </w:r>
      <w:r w:rsidRPr="00332F09">
        <w:t xml:space="preserve"> </w:t>
      </w:r>
      <w:r w:rsidR="00465742">
        <w:t xml:space="preserve">when the starting conditions are amenable (i.e. </w:t>
      </w:r>
      <w:r w:rsidRPr="00332F09">
        <w:t>high PSC</w:t>
      </w:r>
      <w:r w:rsidR="00465742">
        <w:t>)</w:t>
      </w:r>
      <w:r w:rsidR="00600572">
        <w:t xml:space="preserve"> (Dollard, 2012)</w:t>
      </w:r>
      <w:r w:rsidRPr="00332F09">
        <w:t xml:space="preserve">. </w:t>
      </w:r>
      <w:r w:rsidR="007C1CCA">
        <w:t>This implies a multi-stage intervention strategy. I</w:t>
      </w:r>
      <w:r w:rsidRPr="00332F09">
        <w:t>mproving organisational PSC, which will likely lead to reduce</w:t>
      </w:r>
      <w:r>
        <w:t xml:space="preserve">d </w:t>
      </w:r>
      <w:r w:rsidRPr="00332F09">
        <w:t>risk and improved employee health, should be considered a priority for all intervention</w:t>
      </w:r>
      <w:r>
        <w:t xml:space="preserve"> and primary prevention</w:t>
      </w:r>
      <w:r w:rsidRPr="00332F09">
        <w:t xml:space="preserve"> strategie</w:t>
      </w:r>
      <w:r w:rsidR="00A828B8">
        <w:t>s. Psychosocial risk assessment and management play is an impor</w:t>
      </w:r>
      <w:r w:rsidR="00A17FF5">
        <w:t>tant component of a strong PSC.</w:t>
      </w:r>
    </w:p>
    <w:p w:rsidR="0076164D" w:rsidRDefault="0001205D" w:rsidP="00B934B6">
      <w:r>
        <w:t>In order to ensure that organisations are adhering to best practice standards for psychological injury prevention it is recommended that regular systematic measures of factors such as PSC be required by legislation, particularly for those industries that have been identified as being at high risk.</w:t>
      </w:r>
      <w:r w:rsidR="00401438">
        <w:t xml:space="preserve"> </w:t>
      </w:r>
      <w:r w:rsidR="00876A5D">
        <w:t>Other best practice strategies may include codes of practice requiring psychosocial safety climate and/or risk factor statistics to be provided in annual workfo</w:t>
      </w:r>
      <w:r w:rsidR="00C65C6B">
        <w:t>rce health and safety reports.</w:t>
      </w:r>
    </w:p>
    <w:p w:rsidR="00963237" w:rsidRPr="003006B2" w:rsidRDefault="009D5A2C" w:rsidP="005F6E13">
      <w:pPr>
        <w:pStyle w:val="Heading1"/>
        <w:spacing w:before="0" w:after="100" w:afterAutospacing="1"/>
      </w:pPr>
      <w:bookmarkStart w:id="85" w:name="_Toc343502452"/>
      <w:r w:rsidRPr="003006B2">
        <w:lastRenderedPageBreak/>
        <w:t>Conclusion and future directions</w:t>
      </w:r>
      <w:bookmarkEnd w:id="85"/>
    </w:p>
    <w:p w:rsidR="007321BF" w:rsidRPr="00C84DF9" w:rsidRDefault="007321BF" w:rsidP="00C84DF9">
      <w:pPr>
        <w:pStyle w:val="Quote"/>
      </w:pPr>
      <w:r w:rsidRPr="00C84DF9">
        <w:t xml:space="preserve">“PSC precedes work conditions and its effects flow </w:t>
      </w:r>
      <w:r w:rsidR="004D27D1" w:rsidRPr="00C84DF9">
        <w:t>on to health and work outcomes</w:t>
      </w:r>
      <w:r w:rsidR="00CF4470" w:rsidRPr="00C84DF9">
        <w:t>.</w:t>
      </w:r>
      <w:r w:rsidR="004D27D1" w:rsidRPr="00C84DF9">
        <w:t>”</w:t>
      </w:r>
    </w:p>
    <w:p w:rsidR="00375C41" w:rsidRDefault="0076164D" w:rsidP="00B934B6">
      <w:r w:rsidRPr="00DE4562">
        <w:t xml:space="preserve">The main objectives of the AWB project </w:t>
      </w:r>
      <w:r w:rsidR="007A048A">
        <w:t xml:space="preserve">were achieved </w:t>
      </w:r>
      <w:r w:rsidR="00375C41">
        <w:t xml:space="preserve">in that the results were used to </w:t>
      </w:r>
      <w:r w:rsidRPr="00DE4562">
        <w:t xml:space="preserve">develop a </w:t>
      </w:r>
      <w:r w:rsidR="00EE248F" w:rsidRPr="00F077CA">
        <w:t>national</w:t>
      </w:r>
      <w:r w:rsidR="00EE248F" w:rsidRPr="00981EB6">
        <w:t>ly</w:t>
      </w:r>
      <w:r w:rsidR="00EE248F">
        <w:t xml:space="preserve"> </w:t>
      </w:r>
      <w:r w:rsidR="00EE248F" w:rsidRPr="00DE4562">
        <w:t>representative</w:t>
      </w:r>
      <w:r w:rsidRPr="00DE4562">
        <w:t xml:space="preserve"> database of psychosocia</w:t>
      </w:r>
      <w:r w:rsidR="007A048A">
        <w:t>l risk levels</w:t>
      </w:r>
      <w:r w:rsidR="00401438">
        <w:t xml:space="preserve">. </w:t>
      </w:r>
      <w:r w:rsidR="00375C41">
        <w:t>This led to the identification of at risk groups based on aspec</w:t>
      </w:r>
      <w:r w:rsidR="00401438">
        <w:t xml:space="preserve">ts such as age and industries. </w:t>
      </w:r>
      <w:r w:rsidR="00375C41">
        <w:t>Risk levels were also reported for industries in each state to guide state and national</w:t>
      </w:r>
      <w:r w:rsidR="0045728B">
        <w:t>ly</w:t>
      </w:r>
      <w:r w:rsidR="00375C41">
        <w:t xml:space="preserve"> based </w:t>
      </w:r>
      <w:r w:rsidR="007A048A">
        <w:t>interventions</w:t>
      </w:r>
      <w:r w:rsidR="00401438">
        <w:t xml:space="preserve">. </w:t>
      </w:r>
      <w:r w:rsidR="00375C41">
        <w:t>The cost of poor worker wellbeing was also calculated and provide</w:t>
      </w:r>
      <w:r w:rsidR="00465742">
        <w:t>s</w:t>
      </w:r>
      <w:r w:rsidR="00375C41">
        <w:t xml:space="preserve"> evidence for potential benefits to </w:t>
      </w:r>
      <w:r w:rsidR="0045728B">
        <w:t xml:space="preserve">workers, </w:t>
      </w:r>
      <w:r w:rsidR="007A048A">
        <w:t>organisations</w:t>
      </w:r>
      <w:r w:rsidR="00375C41">
        <w:t>, employer</w:t>
      </w:r>
      <w:r w:rsidR="0045728B">
        <w:t>s</w:t>
      </w:r>
      <w:r w:rsidR="00375C41">
        <w:t xml:space="preserve"> and the wider Australian society. These results can now be </w:t>
      </w:r>
      <w:r w:rsidR="00465742">
        <w:t xml:space="preserve">used </w:t>
      </w:r>
      <w:r w:rsidR="00375C41">
        <w:t xml:space="preserve">in the </w:t>
      </w:r>
      <w:r w:rsidR="00375C41" w:rsidRPr="00DE4562">
        <w:t xml:space="preserve">design and </w:t>
      </w:r>
      <w:r w:rsidR="00375C41">
        <w:t>evaluation of</w:t>
      </w:r>
      <w:r w:rsidR="00375C41" w:rsidRPr="00DE4562">
        <w:t xml:space="preserve"> </w:t>
      </w:r>
      <w:r w:rsidR="00375C41">
        <w:t>work health and safety</w:t>
      </w:r>
      <w:r w:rsidR="00375C41" w:rsidRPr="00DE4562">
        <w:t xml:space="preserve"> interventions, prevention ca</w:t>
      </w:r>
      <w:r w:rsidR="00375C41">
        <w:t>mpaigns, policies and codes of practice</w:t>
      </w:r>
      <w:r w:rsidR="00401438">
        <w:t xml:space="preserve">. </w:t>
      </w:r>
      <w:r w:rsidR="007A048A">
        <w:t xml:space="preserve">To date data from over </w:t>
      </w:r>
      <w:r w:rsidR="00981EB6">
        <w:t>5</w:t>
      </w:r>
      <w:r w:rsidR="0072649E">
        <w:t xml:space="preserve"> </w:t>
      </w:r>
      <w:r w:rsidR="00981EB6">
        <w:t>743 interviews</w:t>
      </w:r>
      <w:r w:rsidR="007A048A">
        <w:t xml:space="preserve"> from NSW, WA, SA, </w:t>
      </w:r>
      <w:r w:rsidR="0045728B">
        <w:t xml:space="preserve">the </w:t>
      </w:r>
      <w:r w:rsidR="007A048A">
        <w:t xml:space="preserve">NT, </w:t>
      </w:r>
      <w:r w:rsidR="0045728B">
        <w:t xml:space="preserve">the </w:t>
      </w:r>
      <w:r w:rsidR="007A048A">
        <w:t xml:space="preserve">ACT and </w:t>
      </w:r>
      <w:r w:rsidR="0045728B">
        <w:t xml:space="preserve">Tasmania </w:t>
      </w:r>
      <w:r w:rsidR="007A048A">
        <w:t>has been collected. Repeat measures have been collected from NSW and WA, and will be collected in SA in 2012.</w:t>
      </w:r>
    </w:p>
    <w:p w:rsidR="00E651B2" w:rsidRDefault="00E651B2" w:rsidP="00B934B6">
      <w:r>
        <w:t>Continued systematic surveillance of psychosocial risk factors at work is required</w:t>
      </w:r>
      <w:r w:rsidRPr="00695CF6">
        <w:t xml:space="preserve"> </w:t>
      </w:r>
      <w:r>
        <w:t xml:space="preserve">at the national level to inform national policy and interventions. </w:t>
      </w:r>
      <w:r w:rsidRPr="00695CF6">
        <w:t>Most intervention studies focus on job</w:t>
      </w:r>
      <w:r>
        <w:t xml:space="preserve"> specific or individual based</w:t>
      </w:r>
      <w:r w:rsidRPr="00695CF6">
        <w:t xml:space="preserve"> interventions, whereas interventions at the organ</w:t>
      </w:r>
      <w:r w:rsidR="00723A04">
        <w:t>isational and macro-level (i.e.</w:t>
      </w:r>
      <w:r w:rsidR="00A17FF5">
        <w:t> </w:t>
      </w:r>
      <w:r w:rsidRPr="00695CF6">
        <w:t xml:space="preserve">state) have </w:t>
      </w:r>
      <w:r>
        <w:t>been largely ignored (Leka, Cox, &amp; Zwetsloot,</w:t>
      </w:r>
      <w:r w:rsidRPr="00695CF6">
        <w:t xml:space="preserve"> 2008). </w:t>
      </w:r>
      <w:r w:rsidRPr="00C325DD">
        <w:t>To date research has found worker health effects due to PSC assessed at an individual level (I</w:t>
      </w:r>
      <w:r>
        <w:t>dris, Dollard, &amp; Winefield, 2011</w:t>
      </w:r>
      <w:r w:rsidRPr="00C325DD">
        <w:t xml:space="preserve">), at a work unit level (Dollard &amp; Bakker, 2010; Dollard, Tuckey, &amp; Dormann, 2012), at an organisational level (Law et al., 2010), and at an industry level (this research) and now at a </w:t>
      </w:r>
      <w:r w:rsidRPr="00F077CA">
        <w:t>national</w:t>
      </w:r>
      <w:r>
        <w:t xml:space="preserve"> </w:t>
      </w:r>
      <w:r w:rsidRPr="00C325DD">
        <w:t>level (Dollard &amp; Neser</w:t>
      </w:r>
      <w:r>
        <w:t>, in review</w:t>
      </w:r>
      <w:r w:rsidRPr="00C325DD">
        <w:t>).</w:t>
      </w:r>
      <w:r>
        <w:t xml:space="preserve"> </w:t>
      </w:r>
      <w:r w:rsidR="00A828B8" w:rsidRPr="00EE0CCF">
        <w:rPr>
          <w:lang w:val="en-GB"/>
        </w:rPr>
        <w:t>Considering the concept of hier</w:t>
      </w:r>
      <w:r w:rsidR="00A828B8">
        <w:rPr>
          <w:lang w:val="en-GB"/>
        </w:rPr>
        <w:t xml:space="preserve">archy of levels, the recommended focus is on the organisational level or on higher-order interventions. </w:t>
      </w:r>
      <w:r>
        <w:t>A growing body of evidence suggests that building PSC at an organisational level will assist in improving Australian working conditions for psychological health and productivity. Future research will also investigate the possibility of building PSC at the state and national levels, and evaluating efforts towards this.</w:t>
      </w:r>
    </w:p>
    <w:p w:rsidR="00E651B2" w:rsidRDefault="00E651B2" w:rsidP="00B934B6">
      <w:r>
        <w:t>There are a number of li</w:t>
      </w:r>
      <w:r w:rsidR="00EE248F">
        <w:t>mitations in relation to the gen</w:t>
      </w:r>
      <w:r>
        <w:t>eralisability of these results for the following reasons.  First, state levels of analysis were based on reported location of where the participant lives. It is possible that some participants work in a</w:t>
      </w:r>
      <w:r w:rsidR="004F46B9">
        <w:t xml:space="preserve"> state</w:t>
      </w:r>
      <w:r>
        <w:t xml:space="preserve"> different </w:t>
      </w:r>
      <w:r w:rsidR="004F46B9">
        <w:t>from where they reside, so</w:t>
      </w:r>
      <w:r>
        <w:t xml:space="preserve"> their reported levels of psychosocial risk would be counted </w:t>
      </w:r>
      <w:r w:rsidR="004F46B9">
        <w:t>in their state of residence rather than state of employment</w:t>
      </w:r>
      <w:r w:rsidR="00F539BA">
        <w:t>.</w:t>
      </w:r>
      <w:r>
        <w:t xml:space="preserve"> In addition, this research is focused on psychosocial risk assessment fr</w:t>
      </w:r>
      <w:r w:rsidR="00F539BA">
        <w:t>om a psychological perspective.</w:t>
      </w:r>
      <w:r>
        <w:t xml:space="preserve"> It may not necessar</w:t>
      </w:r>
      <w:r w:rsidR="009733EA">
        <w:t>ily</w:t>
      </w:r>
      <w:r>
        <w:t xml:space="preserve"> reflect a range of risks for more physical bas</w:t>
      </w:r>
      <w:r w:rsidR="00F539BA">
        <w:t>ed industries and environments.</w:t>
      </w:r>
      <w:r>
        <w:t xml:space="preserve"> Results for these industries should be taken in consideration with other analys</w:t>
      </w:r>
      <w:r w:rsidR="002E2C2F">
        <w:t>e</w:t>
      </w:r>
      <w:r>
        <w:t>s of a more physical nature</w:t>
      </w:r>
      <w:r w:rsidR="002E2C2F" w:rsidRPr="002E2C2F">
        <w:t xml:space="preserve"> </w:t>
      </w:r>
      <w:r w:rsidR="002E2C2F">
        <w:t>in order to provide a more holistic review of safety factors relevant to these workers</w:t>
      </w:r>
      <w:r>
        <w:t xml:space="preserve"> </w:t>
      </w:r>
      <w:r w:rsidR="002E2C2F">
        <w:t>(</w:t>
      </w:r>
      <w:r>
        <w:t>such as utilising safety climate theory</w:t>
      </w:r>
      <w:r w:rsidR="002E2C2F">
        <w:t>).</w:t>
      </w:r>
    </w:p>
    <w:p w:rsidR="0076164D" w:rsidRDefault="0076164D" w:rsidP="00B934B6">
      <w:r>
        <w:t xml:space="preserve">Several projects </w:t>
      </w:r>
      <w:r w:rsidR="00801FC0">
        <w:t xml:space="preserve">have been proposed </w:t>
      </w:r>
      <w:r w:rsidR="00BD197F">
        <w:t xml:space="preserve">by members of the Centre for Applied Psychological Research such as organisation specific psychosocial risk assessment, development of a psychosocial risk audit tool and workshops for </w:t>
      </w:r>
      <w:r w:rsidR="009733EA">
        <w:t xml:space="preserve">work health and safety </w:t>
      </w:r>
      <w:r w:rsidR="00BD197F">
        <w:t xml:space="preserve">workers </w:t>
      </w:r>
      <w:r w:rsidR="00801FC0">
        <w:t>to build</w:t>
      </w:r>
      <w:r w:rsidRPr="00695CF6">
        <w:t xml:space="preserve"> PSC at the organisational and </w:t>
      </w:r>
      <w:r w:rsidR="00801FC0">
        <w:t>industry</w:t>
      </w:r>
      <w:r w:rsidRPr="00695CF6">
        <w:t xml:space="preserve"> level</w:t>
      </w:r>
      <w:r w:rsidR="00801FC0">
        <w:t>s</w:t>
      </w:r>
      <w:r w:rsidRPr="00695CF6">
        <w:t xml:space="preserve">. Before and after evaluations of </w:t>
      </w:r>
      <w:r w:rsidR="00C70C84">
        <w:t>interventions</w:t>
      </w:r>
      <w:r w:rsidRPr="00695CF6">
        <w:t xml:space="preserve"> within different organisations will be conducted using the AWB tool. A secondary but important goal here is to develop a short industry friendly tool based on the AWB </w:t>
      </w:r>
      <w:r>
        <w:t>instrument</w:t>
      </w:r>
      <w:r w:rsidRPr="00695CF6">
        <w:t xml:space="preserve"> to assess psychosocial risk within the industry. </w:t>
      </w:r>
      <w:r w:rsidR="00453A01">
        <w:t>A</w:t>
      </w:r>
      <w:r w:rsidR="0015680E">
        <w:t xml:space="preserve"> </w:t>
      </w:r>
      <w:r w:rsidRPr="00695CF6">
        <w:t xml:space="preserve">state-level intervention </w:t>
      </w:r>
      <w:r w:rsidR="0015680E">
        <w:t>to train</w:t>
      </w:r>
      <w:r w:rsidR="0015680E" w:rsidRPr="00695CF6">
        <w:t xml:space="preserve"> </w:t>
      </w:r>
      <w:r w:rsidRPr="00695CF6">
        <w:t xml:space="preserve">workplace inspectors </w:t>
      </w:r>
      <w:r>
        <w:t>about identifying and assessing psychosocial risks as well as utilising tools such as online AWB reports</w:t>
      </w:r>
      <w:r w:rsidR="00F75927">
        <w:t xml:space="preserve"> is underway</w:t>
      </w:r>
      <w:r w:rsidR="00BD197F">
        <w:t xml:space="preserve"> in South Australia, with plans to extend this training nationally and internationally</w:t>
      </w:r>
      <w:r w:rsidR="00A2092F">
        <w:t>.</w:t>
      </w:r>
    </w:p>
    <w:p w:rsidR="0076164D" w:rsidRDefault="007A048A" w:rsidP="00B934B6">
      <w:r>
        <w:lastRenderedPageBreak/>
        <w:t>Future o</w:t>
      </w:r>
      <w:r w:rsidR="0076164D">
        <w:t>bject</w:t>
      </w:r>
      <w:r>
        <w:t>ive</w:t>
      </w:r>
      <w:r w:rsidR="0076164D">
        <w:t xml:space="preserve">s of the </w:t>
      </w:r>
      <w:r w:rsidR="0076164D" w:rsidRPr="00695CF6">
        <w:t>AWB project</w:t>
      </w:r>
      <w:r w:rsidR="002C0AC8">
        <w:t>,</w:t>
      </w:r>
      <w:r w:rsidR="0076164D" w:rsidRPr="00695CF6">
        <w:t xml:space="preserve"> </w:t>
      </w:r>
      <w:r>
        <w:t>that require continued data collection and coll</w:t>
      </w:r>
      <w:r w:rsidR="002C0AC8">
        <w:t>aborative partnerships,</w:t>
      </w:r>
      <w:r>
        <w:t xml:space="preserve"> will involve a more thorough examination of causal factors based on longitudinal data</w:t>
      </w:r>
      <w:r w:rsidR="0076164D">
        <w:t xml:space="preserve"> </w:t>
      </w:r>
      <w:r>
        <w:t>outcomes</w:t>
      </w:r>
      <w:r w:rsidR="00401438">
        <w:t xml:space="preserve">. </w:t>
      </w:r>
      <w:r w:rsidR="002C0AC8">
        <w:t>These objectives include</w:t>
      </w:r>
      <w:r w:rsidR="0015680E">
        <w:t xml:space="preserve"> to</w:t>
      </w:r>
      <w:r w:rsidR="0076164D" w:rsidRPr="00695CF6">
        <w:t>:</w:t>
      </w:r>
    </w:p>
    <w:p w:rsidR="0076164D" w:rsidRPr="0040008A" w:rsidRDefault="0045728B" w:rsidP="006409D1">
      <w:pPr>
        <w:pStyle w:val="ListParagraph"/>
        <w:numPr>
          <w:ilvl w:val="0"/>
          <w:numId w:val="3"/>
        </w:numPr>
        <w:spacing w:before="100" w:beforeAutospacing="1" w:after="100" w:afterAutospacing="1"/>
        <w:rPr>
          <w:rFonts w:ascii="Arial" w:hAnsi="Arial" w:cs="Arial"/>
        </w:rPr>
      </w:pPr>
      <w:r w:rsidRPr="0040008A">
        <w:rPr>
          <w:rFonts w:ascii="Arial" w:hAnsi="Arial" w:cs="Arial"/>
        </w:rPr>
        <w:t>t</w:t>
      </w:r>
      <w:r w:rsidR="0076164D" w:rsidRPr="0040008A">
        <w:rPr>
          <w:rFonts w:ascii="Arial" w:hAnsi="Arial" w:cs="Arial"/>
        </w:rPr>
        <w:t>rack cohorts over time</w:t>
      </w:r>
      <w:r w:rsidR="002C0AC8" w:rsidRPr="0040008A">
        <w:rPr>
          <w:rFonts w:ascii="Arial" w:hAnsi="Arial" w:cs="Arial"/>
        </w:rPr>
        <w:t xml:space="preserve"> and monitor changing trends</w:t>
      </w:r>
    </w:p>
    <w:p w:rsidR="0076164D" w:rsidRPr="0040008A" w:rsidRDefault="0045728B" w:rsidP="006409D1">
      <w:pPr>
        <w:pStyle w:val="ListParagraph"/>
        <w:numPr>
          <w:ilvl w:val="0"/>
          <w:numId w:val="3"/>
        </w:numPr>
        <w:spacing w:before="100" w:beforeAutospacing="1" w:after="100" w:afterAutospacing="1"/>
        <w:rPr>
          <w:rFonts w:ascii="Arial" w:hAnsi="Arial" w:cs="Arial"/>
        </w:rPr>
      </w:pPr>
      <w:r w:rsidRPr="0040008A">
        <w:rPr>
          <w:rFonts w:ascii="Arial" w:hAnsi="Arial" w:cs="Arial"/>
        </w:rPr>
        <w:t>t</w:t>
      </w:r>
      <w:r w:rsidR="0076164D" w:rsidRPr="0040008A">
        <w:rPr>
          <w:rFonts w:ascii="Arial" w:hAnsi="Arial" w:cs="Arial"/>
        </w:rPr>
        <w:t xml:space="preserve">est a multilevel model of PSC longitudinally combining data </w:t>
      </w:r>
      <w:r w:rsidR="00DA2B94">
        <w:rPr>
          <w:rFonts w:ascii="Arial" w:hAnsi="Arial" w:cs="Arial"/>
        </w:rPr>
        <w:t>from all states and territories</w:t>
      </w:r>
    </w:p>
    <w:p w:rsidR="0076164D" w:rsidRPr="0040008A" w:rsidRDefault="0045728B" w:rsidP="006409D1">
      <w:pPr>
        <w:pStyle w:val="ListParagraph"/>
        <w:numPr>
          <w:ilvl w:val="0"/>
          <w:numId w:val="3"/>
        </w:numPr>
        <w:spacing w:before="100" w:beforeAutospacing="1" w:after="100" w:afterAutospacing="1"/>
        <w:rPr>
          <w:rFonts w:ascii="Arial" w:hAnsi="Arial" w:cs="Arial"/>
        </w:rPr>
      </w:pPr>
      <w:proofErr w:type="gramStart"/>
      <w:r w:rsidRPr="0040008A">
        <w:rPr>
          <w:rFonts w:ascii="Arial" w:hAnsi="Arial" w:cs="Arial"/>
        </w:rPr>
        <w:t>e</w:t>
      </w:r>
      <w:r w:rsidR="0076164D" w:rsidRPr="0040008A">
        <w:rPr>
          <w:rFonts w:ascii="Arial" w:hAnsi="Arial" w:cs="Arial"/>
        </w:rPr>
        <w:t>valuate</w:t>
      </w:r>
      <w:proofErr w:type="gramEnd"/>
      <w:r w:rsidR="0076164D" w:rsidRPr="0040008A">
        <w:rPr>
          <w:rFonts w:ascii="Arial" w:hAnsi="Arial" w:cs="Arial"/>
        </w:rPr>
        <w:t xml:space="preserve"> the impact of national policy or legislation changes. Australia is currently introducing national </w:t>
      </w:r>
      <w:r w:rsidR="00F34DA3" w:rsidRPr="0040008A">
        <w:rPr>
          <w:rFonts w:ascii="Arial" w:hAnsi="Arial" w:cs="Arial"/>
        </w:rPr>
        <w:t>harmonis</w:t>
      </w:r>
      <w:r w:rsidR="0076164D" w:rsidRPr="0040008A">
        <w:rPr>
          <w:rFonts w:ascii="Arial" w:hAnsi="Arial" w:cs="Arial"/>
        </w:rPr>
        <w:t xml:space="preserve">ation of </w:t>
      </w:r>
      <w:r w:rsidR="007566E0" w:rsidRPr="0040008A">
        <w:rPr>
          <w:rFonts w:ascii="Arial" w:hAnsi="Arial" w:cs="Arial"/>
        </w:rPr>
        <w:t>work health and safety</w:t>
      </w:r>
      <w:r w:rsidR="0076164D" w:rsidRPr="0040008A">
        <w:rPr>
          <w:rFonts w:ascii="Arial" w:hAnsi="Arial" w:cs="Arial"/>
        </w:rPr>
        <w:t xml:space="preserve"> legislation. The effects of this reform on work conditions are completely unknown. Our data set will enable us to evaluate the impact of </w:t>
      </w:r>
      <w:r w:rsidR="007566E0" w:rsidRPr="0040008A">
        <w:rPr>
          <w:rFonts w:ascii="Arial" w:hAnsi="Arial" w:cs="Arial"/>
        </w:rPr>
        <w:t xml:space="preserve">work health and safety </w:t>
      </w:r>
      <w:r w:rsidR="00F34DA3" w:rsidRPr="0040008A">
        <w:rPr>
          <w:rFonts w:ascii="Arial" w:hAnsi="Arial" w:cs="Arial"/>
        </w:rPr>
        <w:t>national harmonis</w:t>
      </w:r>
      <w:r w:rsidR="0076164D" w:rsidRPr="0040008A">
        <w:rPr>
          <w:rFonts w:ascii="Arial" w:hAnsi="Arial" w:cs="Arial"/>
        </w:rPr>
        <w:t>ation on psychosocial risks, health and well-being in Australian work environments</w:t>
      </w:r>
    </w:p>
    <w:p w:rsidR="0076164D" w:rsidRPr="0040008A" w:rsidRDefault="0045728B" w:rsidP="006409D1">
      <w:pPr>
        <w:pStyle w:val="ListParagraph"/>
        <w:numPr>
          <w:ilvl w:val="0"/>
          <w:numId w:val="3"/>
        </w:numPr>
        <w:spacing w:before="100" w:beforeAutospacing="1" w:after="100" w:afterAutospacing="1"/>
        <w:rPr>
          <w:rFonts w:ascii="Arial" w:hAnsi="Arial" w:cs="Arial"/>
        </w:rPr>
      </w:pPr>
      <w:r w:rsidRPr="0040008A">
        <w:rPr>
          <w:rFonts w:ascii="Arial" w:hAnsi="Arial" w:cs="Arial"/>
        </w:rPr>
        <w:t>a</w:t>
      </w:r>
      <w:r w:rsidR="0076164D" w:rsidRPr="0040008A">
        <w:rPr>
          <w:rFonts w:ascii="Arial" w:hAnsi="Arial" w:cs="Arial"/>
        </w:rPr>
        <w:t xml:space="preserve">ct to get the best from current data sets through data linkage to other data sets, </w:t>
      </w:r>
      <w:r w:rsidR="00723A04" w:rsidRPr="0040008A">
        <w:rPr>
          <w:rFonts w:ascii="Arial" w:hAnsi="Arial" w:cs="Arial"/>
        </w:rPr>
        <w:t>e.g.</w:t>
      </w:r>
      <w:r w:rsidR="0076164D" w:rsidRPr="0040008A">
        <w:rPr>
          <w:rFonts w:ascii="Arial" w:hAnsi="Arial" w:cs="Arial"/>
        </w:rPr>
        <w:t xml:space="preserve"> Medicare, Safe Work Australia data sets, </w:t>
      </w:r>
      <w:r w:rsidR="007566E0" w:rsidRPr="0040008A">
        <w:rPr>
          <w:rFonts w:ascii="Arial" w:hAnsi="Arial" w:cs="Arial"/>
        </w:rPr>
        <w:t xml:space="preserve">work health and safety </w:t>
      </w:r>
      <w:r w:rsidR="0076164D" w:rsidRPr="0040008A">
        <w:rPr>
          <w:rFonts w:ascii="Arial" w:hAnsi="Arial" w:cs="Arial"/>
        </w:rPr>
        <w:t xml:space="preserve">data re rates of injury by occupation, and the </w:t>
      </w:r>
      <w:r w:rsidR="0076164D" w:rsidRPr="006409D1">
        <w:rPr>
          <w:rFonts w:ascii="Arial" w:hAnsi="Arial" w:cs="Arial"/>
        </w:rPr>
        <w:t>National Coroners Information System</w:t>
      </w:r>
      <w:r w:rsidR="0076164D" w:rsidRPr="0040008A">
        <w:rPr>
          <w:rFonts w:ascii="Arial" w:hAnsi="Arial" w:cs="Arial"/>
        </w:rPr>
        <w:t xml:space="preserve"> </w:t>
      </w:r>
      <w:r w:rsidR="0076164D" w:rsidRPr="006409D1">
        <w:rPr>
          <w:rFonts w:ascii="Arial" w:hAnsi="Arial" w:cs="Arial"/>
        </w:rPr>
        <w:t>to link national death and suicide data to the AWB</w:t>
      </w:r>
    </w:p>
    <w:p w:rsidR="0076164D" w:rsidRPr="0040008A" w:rsidRDefault="0045728B" w:rsidP="006409D1">
      <w:pPr>
        <w:pStyle w:val="ListParagraph"/>
        <w:numPr>
          <w:ilvl w:val="0"/>
          <w:numId w:val="3"/>
        </w:numPr>
        <w:spacing w:before="100" w:beforeAutospacing="1" w:after="100" w:afterAutospacing="1"/>
        <w:rPr>
          <w:rFonts w:ascii="Arial" w:hAnsi="Arial" w:cs="Arial"/>
        </w:rPr>
      </w:pPr>
      <w:r w:rsidRPr="0040008A">
        <w:rPr>
          <w:rFonts w:ascii="Arial" w:hAnsi="Arial" w:cs="Arial"/>
        </w:rPr>
        <w:t>d</w:t>
      </w:r>
      <w:r w:rsidR="0076164D" w:rsidRPr="0040008A">
        <w:rPr>
          <w:rFonts w:ascii="Arial" w:hAnsi="Arial" w:cs="Arial"/>
        </w:rPr>
        <w:t>evelop productivity metrics and estimate costs of psychosocial risks to employers in terms of lost productivity due to presenteeism and absenteeism in dollar terms</w:t>
      </w:r>
      <w:r w:rsidRPr="0040008A">
        <w:rPr>
          <w:rFonts w:ascii="Arial" w:hAnsi="Arial" w:cs="Arial"/>
        </w:rPr>
        <w:t>, and</w:t>
      </w:r>
    </w:p>
    <w:p w:rsidR="00A2092F" w:rsidRPr="0040008A" w:rsidRDefault="00A2092F" w:rsidP="006409D1">
      <w:pPr>
        <w:pStyle w:val="ListParagraph"/>
        <w:numPr>
          <w:ilvl w:val="0"/>
          <w:numId w:val="3"/>
        </w:numPr>
        <w:spacing w:before="100" w:beforeAutospacing="1" w:after="100" w:afterAutospacing="1"/>
        <w:rPr>
          <w:rFonts w:ascii="Arial" w:hAnsi="Arial" w:cs="Arial"/>
        </w:rPr>
      </w:pPr>
      <w:proofErr w:type="gramStart"/>
      <w:r w:rsidRPr="0040008A">
        <w:rPr>
          <w:rFonts w:ascii="Arial" w:hAnsi="Arial" w:cs="Arial"/>
        </w:rPr>
        <w:t>testing</w:t>
      </w:r>
      <w:proofErr w:type="gramEnd"/>
      <w:r w:rsidRPr="0040008A">
        <w:rPr>
          <w:rFonts w:ascii="Arial" w:hAnsi="Arial" w:cs="Arial"/>
        </w:rPr>
        <w:t xml:space="preserve"> of </w:t>
      </w:r>
      <w:r w:rsidR="00981EB6" w:rsidRPr="0040008A">
        <w:rPr>
          <w:rFonts w:ascii="Arial" w:hAnsi="Arial" w:cs="Arial"/>
        </w:rPr>
        <w:t xml:space="preserve">the </w:t>
      </w:r>
      <w:r w:rsidRPr="0040008A">
        <w:rPr>
          <w:rFonts w:ascii="Arial" w:hAnsi="Arial" w:cs="Arial"/>
        </w:rPr>
        <w:t>recently develop</w:t>
      </w:r>
      <w:r w:rsidR="009733EA" w:rsidRPr="0040008A">
        <w:rPr>
          <w:rFonts w:ascii="Arial" w:hAnsi="Arial" w:cs="Arial"/>
        </w:rPr>
        <w:t>ed</w:t>
      </w:r>
      <w:r w:rsidRPr="0040008A">
        <w:rPr>
          <w:rFonts w:ascii="Arial" w:hAnsi="Arial" w:cs="Arial"/>
        </w:rPr>
        <w:t xml:space="preserve"> PSC Hierarchy of Control (PSC HOC)</w:t>
      </w:r>
      <w:r w:rsidR="00981EB6" w:rsidRPr="0040008A">
        <w:rPr>
          <w:rFonts w:ascii="Arial" w:hAnsi="Arial" w:cs="Arial"/>
        </w:rPr>
        <w:t xml:space="preserve">, which is a practical tool based on PSC theory that can be used to address psychosocial risk factors in a top-down process similar to </w:t>
      </w:r>
      <w:r w:rsidR="009733EA" w:rsidRPr="0040008A">
        <w:rPr>
          <w:rFonts w:ascii="Arial" w:hAnsi="Arial" w:cs="Arial"/>
        </w:rPr>
        <w:t>work health and safety</w:t>
      </w:r>
      <w:r w:rsidR="00981EB6" w:rsidRPr="0040008A">
        <w:rPr>
          <w:rFonts w:ascii="Arial" w:hAnsi="Arial" w:cs="Arial"/>
        </w:rPr>
        <w:t xml:space="preserve"> hierarchies used f</w:t>
      </w:r>
      <w:r w:rsidR="00F539BA" w:rsidRPr="0040008A">
        <w:rPr>
          <w:rFonts w:ascii="Arial" w:hAnsi="Arial" w:cs="Arial"/>
        </w:rPr>
        <w:t xml:space="preserve">or physical risks and hazards. </w:t>
      </w:r>
      <w:r w:rsidR="00981EB6" w:rsidRPr="0040008A">
        <w:rPr>
          <w:rFonts w:ascii="Arial" w:hAnsi="Arial" w:cs="Arial"/>
        </w:rPr>
        <w:t xml:space="preserve">See </w:t>
      </w:r>
      <w:r w:rsidR="00C70C84" w:rsidRPr="006409D1">
        <w:rPr>
          <w:rFonts w:ascii="Arial" w:hAnsi="Arial" w:cs="Arial"/>
        </w:rPr>
        <w:t>Dollard, M.F. &amp; Bailey, T. S. (Eds)</w:t>
      </w:r>
      <w:proofErr w:type="gramStart"/>
      <w:r w:rsidR="00C70C84" w:rsidRPr="006409D1">
        <w:rPr>
          <w:rFonts w:ascii="Arial" w:hAnsi="Arial" w:cs="Arial"/>
        </w:rPr>
        <w:t>.,</w:t>
      </w:r>
      <w:proofErr w:type="gramEnd"/>
      <w:r w:rsidR="00C70C84" w:rsidRPr="006409D1">
        <w:rPr>
          <w:rFonts w:ascii="Arial" w:hAnsi="Arial" w:cs="Arial"/>
        </w:rPr>
        <w:t xml:space="preserve"> Australian Workplace Barometer: Psychosocial Safety Climate and working conditions in Australia: Australian Federation Press to be published in 2013 from more details.</w:t>
      </w:r>
    </w:p>
    <w:p w:rsidR="0076164D" w:rsidRPr="004A6FEA" w:rsidRDefault="0076164D" w:rsidP="00B934B6">
      <w:r w:rsidRPr="004A6FEA">
        <w:t>The AWB project is in the national interest.</w:t>
      </w:r>
      <w:r w:rsidR="004A6FEA" w:rsidRPr="004A6FEA">
        <w:t xml:space="preserve"> The approach and findings of this project are consistent with the priorities of the Australian Work Health and Safety Strategy 2012-2022. Future funding will enable the continued development of work into PSC and necessary longitudinal d</w:t>
      </w:r>
      <w:r w:rsidR="004A6FEA">
        <w:t xml:space="preserve">ata collection in Australia. </w:t>
      </w:r>
      <w:r w:rsidR="00876A5D" w:rsidRPr="004A6FEA">
        <w:t xml:space="preserve">Only by conducting ongoing </w:t>
      </w:r>
      <w:r w:rsidR="00DC0D43" w:rsidRPr="004A6FEA">
        <w:t xml:space="preserve">longitudinal </w:t>
      </w:r>
      <w:r w:rsidR="00876A5D" w:rsidRPr="004A6FEA">
        <w:t>data collection using the same measures on the same participants</w:t>
      </w:r>
      <w:r w:rsidR="0015680E" w:rsidRPr="004A6FEA">
        <w:t xml:space="preserve"> from a representative sample, </w:t>
      </w:r>
      <w:r w:rsidR="00876A5D" w:rsidRPr="004A6FEA">
        <w:t xml:space="preserve">over </w:t>
      </w:r>
      <w:r w:rsidR="0015680E" w:rsidRPr="004A6FEA">
        <w:t xml:space="preserve">an </w:t>
      </w:r>
      <w:r w:rsidR="00876A5D" w:rsidRPr="004A6FEA">
        <w:t>extensive period of time</w:t>
      </w:r>
      <w:r w:rsidR="0015680E" w:rsidRPr="004A6FEA">
        <w:t>,</w:t>
      </w:r>
      <w:r w:rsidR="00876A5D" w:rsidRPr="004A6FEA">
        <w:t xml:space="preserve"> can </w:t>
      </w:r>
      <w:r w:rsidR="00DC0D43" w:rsidRPr="004A6FEA">
        <w:t xml:space="preserve">the actual causes of poor employee health be identified </w:t>
      </w:r>
      <w:r w:rsidR="0015680E" w:rsidRPr="004A6FEA">
        <w:t xml:space="preserve">enabling more </w:t>
      </w:r>
      <w:r w:rsidR="00DC0D43" w:rsidRPr="004A6FEA">
        <w:t>effective strategies for improving worker wellbeing to be developed.</w:t>
      </w:r>
    </w:p>
    <w:p w:rsidR="0076164D" w:rsidRPr="005F6E13" w:rsidRDefault="0076164D" w:rsidP="005F6E13">
      <w:pPr>
        <w:pStyle w:val="Heading1"/>
        <w:spacing w:before="0" w:after="100" w:afterAutospacing="1"/>
      </w:pPr>
      <w:bookmarkStart w:id="86" w:name="_Toc343502453"/>
      <w:r w:rsidRPr="005F6E13">
        <w:lastRenderedPageBreak/>
        <w:t>References</w:t>
      </w:r>
      <w:bookmarkEnd w:id="86"/>
    </w:p>
    <w:p w:rsidR="000541AE" w:rsidRPr="009A6955" w:rsidRDefault="006409D1" w:rsidP="00B934B6">
      <w:pPr>
        <w:rPr>
          <w:rFonts w:cs="Arial"/>
        </w:rPr>
      </w:pPr>
      <w:hyperlink r:id="rId29" w:history="1">
        <w:proofErr w:type="gramStart"/>
        <w:r w:rsidR="003846F5" w:rsidRPr="003846F5">
          <w:rPr>
            <w:rStyle w:val="Hyperlink"/>
            <w:rFonts w:cs="Arial"/>
            <w:szCs w:val="24"/>
          </w:rPr>
          <w:t>ABC Diamond.</w:t>
        </w:r>
        <w:proofErr w:type="gramEnd"/>
        <w:r w:rsidR="003846F5" w:rsidRPr="003846F5">
          <w:rPr>
            <w:rStyle w:val="Hyperlink"/>
            <w:rFonts w:cs="Arial"/>
            <w:szCs w:val="24"/>
          </w:rPr>
          <w:t xml:space="preserve"> </w:t>
        </w:r>
        <w:proofErr w:type="gramStart"/>
        <w:r w:rsidR="003846F5" w:rsidRPr="003846F5">
          <w:rPr>
            <w:rStyle w:val="Hyperlink"/>
            <w:rFonts w:cs="Arial"/>
            <w:szCs w:val="24"/>
          </w:rPr>
          <w:t>(2009). Median wage in Australia.</w:t>
        </w:r>
        <w:proofErr w:type="gramEnd"/>
        <w:r w:rsidR="003846F5" w:rsidRPr="003846F5">
          <w:rPr>
            <w:rStyle w:val="Hyperlink"/>
            <w:rFonts w:cs="Arial"/>
            <w:szCs w:val="24"/>
          </w:rPr>
          <w:t xml:space="preserve"> Retrieved March 15, 2011</w:t>
        </w:r>
      </w:hyperlink>
    </w:p>
    <w:p w:rsidR="000541AE" w:rsidRPr="009A6955" w:rsidRDefault="000541AE" w:rsidP="00B934B6">
      <w:pPr>
        <w:rPr>
          <w:rFonts w:cs="Arial"/>
        </w:rPr>
      </w:pPr>
      <w:proofErr w:type="gramStart"/>
      <w:r w:rsidRPr="009A6955">
        <w:rPr>
          <w:rFonts w:cs="Arial"/>
        </w:rPr>
        <w:t>Åkerstedt, T. A., Fredlund, P., Gillberg, M., &amp; Jannson, B. (2002).</w:t>
      </w:r>
      <w:proofErr w:type="gramEnd"/>
      <w:r w:rsidRPr="009A6955">
        <w:rPr>
          <w:rFonts w:cs="Arial"/>
        </w:rPr>
        <w:t xml:space="preserve"> Work load and work hours in relation to disturbed sleep and fatigue in a large representative sample. </w:t>
      </w:r>
      <w:r w:rsidRPr="009A6955">
        <w:rPr>
          <w:rFonts w:cs="Arial"/>
          <w:i/>
        </w:rPr>
        <w:t>Journal of Psychosomatic Research, 53</w:t>
      </w:r>
      <w:r w:rsidRPr="009A6955">
        <w:rPr>
          <w:rFonts w:cs="Arial"/>
        </w:rPr>
        <w:t>, 585-588.</w:t>
      </w:r>
    </w:p>
    <w:p w:rsidR="000541AE" w:rsidRPr="009A6955" w:rsidRDefault="000541AE" w:rsidP="00B934B6">
      <w:pPr>
        <w:rPr>
          <w:rFonts w:cs="Arial"/>
          <w:lang w:val="en-US"/>
        </w:rPr>
      </w:pPr>
      <w:r w:rsidRPr="009A6955">
        <w:rPr>
          <w:rFonts w:cs="Arial"/>
          <w:lang w:val="en-US"/>
        </w:rPr>
        <w:t xml:space="preserve">Arbuckle, J. L. (2005). </w:t>
      </w:r>
      <w:proofErr w:type="gramStart"/>
      <w:r w:rsidRPr="009A6955">
        <w:rPr>
          <w:rFonts w:cs="Arial"/>
          <w:i/>
          <w:lang w:val="en-US"/>
        </w:rPr>
        <w:t>Amos 6.0 User’s Guide.</w:t>
      </w:r>
      <w:proofErr w:type="gramEnd"/>
      <w:r w:rsidRPr="009A6955">
        <w:rPr>
          <w:rFonts w:cs="Arial"/>
          <w:lang w:val="en-US"/>
        </w:rPr>
        <w:t xml:space="preserve"> Chicago, IL: SPSS, Inc.</w:t>
      </w:r>
    </w:p>
    <w:bookmarkStart w:id="87" w:name="_ENREF_3"/>
    <w:p w:rsidR="003765E3" w:rsidRPr="009A6955" w:rsidRDefault="007B41E6" w:rsidP="00B934B6">
      <w:pPr>
        <w:rPr>
          <w:rFonts w:cs="Arial"/>
        </w:rPr>
      </w:pPr>
      <w:r w:rsidRPr="009A6955">
        <w:fldChar w:fldCharType="begin"/>
      </w:r>
      <w:r w:rsidR="003846F5">
        <w:rPr>
          <w:rFonts w:cs="Arial"/>
        </w:rPr>
        <w:instrText>HYPERLINK "http://www.abs.gov.au/ausstats/abs@.nsf/0/FFEDA0779C20049DCA25732C00207383?opendocument"</w:instrText>
      </w:r>
      <w:r w:rsidRPr="009A6955">
        <w:fldChar w:fldCharType="separate"/>
      </w:r>
      <w:proofErr w:type="gramStart"/>
      <w:r w:rsidR="003846F5">
        <w:rPr>
          <w:rStyle w:val="Hyperlink"/>
          <w:rFonts w:cs="Arial"/>
        </w:rPr>
        <w:t>Australian Bureau of Statistics.</w:t>
      </w:r>
      <w:proofErr w:type="gramEnd"/>
      <w:r w:rsidR="003846F5">
        <w:rPr>
          <w:rStyle w:val="Hyperlink"/>
          <w:rFonts w:cs="Arial"/>
        </w:rPr>
        <w:t xml:space="preserve"> (2008a). Australian Social Trends, 2007: Qualification profile of Australians. </w:t>
      </w:r>
      <w:proofErr w:type="gramStart"/>
      <w:r w:rsidR="003846F5">
        <w:rPr>
          <w:rStyle w:val="Hyperlink"/>
          <w:rFonts w:cs="Arial"/>
        </w:rPr>
        <w:t>Retrieved on 18th October, 2012</w:t>
      </w:r>
      <w:r w:rsidRPr="009A6955">
        <w:rPr>
          <w:rStyle w:val="Hyperlink"/>
          <w:rFonts w:cs="Arial"/>
        </w:rPr>
        <w:fldChar w:fldCharType="end"/>
      </w:r>
      <w:r w:rsidR="003846F5">
        <w:rPr>
          <w:rStyle w:val="Hyperlink"/>
          <w:rFonts w:cs="Arial"/>
        </w:rPr>
        <w:t>.</w:t>
      </w:r>
      <w:proofErr w:type="gramEnd"/>
    </w:p>
    <w:bookmarkEnd w:id="87"/>
    <w:p w:rsidR="000541AE" w:rsidRPr="009A6955" w:rsidRDefault="003846F5" w:rsidP="00B934B6">
      <w:pPr>
        <w:rPr>
          <w:rFonts w:cs="Arial"/>
        </w:rPr>
      </w:pPr>
      <w:r>
        <w:rPr>
          <w:rFonts w:cs="Arial"/>
        </w:rPr>
        <w:fldChar w:fldCharType="begin"/>
      </w:r>
      <w:r>
        <w:rPr>
          <w:rFonts w:cs="Arial"/>
        </w:rPr>
        <w:instrText xml:space="preserve"> HYPERLINK "http://www.abs.gov.au/AUSSTATS/abs@.nsf/DetailsPage/4326.02007" </w:instrText>
      </w:r>
      <w:r>
        <w:rPr>
          <w:rFonts w:cs="Arial"/>
        </w:rPr>
        <w:fldChar w:fldCharType="separate"/>
      </w:r>
      <w:proofErr w:type="gramStart"/>
      <w:r w:rsidRPr="003846F5">
        <w:rPr>
          <w:rStyle w:val="Hyperlink"/>
          <w:rFonts w:cs="Arial"/>
          <w:szCs w:val="24"/>
        </w:rPr>
        <w:t>Australian Bureau of Statistics.</w:t>
      </w:r>
      <w:proofErr w:type="gramEnd"/>
      <w:r w:rsidRPr="003846F5">
        <w:rPr>
          <w:rStyle w:val="Hyperlink"/>
          <w:rFonts w:cs="Arial"/>
          <w:szCs w:val="24"/>
        </w:rPr>
        <w:t xml:space="preserve"> (2008b). National survey of mental health and wellbeing: Summary of results, 2007. </w:t>
      </w:r>
      <w:proofErr w:type="gramStart"/>
      <w:r w:rsidRPr="003846F5">
        <w:rPr>
          <w:rStyle w:val="Hyperlink"/>
          <w:rFonts w:cs="Arial"/>
          <w:szCs w:val="24"/>
        </w:rPr>
        <w:t>Retrieved 20 October, 2011</w:t>
      </w:r>
      <w:r>
        <w:rPr>
          <w:rFonts w:cs="Arial"/>
        </w:rPr>
        <w:fldChar w:fldCharType="end"/>
      </w:r>
      <w:r>
        <w:rPr>
          <w:rFonts w:cs="Arial"/>
        </w:rPr>
        <w:t>.</w:t>
      </w:r>
      <w:proofErr w:type="gramEnd"/>
    </w:p>
    <w:p w:rsidR="004F46B9" w:rsidRPr="009A6955" w:rsidRDefault="006409D1" w:rsidP="00B934B6">
      <w:pPr>
        <w:rPr>
          <w:rFonts w:cs="Arial"/>
        </w:rPr>
      </w:pPr>
      <w:hyperlink r:id="rId30" w:history="1">
        <w:proofErr w:type="gramStart"/>
        <w:r w:rsidR="003846F5">
          <w:rPr>
            <w:rStyle w:val="Hyperlink"/>
            <w:rFonts w:cs="Arial"/>
          </w:rPr>
          <w:t>Australian Bureau of Statistics.</w:t>
        </w:r>
        <w:proofErr w:type="gramEnd"/>
        <w:r w:rsidR="003846F5">
          <w:rPr>
            <w:rStyle w:val="Hyperlink"/>
            <w:rFonts w:cs="Arial"/>
          </w:rPr>
          <w:t xml:space="preserve"> </w:t>
        </w:r>
        <w:proofErr w:type="gramStart"/>
        <w:r w:rsidR="003846F5">
          <w:rPr>
            <w:rStyle w:val="Hyperlink"/>
            <w:rFonts w:cs="Arial"/>
          </w:rPr>
          <w:t>(2010a). Forms of employment, Australia, November 2010.</w:t>
        </w:r>
        <w:proofErr w:type="gramEnd"/>
        <w:r w:rsidR="003846F5">
          <w:rPr>
            <w:rStyle w:val="Hyperlink"/>
            <w:rFonts w:cs="Arial"/>
          </w:rPr>
          <w:t xml:space="preserve"> Canberra: ABS. </w:t>
        </w:r>
      </w:hyperlink>
    </w:p>
    <w:p w:rsidR="004F46B9" w:rsidRPr="009A6955" w:rsidRDefault="006409D1" w:rsidP="00B934B6">
      <w:pPr>
        <w:rPr>
          <w:rFonts w:cs="Arial"/>
        </w:rPr>
      </w:pPr>
      <w:hyperlink r:id="rId31" w:history="1">
        <w:proofErr w:type="gramStart"/>
        <w:r w:rsidR="003846F5">
          <w:rPr>
            <w:rStyle w:val="Hyperlink"/>
            <w:rFonts w:cs="Arial"/>
          </w:rPr>
          <w:t>Australian Bureau of Statistics.</w:t>
        </w:r>
        <w:proofErr w:type="gramEnd"/>
        <w:r w:rsidR="003846F5">
          <w:rPr>
            <w:rStyle w:val="Hyperlink"/>
            <w:rFonts w:cs="Arial"/>
          </w:rPr>
          <w:t xml:space="preserve"> </w:t>
        </w:r>
        <w:proofErr w:type="gramStart"/>
        <w:r w:rsidR="003846F5">
          <w:rPr>
            <w:rStyle w:val="Hyperlink"/>
            <w:rFonts w:cs="Arial"/>
          </w:rPr>
          <w:t>(2010b). Employment and earnings, public sector, Australia, 2009-10.</w:t>
        </w:r>
        <w:proofErr w:type="gramEnd"/>
        <w:r w:rsidR="003846F5">
          <w:rPr>
            <w:rStyle w:val="Hyperlink"/>
            <w:rFonts w:cs="Arial"/>
          </w:rPr>
          <w:t xml:space="preserve"> </w:t>
        </w:r>
        <w:proofErr w:type="gramStart"/>
        <w:r w:rsidR="003846F5">
          <w:rPr>
            <w:rStyle w:val="Hyperlink"/>
            <w:rFonts w:cs="Arial"/>
          </w:rPr>
          <w:t>Retrieved on 29th October, 2012.</w:t>
        </w:r>
        <w:proofErr w:type="gramEnd"/>
        <w:r w:rsidR="003846F5">
          <w:rPr>
            <w:rStyle w:val="Hyperlink"/>
            <w:rFonts w:cs="Arial"/>
          </w:rPr>
          <w:t xml:space="preserve"> </w:t>
        </w:r>
      </w:hyperlink>
    </w:p>
    <w:p w:rsidR="004F46B9" w:rsidRPr="009A6955" w:rsidRDefault="006409D1" w:rsidP="00B934B6">
      <w:pPr>
        <w:rPr>
          <w:rFonts w:cs="Arial"/>
        </w:rPr>
      </w:pPr>
      <w:hyperlink r:id="rId32" w:history="1">
        <w:proofErr w:type="gramStart"/>
        <w:r w:rsidR="003846F5">
          <w:rPr>
            <w:rStyle w:val="Hyperlink"/>
            <w:rFonts w:cs="Arial"/>
          </w:rPr>
          <w:t>Australian Bureau of Statistics.</w:t>
        </w:r>
        <w:proofErr w:type="gramEnd"/>
        <w:r w:rsidR="003846F5">
          <w:rPr>
            <w:rStyle w:val="Hyperlink"/>
            <w:rFonts w:cs="Arial"/>
          </w:rPr>
          <w:t xml:space="preserve"> (2010c). Labour Force, Australia, </w:t>
        </w:r>
        <w:proofErr w:type="gramStart"/>
        <w:r w:rsidR="003846F5">
          <w:rPr>
            <w:rStyle w:val="Hyperlink"/>
            <w:rFonts w:cs="Arial"/>
          </w:rPr>
          <w:t>Jun</w:t>
        </w:r>
        <w:proofErr w:type="gramEnd"/>
        <w:r w:rsidR="003846F5">
          <w:rPr>
            <w:rStyle w:val="Hyperlink"/>
            <w:rFonts w:cs="Arial"/>
          </w:rPr>
          <w:t xml:space="preserve"> 2010: June Key figures. </w:t>
        </w:r>
        <w:proofErr w:type="gramStart"/>
        <w:r w:rsidR="003846F5">
          <w:rPr>
            <w:rStyle w:val="Hyperlink"/>
            <w:rFonts w:cs="Arial"/>
          </w:rPr>
          <w:t>Retrieved on 29th October, 2012.</w:t>
        </w:r>
        <w:proofErr w:type="gramEnd"/>
        <w:r w:rsidR="003846F5">
          <w:rPr>
            <w:rStyle w:val="Hyperlink"/>
            <w:rFonts w:cs="Arial"/>
          </w:rPr>
          <w:t xml:space="preserve"> </w:t>
        </w:r>
      </w:hyperlink>
    </w:p>
    <w:p w:rsidR="003765E3" w:rsidRPr="009A6955" w:rsidRDefault="006409D1" w:rsidP="00B934B6">
      <w:pPr>
        <w:rPr>
          <w:rFonts w:cs="Arial"/>
        </w:rPr>
      </w:pPr>
      <w:hyperlink r:id="rId33" w:history="1">
        <w:proofErr w:type="gramStart"/>
        <w:r w:rsidR="003846F5">
          <w:rPr>
            <w:rStyle w:val="Hyperlink"/>
            <w:rFonts w:cs="Arial"/>
          </w:rPr>
          <w:t>Australian Bureau of Statistics.</w:t>
        </w:r>
        <w:proofErr w:type="gramEnd"/>
        <w:r w:rsidR="003846F5">
          <w:rPr>
            <w:rStyle w:val="Hyperlink"/>
            <w:rFonts w:cs="Arial"/>
          </w:rPr>
          <w:t xml:space="preserve"> </w:t>
        </w:r>
        <w:proofErr w:type="gramStart"/>
        <w:r w:rsidR="003846F5">
          <w:rPr>
            <w:rStyle w:val="Hyperlink"/>
            <w:rFonts w:cs="Arial"/>
          </w:rPr>
          <w:t>(2011). Employee earnings and hours, Australia, May 2010.</w:t>
        </w:r>
        <w:proofErr w:type="gramEnd"/>
        <w:r w:rsidR="003846F5">
          <w:rPr>
            <w:rStyle w:val="Hyperlink"/>
            <w:rFonts w:cs="Arial"/>
          </w:rPr>
          <w:t xml:space="preserve"> Retrieved on 16th October, 2012</w:t>
        </w:r>
      </w:hyperlink>
    </w:p>
    <w:p w:rsidR="003765E3" w:rsidRPr="009A6955" w:rsidRDefault="006409D1" w:rsidP="00B934B6">
      <w:pPr>
        <w:rPr>
          <w:rFonts w:cs="Arial"/>
        </w:rPr>
      </w:pPr>
      <w:hyperlink r:id="rId34" w:history="1">
        <w:proofErr w:type="gramStart"/>
        <w:r w:rsidR="003846F5">
          <w:rPr>
            <w:rStyle w:val="Hyperlink"/>
            <w:rFonts w:cs="Arial"/>
          </w:rPr>
          <w:t>Australian Bureau of Statistics.</w:t>
        </w:r>
        <w:proofErr w:type="gramEnd"/>
        <w:r w:rsidR="003846F5">
          <w:rPr>
            <w:rStyle w:val="Hyperlink"/>
            <w:rFonts w:cs="Arial"/>
          </w:rPr>
          <w:t xml:space="preserve"> (2012a). Year book Australia, 2012: Labour. </w:t>
        </w:r>
        <w:proofErr w:type="gramStart"/>
        <w:r w:rsidR="003846F5">
          <w:rPr>
            <w:rStyle w:val="Hyperlink"/>
            <w:rFonts w:cs="Arial"/>
          </w:rPr>
          <w:t>Retrieved on 18th October, 2012</w:t>
        </w:r>
      </w:hyperlink>
      <w:r w:rsidR="003846F5">
        <w:rPr>
          <w:rStyle w:val="Hyperlink"/>
          <w:rFonts w:cs="Arial"/>
        </w:rPr>
        <w:t>.</w:t>
      </w:r>
      <w:proofErr w:type="gramEnd"/>
    </w:p>
    <w:p w:rsidR="003765E3" w:rsidRPr="009A6955" w:rsidRDefault="006409D1" w:rsidP="00B934B6">
      <w:pPr>
        <w:rPr>
          <w:rFonts w:cs="Arial"/>
        </w:rPr>
      </w:pPr>
      <w:hyperlink r:id="rId35" w:history="1">
        <w:proofErr w:type="gramStart"/>
        <w:r w:rsidR="003846F5">
          <w:rPr>
            <w:rStyle w:val="Hyperlink"/>
            <w:rFonts w:cs="Arial"/>
          </w:rPr>
          <w:t>Australian Bureau of Statistics.</w:t>
        </w:r>
        <w:proofErr w:type="gramEnd"/>
        <w:r w:rsidR="003846F5">
          <w:rPr>
            <w:rStyle w:val="Hyperlink"/>
            <w:rFonts w:cs="Arial"/>
          </w:rPr>
          <w:t xml:space="preserve"> (2012b). Australian labour market statistics, July 2011: Summary commentary. </w:t>
        </w:r>
        <w:proofErr w:type="gramStart"/>
        <w:r w:rsidR="003846F5">
          <w:rPr>
            <w:rStyle w:val="Hyperlink"/>
            <w:rFonts w:cs="Arial"/>
          </w:rPr>
          <w:t>Retrieved on 18th October, 2012</w:t>
        </w:r>
      </w:hyperlink>
      <w:r w:rsidR="003846F5">
        <w:rPr>
          <w:rStyle w:val="Hyperlink"/>
          <w:rFonts w:cs="Arial"/>
        </w:rPr>
        <w:t>.</w:t>
      </w:r>
      <w:proofErr w:type="gramEnd"/>
    </w:p>
    <w:p w:rsidR="003765E3" w:rsidRPr="009A6955" w:rsidRDefault="003765E3" w:rsidP="00B934B6">
      <w:pPr>
        <w:rPr>
          <w:rFonts w:cs="Arial"/>
        </w:rPr>
      </w:pPr>
      <w:proofErr w:type="gramStart"/>
      <w:r w:rsidRPr="009A6955">
        <w:rPr>
          <w:rFonts w:cs="Arial"/>
        </w:rPr>
        <w:t>Australian Bureau of Statistics.</w:t>
      </w:r>
      <w:proofErr w:type="gramEnd"/>
      <w:r w:rsidRPr="009A6955">
        <w:rPr>
          <w:rFonts w:cs="Arial"/>
        </w:rPr>
        <w:t xml:space="preserve"> </w:t>
      </w:r>
      <w:proofErr w:type="gramStart"/>
      <w:r w:rsidRPr="009A6955">
        <w:rPr>
          <w:rFonts w:cs="Arial"/>
        </w:rPr>
        <w:t>(2012, August).</w:t>
      </w:r>
      <w:proofErr w:type="gramEnd"/>
      <w:r w:rsidRPr="009A6955">
        <w:rPr>
          <w:rFonts w:cs="Arial"/>
        </w:rPr>
        <w:t xml:space="preserve"> </w:t>
      </w:r>
      <w:proofErr w:type="gramStart"/>
      <w:r w:rsidRPr="009A6955">
        <w:rPr>
          <w:rFonts w:cs="Arial"/>
          <w:i/>
        </w:rPr>
        <w:t>Four quarter average based on ABS labour force, Australia.</w:t>
      </w:r>
      <w:proofErr w:type="gramEnd"/>
      <w:r w:rsidRPr="009A6955">
        <w:rPr>
          <w:rFonts w:cs="Arial"/>
          <w:i/>
        </w:rPr>
        <w:t xml:space="preserve"> </w:t>
      </w:r>
      <w:proofErr w:type="gramStart"/>
      <w:r w:rsidRPr="009A6955">
        <w:rPr>
          <w:rFonts w:cs="Arial"/>
        </w:rPr>
        <w:t>Report catalogue number 6291.0.55.003.</w:t>
      </w:r>
      <w:proofErr w:type="gramEnd"/>
      <w:r w:rsidRPr="009A6955">
        <w:rPr>
          <w:rFonts w:cs="Arial"/>
        </w:rPr>
        <w:t xml:space="preserve"> Canberra: Australian Bureau of Statistics. </w:t>
      </w:r>
    </w:p>
    <w:p w:rsidR="00401438" w:rsidRPr="009A6955" w:rsidRDefault="006409D1" w:rsidP="00B934B6">
      <w:pPr>
        <w:rPr>
          <w:rFonts w:cs="Arial"/>
        </w:rPr>
      </w:pPr>
      <w:hyperlink r:id="rId36" w:history="1">
        <w:proofErr w:type="gramStart"/>
        <w:r w:rsidR="003846F5" w:rsidRPr="003846F5">
          <w:rPr>
            <w:rStyle w:val="Hyperlink"/>
            <w:rFonts w:cs="Arial"/>
            <w:szCs w:val="24"/>
          </w:rPr>
          <w:t>Australian Government Productivity Commission.</w:t>
        </w:r>
        <w:proofErr w:type="gramEnd"/>
        <w:r w:rsidR="003846F5" w:rsidRPr="003846F5">
          <w:rPr>
            <w:rStyle w:val="Hyperlink"/>
            <w:rFonts w:cs="Arial"/>
            <w:szCs w:val="24"/>
          </w:rPr>
          <w:t xml:space="preserve"> (2010)</w:t>
        </w:r>
        <w:proofErr w:type="gramStart"/>
        <w:r w:rsidR="003846F5" w:rsidRPr="003846F5">
          <w:rPr>
            <w:rStyle w:val="Hyperlink"/>
            <w:rFonts w:cs="Arial"/>
            <w:szCs w:val="24"/>
          </w:rPr>
          <w:t>.  Performance</w:t>
        </w:r>
        <w:proofErr w:type="gramEnd"/>
        <w:r w:rsidR="003846F5" w:rsidRPr="003846F5">
          <w:rPr>
            <w:rStyle w:val="Hyperlink"/>
            <w:rFonts w:cs="Arial"/>
            <w:szCs w:val="24"/>
          </w:rPr>
          <w:t xml:space="preserve"> benchmarking of Australian business regulation: Occupational health &amp; safety.  Canberra: AGPC.  Retrieved April 22, 2011</w:t>
        </w:r>
      </w:hyperlink>
    </w:p>
    <w:p w:rsidR="000541AE" w:rsidRPr="009A6955" w:rsidRDefault="000541AE" w:rsidP="00B934B6">
      <w:pPr>
        <w:rPr>
          <w:rFonts w:cs="Arial"/>
        </w:rPr>
      </w:pPr>
      <w:proofErr w:type="gramStart"/>
      <w:r w:rsidRPr="009A6955">
        <w:rPr>
          <w:rFonts w:cs="Arial"/>
        </w:rPr>
        <w:t>Australian Institute of Health and Welfare.</w:t>
      </w:r>
      <w:proofErr w:type="gramEnd"/>
      <w:r w:rsidRPr="009A6955">
        <w:rPr>
          <w:rFonts w:cs="Arial"/>
        </w:rPr>
        <w:t xml:space="preserve"> </w:t>
      </w:r>
      <w:proofErr w:type="gramStart"/>
      <w:r w:rsidRPr="009A6955">
        <w:rPr>
          <w:rFonts w:cs="Arial"/>
        </w:rPr>
        <w:t xml:space="preserve">(2005). </w:t>
      </w:r>
      <w:r w:rsidRPr="009A6955">
        <w:rPr>
          <w:rFonts w:cs="Arial"/>
          <w:i/>
          <w:iCs/>
        </w:rPr>
        <w:t>Rural, regional and remote health</w:t>
      </w:r>
      <w:r w:rsidRPr="009A6955">
        <w:rPr>
          <w:rFonts w:cs="Arial"/>
        </w:rPr>
        <w:t>.</w:t>
      </w:r>
      <w:proofErr w:type="gramEnd"/>
      <w:r w:rsidRPr="009A6955">
        <w:rPr>
          <w:rFonts w:cs="Arial"/>
        </w:rPr>
        <w:t xml:space="preserve"> Canberra: AIHW.</w:t>
      </w:r>
    </w:p>
    <w:p w:rsidR="000541AE" w:rsidRPr="009A6955" w:rsidRDefault="000541AE" w:rsidP="00B934B6">
      <w:pPr>
        <w:rPr>
          <w:rFonts w:cs="Arial"/>
        </w:rPr>
      </w:pPr>
      <w:bookmarkStart w:id="88" w:name="_ENREF_7"/>
      <w:proofErr w:type="gramStart"/>
      <w:r w:rsidRPr="009A6955">
        <w:rPr>
          <w:rFonts w:cs="Arial"/>
        </w:rPr>
        <w:t>Babakus, E., Cravens, D. W., Johnston, M., &amp; Moncrief, W. C. (1999).</w:t>
      </w:r>
      <w:proofErr w:type="gramEnd"/>
      <w:r w:rsidRPr="009A6955">
        <w:rPr>
          <w:rFonts w:cs="Arial"/>
        </w:rPr>
        <w:t xml:space="preserve"> The </w:t>
      </w:r>
      <w:proofErr w:type="gramStart"/>
      <w:r w:rsidRPr="009A6955">
        <w:rPr>
          <w:rFonts w:cs="Arial"/>
        </w:rPr>
        <w:t>role of emotional exhaustion in sales force</w:t>
      </w:r>
      <w:proofErr w:type="gramEnd"/>
      <w:r w:rsidRPr="009A6955">
        <w:rPr>
          <w:rFonts w:cs="Arial"/>
        </w:rPr>
        <w:t xml:space="preserve"> attitude and behaviour relationships. </w:t>
      </w:r>
      <w:r w:rsidRPr="009A6955">
        <w:rPr>
          <w:rFonts w:cs="Arial"/>
          <w:i/>
        </w:rPr>
        <w:t>Journal of the Academy of Marketing Science, 27</w:t>
      </w:r>
      <w:r w:rsidRPr="009A6955">
        <w:rPr>
          <w:rFonts w:cs="Arial"/>
        </w:rPr>
        <w:t>(1), 58–70.</w:t>
      </w:r>
    </w:p>
    <w:p w:rsidR="000541AE" w:rsidRPr="009A6955" w:rsidRDefault="000541AE" w:rsidP="00B934B6">
      <w:pPr>
        <w:rPr>
          <w:rFonts w:eastAsia="Calibri" w:cs="Arial"/>
          <w:color w:val="000000"/>
        </w:rPr>
      </w:pPr>
      <w:proofErr w:type="gramStart"/>
      <w:r w:rsidRPr="009A6955">
        <w:rPr>
          <w:rFonts w:eastAsia="Calibri" w:cs="Arial"/>
          <w:color w:val="000000"/>
        </w:rPr>
        <w:t>Bakker, A. B., &amp; Demerouti, E. (2007).</w:t>
      </w:r>
      <w:proofErr w:type="gramEnd"/>
      <w:r w:rsidRPr="009A6955">
        <w:rPr>
          <w:rFonts w:eastAsia="Calibri" w:cs="Arial"/>
          <w:color w:val="000000"/>
        </w:rPr>
        <w:t xml:space="preserve"> The Job Demands-Resources model: State of the art. </w:t>
      </w:r>
      <w:r w:rsidRPr="009A6955">
        <w:rPr>
          <w:rFonts w:eastAsia="Calibri" w:cs="Arial"/>
          <w:i/>
          <w:iCs/>
          <w:color w:val="000000"/>
        </w:rPr>
        <w:t xml:space="preserve">Journal of Managerial Psychology, 22, </w:t>
      </w:r>
      <w:r w:rsidR="00DA2B94">
        <w:rPr>
          <w:rFonts w:eastAsia="Calibri" w:cs="Arial"/>
          <w:color w:val="000000"/>
        </w:rPr>
        <w:t>309-328.</w:t>
      </w:r>
    </w:p>
    <w:bookmarkEnd w:id="88"/>
    <w:p w:rsidR="000541AE" w:rsidRPr="009A6955" w:rsidRDefault="000541AE" w:rsidP="00B934B6">
      <w:pPr>
        <w:rPr>
          <w:rFonts w:cs="Arial"/>
          <w:noProof/>
        </w:rPr>
      </w:pPr>
      <w:r w:rsidRPr="009A6955">
        <w:rPr>
          <w:rFonts w:cs="Arial"/>
          <w:noProof/>
        </w:rPr>
        <w:t xml:space="preserve">Bakker, A. B., Demerouti, E., &amp; Euwema, M. C. (2005). Job resources buffer the impact of job demands on burnout. </w:t>
      </w:r>
      <w:r w:rsidRPr="009A6955">
        <w:rPr>
          <w:rFonts w:cs="Arial"/>
          <w:i/>
          <w:noProof/>
        </w:rPr>
        <w:t>Journal of Occupational Health Psychology, 10</w:t>
      </w:r>
      <w:r w:rsidRPr="009A6955">
        <w:rPr>
          <w:rFonts w:cs="Arial"/>
          <w:noProof/>
        </w:rPr>
        <w:t>(2), 170-180.</w:t>
      </w:r>
    </w:p>
    <w:p w:rsidR="000541AE" w:rsidRPr="009A6955" w:rsidRDefault="000541AE" w:rsidP="00B934B6">
      <w:pPr>
        <w:rPr>
          <w:rFonts w:cs="Arial"/>
          <w:lang w:val="en-US"/>
        </w:rPr>
      </w:pPr>
      <w:proofErr w:type="gramStart"/>
      <w:r w:rsidRPr="009A6955">
        <w:rPr>
          <w:rFonts w:cs="Arial"/>
          <w:lang w:val="en-US"/>
        </w:rPr>
        <w:lastRenderedPageBreak/>
        <w:t>Bakker, A. B., Demerouti, E., Taris, T., Schaufeli, W. B., &amp; Scheurs, P. J. G. (2003).</w:t>
      </w:r>
      <w:proofErr w:type="gramEnd"/>
      <w:r w:rsidRPr="009A6955">
        <w:rPr>
          <w:rFonts w:cs="Arial"/>
          <w:lang w:val="en-US"/>
        </w:rPr>
        <w:t xml:space="preserve"> </w:t>
      </w:r>
      <w:proofErr w:type="gramStart"/>
      <w:r w:rsidRPr="009A6955">
        <w:rPr>
          <w:rFonts w:cs="Arial"/>
          <w:lang w:val="en-US"/>
        </w:rPr>
        <w:t>A multigroup analysis of the Job Demands-Resources</w:t>
      </w:r>
      <w:r w:rsidR="00F34DA3" w:rsidRPr="009A6955">
        <w:rPr>
          <w:rFonts w:cs="Arial"/>
          <w:lang w:val="en-US"/>
        </w:rPr>
        <w:t xml:space="preserve"> Model in four home care organis</w:t>
      </w:r>
      <w:r w:rsidRPr="009A6955">
        <w:rPr>
          <w:rFonts w:cs="Arial"/>
          <w:lang w:val="en-US"/>
        </w:rPr>
        <w:t>ations.</w:t>
      </w:r>
      <w:proofErr w:type="gramEnd"/>
      <w:r w:rsidRPr="009A6955">
        <w:rPr>
          <w:rFonts w:cs="Arial"/>
          <w:lang w:val="en-US"/>
        </w:rPr>
        <w:t xml:space="preserve"> </w:t>
      </w:r>
      <w:proofErr w:type="gramStart"/>
      <w:r w:rsidRPr="009A6955">
        <w:rPr>
          <w:rFonts w:cs="Arial"/>
          <w:i/>
          <w:lang w:val="en-US"/>
        </w:rPr>
        <w:t>International Journal of Stress Management, 10</w:t>
      </w:r>
      <w:r w:rsidRPr="009A6955">
        <w:rPr>
          <w:rFonts w:cs="Arial"/>
          <w:lang w:val="en-US"/>
        </w:rPr>
        <w:t>, 16- 38.</w:t>
      </w:r>
      <w:proofErr w:type="gramEnd"/>
    </w:p>
    <w:p w:rsidR="00D01F27" w:rsidRPr="009A6955" w:rsidRDefault="00300121" w:rsidP="00B934B6">
      <w:pPr>
        <w:rPr>
          <w:rFonts w:cs="Arial"/>
          <w:i/>
          <w:noProof/>
        </w:rPr>
      </w:pPr>
      <w:r w:rsidRPr="009A6955">
        <w:rPr>
          <w:rFonts w:cs="Arial"/>
          <w:noProof/>
        </w:rPr>
        <w:t xml:space="preserve">Bailey, T. S., Richards, P. </w:t>
      </w:r>
      <w:r w:rsidR="00D01F27" w:rsidRPr="009A6955">
        <w:rPr>
          <w:rFonts w:cs="Arial"/>
          <w:noProof/>
        </w:rPr>
        <w:t xml:space="preserve">A. </w:t>
      </w:r>
      <w:r w:rsidRPr="009A6955">
        <w:rPr>
          <w:rFonts w:cs="Arial"/>
          <w:noProof/>
        </w:rPr>
        <w:t>M., &amp; Dollard, M.</w:t>
      </w:r>
      <w:r w:rsidR="00D01F27" w:rsidRPr="009A6955">
        <w:rPr>
          <w:rFonts w:cs="Arial"/>
          <w:noProof/>
        </w:rPr>
        <w:t xml:space="preserve"> F. (in review</w:t>
      </w:r>
      <w:r w:rsidRPr="009A6955">
        <w:rPr>
          <w:rFonts w:cs="Arial"/>
          <w:noProof/>
        </w:rPr>
        <w:t>)</w:t>
      </w:r>
      <w:r w:rsidR="00D01F27" w:rsidRPr="009A6955">
        <w:rPr>
          <w:rFonts w:cs="Arial"/>
          <w:noProof/>
        </w:rPr>
        <w:t xml:space="preserve">. National standards for Psychosocial Safety Climate (PSC): Benchmarking a lead indicator of employee job strain and new depression for practical OHS tool development. </w:t>
      </w:r>
      <w:r w:rsidR="00D01F27" w:rsidRPr="009A6955">
        <w:rPr>
          <w:rFonts w:cs="Arial"/>
          <w:i/>
          <w:noProof/>
        </w:rPr>
        <w:t>Work and Stress.</w:t>
      </w:r>
    </w:p>
    <w:p w:rsidR="000541AE" w:rsidRPr="009A6955" w:rsidRDefault="000541AE" w:rsidP="00B934B6">
      <w:pPr>
        <w:rPr>
          <w:rFonts w:cs="Arial"/>
        </w:rPr>
      </w:pPr>
      <w:r w:rsidRPr="009A6955">
        <w:rPr>
          <w:rFonts w:cs="Arial"/>
        </w:rPr>
        <w:t xml:space="preserve">Bambra, C., Egan, M., Thomas, S., Petticrew, M., &amp; Whitehead, M. (2007). The psychosocial and health effects of workplace reorganisation: A systematic review of task restructuring interventions. </w:t>
      </w:r>
      <w:r w:rsidRPr="009A6955">
        <w:rPr>
          <w:rFonts w:cs="Arial"/>
          <w:i/>
        </w:rPr>
        <w:t>Journal of Epidemiology &amp; Community Health, 61</w:t>
      </w:r>
      <w:r w:rsidRPr="009A6955">
        <w:rPr>
          <w:rFonts w:cs="Arial"/>
        </w:rPr>
        <w:t>(12), 1028–1037.</w:t>
      </w:r>
    </w:p>
    <w:p w:rsidR="000541AE" w:rsidRPr="009A6955" w:rsidRDefault="000541AE" w:rsidP="00B934B6">
      <w:pPr>
        <w:rPr>
          <w:rFonts w:cs="Arial"/>
        </w:rPr>
      </w:pPr>
      <w:proofErr w:type="gramStart"/>
      <w:r w:rsidRPr="009A6955">
        <w:rPr>
          <w:rFonts w:cs="Arial"/>
        </w:rPr>
        <w:t>Bambra, C., Gibson, M., Sowden, A. J., Wright, K., Whitehead, M., &amp; Petticrew, M. (2009).</w:t>
      </w:r>
      <w:proofErr w:type="gramEnd"/>
      <w:r w:rsidRPr="009A6955">
        <w:rPr>
          <w:rFonts w:cs="Arial"/>
        </w:rPr>
        <w:t xml:space="preserve"> Working for health? Evidence from systematic reviews on the effects on health and health inequalities of organisational changes to the psychosocial work environment. </w:t>
      </w:r>
      <w:r w:rsidRPr="009A6955">
        <w:rPr>
          <w:rFonts w:cs="Arial"/>
          <w:i/>
        </w:rPr>
        <w:t>Preventative Medicine, 48</w:t>
      </w:r>
      <w:r w:rsidRPr="009A6955">
        <w:rPr>
          <w:rFonts w:cs="Arial"/>
        </w:rPr>
        <w:t>(5), 454–461.</w:t>
      </w:r>
    </w:p>
    <w:p w:rsidR="009A185F" w:rsidRPr="009A6955" w:rsidRDefault="000541AE" w:rsidP="00B934B6">
      <w:pPr>
        <w:rPr>
          <w:rFonts w:eastAsia="Calibri" w:cs="Arial"/>
          <w:lang w:val="en-US"/>
        </w:rPr>
      </w:pPr>
      <w:r w:rsidRPr="009A6955">
        <w:rPr>
          <w:rFonts w:eastAsia="Calibri" w:cs="Arial"/>
          <w:lang w:val="en-US"/>
        </w:rPr>
        <w:t xml:space="preserve">Barnett, R. C. (1998). </w:t>
      </w:r>
      <w:proofErr w:type="gramStart"/>
      <w:r w:rsidRPr="009A6955">
        <w:rPr>
          <w:rFonts w:eastAsia="Calibri" w:cs="Arial"/>
          <w:lang w:val="en-US"/>
        </w:rPr>
        <w:t>To</w:t>
      </w:r>
      <w:r w:rsidR="00F34DA3" w:rsidRPr="009A6955">
        <w:rPr>
          <w:rFonts w:eastAsia="Calibri" w:cs="Arial"/>
          <w:lang w:val="en-US"/>
        </w:rPr>
        <w:t>ward a review and reconceptualis</w:t>
      </w:r>
      <w:r w:rsidRPr="009A6955">
        <w:rPr>
          <w:rFonts w:eastAsia="Calibri" w:cs="Arial"/>
          <w:lang w:val="en-US"/>
        </w:rPr>
        <w:t>ation of the work/family literature.</w:t>
      </w:r>
      <w:proofErr w:type="gramEnd"/>
      <w:r w:rsidRPr="009A6955">
        <w:rPr>
          <w:rFonts w:eastAsia="Calibri" w:cs="Arial"/>
          <w:lang w:val="en-US"/>
        </w:rPr>
        <w:t xml:space="preserve"> </w:t>
      </w:r>
      <w:proofErr w:type="gramStart"/>
      <w:r w:rsidRPr="009A6955">
        <w:rPr>
          <w:rFonts w:eastAsia="Calibri" w:cs="Arial"/>
          <w:i/>
          <w:iCs/>
          <w:lang w:val="en-US"/>
        </w:rPr>
        <w:t>Genetic, Social &amp; General Psychology Monographs, 124</w:t>
      </w:r>
      <w:r w:rsidRPr="009A6955">
        <w:rPr>
          <w:rFonts w:eastAsia="Calibri" w:cs="Arial"/>
          <w:lang w:val="en-US"/>
        </w:rPr>
        <w:t>(2), 125.</w:t>
      </w:r>
      <w:proofErr w:type="gramEnd"/>
    </w:p>
    <w:p w:rsidR="000541AE" w:rsidRPr="009A6955" w:rsidRDefault="009A185F" w:rsidP="00B934B6">
      <w:pPr>
        <w:rPr>
          <w:rFonts w:cs="Arial"/>
        </w:rPr>
      </w:pPr>
      <w:proofErr w:type="gramStart"/>
      <w:r w:rsidRPr="009A6955">
        <w:rPr>
          <w:rFonts w:cs="Arial"/>
        </w:rPr>
        <w:t>Baron</w:t>
      </w:r>
      <w:r w:rsidR="00C20E82" w:rsidRPr="009A6955">
        <w:rPr>
          <w:rFonts w:cs="Arial"/>
        </w:rPr>
        <w:t>,</w:t>
      </w:r>
      <w:r w:rsidRPr="009A6955">
        <w:rPr>
          <w:rFonts w:cs="Arial"/>
        </w:rPr>
        <w:t xml:space="preserve"> R</w:t>
      </w:r>
      <w:r w:rsidR="00C20E82" w:rsidRPr="009A6955">
        <w:rPr>
          <w:rFonts w:cs="Arial"/>
        </w:rPr>
        <w:t xml:space="preserve">. </w:t>
      </w:r>
      <w:r w:rsidRPr="009A6955">
        <w:rPr>
          <w:rFonts w:cs="Arial"/>
        </w:rPr>
        <w:t>M</w:t>
      </w:r>
      <w:r w:rsidR="00C20E82" w:rsidRPr="009A6955">
        <w:rPr>
          <w:rFonts w:cs="Arial"/>
        </w:rPr>
        <w:t>.</w:t>
      </w:r>
      <w:r w:rsidRPr="009A6955">
        <w:rPr>
          <w:rFonts w:cs="Arial"/>
        </w:rPr>
        <w:t>,</w:t>
      </w:r>
      <w:r w:rsidR="00C20E82" w:rsidRPr="009A6955">
        <w:rPr>
          <w:rFonts w:cs="Arial"/>
        </w:rPr>
        <w:t xml:space="preserve"> &amp;</w:t>
      </w:r>
      <w:r w:rsidRPr="009A6955">
        <w:rPr>
          <w:rFonts w:cs="Arial"/>
        </w:rPr>
        <w:t xml:space="preserve"> Kenny</w:t>
      </w:r>
      <w:r w:rsidR="00C20E82" w:rsidRPr="009A6955">
        <w:rPr>
          <w:rFonts w:cs="Arial"/>
        </w:rPr>
        <w:t>,</w:t>
      </w:r>
      <w:r w:rsidRPr="009A6955">
        <w:rPr>
          <w:rFonts w:cs="Arial"/>
        </w:rPr>
        <w:t xml:space="preserve"> D</w:t>
      </w:r>
      <w:r w:rsidR="00C20E82" w:rsidRPr="009A6955">
        <w:rPr>
          <w:rFonts w:cs="Arial"/>
        </w:rPr>
        <w:t xml:space="preserve">. </w:t>
      </w:r>
      <w:r w:rsidRPr="009A6955">
        <w:rPr>
          <w:rFonts w:cs="Arial"/>
        </w:rPr>
        <w:t>A.</w:t>
      </w:r>
      <w:r w:rsidR="00C20E82" w:rsidRPr="009A6955">
        <w:rPr>
          <w:rFonts w:cs="Arial"/>
        </w:rPr>
        <w:t xml:space="preserve"> (1986).</w:t>
      </w:r>
      <w:proofErr w:type="gramEnd"/>
      <w:r w:rsidRPr="009A6955">
        <w:rPr>
          <w:rFonts w:cs="Arial"/>
        </w:rPr>
        <w:t xml:space="preserve"> The moderator-mediator variable distinction in social psychological research: Conceptual, strategic, and statistical consideration. </w:t>
      </w:r>
      <w:r w:rsidRPr="009A6955">
        <w:rPr>
          <w:rFonts w:cs="Arial"/>
          <w:i/>
        </w:rPr>
        <w:t>Journal of Personali</w:t>
      </w:r>
      <w:r w:rsidR="00C20E82" w:rsidRPr="009A6955">
        <w:rPr>
          <w:rFonts w:cs="Arial"/>
          <w:i/>
        </w:rPr>
        <w:t xml:space="preserve">ty and Social Psychology, </w:t>
      </w:r>
      <w:r w:rsidRPr="009A6955">
        <w:rPr>
          <w:rFonts w:cs="Arial"/>
          <w:i/>
        </w:rPr>
        <w:t>51</w:t>
      </w:r>
      <w:r w:rsidR="00C20E82" w:rsidRPr="009A6955">
        <w:rPr>
          <w:rFonts w:cs="Arial"/>
        </w:rPr>
        <w:t xml:space="preserve">(6), </w:t>
      </w:r>
      <w:r w:rsidRPr="009A6955">
        <w:rPr>
          <w:rFonts w:cs="Arial"/>
        </w:rPr>
        <w:t>1173-1182.</w:t>
      </w:r>
    </w:p>
    <w:p w:rsidR="000541AE" w:rsidRPr="009A6955" w:rsidRDefault="000541AE" w:rsidP="00B934B6">
      <w:pPr>
        <w:rPr>
          <w:rFonts w:cs="Arial"/>
        </w:rPr>
      </w:pPr>
      <w:proofErr w:type="gramStart"/>
      <w:r w:rsidRPr="009A6955">
        <w:rPr>
          <w:rFonts w:cs="Arial"/>
        </w:rPr>
        <w:t>Beck, A., Steer, R., Kovacs, M., &amp; Garrison, B. (1985).</w:t>
      </w:r>
      <w:proofErr w:type="gramEnd"/>
      <w:r w:rsidRPr="009A6955">
        <w:rPr>
          <w:rFonts w:cs="Arial"/>
        </w:rPr>
        <w:t xml:space="preserve"> Hopelessness and eventual suicide: A 10-year prospective study of patients hospitali</w:t>
      </w:r>
      <w:r w:rsidR="00F34DA3" w:rsidRPr="009A6955">
        <w:rPr>
          <w:rFonts w:cs="Arial"/>
        </w:rPr>
        <w:t>s</w:t>
      </w:r>
      <w:r w:rsidRPr="009A6955">
        <w:rPr>
          <w:rFonts w:cs="Arial"/>
        </w:rPr>
        <w:t xml:space="preserve">ed with suicidal ideation. </w:t>
      </w:r>
      <w:r w:rsidRPr="009A6955">
        <w:rPr>
          <w:rFonts w:cs="Arial"/>
          <w:i/>
        </w:rPr>
        <w:t>American Journal of Psychiatry, 142</w:t>
      </w:r>
      <w:r w:rsidRPr="009A6955">
        <w:rPr>
          <w:rFonts w:cs="Arial"/>
        </w:rPr>
        <w:t>, 559–563.</w:t>
      </w:r>
    </w:p>
    <w:p w:rsidR="000541AE" w:rsidRPr="00DA2B94" w:rsidRDefault="000541AE" w:rsidP="00B934B6">
      <w:pPr>
        <w:rPr>
          <w:rFonts w:cs="Arial"/>
          <w:color w:val="auto"/>
        </w:rPr>
      </w:pPr>
      <w:proofErr w:type="gramStart"/>
      <w:r w:rsidRPr="009A6955">
        <w:rPr>
          <w:rFonts w:eastAsia="Calibri" w:cs="Arial"/>
        </w:rPr>
        <w:t>Biron, C., Gatrell, C. J., &amp;</w:t>
      </w:r>
      <w:r w:rsidRPr="009A6955">
        <w:rPr>
          <w:rFonts w:cs="Arial"/>
        </w:rPr>
        <w:t xml:space="preserve"> </w:t>
      </w:r>
      <w:r w:rsidRPr="009A6955">
        <w:rPr>
          <w:rFonts w:eastAsia="Calibri" w:cs="Arial"/>
        </w:rPr>
        <w:t>Cooper, C. L. (2010).</w:t>
      </w:r>
      <w:proofErr w:type="gramEnd"/>
      <w:r w:rsidRPr="009A6955">
        <w:rPr>
          <w:rFonts w:eastAsia="Calibri" w:cs="Arial"/>
        </w:rPr>
        <w:t xml:space="preserve"> </w:t>
      </w:r>
      <w:proofErr w:type="gramStart"/>
      <w:r w:rsidRPr="009A6955">
        <w:rPr>
          <w:rFonts w:eastAsia="Calibri" w:cs="Arial"/>
        </w:rPr>
        <w:t>Autopsy of a failure, evaluating process and</w:t>
      </w:r>
      <w:r w:rsidR="00F34DA3" w:rsidRPr="009A6955">
        <w:rPr>
          <w:rFonts w:eastAsia="Calibri" w:cs="Arial"/>
        </w:rPr>
        <w:t xml:space="preserve"> contextual issues in an organis</w:t>
      </w:r>
      <w:r w:rsidRPr="009A6955">
        <w:rPr>
          <w:rFonts w:eastAsia="Calibri" w:cs="Arial"/>
        </w:rPr>
        <w:t>ational-level work stress intervention.</w:t>
      </w:r>
      <w:proofErr w:type="gramEnd"/>
      <w:r w:rsidRPr="009A6955">
        <w:rPr>
          <w:rFonts w:eastAsia="Calibri" w:cs="Arial"/>
        </w:rPr>
        <w:t xml:space="preserve"> </w:t>
      </w:r>
      <w:r w:rsidRPr="009A6955">
        <w:rPr>
          <w:rFonts w:cs="Arial"/>
          <w:i/>
        </w:rPr>
        <w:t>International Journal of Stress Management, 17</w:t>
      </w:r>
      <w:r w:rsidRPr="009A6955">
        <w:rPr>
          <w:rFonts w:cs="Arial"/>
        </w:rPr>
        <w:t>(2), 135-158.</w:t>
      </w:r>
    </w:p>
    <w:p w:rsidR="000541AE" w:rsidRPr="009A6955" w:rsidRDefault="000541AE" w:rsidP="00B934B6">
      <w:pPr>
        <w:rPr>
          <w:rFonts w:cs="Arial"/>
        </w:rPr>
      </w:pPr>
      <w:proofErr w:type="gramStart"/>
      <w:r w:rsidRPr="009A6955">
        <w:rPr>
          <w:rFonts w:cs="Arial"/>
          <w:bCs/>
          <w:iCs/>
        </w:rPr>
        <w:t>Blair-West, G. W., Cantor, C. H., Mellsop, G. W., &amp; Eyeson-Annan, M. L. (</w:t>
      </w:r>
      <w:r w:rsidRPr="009A6955">
        <w:rPr>
          <w:rFonts w:cs="Arial"/>
          <w:iCs/>
        </w:rPr>
        <w:t>1999</w:t>
      </w:r>
      <w:r w:rsidRPr="009A6955">
        <w:rPr>
          <w:rFonts w:cs="Arial"/>
          <w:bCs/>
          <w:iCs/>
        </w:rPr>
        <w:t>).</w:t>
      </w:r>
      <w:proofErr w:type="gramEnd"/>
      <w:r w:rsidRPr="009A6955">
        <w:rPr>
          <w:rFonts w:cs="Arial"/>
          <w:iCs/>
        </w:rPr>
        <w:t xml:space="preserve"> Lifetime suicide risk in major depression: Sex and age determinants. </w:t>
      </w:r>
      <w:r w:rsidRPr="009A6955">
        <w:rPr>
          <w:rFonts w:cs="Arial"/>
          <w:i/>
          <w:iCs/>
        </w:rPr>
        <w:t>Journal of Affective Disorders, 55</w:t>
      </w:r>
      <w:r w:rsidRPr="009A6955">
        <w:rPr>
          <w:rFonts w:cs="Arial"/>
          <w:iCs/>
        </w:rPr>
        <w:t>, 171-178.</w:t>
      </w:r>
    </w:p>
    <w:p w:rsidR="000541AE" w:rsidRPr="009A6955" w:rsidRDefault="000541AE" w:rsidP="00B934B6">
      <w:pPr>
        <w:rPr>
          <w:rFonts w:cs="Arial"/>
        </w:rPr>
      </w:pPr>
      <w:proofErr w:type="gramStart"/>
      <w:r w:rsidRPr="009A6955">
        <w:rPr>
          <w:rFonts w:cs="Arial"/>
        </w:rPr>
        <w:t>Blazer, D. G., Kessler, R. C., McGonagle, K. A., &amp; Swartz, M. S. (1994).</w:t>
      </w:r>
      <w:proofErr w:type="gramEnd"/>
      <w:r w:rsidRPr="009A6955">
        <w:rPr>
          <w:rFonts w:cs="Arial"/>
        </w:rPr>
        <w:t xml:space="preserve"> The prevalence and distribution of major depression in a national community sample: The National Comorbidity Survey. </w:t>
      </w:r>
      <w:r w:rsidRPr="009A6955">
        <w:rPr>
          <w:rFonts w:cs="Arial"/>
          <w:i/>
        </w:rPr>
        <w:t>The American Journal of Psychiatry, 151</w:t>
      </w:r>
      <w:r w:rsidRPr="009A6955">
        <w:rPr>
          <w:rFonts w:cs="Arial"/>
        </w:rPr>
        <w:t>(7), 979–986.</w:t>
      </w:r>
    </w:p>
    <w:p w:rsidR="000541AE" w:rsidRPr="009A6955" w:rsidRDefault="000541AE" w:rsidP="00B934B6">
      <w:pPr>
        <w:rPr>
          <w:rFonts w:cs="Arial"/>
        </w:rPr>
      </w:pPr>
      <w:proofErr w:type="gramStart"/>
      <w:r w:rsidRPr="009A6955">
        <w:rPr>
          <w:rFonts w:cs="Arial"/>
        </w:rPr>
        <w:t>Bond, S. A., Tuckey, M. R., &amp; Dollard, M. F. (2010).</w:t>
      </w:r>
      <w:proofErr w:type="gramEnd"/>
      <w:r w:rsidRPr="009A6955">
        <w:rPr>
          <w:rFonts w:cs="Arial"/>
        </w:rPr>
        <w:t xml:space="preserve"> </w:t>
      </w:r>
      <w:proofErr w:type="gramStart"/>
      <w:r w:rsidRPr="009A6955">
        <w:rPr>
          <w:rFonts w:cs="Arial"/>
        </w:rPr>
        <w:t>Psychosocial safety climate, workplace bullying, and symptoms of posttraumatic stress.</w:t>
      </w:r>
      <w:proofErr w:type="gramEnd"/>
      <w:r w:rsidRPr="009A6955">
        <w:rPr>
          <w:rFonts w:cs="Arial"/>
        </w:rPr>
        <w:t xml:space="preserve"> </w:t>
      </w:r>
      <w:r w:rsidRPr="009A6955">
        <w:rPr>
          <w:rFonts w:cs="Arial"/>
          <w:i/>
        </w:rPr>
        <w:t>Organization Development Journal, 28,</w:t>
      </w:r>
      <w:r w:rsidRPr="009A6955">
        <w:rPr>
          <w:rFonts w:cs="Arial"/>
        </w:rPr>
        <w:t xml:space="preserve"> 37-56.</w:t>
      </w:r>
    </w:p>
    <w:p w:rsidR="000541AE" w:rsidRPr="009A6955" w:rsidRDefault="000541AE" w:rsidP="00B934B6">
      <w:pPr>
        <w:rPr>
          <w:rFonts w:cs="Arial"/>
        </w:rPr>
      </w:pPr>
      <w:proofErr w:type="gramStart"/>
      <w:r w:rsidRPr="009A6955">
        <w:rPr>
          <w:rFonts w:cs="Arial"/>
        </w:rPr>
        <w:t>Browne, M. W., &amp; Cudeck, R. (1993).</w:t>
      </w:r>
      <w:proofErr w:type="gramEnd"/>
      <w:r w:rsidRPr="009A6955">
        <w:rPr>
          <w:rFonts w:cs="Arial"/>
        </w:rPr>
        <w:t xml:space="preserve"> Alternative ways of assessing model fit. In K. A. Bollen, &amp; J. S. Long (Eds.), </w:t>
      </w:r>
      <w:proofErr w:type="gramStart"/>
      <w:r w:rsidRPr="009A6955">
        <w:rPr>
          <w:rStyle w:val="Emphasis"/>
          <w:rFonts w:cs="Arial"/>
          <w:szCs w:val="22"/>
        </w:rPr>
        <w:t>Testing</w:t>
      </w:r>
      <w:proofErr w:type="gramEnd"/>
      <w:r w:rsidRPr="009A6955">
        <w:rPr>
          <w:rStyle w:val="Emphasis"/>
          <w:rFonts w:cs="Arial"/>
          <w:szCs w:val="22"/>
        </w:rPr>
        <w:t xml:space="preserve"> structural equation models</w:t>
      </w:r>
      <w:r w:rsidRPr="009A6955">
        <w:rPr>
          <w:rFonts w:cs="Arial"/>
        </w:rPr>
        <w:t xml:space="preserve"> (pp. 136–162). Beverly Hills, CA: Sage</w:t>
      </w:r>
      <w:r w:rsidR="00401438" w:rsidRPr="009A6955">
        <w:rPr>
          <w:rFonts w:cs="Arial"/>
        </w:rPr>
        <w:t>.</w:t>
      </w:r>
    </w:p>
    <w:p w:rsidR="000541AE" w:rsidRPr="009A6955" w:rsidRDefault="001937E7" w:rsidP="00B934B6">
      <w:pPr>
        <w:rPr>
          <w:rFonts w:cs="Arial"/>
        </w:rPr>
      </w:pPr>
      <w:proofErr w:type="gramStart"/>
      <w:r w:rsidRPr="009A6955">
        <w:rPr>
          <w:rStyle w:val="citation"/>
          <w:rFonts w:cs="Arial"/>
          <w:szCs w:val="22"/>
        </w:rPr>
        <w:t>Bültmann</w:t>
      </w:r>
      <w:r w:rsidR="000541AE" w:rsidRPr="009A6955">
        <w:rPr>
          <w:rFonts w:cs="Arial"/>
        </w:rPr>
        <w:t>, U., Huibers, M. J. H., van Amelsvoort, L. P. G. M., Kant, I., Kasel, S. V., &amp; Swaen, G. M. H. (2005).</w:t>
      </w:r>
      <w:proofErr w:type="gramEnd"/>
      <w:r w:rsidR="000541AE" w:rsidRPr="009A6955">
        <w:rPr>
          <w:rFonts w:cs="Arial"/>
        </w:rPr>
        <w:t xml:space="preserve"> Psychological distress, fatigue and long-term sickness absence: Prospective results from the Maastricht cohort study. </w:t>
      </w:r>
      <w:r w:rsidR="000541AE" w:rsidRPr="009A6955">
        <w:rPr>
          <w:rFonts w:cs="Arial"/>
          <w:i/>
        </w:rPr>
        <w:t>Journal of Occupational and Environmental Medicine</w:t>
      </w:r>
      <w:r w:rsidR="000541AE" w:rsidRPr="009A6955">
        <w:rPr>
          <w:rFonts w:cs="Arial"/>
        </w:rPr>
        <w:t xml:space="preserve">, </w:t>
      </w:r>
      <w:r w:rsidR="000541AE" w:rsidRPr="009A6955">
        <w:rPr>
          <w:rFonts w:cs="Arial"/>
          <w:i/>
        </w:rPr>
        <w:t>47</w:t>
      </w:r>
      <w:r w:rsidR="000541AE" w:rsidRPr="009A6955">
        <w:rPr>
          <w:rFonts w:cs="Arial"/>
        </w:rPr>
        <w:t>(9), 941–947.</w:t>
      </w:r>
    </w:p>
    <w:p w:rsidR="000541AE" w:rsidRPr="009A6955" w:rsidRDefault="000541AE" w:rsidP="00B934B6">
      <w:pPr>
        <w:rPr>
          <w:rFonts w:cs="Arial"/>
        </w:rPr>
      </w:pPr>
      <w:proofErr w:type="gramStart"/>
      <w:r w:rsidRPr="009A6955">
        <w:rPr>
          <w:rStyle w:val="citation"/>
          <w:rFonts w:cs="Arial"/>
          <w:szCs w:val="22"/>
        </w:rPr>
        <w:t>Bültmann, U., Kant, I., van Amelsvoort, L. G., van den Brandt, P. A., &amp; Kasl, S. V. (2001).</w:t>
      </w:r>
      <w:proofErr w:type="gramEnd"/>
      <w:r w:rsidRPr="009A6955">
        <w:rPr>
          <w:rStyle w:val="citation"/>
          <w:rFonts w:cs="Arial"/>
          <w:szCs w:val="22"/>
        </w:rPr>
        <w:t xml:space="preserve"> Differences in fatigue and psychological distress across occupations: Results from the Maastricht </w:t>
      </w:r>
      <w:r w:rsidRPr="009A6955">
        <w:rPr>
          <w:rStyle w:val="citation"/>
          <w:rFonts w:cs="Arial"/>
          <w:szCs w:val="22"/>
        </w:rPr>
        <w:lastRenderedPageBreak/>
        <w:t xml:space="preserve">cohort study of fatigue at work. </w:t>
      </w:r>
      <w:r w:rsidRPr="009A6955">
        <w:rPr>
          <w:rStyle w:val="ref-journal"/>
          <w:rFonts w:cs="Arial"/>
          <w:i/>
          <w:szCs w:val="22"/>
        </w:rPr>
        <w:t>Journal of Occupational and Environmental Medicine, 43</w:t>
      </w:r>
      <w:r w:rsidRPr="009A6955">
        <w:rPr>
          <w:rStyle w:val="ref-journal"/>
          <w:rFonts w:cs="Arial"/>
          <w:szCs w:val="22"/>
        </w:rPr>
        <w:t xml:space="preserve">(11), </w:t>
      </w:r>
      <w:r w:rsidRPr="009A6955">
        <w:rPr>
          <w:rStyle w:val="citation"/>
          <w:rFonts w:cs="Arial"/>
          <w:szCs w:val="22"/>
        </w:rPr>
        <w:t>976-983.</w:t>
      </w:r>
    </w:p>
    <w:p w:rsidR="000541AE" w:rsidRPr="009A6955" w:rsidRDefault="000541AE" w:rsidP="00B934B6">
      <w:pPr>
        <w:rPr>
          <w:rFonts w:cs="Arial"/>
        </w:rPr>
      </w:pPr>
      <w:bookmarkStart w:id="89" w:name="_ENREF_5"/>
      <w:proofErr w:type="gramStart"/>
      <w:r w:rsidRPr="009A6955">
        <w:rPr>
          <w:rFonts w:cs="Arial"/>
        </w:rPr>
        <w:t>Caldwell, T. M., Jorm, A. F., &amp; Dear, K. B. G. (2004).</w:t>
      </w:r>
      <w:proofErr w:type="gramEnd"/>
      <w:r w:rsidRPr="009A6955">
        <w:rPr>
          <w:rFonts w:cs="Arial"/>
        </w:rPr>
        <w:t xml:space="preserve"> </w:t>
      </w:r>
      <w:proofErr w:type="gramStart"/>
      <w:r w:rsidRPr="009A6955">
        <w:rPr>
          <w:rFonts w:cs="Arial"/>
        </w:rPr>
        <w:t>Suicide and mental health in rural, remote and metropolitan areas in Australia.</w:t>
      </w:r>
      <w:proofErr w:type="gramEnd"/>
      <w:r w:rsidRPr="009A6955">
        <w:rPr>
          <w:rFonts w:cs="Arial"/>
        </w:rPr>
        <w:t xml:space="preserve"> </w:t>
      </w:r>
      <w:r w:rsidRPr="009A6955">
        <w:rPr>
          <w:rFonts w:cs="Arial"/>
          <w:i/>
        </w:rPr>
        <w:t>Medical Journal of Australia, 181</w:t>
      </w:r>
      <w:r w:rsidRPr="009A6955">
        <w:rPr>
          <w:rFonts w:cs="Arial"/>
        </w:rPr>
        <w:t>(7), 10-14.</w:t>
      </w:r>
    </w:p>
    <w:p w:rsidR="000541AE" w:rsidRPr="009A6955" w:rsidRDefault="000541AE" w:rsidP="00B934B6">
      <w:pPr>
        <w:rPr>
          <w:rFonts w:eastAsia="Calibri" w:cs="Arial"/>
          <w:lang w:val="en-US"/>
        </w:rPr>
      </w:pPr>
      <w:r w:rsidRPr="009A6955">
        <w:rPr>
          <w:rFonts w:eastAsia="Calibri" w:cs="Arial"/>
          <w:lang w:val="en-US"/>
        </w:rPr>
        <w:t xml:space="preserve">Canivet, C., Östergren, P. O., Lindeberg, S. I., Choi, B., Karasek, R., Moghaddassi, M., &amp; Isacsson, S. O. (2010). </w:t>
      </w:r>
      <w:proofErr w:type="gramStart"/>
      <w:r w:rsidRPr="009A6955">
        <w:rPr>
          <w:rFonts w:eastAsia="Calibri" w:cs="Arial"/>
          <w:lang w:val="en-US"/>
        </w:rPr>
        <w:t>Conflict between the work and family domains and exhaustion among vocationally active men and women.</w:t>
      </w:r>
      <w:proofErr w:type="gramEnd"/>
      <w:r w:rsidRPr="009A6955">
        <w:rPr>
          <w:rFonts w:eastAsia="Calibri" w:cs="Arial"/>
          <w:lang w:val="en-US"/>
        </w:rPr>
        <w:t xml:space="preserve"> </w:t>
      </w:r>
      <w:r w:rsidRPr="009A6955">
        <w:rPr>
          <w:rFonts w:eastAsia="Calibri" w:cs="Arial"/>
          <w:i/>
          <w:iCs/>
          <w:lang w:val="en-US"/>
        </w:rPr>
        <w:t>Social Science &amp; Medicine, 70</w:t>
      </w:r>
      <w:r w:rsidRPr="009A6955">
        <w:rPr>
          <w:rFonts w:eastAsia="Calibri" w:cs="Arial"/>
          <w:lang w:val="en-US"/>
        </w:rPr>
        <w:t>(8), 1237-1245.</w:t>
      </w:r>
    </w:p>
    <w:p w:rsidR="00401438" w:rsidRPr="009A6955" w:rsidRDefault="006409D1" w:rsidP="00B934B6">
      <w:pPr>
        <w:rPr>
          <w:rFonts w:eastAsia="Calibri" w:cs="Arial"/>
          <w:lang w:val="en-US"/>
        </w:rPr>
      </w:pPr>
      <w:hyperlink r:id="rId37" w:history="1">
        <w:proofErr w:type="gramStart"/>
        <w:r w:rsidR="00EA31C3">
          <w:rPr>
            <w:rStyle w:val="Hyperlink"/>
            <w:rFonts w:cs="Arial"/>
          </w:rPr>
          <w:t>Castles, I., &amp; Cook, L. (1993).</w:t>
        </w:r>
        <w:proofErr w:type="gramEnd"/>
        <w:r w:rsidR="00EA31C3">
          <w:rPr>
            <w:rStyle w:val="Hyperlink"/>
            <w:rFonts w:cs="Arial"/>
          </w:rPr>
          <w:t xml:space="preserve"> </w:t>
        </w:r>
        <w:proofErr w:type="gramStart"/>
        <w:r w:rsidR="00EA31C3">
          <w:rPr>
            <w:rStyle w:val="Hyperlink"/>
            <w:rFonts w:cs="Arial"/>
          </w:rPr>
          <w:t>Australian and New Zealand standard industrial classification.</w:t>
        </w:r>
        <w:proofErr w:type="gramEnd"/>
        <w:r w:rsidR="00EA31C3">
          <w:rPr>
            <w:rStyle w:val="Hyperlink"/>
            <w:rFonts w:cs="Arial"/>
          </w:rPr>
          <w:t xml:space="preserve"> </w:t>
        </w:r>
        <w:proofErr w:type="gramStart"/>
        <w:r w:rsidR="00EA31C3">
          <w:rPr>
            <w:rStyle w:val="Hyperlink"/>
            <w:rFonts w:cs="Arial"/>
          </w:rPr>
          <w:t>Retrieved April 1, 2011</w:t>
        </w:r>
      </w:hyperlink>
      <w:bookmarkEnd w:id="89"/>
      <w:r w:rsidR="00401438" w:rsidRPr="009A6955">
        <w:rPr>
          <w:rFonts w:cs="Arial"/>
        </w:rPr>
        <w:t>.</w:t>
      </w:r>
      <w:proofErr w:type="gramEnd"/>
    </w:p>
    <w:p w:rsidR="000541AE" w:rsidRPr="009A6955" w:rsidRDefault="000541AE" w:rsidP="00B934B6">
      <w:pPr>
        <w:rPr>
          <w:rFonts w:eastAsia="Calibri" w:cs="Arial"/>
          <w:color w:val="000000"/>
        </w:rPr>
      </w:pPr>
      <w:proofErr w:type="gramStart"/>
      <w:r w:rsidRPr="009A6955">
        <w:rPr>
          <w:rFonts w:eastAsia="Calibri" w:cs="Arial"/>
          <w:color w:val="000000"/>
        </w:rPr>
        <w:t>Christian, M. S., Bradley, J. C., Wallace, J. C., &amp; Burke, M. J., (2009).</w:t>
      </w:r>
      <w:proofErr w:type="gramEnd"/>
      <w:r w:rsidRPr="009A6955">
        <w:rPr>
          <w:rFonts w:eastAsia="Calibri" w:cs="Arial"/>
          <w:color w:val="000000"/>
        </w:rPr>
        <w:t xml:space="preserve"> Workplace safety: A meta-analysis of the roles of person and situation factors. </w:t>
      </w:r>
      <w:r w:rsidRPr="009A6955">
        <w:rPr>
          <w:rFonts w:eastAsia="Calibri" w:cs="Arial"/>
          <w:i/>
          <w:iCs/>
          <w:color w:val="000000"/>
        </w:rPr>
        <w:t>Journal of Applied Psychology, 94</w:t>
      </w:r>
      <w:r w:rsidR="00DA2B94">
        <w:rPr>
          <w:rFonts w:eastAsia="Calibri" w:cs="Arial"/>
          <w:color w:val="000000"/>
        </w:rPr>
        <w:t>, 1103–1127.</w:t>
      </w:r>
    </w:p>
    <w:p w:rsidR="003765E3" w:rsidRPr="009A6955" w:rsidRDefault="006409D1" w:rsidP="00B934B6">
      <w:pPr>
        <w:rPr>
          <w:rFonts w:cs="Arial"/>
        </w:rPr>
      </w:pPr>
      <w:hyperlink r:id="rId38" w:history="1">
        <w:proofErr w:type="gramStart"/>
        <w:r w:rsidR="00EA31C3">
          <w:rPr>
            <w:rStyle w:val="Hyperlink"/>
            <w:rFonts w:cs="Arial"/>
          </w:rPr>
          <w:t>Clark, M., Eaton, M., Lind, W., Pye, E., &amp; Bateman, L. (2011).</w:t>
        </w:r>
        <w:proofErr w:type="gramEnd"/>
        <w:r w:rsidR="00EA31C3">
          <w:rPr>
            <w:rStyle w:val="Hyperlink"/>
            <w:rFonts w:cs="Arial"/>
          </w:rPr>
          <w:t xml:space="preserve"> Key statistics: Australian small business. Canberra, ACT: Australian Government, Department of Innovation, Industry, Science and Research.</w:t>
        </w:r>
      </w:hyperlink>
    </w:p>
    <w:p w:rsidR="000541AE" w:rsidRPr="009A6955" w:rsidRDefault="000541AE" w:rsidP="00B934B6">
      <w:pPr>
        <w:rPr>
          <w:rFonts w:eastAsia="MS Mincho" w:cs="Arial"/>
          <w:lang w:eastAsia="ja-JP"/>
        </w:rPr>
      </w:pPr>
      <w:r w:rsidRPr="009A6955">
        <w:rPr>
          <w:rFonts w:cs="Arial"/>
        </w:rPr>
        <w:t xml:space="preserve">Cohen, J. (1992). </w:t>
      </w:r>
      <w:proofErr w:type="gramStart"/>
      <w:r w:rsidRPr="009A6955">
        <w:rPr>
          <w:rFonts w:cs="Arial"/>
        </w:rPr>
        <w:t>A power primer.</w:t>
      </w:r>
      <w:proofErr w:type="gramEnd"/>
      <w:r w:rsidRPr="009A6955">
        <w:rPr>
          <w:rFonts w:cs="Arial"/>
        </w:rPr>
        <w:t xml:space="preserve"> </w:t>
      </w:r>
      <w:r w:rsidRPr="009A6955">
        <w:rPr>
          <w:rFonts w:cs="Arial"/>
          <w:i/>
          <w:iCs/>
        </w:rPr>
        <w:t>Psychological Bulletin, 112</w:t>
      </w:r>
      <w:r w:rsidRPr="009A6955">
        <w:rPr>
          <w:rFonts w:cs="Arial"/>
        </w:rPr>
        <w:t>, 155-159.</w:t>
      </w:r>
    </w:p>
    <w:p w:rsidR="000541AE" w:rsidRPr="009A6955" w:rsidDel="00370C27" w:rsidRDefault="000541AE" w:rsidP="00B934B6">
      <w:pPr>
        <w:rPr>
          <w:rFonts w:cs="Arial"/>
        </w:rPr>
      </w:pPr>
      <w:proofErr w:type="gramStart"/>
      <w:r w:rsidRPr="009A6955">
        <w:rPr>
          <w:rFonts w:cs="Arial"/>
        </w:rPr>
        <w:t>Comcare &amp; Safety Rehabilitation and Compensation Commission (2009).</w:t>
      </w:r>
      <w:proofErr w:type="gramEnd"/>
      <w:r w:rsidRPr="009A6955">
        <w:rPr>
          <w:rFonts w:cs="Arial"/>
        </w:rPr>
        <w:t xml:space="preserve"> </w:t>
      </w:r>
      <w:r w:rsidRPr="009A6955">
        <w:rPr>
          <w:rFonts w:cs="Arial"/>
          <w:i/>
        </w:rPr>
        <w:t xml:space="preserve">Australia’s safest workplaces: Compendium of OHS and workers’ compensation statistics. </w:t>
      </w:r>
      <w:r w:rsidRPr="009A6955">
        <w:rPr>
          <w:rFonts w:cs="Arial"/>
        </w:rPr>
        <w:t>Canberra: Comcare.</w:t>
      </w:r>
    </w:p>
    <w:p w:rsidR="000541AE" w:rsidRPr="009A6955" w:rsidRDefault="000541AE" w:rsidP="00B934B6">
      <w:pPr>
        <w:rPr>
          <w:rFonts w:cs="Arial"/>
        </w:rPr>
      </w:pPr>
      <w:proofErr w:type="gramStart"/>
      <w:r w:rsidRPr="009A6955">
        <w:rPr>
          <w:rFonts w:cs="Arial"/>
        </w:rPr>
        <w:t>Commission on Social Determinants of Health (2008).</w:t>
      </w:r>
      <w:proofErr w:type="gramEnd"/>
      <w:r w:rsidRPr="009A6955">
        <w:rPr>
          <w:rFonts w:cs="Arial"/>
        </w:rPr>
        <w:t xml:space="preserve"> </w:t>
      </w:r>
      <w:proofErr w:type="gramStart"/>
      <w:r w:rsidRPr="009A6955">
        <w:rPr>
          <w:rFonts w:cs="Arial"/>
          <w:i/>
        </w:rPr>
        <w:t>Closing the gap in a generation: Health equity through action on the social determinants of health</w:t>
      </w:r>
      <w:r w:rsidRPr="009A6955">
        <w:rPr>
          <w:rFonts w:cs="Arial"/>
        </w:rPr>
        <w:t xml:space="preserve"> (Final Report of the Commission on Social Determinants of Health).</w:t>
      </w:r>
      <w:proofErr w:type="gramEnd"/>
      <w:r w:rsidRPr="009A6955">
        <w:rPr>
          <w:rFonts w:cs="Arial"/>
        </w:rPr>
        <w:t xml:space="preserve"> Geneva: World Health Organization.</w:t>
      </w:r>
    </w:p>
    <w:p w:rsidR="000541AE" w:rsidRPr="009A6955" w:rsidRDefault="000541AE" w:rsidP="00B934B6">
      <w:pPr>
        <w:rPr>
          <w:rFonts w:eastAsia="Calibri" w:cs="Arial"/>
          <w:color w:val="000000"/>
        </w:rPr>
      </w:pPr>
      <w:proofErr w:type="gramStart"/>
      <w:r w:rsidRPr="009A6955">
        <w:rPr>
          <w:rFonts w:eastAsia="Calibri" w:cs="Arial"/>
          <w:color w:val="000000"/>
        </w:rPr>
        <w:t>Cotton, P., &amp; Hart, P. M. (2003).</w:t>
      </w:r>
      <w:proofErr w:type="gramEnd"/>
      <w:r w:rsidRPr="009A6955">
        <w:rPr>
          <w:rFonts w:eastAsia="Calibri" w:cs="Arial"/>
          <w:color w:val="000000"/>
        </w:rPr>
        <w:t xml:space="preserve"> Occupational wellbeing and performance: A review o</w:t>
      </w:r>
      <w:r w:rsidR="00F34DA3" w:rsidRPr="009A6955">
        <w:rPr>
          <w:rFonts w:eastAsia="Calibri" w:cs="Arial"/>
          <w:color w:val="000000"/>
        </w:rPr>
        <w:t>f organis</w:t>
      </w:r>
      <w:r w:rsidRPr="009A6955">
        <w:rPr>
          <w:rFonts w:eastAsia="Calibri" w:cs="Arial"/>
          <w:color w:val="000000"/>
        </w:rPr>
        <w:t xml:space="preserve">ational health research. </w:t>
      </w:r>
      <w:proofErr w:type="gramStart"/>
      <w:r w:rsidRPr="009A6955">
        <w:rPr>
          <w:rFonts w:eastAsia="Calibri" w:cs="Arial"/>
          <w:i/>
          <w:iCs/>
          <w:color w:val="000000"/>
        </w:rPr>
        <w:t>Australian Psychologist</w:t>
      </w:r>
      <w:r w:rsidRPr="009A6955">
        <w:rPr>
          <w:rFonts w:eastAsia="Calibri" w:cs="Arial"/>
          <w:color w:val="000000"/>
        </w:rPr>
        <w:t xml:space="preserve">, </w:t>
      </w:r>
      <w:r w:rsidRPr="009A6955">
        <w:rPr>
          <w:rFonts w:eastAsia="Calibri" w:cs="Arial"/>
          <w:i/>
          <w:iCs/>
          <w:color w:val="000000"/>
        </w:rPr>
        <w:t>38</w:t>
      </w:r>
      <w:r w:rsidR="00DA2B94">
        <w:rPr>
          <w:rFonts w:eastAsia="Calibri" w:cs="Arial"/>
          <w:color w:val="000000"/>
        </w:rPr>
        <w:t>, 118–27.</w:t>
      </w:r>
      <w:proofErr w:type="gramEnd"/>
    </w:p>
    <w:p w:rsidR="000541AE" w:rsidRPr="009A6955" w:rsidRDefault="000541AE" w:rsidP="00B934B6">
      <w:pPr>
        <w:rPr>
          <w:rFonts w:eastAsia="Calibri" w:cs="Arial"/>
          <w:color w:val="000000"/>
        </w:rPr>
      </w:pPr>
      <w:proofErr w:type="gramStart"/>
      <w:r w:rsidRPr="009A6955">
        <w:rPr>
          <w:rFonts w:eastAsia="Calibri" w:cs="Arial"/>
          <w:color w:val="000000"/>
        </w:rPr>
        <w:t>Cox, S. J., &amp; Cheyne, A. J. T. (2000).</w:t>
      </w:r>
      <w:proofErr w:type="gramEnd"/>
      <w:r w:rsidRPr="009A6955">
        <w:rPr>
          <w:rFonts w:eastAsia="Calibri" w:cs="Arial"/>
          <w:color w:val="000000"/>
        </w:rPr>
        <w:t xml:space="preserve"> </w:t>
      </w:r>
      <w:proofErr w:type="gramStart"/>
      <w:r w:rsidRPr="009A6955">
        <w:rPr>
          <w:rFonts w:eastAsia="Calibri" w:cs="Arial"/>
          <w:color w:val="000000"/>
        </w:rPr>
        <w:t>Assessing safety culture in offshore environments.</w:t>
      </w:r>
      <w:proofErr w:type="gramEnd"/>
      <w:r w:rsidRPr="009A6955">
        <w:rPr>
          <w:rFonts w:eastAsia="Calibri" w:cs="Arial"/>
          <w:color w:val="000000"/>
        </w:rPr>
        <w:t xml:space="preserve"> </w:t>
      </w:r>
      <w:r w:rsidRPr="009A6955">
        <w:rPr>
          <w:rFonts w:eastAsia="Calibri" w:cs="Arial"/>
          <w:i/>
          <w:iCs/>
          <w:color w:val="000000"/>
        </w:rPr>
        <w:t>Safety Science, 34</w:t>
      </w:r>
      <w:r w:rsidR="00DA2B94">
        <w:rPr>
          <w:rFonts w:eastAsia="Calibri" w:cs="Arial"/>
          <w:color w:val="000000"/>
        </w:rPr>
        <w:t>, 111-129.</w:t>
      </w:r>
    </w:p>
    <w:p w:rsidR="000541AE" w:rsidRPr="009A6955" w:rsidRDefault="000541AE" w:rsidP="00B934B6">
      <w:pPr>
        <w:rPr>
          <w:rFonts w:cs="Arial"/>
        </w:rPr>
      </w:pPr>
      <w:r w:rsidRPr="009A6955">
        <w:rPr>
          <w:rFonts w:cs="Arial"/>
        </w:rPr>
        <w:t xml:space="preserve">Danaher, P. A. (2010). </w:t>
      </w:r>
      <w:proofErr w:type="gramStart"/>
      <w:r w:rsidRPr="009A6955">
        <w:rPr>
          <w:rFonts w:cs="Arial"/>
        </w:rPr>
        <w:t>Places and spaces for circus performers and show people as Australian migratory workers.</w:t>
      </w:r>
      <w:proofErr w:type="gramEnd"/>
      <w:r w:rsidRPr="009A6955">
        <w:rPr>
          <w:rFonts w:cs="Arial"/>
        </w:rPr>
        <w:t xml:space="preserve"> </w:t>
      </w:r>
      <w:r w:rsidRPr="009A6955">
        <w:rPr>
          <w:rFonts w:cs="Arial"/>
          <w:i/>
        </w:rPr>
        <w:t>Sociologia Ruralis, 50</w:t>
      </w:r>
      <w:r w:rsidRPr="009A6955">
        <w:rPr>
          <w:rFonts w:cs="Arial"/>
        </w:rPr>
        <w:t>(3), 242–257.</w:t>
      </w:r>
    </w:p>
    <w:p w:rsidR="000541AE" w:rsidRPr="009A6955" w:rsidRDefault="000541AE" w:rsidP="00B934B6">
      <w:pPr>
        <w:rPr>
          <w:rFonts w:cs="Arial"/>
        </w:rPr>
      </w:pPr>
      <w:r w:rsidRPr="009A6955">
        <w:rPr>
          <w:rFonts w:cs="Arial"/>
        </w:rPr>
        <w:t>de Lange, A. H., Kompier, M. A. J., Taris, T. W., Geurts, S. A. E., Beckers, D. G. J., Houtman, I. L. D., &amp; Bongers, P. M. (2009). A hard day’s night: A longitudinal study on the relationships among job demands and job control, sleep quality and fatigue. Journal of Sleep Research, 18, 374-383.</w:t>
      </w:r>
    </w:p>
    <w:p w:rsidR="000541AE" w:rsidRPr="009A6955" w:rsidRDefault="000541AE" w:rsidP="00B934B6">
      <w:pPr>
        <w:rPr>
          <w:rFonts w:eastAsia="Calibri" w:cs="Arial"/>
          <w:color w:val="000000"/>
        </w:rPr>
      </w:pPr>
      <w:r w:rsidRPr="009A6955">
        <w:rPr>
          <w:rFonts w:eastAsia="Calibri" w:cs="Arial"/>
          <w:color w:val="000000"/>
        </w:rPr>
        <w:t xml:space="preserve">de Lange, A. H., Taris, T. W., Kompier, M. A. J., Houtman, I. L. D., &amp; Bongers, P. M. (2003). The very best of the millennium: Longitudinal research and the demand-control-support model. </w:t>
      </w:r>
      <w:r w:rsidRPr="009A6955">
        <w:rPr>
          <w:rFonts w:eastAsia="Calibri" w:cs="Arial"/>
          <w:i/>
          <w:iCs/>
          <w:color w:val="000000"/>
        </w:rPr>
        <w:t>Journal of Occupational Health Psychology, 8</w:t>
      </w:r>
      <w:r w:rsidR="00DA2B94">
        <w:rPr>
          <w:rFonts w:eastAsia="Calibri" w:cs="Arial"/>
          <w:color w:val="000000"/>
        </w:rPr>
        <w:t>, 282-305.</w:t>
      </w:r>
    </w:p>
    <w:p w:rsidR="000541AE" w:rsidRPr="009A6955" w:rsidRDefault="000541AE" w:rsidP="00B934B6">
      <w:pPr>
        <w:rPr>
          <w:rFonts w:cs="Arial"/>
        </w:rPr>
      </w:pPr>
      <w:bookmarkStart w:id="90" w:name="_ENREF_21"/>
      <w:proofErr w:type="gramStart"/>
      <w:r w:rsidRPr="009A6955">
        <w:rPr>
          <w:rFonts w:cs="Arial"/>
        </w:rPr>
        <w:t>Demerouti, E., &amp; Bakker, A. B. (2011).</w:t>
      </w:r>
      <w:proofErr w:type="gramEnd"/>
      <w:r w:rsidRPr="009A6955">
        <w:rPr>
          <w:rFonts w:cs="Arial"/>
        </w:rPr>
        <w:t xml:space="preserve"> The Job Demands-Resources model: Challenges for future research. </w:t>
      </w:r>
      <w:r w:rsidRPr="009A6955">
        <w:rPr>
          <w:rFonts w:cs="Arial"/>
          <w:i/>
          <w:iCs/>
        </w:rPr>
        <w:t>SA Journal of Industrial Psychology, 37</w:t>
      </w:r>
      <w:r w:rsidRPr="009A6955">
        <w:rPr>
          <w:rFonts w:cs="Arial"/>
        </w:rPr>
        <w:t>(2), 1-9.</w:t>
      </w:r>
      <w:bookmarkEnd w:id="90"/>
    </w:p>
    <w:p w:rsidR="000541AE" w:rsidRPr="009A6955" w:rsidRDefault="000541AE" w:rsidP="00B934B6">
      <w:pPr>
        <w:rPr>
          <w:rFonts w:cs="Arial"/>
        </w:rPr>
      </w:pPr>
      <w:proofErr w:type="gramStart"/>
      <w:r w:rsidRPr="009A6955">
        <w:rPr>
          <w:rFonts w:cs="Arial"/>
        </w:rPr>
        <w:t>Demerouti, E., Nachreiner, F., Bakker, A. B., &amp; Schaufeli, W. B. (2001).</w:t>
      </w:r>
      <w:proofErr w:type="gramEnd"/>
      <w:r w:rsidRPr="009A6955">
        <w:rPr>
          <w:rFonts w:cs="Arial"/>
        </w:rPr>
        <w:t xml:space="preserve"> The Job Demands-Resources model of burnout. </w:t>
      </w:r>
      <w:r w:rsidRPr="009A6955">
        <w:rPr>
          <w:rFonts w:cs="Arial"/>
          <w:i/>
          <w:iCs/>
        </w:rPr>
        <w:t>Journal of Applied Psychology</w:t>
      </w:r>
      <w:r w:rsidRPr="009A6955">
        <w:rPr>
          <w:rFonts w:cs="Arial"/>
          <w:i/>
        </w:rPr>
        <w:t xml:space="preserve">, </w:t>
      </w:r>
      <w:r w:rsidRPr="009A6955">
        <w:rPr>
          <w:rFonts w:cs="Arial"/>
          <w:bCs/>
          <w:i/>
        </w:rPr>
        <w:t>86</w:t>
      </w:r>
      <w:r w:rsidRPr="009A6955">
        <w:rPr>
          <w:rFonts w:cs="Arial"/>
          <w:i/>
        </w:rPr>
        <w:t>,</w:t>
      </w:r>
      <w:r w:rsidRPr="009A6955">
        <w:rPr>
          <w:rFonts w:cs="Arial"/>
        </w:rPr>
        <w:t xml:space="preserve"> 499-512.</w:t>
      </w:r>
    </w:p>
    <w:p w:rsidR="000541AE" w:rsidRPr="009A6955" w:rsidRDefault="000541AE" w:rsidP="00B934B6">
      <w:pPr>
        <w:rPr>
          <w:rFonts w:cs="Arial"/>
        </w:rPr>
      </w:pPr>
      <w:r w:rsidRPr="009A6955">
        <w:rPr>
          <w:rFonts w:cs="Arial"/>
        </w:rPr>
        <w:lastRenderedPageBreak/>
        <w:t xml:space="preserve">Dollard, M. F. (2012, in press). Psychosocial safety climate: A lead indicator of work conditions, workplace psychological health and engagement and precursor to intervention success. In C. Biron, M. Karanika-Murray, &amp; C. L. Cooper (Eds.), </w:t>
      </w:r>
      <w:r w:rsidRPr="009A6955">
        <w:rPr>
          <w:rFonts w:cs="Arial"/>
          <w:i/>
        </w:rPr>
        <w:t>Managing psychosocial risks in the workplace: The role of process issues.</w:t>
      </w:r>
      <w:r w:rsidRPr="009A6955">
        <w:rPr>
          <w:rFonts w:cs="Arial"/>
        </w:rPr>
        <w:t xml:space="preserve"> </w:t>
      </w:r>
      <w:proofErr w:type="gramStart"/>
      <w:r w:rsidRPr="009A6955">
        <w:rPr>
          <w:rFonts w:cs="Arial"/>
        </w:rPr>
        <w:t>Psychology Press.</w:t>
      </w:r>
      <w:proofErr w:type="gramEnd"/>
    </w:p>
    <w:p w:rsidR="000541AE" w:rsidRPr="009A6955" w:rsidRDefault="000541AE" w:rsidP="00B934B6">
      <w:pPr>
        <w:rPr>
          <w:rFonts w:cs="Arial"/>
          <w:color w:val="000000"/>
        </w:rPr>
      </w:pPr>
      <w:r w:rsidRPr="009A6955">
        <w:rPr>
          <w:rFonts w:cs="Arial"/>
          <w:color w:val="000000"/>
        </w:rPr>
        <w:t xml:space="preserve">Dollard, M. F., &amp; Bailey, T. S. (to be published </w:t>
      </w:r>
      <w:r w:rsidR="00187EBB" w:rsidRPr="009A6955">
        <w:rPr>
          <w:rFonts w:cs="Arial"/>
          <w:color w:val="000000"/>
        </w:rPr>
        <w:t>2013</w:t>
      </w:r>
      <w:r w:rsidRPr="009A6955">
        <w:rPr>
          <w:rFonts w:cs="Arial"/>
          <w:color w:val="000000"/>
        </w:rPr>
        <w:t xml:space="preserve">). </w:t>
      </w:r>
      <w:r w:rsidRPr="009A6955">
        <w:rPr>
          <w:rFonts w:cs="Arial"/>
          <w:i/>
          <w:iCs/>
          <w:color w:val="000000"/>
        </w:rPr>
        <w:t>Australian Workplace Barometer: Psychosocial safety climate and working conditions in Australia</w:t>
      </w:r>
      <w:r w:rsidRPr="009A6955">
        <w:rPr>
          <w:rFonts w:cs="Arial"/>
          <w:color w:val="000000"/>
        </w:rPr>
        <w:t>: Australian Federation Press.</w:t>
      </w:r>
    </w:p>
    <w:p w:rsidR="000541AE" w:rsidRPr="009A6955" w:rsidRDefault="000541AE" w:rsidP="00B934B6">
      <w:pPr>
        <w:rPr>
          <w:rFonts w:cs="Arial"/>
        </w:rPr>
      </w:pPr>
      <w:proofErr w:type="gramStart"/>
      <w:r w:rsidRPr="009A6955">
        <w:rPr>
          <w:rFonts w:cs="Arial"/>
        </w:rPr>
        <w:t>Dollard, M. F., &amp; Bakker, A. B. (2010).</w:t>
      </w:r>
      <w:proofErr w:type="gramEnd"/>
      <w:r w:rsidRPr="009A6955">
        <w:rPr>
          <w:rFonts w:cs="Arial"/>
        </w:rPr>
        <w:t xml:space="preserve"> </w:t>
      </w:r>
      <w:proofErr w:type="gramStart"/>
      <w:r w:rsidRPr="009A6955">
        <w:rPr>
          <w:rFonts w:cs="Arial"/>
        </w:rPr>
        <w:t>Psychosocial safety climate as a precursor to conducive work environments, psychological health problems, and employee engagement.</w:t>
      </w:r>
      <w:proofErr w:type="gramEnd"/>
      <w:r w:rsidRPr="009A6955">
        <w:rPr>
          <w:rFonts w:cs="Arial"/>
        </w:rPr>
        <w:t xml:space="preserve"> </w:t>
      </w:r>
      <w:r w:rsidRPr="009A6955">
        <w:rPr>
          <w:rFonts w:cs="Arial"/>
          <w:i/>
        </w:rPr>
        <w:t>Journal of Occupational and Organizational Psychology, 83,</w:t>
      </w:r>
      <w:r w:rsidR="00DA2B94">
        <w:rPr>
          <w:rFonts w:cs="Arial"/>
        </w:rPr>
        <w:t xml:space="preserve"> 579-599.</w:t>
      </w:r>
    </w:p>
    <w:p w:rsidR="000541AE" w:rsidRPr="009A6955" w:rsidRDefault="000541AE" w:rsidP="00B934B6">
      <w:pPr>
        <w:rPr>
          <w:rFonts w:eastAsia="Calibri" w:cs="Arial"/>
          <w:color w:val="000000"/>
        </w:rPr>
      </w:pPr>
      <w:proofErr w:type="gramStart"/>
      <w:r w:rsidRPr="009A6955">
        <w:rPr>
          <w:rFonts w:eastAsia="Calibri" w:cs="Arial"/>
          <w:color w:val="000000"/>
        </w:rPr>
        <w:t>Dollard, M. F., &amp; Karasek, R. (2010).</w:t>
      </w:r>
      <w:proofErr w:type="gramEnd"/>
      <w:r w:rsidRPr="009A6955">
        <w:rPr>
          <w:rFonts w:eastAsia="Calibri" w:cs="Arial"/>
          <w:color w:val="000000"/>
        </w:rPr>
        <w:t xml:space="preserve"> </w:t>
      </w:r>
      <w:proofErr w:type="gramStart"/>
      <w:r w:rsidRPr="009A6955">
        <w:rPr>
          <w:rFonts w:eastAsia="Calibri" w:cs="Arial"/>
          <w:color w:val="000000"/>
        </w:rPr>
        <w:t>Building psychosocial safety climate: Evaluation of a socially coordinated PAR risk management stress prevention study.</w:t>
      </w:r>
      <w:proofErr w:type="gramEnd"/>
      <w:r w:rsidRPr="009A6955">
        <w:rPr>
          <w:rFonts w:eastAsia="Calibri" w:cs="Arial"/>
          <w:color w:val="000000"/>
        </w:rPr>
        <w:t xml:space="preserve"> In J. Houdmont, &amp; S. Leka (Eds), </w:t>
      </w:r>
      <w:r w:rsidRPr="009A6955">
        <w:rPr>
          <w:rFonts w:eastAsia="Calibri" w:cs="Arial"/>
          <w:i/>
          <w:iCs/>
          <w:color w:val="000000"/>
        </w:rPr>
        <w:t xml:space="preserve">Contemporary occupational health psychology: Global perspectives on research and practice </w:t>
      </w:r>
      <w:r w:rsidRPr="009A6955">
        <w:rPr>
          <w:rFonts w:eastAsia="Calibri" w:cs="Arial"/>
          <w:color w:val="000000"/>
        </w:rPr>
        <w:t>(pp. 208-234). Chichester: Wiley Bl</w:t>
      </w:r>
      <w:r w:rsidR="00DA2B94">
        <w:rPr>
          <w:rFonts w:eastAsia="Calibri" w:cs="Arial"/>
          <w:color w:val="000000"/>
        </w:rPr>
        <w:t>ackwell.</w:t>
      </w:r>
    </w:p>
    <w:p w:rsidR="000541AE" w:rsidRPr="009A6955" w:rsidRDefault="000541AE" w:rsidP="00B934B6">
      <w:pPr>
        <w:rPr>
          <w:rFonts w:cs="Arial"/>
        </w:rPr>
      </w:pPr>
      <w:proofErr w:type="gramStart"/>
      <w:r w:rsidRPr="009A6955">
        <w:rPr>
          <w:rFonts w:cs="Arial"/>
        </w:rPr>
        <w:t>Dollard, M. F., &amp; McTernan, W. (2011).</w:t>
      </w:r>
      <w:proofErr w:type="gramEnd"/>
      <w:r w:rsidRPr="009A6955">
        <w:rPr>
          <w:rFonts w:cs="Arial"/>
        </w:rPr>
        <w:t xml:space="preserve"> </w:t>
      </w:r>
      <w:proofErr w:type="gramStart"/>
      <w:r w:rsidRPr="009A6955">
        <w:rPr>
          <w:rFonts w:cs="Arial"/>
        </w:rPr>
        <w:t>Psychosocial safety climate a multilevel theory of work stress in the health and community sector.</w:t>
      </w:r>
      <w:proofErr w:type="gramEnd"/>
      <w:r w:rsidRPr="009A6955">
        <w:rPr>
          <w:rFonts w:cs="Arial"/>
        </w:rPr>
        <w:t xml:space="preserve"> </w:t>
      </w:r>
      <w:r w:rsidRPr="009A6955">
        <w:rPr>
          <w:rFonts w:cs="Arial"/>
          <w:i/>
        </w:rPr>
        <w:t xml:space="preserve">International Journal for Epidemiology and Psychiatric Services, 1, </w:t>
      </w:r>
      <w:r w:rsidRPr="009A6955">
        <w:rPr>
          <w:rFonts w:cs="Arial"/>
        </w:rPr>
        <w:t>1-7.</w:t>
      </w:r>
    </w:p>
    <w:p w:rsidR="000541AE" w:rsidRPr="009A6955" w:rsidRDefault="000541AE" w:rsidP="00B934B6">
      <w:pPr>
        <w:rPr>
          <w:rFonts w:cs="Arial"/>
        </w:rPr>
      </w:pPr>
      <w:r w:rsidRPr="009A6955">
        <w:rPr>
          <w:rFonts w:cs="Arial"/>
        </w:rPr>
        <w:t>Dollard, M. F., &amp; Neser, D. (2012</w:t>
      </w:r>
      <w:proofErr w:type="gramStart"/>
      <w:r w:rsidR="00401438" w:rsidRPr="009A6955">
        <w:rPr>
          <w:rFonts w:cs="Arial"/>
        </w:rPr>
        <w:t>,</w:t>
      </w:r>
      <w:r w:rsidR="00401438" w:rsidRPr="009A6955">
        <w:rPr>
          <w:rFonts w:cs="Arial"/>
          <w:i/>
        </w:rPr>
        <w:t xml:space="preserve"> ,</w:t>
      </w:r>
      <w:proofErr w:type="gramEnd"/>
      <w:r w:rsidR="00401438" w:rsidRPr="009A6955">
        <w:rPr>
          <w:rFonts w:cs="Arial"/>
          <w:i/>
        </w:rPr>
        <w:t xml:space="preserve"> </w:t>
      </w:r>
      <w:r w:rsidR="00401438" w:rsidRPr="009A6955">
        <w:rPr>
          <w:rFonts w:cs="Arial"/>
        </w:rPr>
        <w:t>in review</w:t>
      </w:r>
      <w:r w:rsidRPr="009A6955">
        <w:rPr>
          <w:rFonts w:cs="Arial"/>
        </w:rPr>
        <w:t xml:space="preserve">). Work psychosocial determinants of European country differences in health beyond absolute income and income inequality. </w:t>
      </w:r>
      <w:proofErr w:type="gramStart"/>
      <w:r w:rsidRPr="009A6955">
        <w:rPr>
          <w:rFonts w:cs="Arial"/>
          <w:i/>
        </w:rPr>
        <w:t xml:space="preserve">Scandinavian Journal of Work, Environment &amp; Health, </w:t>
      </w:r>
      <w:r w:rsidRPr="009A6955">
        <w:rPr>
          <w:rFonts w:cs="Arial"/>
        </w:rPr>
        <w:t>in review.</w:t>
      </w:r>
      <w:proofErr w:type="gramEnd"/>
    </w:p>
    <w:p w:rsidR="000541AE" w:rsidRPr="009A6955" w:rsidRDefault="000541AE" w:rsidP="00B934B6">
      <w:pPr>
        <w:rPr>
          <w:rFonts w:eastAsia="Calibri" w:cs="Arial"/>
          <w:color w:val="000000"/>
        </w:rPr>
      </w:pPr>
      <w:proofErr w:type="gramStart"/>
      <w:r w:rsidRPr="009A6955">
        <w:rPr>
          <w:rFonts w:eastAsia="Calibri" w:cs="Arial"/>
          <w:color w:val="000000"/>
        </w:rPr>
        <w:t>Dollard, M. F., &amp; Skinner, N. (2007).</w:t>
      </w:r>
      <w:proofErr w:type="gramEnd"/>
      <w:r w:rsidRPr="009A6955">
        <w:rPr>
          <w:rFonts w:eastAsia="Calibri" w:cs="Arial"/>
          <w:color w:val="000000"/>
        </w:rPr>
        <w:t xml:space="preserve"> Keynote: </w:t>
      </w:r>
      <w:r w:rsidRPr="009A6955">
        <w:rPr>
          <w:rFonts w:eastAsia="Calibri" w:cs="Arial"/>
          <w:i/>
          <w:color w:val="000000"/>
        </w:rPr>
        <w:t xml:space="preserve">Throw-away workers or sustainable workplaces? </w:t>
      </w:r>
      <w:proofErr w:type="gramStart"/>
      <w:r w:rsidRPr="009A6955">
        <w:rPr>
          <w:rFonts w:eastAsia="Calibri" w:cs="Arial"/>
          <w:i/>
          <w:color w:val="000000"/>
        </w:rPr>
        <w:t>The Australian Workplace Barometer.</w:t>
      </w:r>
      <w:proofErr w:type="gramEnd"/>
      <w:r w:rsidRPr="009A6955">
        <w:rPr>
          <w:rFonts w:eastAsia="Calibri" w:cs="Arial"/>
          <w:i/>
          <w:color w:val="000000"/>
        </w:rPr>
        <w:t xml:space="preserve"> </w:t>
      </w:r>
      <w:proofErr w:type="gramStart"/>
      <w:r w:rsidRPr="009A6955">
        <w:rPr>
          <w:rFonts w:eastAsia="Calibri" w:cs="Arial"/>
          <w:color w:val="000000"/>
        </w:rPr>
        <w:t>Proceedings of the Annual Conference of the Human Factors and Ergonomics S</w:t>
      </w:r>
      <w:r w:rsidR="00DA2B94">
        <w:rPr>
          <w:rFonts w:eastAsia="Calibri" w:cs="Arial"/>
          <w:color w:val="000000"/>
        </w:rPr>
        <w:t>ociety of Australia, Perth, WA.</w:t>
      </w:r>
      <w:proofErr w:type="gramEnd"/>
    </w:p>
    <w:p w:rsidR="000541AE" w:rsidRPr="009A6955" w:rsidRDefault="000541AE" w:rsidP="00B934B6">
      <w:pPr>
        <w:rPr>
          <w:rFonts w:cs="Arial"/>
          <w:lang w:val="en-US"/>
        </w:rPr>
      </w:pPr>
      <w:r w:rsidRPr="009A6955">
        <w:rPr>
          <w:rFonts w:cs="Arial"/>
          <w:lang w:val="en-US"/>
        </w:rPr>
        <w:t xml:space="preserve">Dollard, M. F., Hall, G., LaMontagne, A. D., Taylor, A. W., Winefield, A. H., &amp; Smith, P. (2009). </w:t>
      </w:r>
      <w:proofErr w:type="gramStart"/>
      <w:r w:rsidRPr="009A6955">
        <w:rPr>
          <w:rFonts w:cs="Arial"/>
          <w:i/>
          <w:lang w:val="en-US"/>
        </w:rPr>
        <w:t>Australian Workplace Barometer (AWBQ2009).</w:t>
      </w:r>
      <w:proofErr w:type="gramEnd"/>
      <w:r w:rsidRPr="009A6955">
        <w:rPr>
          <w:rFonts w:cs="Arial"/>
          <w:lang w:val="en-US"/>
        </w:rPr>
        <w:t xml:space="preserve"> Adelaide, Australia: University of South Australia, Centre for Applied Psychological Research.</w:t>
      </w:r>
    </w:p>
    <w:p w:rsidR="000541AE" w:rsidRPr="009A6955" w:rsidRDefault="000541AE" w:rsidP="00B934B6">
      <w:pPr>
        <w:rPr>
          <w:rFonts w:eastAsia="Calibri" w:cs="Arial"/>
          <w:i/>
          <w:iCs/>
          <w:color w:val="000000"/>
        </w:rPr>
      </w:pPr>
      <w:proofErr w:type="gramStart"/>
      <w:r w:rsidRPr="009A6955">
        <w:rPr>
          <w:rFonts w:eastAsia="Calibri" w:cs="Arial"/>
          <w:color w:val="000000"/>
        </w:rPr>
        <w:t>Dollard, M. F., Skinner, N., Tuckey, M. R., &amp; Bailey, T. (2007).</w:t>
      </w:r>
      <w:proofErr w:type="gramEnd"/>
      <w:r w:rsidRPr="009A6955">
        <w:rPr>
          <w:rFonts w:eastAsia="Calibri" w:cs="Arial"/>
          <w:color w:val="000000"/>
        </w:rPr>
        <w:t xml:space="preserve"> National surveillance of psychosocial risk factors in the workplace: An international overview. </w:t>
      </w:r>
      <w:r w:rsidRPr="009A6955">
        <w:rPr>
          <w:rFonts w:eastAsia="Calibri" w:cs="Arial"/>
          <w:i/>
          <w:iCs/>
          <w:color w:val="000000"/>
        </w:rPr>
        <w:t xml:space="preserve">Work &amp; Stress, 21, </w:t>
      </w:r>
      <w:r w:rsidRPr="009A6955">
        <w:rPr>
          <w:rFonts w:eastAsia="Calibri" w:cs="Arial"/>
          <w:iCs/>
          <w:color w:val="000000"/>
        </w:rPr>
        <w:t>1-29.</w:t>
      </w:r>
    </w:p>
    <w:p w:rsidR="000541AE" w:rsidRPr="009A6955" w:rsidRDefault="000541AE" w:rsidP="00B934B6">
      <w:pPr>
        <w:rPr>
          <w:rFonts w:cs="Arial"/>
          <w:lang w:val="en-US"/>
        </w:rPr>
      </w:pPr>
      <w:proofErr w:type="gramStart"/>
      <w:r w:rsidRPr="009A6955">
        <w:rPr>
          <w:rFonts w:cs="Arial"/>
          <w:color w:val="000000"/>
        </w:rPr>
        <w:t>Dollard, M. F., Tuckey, M. R., &amp; Dormann, C. (2012).</w:t>
      </w:r>
      <w:proofErr w:type="gramEnd"/>
      <w:r w:rsidRPr="009A6955">
        <w:rPr>
          <w:rFonts w:cs="Arial"/>
          <w:color w:val="000000"/>
        </w:rPr>
        <w:t xml:space="preserve"> Psychosocial safety climate moderates the demand-resource interaction in predicting workgroup distress, </w:t>
      </w:r>
      <w:r w:rsidRPr="009A6955">
        <w:rPr>
          <w:rFonts w:cs="Arial"/>
          <w:i/>
          <w:color w:val="000000"/>
        </w:rPr>
        <w:t xml:space="preserve">Accident Analysis and Prevention, 45, </w:t>
      </w:r>
      <w:r w:rsidRPr="009A6955">
        <w:rPr>
          <w:rFonts w:cs="Arial"/>
          <w:color w:val="000000"/>
        </w:rPr>
        <w:t>694-704.</w:t>
      </w:r>
    </w:p>
    <w:p w:rsidR="000541AE" w:rsidRPr="009A6955" w:rsidRDefault="000541AE" w:rsidP="00B934B6">
      <w:pPr>
        <w:rPr>
          <w:rFonts w:eastAsia="Calibri" w:cs="Arial"/>
          <w:color w:val="000000"/>
        </w:rPr>
      </w:pPr>
      <w:r w:rsidRPr="009A6955">
        <w:rPr>
          <w:rFonts w:eastAsia="Calibri" w:cs="Arial"/>
          <w:color w:val="000000"/>
        </w:rPr>
        <w:t xml:space="preserve">Edmonson, A. (1999). Psychological safety and learning behavior in work teams. </w:t>
      </w:r>
      <w:r w:rsidRPr="009A6955">
        <w:rPr>
          <w:rFonts w:eastAsia="Calibri" w:cs="Arial"/>
          <w:i/>
          <w:iCs/>
          <w:color w:val="000000"/>
        </w:rPr>
        <w:t>Administrative Science Quarterly, 44</w:t>
      </w:r>
      <w:r w:rsidRPr="009A6955">
        <w:rPr>
          <w:rFonts w:eastAsia="Calibri" w:cs="Arial"/>
          <w:color w:val="000000"/>
        </w:rPr>
        <w:t>, 350-383.</w:t>
      </w:r>
    </w:p>
    <w:p w:rsidR="000541AE" w:rsidRPr="009A6955" w:rsidRDefault="000541AE" w:rsidP="00B934B6">
      <w:pPr>
        <w:rPr>
          <w:rFonts w:cs="Arial"/>
        </w:rPr>
      </w:pPr>
      <w:r w:rsidRPr="009A6955">
        <w:rPr>
          <w:rFonts w:cs="Arial"/>
        </w:rPr>
        <w:t xml:space="preserve">Egan, M., Bambra, C., Thomas, S., Petticrew, M., Whitehead, M., &amp; Thomson, H. (2007). The psychosocial and health effects of workplace reorganisation: A systematic review of organisation-level interventions that aim to increase employee control. </w:t>
      </w:r>
      <w:r w:rsidRPr="009A6955">
        <w:rPr>
          <w:rFonts w:cs="Arial"/>
          <w:i/>
        </w:rPr>
        <w:t>Journal of Epidemiology &amp; Community Health, 61</w:t>
      </w:r>
      <w:r w:rsidRPr="009A6955">
        <w:rPr>
          <w:rFonts w:cs="Arial"/>
        </w:rPr>
        <w:t>(11), 945–954.</w:t>
      </w:r>
    </w:p>
    <w:p w:rsidR="000541AE" w:rsidRPr="009A6955" w:rsidRDefault="000541AE" w:rsidP="00B934B6">
      <w:pPr>
        <w:rPr>
          <w:rFonts w:eastAsia="Calibri" w:cs="Arial"/>
          <w:color w:val="000000"/>
        </w:rPr>
      </w:pPr>
      <w:proofErr w:type="gramStart"/>
      <w:r w:rsidRPr="009A6955">
        <w:rPr>
          <w:rFonts w:eastAsia="Calibri" w:cs="Arial"/>
          <w:color w:val="000000"/>
        </w:rPr>
        <w:t>Eisenberger, S., Stinglhamber, F., Vandenberghe, C., Sucharski, I. L., &amp; Rhoades, L. (2002).</w:t>
      </w:r>
      <w:proofErr w:type="gramEnd"/>
      <w:r w:rsidRPr="009A6955">
        <w:rPr>
          <w:rFonts w:eastAsia="Calibri" w:cs="Arial"/>
          <w:color w:val="000000"/>
        </w:rPr>
        <w:t xml:space="preserve"> Perceived supervisor support: Co</w:t>
      </w:r>
      <w:r w:rsidR="00F34DA3" w:rsidRPr="009A6955">
        <w:rPr>
          <w:rFonts w:eastAsia="Calibri" w:cs="Arial"/>
          <w:color w:val="000000"/>
        </w:rPr>
        <w:t>ntributions to perceived organis</w:t>
      </w:r>
      <w:r w:rsidRPr="009A6955">
        <w:rPr>
          <w:rFonts w:eastAsia="Calibri" w:cs="Arial"/>
          <w:color w:val="000000"/>
        </w:rPr>
        <w:t xml:space="preserve">ational support and employee retention. </w:t>
      </w:r>
      <w:r w:rsidRPr="009A6955">
        <w:rPr>
          <w:rFonts w:eastAsia="Calibri" w:cs="Arial"/>
          <w:i/>
          <w:iCs/>
          <w:color w:val="000000"/>
        </w:rPr>
        <w:t>Journal of Applied Psychology, 87</w:t>
      </w:r>
      <w:r w:rsidR="00DA2B94">
        <w:rPr>
          <w:rFonts w:eastAsia="Calibri" w:cs="Arial"/>
          <w:color w:val="000000"/>
        </w:rPr>
        <w:t>, 565-573.</w:t>
      </w:r>
    </w:p>
    <w:p w:rsidR="000541AE" w:rsidRPr="009A6955" w:rsidRDefault="000541AE" w:rsidP="00B934B6">
      <w:pPr>
        <w:rPr>
          <w:rFonts w:cs="Arial"/>
        </w:rPr>
      </w:pPr>
      <w:proofErr w:type="gramStart"/>
      <w:r w:rsidRPr="009A6955">
        <w:rPr>
          <w:rFonts w:cs="Arial"/>
        </w:rPr>
        <w:lastRenderedPageBreak/>
        <w:t>Elliot-Schmidt, R., &amp; Strong, J. (1997).</w:t>
      </w:r>
      <w:proofErr w:type="gramEnd"/>
      <w:r w:rsidRPr="009A6955">
        <w:rPr>
          <w:rFonts w:cs="Arial"/>
        </w:rPr>
        <w:t xml:space="preserve"> The concept of well-being in a rural setting: Understanding health and illness. </w:t>
      </w:r>
      <w:proofErr w:type="gramStart"/>
      <w:r w:rsidRPr="009A6955">
        <w:rPr>
          <w:rFonts w:cs="Arial"/>
          <w:i/>
        </w:rPr>
        <w:t>The Australian Journal of Rural health, 5</w:t>
      </w:r>
      <w:r w:rsidRPr="009A6955">
        <w:rPr>
          <w:rFonts w:cs="Arial"/>
        </w:rPr>
        <w:t>(2), 59–63.</w:t>
      </w:r>
      <w:proofErr w:type="gramEnd"/>
    </w:p>
    <w:p w:rsidR="000541AE" w:rsidRPr="009A6955" w:rsidRDefault="000541AE" w:rsidP="00B934B6">
      <w:pPr>
        <w:rPr>
          <w:rFonts w:eastAsia="Calibri" w:cs="Arial"/>
          <w:color w:val="000000"/>
          <w:lang w:val="en-GB"/>
        </w:rPr>
      </w:pPr>
      <w:proofErr w:type="gramStart"/>
      <w:r w:rsidRPr="009A6955">
        <w:rPr>
          <w:rFonts w:cs="Arial"/>
          <w:bCs/>
          <w:color w:val="000000"/>
          <w:lang w:val="en-GB"/>
        </w:rPr>
        <w:t>Escartín, J., Dollard, M. F., &amp; Zapf, D. (2012, in review).</w:t>
      </w:r>
      <w:proofErr w:type="gramEnd"/>
      <w:r w:rsidRPr="009A6955">
        <w:rPr>
          <w:rFonts w:cs="Arial"/>
          <w:bCs/>
          <w:color w:val="000000"/>
          <w:lang w:val="en-GB"/>
        </w:rPr>
        <w:t xml:space="preserve"> </w:t>
      </w:r>
      <w:r w:rsidRPr="009A6955">
        <w:rPr>
          <w:rFonts w:eastAsia="Calibri" w:cs="Arial"/>
          <w:color w:val="000000"/>
          <w:lang w:val="en-GB"/>
        </w:rPr>
        <w:t xml:space="preserve">Workplace bullying as a mediator between psychosocial safety climate and psychological health and well-being: A multilevel mediation model. </w:t>
      </w:r>
      <w:proofErr w:type="gramStart"/>
      <w:r w:rsidRPr="009A6955">
        <w:rPr>
          <w:rFonts w:eastAsia="Calibri" w:cs="Arial"/>
          <w:i/>
          <w:color w:val="000000"/>
          <w:lang w:val="en-GB"/>
        </w:rPr>
        <w:t xml:space="preserve">Applied Psychology: An International Review, </w:t>
      </w:r>
      <w:r w:rsidRPr="009A6955">
        <w:rPr>
          <w:rFonts w:eastAsia="Calibri" w:cs="Arial"/>
          <w:color w:val="000000"/>
          <w:lang w:val="en-GB"/>
        </w:rPr>
        <w:t>in review.</w:t>
      </w:r>
      <w:proofErr w:type="gramEnd"/>
    </w:p>
    <w:p w:rsidR="000541AE" w:rsidRPr="009A6955" w:rsidRDefault="000541AE" w:rsidP="00B934B6">
      <w:pPr>
        <w:rPr>
          <w:rFonts w:cs="Arial"/>
        </w:rPr>
      </w:pPr>
      <w:proofErr w:type="gramStart"/>
      <w:r w:rsidRPr="009A6955">
        <w:rPr>
          <w:rFonts w:cs="Arial"/>
        </w:rPr>
        <w:t>European Agency for Safety and Health at Work.</w:t>
      </w:r>
      <w:proofErr w:type="gramEnd"/>
      <w:r w:rsidRPr="009A6955">
        <w:rPr>
          <w:rFonts w:cs="Arial"/>
        </w:rPr>
        <w:t xml:space="preserve"> </w:t>
      </w:r>
      <w:proofErr w:type="gramStart"/>
      <w:r w:rsidRPr="009A6955">
        <w:rPr>
          <w:rFonts w:cs="Arial"/>
        </w:rPr>
        <w:t xml:space="preserve">(2007). </w:t>
      </w:r>
      <w:r w:rsidRPr="009A6955">
        <w:rPr>
          <w:rFonts w:cs="Arial"/>
          <w:i/>
        </w:rPr>
        <w:t xml:space="preserve">Expert forecast on emerging psychosocial risks related to occupational safety and health </w:t>
      </w:r>
      <w:r w:rsidRPr="009A6955">
        <w:rPr>
          <w:rFonts w:cs="Arial"/>
        </w:rPr>
        <w:t>(European Risk Observatory Report No. 5).</w:t>
      </w:r>
      <w:proofErr w:type="gramEnd"/>
      <w:r w:rsidRPr="009A6955">
        <w:rPr>
          <w:rFonts w:cs="Arial"/>
          <w:color w:val="FF0000"/>
        </w:rPr>
        <w:t xml:space="preserve"> </w:t>
      </w:r>
      <w:r w:rsidRPr="009A6955">
        <w:rPr>
          <w:rFonts w:cs="Arial"/>
        </w:rPr>
        <w:t>Bilbao: European Agency for Safety and Health at Work.</w:t>
      </w:r>
    </w:p>
    <w:p w:rsidR="00401438" w:rsidRPr="009A6955" w:rsidRDefault="006409D1" w:rsidP="00B934B6">
      <w:pPr>
        <w:rPr>
          <w:rFonts w:cs="Arial"/>
        </w:rPr>
      </w:pPr>
      <w:hyperlink r:id="rId39" w:history="1">
        <w:proofErr w:type="gramStart"/>
        <w:r w:rsidR="00EA31C3" w:rsidRPr="00EA31C3">
          <w:rPr>
            <w:rStyle w:val="Hyperlink"/>
            <w:rFonts w:cs="Arial"/>
            <w:szCs w:val="24"/>
          </w:rPr>
          <w:t>European Agency for Safety and Health at Work.</w:t>
        </w:r>
        <w:proofErr w:type="gramEnd"/>
        <w:r w:rsidR="00EA31C3" w:rsidRPr="00EA31C3">
          <w:rPr>
            <w:rStyle w:val="Hyperlink"/>
            <w:rFonts w:cs="Arial"/>
            <w:szCs w:val="24"/>
          </w:rPr>
          <w:t xml:space="preserve"> (2009). OSH in figures: Stress at work – facts and figures. Luxembourg: Office for Official Publications of the European Communities. </w:t>
        </w:r>
        <w:proofErr w:type="gramStart"/>
        <w:r w:rsidR="00EA31C3" w:rsidRPr="00EA31C3">
          <w:rPr>
            <w:rStyle w:val="Hyperlink"/>
            <w:rFonts w:cs="Arial"/>
            <w:szCs w:val="24"/>
          </w:rPr>
          <w:t>Retrieved May 2, 2012</w:t>
        </w:r>
      </w:hyperlink>
      <w:r w:rsidR="00EA31C3">
        <w:rPr>
          <w:rFonts w:cs="Arial"/>
        </w:rPr>
        <w:t>.</w:t>
      </w:r>
      <w:proofErr w:type="gramEnd"/>
    </w:p>
    <w:p w:rsidR="000541AE" w:rsidRPr="009A6955" w:rsidRDefault="000541AE" w:rsidP="00B934B6">
      <w:pPr>
        <w:rPr>
          <w:rFonts w:eastAsia="Calibri" w:cs="Arial"/>
          <w:lang w:val="en-US"/>
        </w:rPr>
      </w:pPr>
      <w:proofErr w:type="gramStart"/>
      <w:r w:rsidRPr="009A6955">
        <w:rPr>
          <w:rFonts w:eastAsia="Calibri" w:cs="Arial"/>
          <w:lang w:val="en-US"/>
        </w:rPr>
        <w:t>Frone, M. R., Russell, M., &amp; Cooper, M. L. (1997).</w:t>
      </w:r>
      <w:proofErr w:type="gramEnd"/>
      <w:r w:rsidRPr="009A6955">
        <w:rPr>
          <w:rFonts w:eastAsia="Calibri" w:cs="Arial"/>
          <w:lang w:val="en-US"/>
        </w:rPr>
        <w:t xml:space="preserve"> Relation of work-family conflict to health outcomes: A four-year longitudinal study of employed parents. </w:t>
      </w:r>
      <w:r w:rsidRPr="009A6955">
        <w:rPr>
          <w:rFonts w:eastAsia="Calibri" w:cs="Arial"/>
          <w:i/>
          <w:iCs/>
          <w:lang w:val="en-US"/>
        </w:rPr>
        <w:t>Journal of Occupational &amp; Organizational Psychology, 70</w:t>
      </w:r>
      <w:r w:rsidR="00DA2B94">
        <w:rPr>
          <w:rFonts w:eastAsia="Calibri" w:cs="Arial"/>
          <w:lang w:val="en-US"/>
        </w:rPr>
        <w:t>(4), 325-335.</w:t>
      </w:r>
    </w:p>
    <w:p w:rsidR="000541AE" w:rsidRPr="009A6955" w:rsidRDefault="000541AE" w:rsidP="00B934B6">
      <w:pPr>
        <w:rPr>
          <w:rFonts w:cs="Arial"/>
        </w:rPr>
      </w:pPr>
      <w:r w:rsidRPr="009A6955">
        <w:rPr>
          <w:rFonts w:cs="Arial"/>
        </w:rPr>
        <w:t>Garlow, S. J., Rosenberg, J., Moore, J. D., Haas, A. P., Koestner, B., Hendin, H., &amp; Nemeroff, C. B. (2008)</w:t>
      </w:r>
      <w:r w:rsidR="00EA3B8C" w:rsidRPr="009A6955">
        <w:rPr>
          <w:rFonts w:cs="Arial"/>
        </w:rPr>
        <w:t>.</w:t>
      </w:r>
      <w:r w:rsidRPr="009A6955">
        <w:rPr>
          <w:rFonts w:cs="Arial"/>
        </w:rPr>
        <w:t xml:space="preserve"> Depression, desperation, and suicidal ideation in college students: Results from the American Foundation for Suicide Prevention College Screening Project at Emory University. </w:t>
      </w:r>
      <w:r w:rsidRPr="009A6955">
        <w:rPr>
          <w:rFonts w:cs="Arial"/>
          <w:i/>
          <w:iCs/>
        </w:rPr>
        <w:t>Depression and Anxiety, 25</w:t>
      </w:r>
      <w:r w:rsidRPr="009A6955">
        <w:rPr>
          <w:rFonts w:cs="Arial"/>
        </w:rPr>
        <w:t>(6), 482–488.</w:t>
      </w:r>
    </w:p>
    <w:p w:rsidR="000541AE" w:rsidRPr="009A6955" w:rsidRDefault="000541AE" w:rsidP="00B934B6">
      <w:pPr>
        <w:rPr>
          <w:rFonts w:eastAsia="Calibri" w:cs="Arial"/>
          <w:lang w:val="en-US"/>
        </w:rPr>
      </w:pPr>
      <w:proofErr w:type="gramStart"/>
      <w:r w:rsidRPr="009A6955">
        <w:rPr>
          <w:rFonts w:eastAsia="Calibri" w:cs="Arial"/>
          <w:lang w:val="en-US"/>
        </w:rPr>
        <w:t>Geurts, S. A. E., &amp; Demerouti, E. (2003).</w:t>
      </w:r>
      <w:proofErr w:type="gramEnd"/>
      <w:r w:rsidRPr="009A6955">
        <w:rPr>
          <w:rFonts w:eastAsia="Calibri" w:cs="Arial"/>
          <w:lang w:val="en-US"/>
        </w:rPr>
        <w:t xml:space="preserve"> Work/non-work interface: A review of theories and findings. In M. J. Schabracq, J. A. M. Winubst, &amp; C. L. Cooper (Eds.), </w:t>
      </w:r>
      <w:r w:rsidRPr="009A6955">
        <w:rPr>
          <w:rFonts w:eastAsia="Calibri" w:cs="Arial"/>
          <w:i/>
          <w:iCs/>
          <w:lang w:val="en-US"/>
        </w:rPr>
        <w:t>The Handbook of Work and Health Psychology</w:t>
      </w:r>
      <w:r w:rsidRPr="009A6955">
        <w:rPr>
          <w:rFonts w:eastAsia="Calibri" w:cs="Arial"/>
          <w:lang w:val="en-US"/>
        </w:rPr>
        <w:t xml:space="preserve"> (pp. 279 - 312). Chichester: John Wiley &amp; Sons.</w:t>
      </w:r>
    </w:p>
    <w:p w:rsidR="000541AE" w:rsidRPr="009A6955" w:rsidRDefault="000541AE" w:rsidP="00B934B6">
      <w:pPr>
        <w:rPr>
          <w:rFonts w:eastAsia="Calibri" w:cs="Arial"/>
          <w:color w:val="000000"/>
        </w:rPr>
      </w:pPr>
      <w:proofErr w:type="gramStart"/>
      <w:r w:rsidRPr="009A6955">
        <w:rPr>
          <w:rFonts w:eastAsia="Calibri" w:cs="Arial"/>
          <w:color w:val="000000"/>
        </w:rPr>
        <w:t>Glendon, A. I., Clarke, S. G., &amp; McKenna, E. (2006).</w:t>
      </w:r>
      <w:proofErr w:type="gramEnd"/>
      <w:r w:rsidRPr="009A6955">
        <w:rPr>
          <w:rFonts w:eastAsia="Calibri" w:cs="Arial"/>
          <w:color w:val="000000"/>
        </w:rPr>
        <w:t xml:space="preserve"> </w:t>
      </w:r>
      <w:r w:rsidRPr="009A6955">
        <w:rPr>
          <w:rFonts w:eastAsia="Calibri" w:cs="Arial"/>
          <w:i/>
          <w:iCs/>
          <w:color w:val="000000"/>
        </w:rPr>
        <w:t xml:space="preserve">Human Safety and Risk Management </w:t>
      </w:r>
      <w:r w:rsidRPr="009A6955">
        <w:rPr>
          <w:rFonts w:eastAsia="Calibri" w:cs="Arial"/>
          <w:iCs/>
          <w:color w:val="000000"/>
        </w:rPr>
        <w:t xml:space="preserve">(2nd </w:t>
      </w:r>
      <w:proofErr w:type="gramStart"/>
      <w:r w:rsidRPr="009A6955">
        <w:rPr>
          <w:rFonts w:eastAsia="Calibri" w:cs="Arial"/>
          <w:iCs/>
          <w:color w:val="000000"/>
        </w:rPr>
        <w:t>ed</w:t>
      </w:r>
      <w:proofErr w:type="gramEnd"/>
      <w:r w:rsidRPr="009A6955">
        <w:rPr>
          <w:rFonts w:eastAsia="Calibri" w:cs="Arial"/>
          <w:iCs/>
          <w:color w:val="000000"/>
        </w:rPr>
        <w:t>.)</w:t>
      </w:r>
      <w:r w:rsidRPr="009A6955">
        <w:rPr>
          <w:rFonts w:eastAsia="Calibri" w:cs="Arial"/>
          <w:color w:val="000000"/>
        </w:rPr>
        <w:t xml:space="preserve">. </w:t>
      </w:r>
      <w:r w:rsidR="00DA2B94">
        <w:rPr>
          <w:rFonts w:eastAsia="Calibri" w:cs="Arial"/>
          <w:color w:val="000000"/>
        </w:rPr>
        <w:t>Boca Raton, Florida: CRC Press.</w:t>
      </w:r>
    </w:p>
    <w:p w:rsidR="000541AE" w:rsidRPr="009A6955" w:rsidRDefault="000541AE" w:rsidP="00B934B6">
      <w:pPr>
        <w:rPr>
          <w:rFonts w:eastAsia="Calibri" w:cs="Arial"/>
          <w:color w:val="000000"/>
        </w:rPr>
      </w:pPr>
      <w:proofErr w:type="gramStart"/>
      <w:r w:rsidRPr="009A6955">
        <w:rPr>
          <w:rFonts w:eastAsia="Calibri" w:cs="Arial"/>
          <w:color w:val="000000"/>
        </w:rPr>
        <w:t>Goldenhar, L. M., Williams, L. J., &amp; Swanson, N. G. (2003).</w:t>
      </w:r>
      <w:proofErr w:type="gramEnd"/>
      <w:r w:rsidRPr="009A6955">
        <w:rPr>
          <w:rFonts w:eastAsia="Calibri" w:cs="Arial"/>
          <w:color w:val="000000"/>
        </w:rPr>
        <w:t xml:space="preserve"> </w:t>
      </w:r>
      <w:proofErr w:type="gramStart"/>
      <w:r w:rsidRPr="009A6955">
        <w:rPr>
          <w:rFonts w:eastAsia="Calibri" w:cs="Arial"/>
          <w:color w:val="000000"/>
        </w:rPr>
        <w:t>Modelling relationships between job stressors and injury and near-miss outcomes for construction laborers.</w:t>
      </w:r>
      <w:proofErr w:type="gramEnd"/>
      <w:r w:rsidRPr="009A6955">
        <w:rPr>
          <w:rFonts w:eastAsia="Calibri" w:cs="Arial"/>
          <w:color w:val="000000"/>
        </w:rPr>
        <w:t xml:space="preserve"> </w:t>
      </w:r>
      <w:r w:rsidRPr="009A6955">
        <w:rPr>
          <w:rFonts w:eastAsia="Calibri" w:cs="Arial"/>
          <w:i/>
          <w:iCs/>
          <w:color w:val="000000"/>
        </w:rPr>
        <w:t xml:space="preserve">Work &amp; Stress, 17, </w:t>
      </w:r>
      <w:r w:rsidR="00DA2B94">
        <w:rPr>
          <w:rFonts w:eastAsia="Calibri" w:cs="Arial"/>
          <w:color w:val="000000"/>
        </w:rPr>
        <w:t>218–240.</w:t>
      </w:r>
    </w:p>
    <w:p w:rsidR="000541AE" w:rsidRPr="009A6955" w:rsidRDefault="000541AE" w:rsidP="00B934B6">
      <w:pPr>
        <w:rPr>
          <w:rFonts w:eastAsia="Calibri" w:cs="Arial"/>
          <w:lang w:val="en-US"/>
        </w:rPr>
      </w:pPr>
      <w:proofErr w:type="gramStart"/>
      <w:r w:rsidRPr="009A6955">
        <w:rPr>
          <w:rFonts w:eastAsia="Calibri" w:cs="Arial"/>
          <w:lang w:val="en-US"/>
        </w:rPr>
        <w:t>Grandey, A. A., &amp; Cropanzano, R. (1999).</w:t>
      </w:r>
      <w:proofErr w:type="gramEnd"/>
      <w:r w:rsidRPr="009A6955">
        <w:rPr>
          <w:rFonts w:eastAsia="Calibri" w:cs="Arial"/>
          <w:lang w:val="en-US"/>
        </w:rPr>
        <w:t xml:space="preserve"> The conservation of resources model applied to work-family conflict and strain. </w:t>
      </w:r>
      <w:r w:rsidRPr="009A6955">
        <w:rPr>
          <w:rFonts w:eastAsia="Calibri" w:cs="Arial"/>
          <w:i/>
          <w:iCs/>
          <w:lang w:val="en-US"/>
        </w:rPr>
        <w:t>Journal of Vocational Behavior, 54</w:t>
      </w:r>
      <w:r w:rsidR="00DA2B94">
        <w:rPr>
          <w:rFonts w:eastAsia="Calibri" w:cs="Arial"/>
          <w:lang w:val="en-US"/>
        </w:rPr>
        <w:t>, 350-370.</w:t>
      </w:r>
    </w:p>
    <w:p w:rsidR="000541AE" w:rsidRPr="009A6955" w:rsidRDefault="000541AE" w:rsidP="00B934B6">
      <w:pPr>
        <w:rPr>
          <w:rFonts w:cs="Arial"/>
        </w:rPr>
      </w:pPr>
      <w:proofErr w:type="gramStart"/>
      <w:r w:rsidRPr="009A6955">
        <w:rPr>
          <w:rFonts w:cs="Arial"/>
        </w:rPr>
        <w:t>Green, F., &amp; McIntosh, S. (2001).</w:t>
      </w:r>
      <w:proofErr w:type="gramEnd"/>
      <w:r w:rsidRPr="009A6955">
        <w:rPr>
          <w:rFonts w:cs="Arial"/>
        </w:rPr>
        <w:t xml:space="preserve"> </w:t>
      </w:r>
      <w:proofErr w:type="gramStart"/>
      <w:r w:rsidRPr="009A6955">
        <w:rPr>
          <w:rFonts w:cs="Arial"/>
        </w:rPr>
        <w:t>The intensification of work in Europe.</w:t>
      </w:r>
      <w:proofErr w:type="gramEnd"/>
      <w:r w:rsidRPr="009A6955">
        <w:rPr>
          <w:rFonts w:cs="Arial"/>
        </w:rPr>
        <w:t xml:space="preserve"> </w:t>
      </w:r>
      <w:r w:rsidRPr="009A6955">
        <w:rPr>
          <w:rStyle w:val="Emphasis"/>
          <w:rFonts w:cs="Arial"/>
          <w:szCs w:val="22"/>
        </w:rPr>
        <w:t>Labor Economics, 8</w:t>
      </w:r>
      <w:r w:rsidRPr="009A6955">
        <w:rPr>
          <w:rFonts w:cs="Arial"/>
        </w:rPr>
        <w:t>, 291-308.</w:t>
      </w:r>
    </w:p>
    <w:p w:rsidR="000541AE" w:rsidRPr="009A6955" w:rsidRDefault="000541AE" w:rsidP="00B934B6">
      <w:pPr>
        <w:rPr>
          <w:rFonts w:cs="Arial"/>
        </w:rPr>
      </w:pPr>
      <w:proofErr w:type="gramStart"/>
      <w:r w:rsidRPr="009A6955">
        <w:rPr>
          <w:rFonts w:cs="Arial"/>
        </w:rPr>
        <w:t>Hakanen, J. J., Bakker, A. B., &amp; Schaufeli, W. B. (2006).</w:t>
      </w:r>
      <w:proofErr w:type="gramEnd"/>
      <w:r w:rsidRPr="009A6955">
        <w:rPr>
          <w:rFonts w:cs="Arial"/>
        </w:rPr>
        <w:t xml:space="preserve"> </w:t>
      </w:r>
      <w:proofErr w:type="gramStart"/>
      <w:r w:rsidRPr="009A6955">
        <w:rPr>
          <w:rFonts w:cs="Arial"/>
        </w:rPr>
        <w:t>Burnout and work engagement among teachers.</w:t>
      </w:r>
      <w:proofErr w:type="gramEnd"/>
      <w:r w:rsidRPr="009A6955">
        <w:rPr>
          <w:rFonts w:cs="Arial"/>
        </w:rPr>
        <w:t xml:space="preserve"> </w:t>
      </w:r>
      <w:r w:rsidRPr="009A6955">
        <w:rPr>
          <w:rFonts w:cs="Arial"/>
          <w:i/>
        </w:rPr>
        <w:t>Journal of School Psychology, 43</w:t>
      </w:r>
      <w:r w:rsidRPr="009A6955">
        <w:rPr>
          <w:rFonts w:cs="Arial"/>
        </w:rPr>
        <w:t>, 495-513.</w:t>
      </w:r>
    </w:p>
    <w:p w:rsidR="000541AE" w:rsidRPr="009A6955" w:rsidRDefault="000541AE" w:rsidP="00B934B6">
      <w:pPr>
        <w:rPr>
          <w:rFonts w:cs="Arial"/>
        </w:rPr>
      </w:pPr>
      <w:proofErr w:type="gramStart"/>
      <w:r w:rsidRPr="009A6955">
        <w:rPr>
          <w:rFonts w:cs="Arial"/>
        </w:rPr>
        <w:t>Hall, G. B., Dollard, M. F., &amp; Coward, J. (2010).</w:t>
      </w:r>
      <w:proofErr w:type="gramEnd"/>
      <w:r w:rsidRPr="009A6955">
        <w:rPr>
          <w:rFonts w:cs="Arial"/>
        </w:rPr>
        <w:t xml:space="preserve"> Psychosocial safety climate: Development of the PSC-12. </w:t>
      </w:r>
      <w:r w:rsidRPr="009A6955">
        <w:rPr>
          <w:rFonts w:cs="Arial"/>
          <w:i/>
        </w:rPr>
        <w:t xml:space="preserve">International Journal of Stress Management, 4, </w:t>
      </w:r>
      <w:r w:rsidRPr="009A6955">
        <w:rPr>
          <w:rFonts w:cs="Arial"/>
        </w:rPr>
        <w:t>353-383.</w:t>
      </w:r>
    </w:p>
    <w:p w:rsidR="000541AE" w:rsidRPr="009A6955" w:rsidRDefault="000541AE" w:rsidP="00B934B6">
      <w:pPr>
        <w:rPr>
          <w:rFonts w:eastAsia="Calibri" w:cs="Arial"/>
          <w:lang w:val="en-US"/>
        </w:rPr>
      </w:pPr>
      <w:proofErr w:type="gramStart"/>
      <w:r w:rsidRPr="009A6955">
        <w:rPr>
          <w:rFonts w:eastAsia="Calibri" w:cs="Arial"/>
          <w:lang w:val="en-US"/>
        </w:rPr>
        <w:t>Hall, G. B., Dollard, M. F., Tuckey, M. R., Winefield, A. H., &amp; Thompson, B. M. (2010).</w:t>
      </w:r>
      <w:proofErr w:type="gramEnd"/>
      <w:r w:rsidRPr="009A6955">
        <w:rPr>
          <w:rFonts w:eastAsia="Calibri" w:cs="Arial"/>
          <w:lang w:val="en-US"/>
        </w:rPr>
        <w:t xml:space="preserve"> Job demands, work-family conflict, and emotional exhaustion in police officers: A longitudinal test of competing theories. </w:t>
      </w:r>
      <w:r w:rsidRPr="009A6955">
        <w:rPr>
          <w:rFonts w:eastAsia="Calibri" w:cs="Arial"/>
          <w:i/>
          <w:iCs/>
          <w:lang w:val="en-US"/>
        </w:rPr>
        <w:t>Journal of Occupational &amp; Organizational Psychology, 83</w:t>
      </w:r>
      <w:r w:rsidR="00DA2B94">
        <w:rPr>
          <w:rFonts w:eastAsia="Calibri" w:cs="Arial"/>
          <w:lang w:val="en-US"/>
        </w:rPr>
        <w:t>(1), 237-250.</w:t>
      </w:r>
    </w:p>
    <w:p w:rsidR="000541AE" w:rsidRPr="009A6955" w:rsidRDefault="000541AE" w:rsidP="00B934B6">
      <w:pPr>
        <w:rPr>
          <w:rFonts w:cs="Arial"/>
        </w:rPr>
      </w:pPr>
      <w:r w:rsidRPr="009A6955">
        <w:rPr>
          <w:rFonts w:cs="Arial"/>
        </w:rPr>
        <w:lastRenderedPageBreak/>
        <w:t xml:space="preserve">Hall, G. B., Dollard, M. F., Winefield, A. H., Bakker, A. B., &amp; Dormann, C. (2012, in </w:t>
      </w:r>
      <w:r w:rsidR="00F36638" w:rsidRPr="009A6955">
        <w:rPr>
          <w:rFonts w:cs="Arial"/>
        </w:rPr>
        <w:t>press).</w:t>
      </w:r>
      <w:r w:rsidRPr="009A6955">
        <w:rPr>
          <w:rFonts w:cs="Arial"/>
        </w:rPr>
        <w:t xml:space="preserve"> Psychosocial safety climate buffers effects of job demands on</w:t>
      </w:r>
      <w:r w:rsidR="00F34DA3" w:rsidRPr="009A6955">
        <w:rPr>
          <w:rFonts w:cs="Arial"/>
        </w:rPr>
        <w:t xml:space="preserve"> depression and positive organis</w:t>
      </w:r>
      <w:r w:rsidRPr="009A6955">
        <w:rPr>
          <w:rFonts w:cs="Arial"/>
        </w:rPr>
        <w:t xml:space="preserve">ational behaviours. </w:t>
      </w:r>
      <w:proofErr w:type="gramStart"/>
      <w:r w:rsidRPr="009A6955">
        <w:rPr>
          <w:rFonts w:cs="Arial"/>
          <w:i/>
        </w:rPr>
        <w:t>Anxiety, Stress &amp; Coping</w:t>
      </w:r>
      <w:r w:rsidR="00401438" w:rsidRPr="009A6955">
        <w:rPr>
          <w:rFonts w:cs="Arial"/>
          <w:i/>
        </w:rPr>
        <w:t xml:space="preserve"> in press</w:t>
      </w:r>
      <w:r w:rsidRPr="009A6955">
        <w:rPr>
          <w:rFonts w:cs="Arial"/>
          <w:i/>
        </w:rPr>
        <w:t>.</w:t>
      </w:r>
      <w:proofErr w:type="gramEnd"/>
    </w:p>
    <w:p w:rsidR="000541AE" w:rsidRPr="009A6955" w:rsidRDefault="000541AE" w:rsidP="00B934B6">
      <w:pPr>
        <w:rPr>
          <w:rFonts w:cs="Arial"/>
        </w:rPr>
      </w:pPr>
      <w:proofErr w:type="gramStart"/>
      <w:r w:rsidRPr="009A6955">
        <w:rPr>
          <w:rFonts w:cs="Arial"/>
        </w:rPr>
        <w:t>Hardy, G. E., Woods, D., &amp; Wall, T. D. (2003).</w:t>
      </w:r>
      <w:proofErr w:type="gramEnd"/>
      <w:r w:rsidRPr="009A6955">
        <w:rPr>
          <w:rFonts w:cs="Arial"/>
        </w:rPr>
        <w:t xml:space="preserve"> </w:t>
      </w:r>
      <w:proofErr w:type="gramStart"/>
      <w:r w:rsidRPr="009A6955">
        <w:rPr>
          <w:rFonts w:cs="Arial"/>
        </w:rPr>
        <w:t>The impact of psychological distress on absence from work.</w:t>
      </w:r>
      <w:proofErr w:type="gramEnd"/>
      <w:r w:rsidRPr="009A6955">
        <w:rPr>
          <w:rFonts w:cs="Arial"/>
        </w:rPr>
        <w:t xml:space="preserve"> </w:t>
      </w:r>
      <w:r w:rsidRPr="009A6955">
        <w:rPr>
          <w:rFonts w:cs="Arial"/>
          <w:i/>
        </w:rPr>
        <w:t>Journal of Applied Psychology, 88</w:t>
      </w:r>
      <w:r w:rsidRPr="009A6955">
        <w:rPr>
          <w:rFonts w:cs="Arial"/>
        </w:rPr>
        <w:t>(2), 306–314.</w:t>
      </w:r>
    </w:p>
    <w:p w:rsidR="000541AE" w:rsidRPr="009A6955" w:rsidRDefault="000541AE" w:rsidP="00B934B6">
      <w:pPr>
        <w:rPr>
          <w:rFonts w:cs="Arial"/>
        </w:rPr>
      </w:pPr>
      <w:r w:rsidRPr="009A6955">
        <w:rPr>
          <w:rFonts w:cs="Arial"/>
          <w:lang w:val="de-DE"/>
        </w:rPr>
        <w:t xml:space="preserve">Häusser, J. A., Mojzisch, A., Niesel, M., &amp; Schulz-Hardt, S. (2010). </w:t>
      </w:r>
      <w:r w:rsidRPr="009A6955">
        <w:rPr>
          <w:rFonts w:cs="Arial"/>
        </w:rPr>
        <w:t xml:space="preserve">Ten years on: A review of recent research on the Job Demand-Control-Support model and psychological well-being. </w:t>
      </w:r>
      <w:r w:rsidRPr="009A6955">
        <w:rPr>
          <w:rFonts w:cs="Arial"/>
          <w:i/>
          <w:iCs/>
        </w:rPr>
        <w:t>Work &amp; Stress, 24</w:t>
      </w:r>
      <w:r w:rsidRPr="009A6955">
        <w:rPr>
          <w:rFonts w:cs="Arial"/>
        </w:rPr>
        <w:t>, 1-35.</w:t>
      </w:r>
    </w:p>
    <w:p w:rsidR="000541AE" w:rsidRPr="00DA2B94" w:rsidRDefault="000541AE" w:rsidP="00B934B6">
      <w:pPr>
        <w:rPr>
          <w:rFonts w:cs="Arial"/>
          <w:color w:val="auto"/>
        </w:rPr>
      </w:pPr>
      <w:proofErr w:type="gramStart"/>
      <w:r w:rsidRPr="009A6955">
        <w:rPr>
          <w:rFonts w:cs="Arial"/>
        </w:rPr>
        <w:t>Houtman</w:t>
      </w:r>
      <w:r w:rsidR="005A6068" w:rsidRPr="009A6955">
        <w:rPr>
          <w:rFonts w:cs="Arial"/>
        </w:rPr>
        <w:t>,</w:t>
      </w:r>
      <w:r w:rsidRPr="009A6955">
        <w:rPr>
          <w:rFonts w:cs="Arial"/>
        </w:rPr>
        <w:t xml:space="preserve"> I., Goudswaard, A., Evers, M., &amp; van de Bovenkamp, M. (2005).</w:t>
      </w:r>
      <w:proofErr w:type="gramEnd"/>
      <w:r w:rsidRPr="009A6955">
        <w:rPr>
          <w:rFonts w:cs="Arial"/>
        </w:rPr>
        <w:t xml:space="preserve"> </w:t>
      </w:r>
      <w:r w:rsidRPr="009A6955">
        <w:rPr>
          <w:rFonts w:cs="Arial"/>
          <w:i/>
          <w:iCs/>
        </w:rPr>
        <w:t>Emerging organisational, social and human risks: Expert forecasts and literature review.</w:t>
      </w:r>
      <w:r w:rsidRPr="009A6955">
        <w:rPr>
          <w:rFonts w:cs="Arial"/>
        </w:rPr>
        <w:t xml:space="preserve"> Bilbao: European Agency for Safety and Health at Work.</w:t>
      </w:r>
    </w:p>
    <w:p w:rsidR="000541AE" w:rsidRPr="009A6955" w:rsidRDefault="000541AE" w:rsidP="00B934B6">
      <w:pPr>
        <w:rPr>
          <w:rFonts w:cs="Arial"/>
        </w:rPr>
      </w:pPr>
      <w:r w:rsidRPr="009A6955">
        <w:rPr>
          <w:rFonts w:cs="Arial"/>
        </w:rPr>
        <w:t xml:space="preserve">Hoyle, R. H. (1995). The structural equation modelling approach: Basic concepts and fundamental issues. </w:t>
      </w:r>
      <w:proofErr w:type="gramStart"/>
      <w:r w:rsidRPr="009A6955">
        <w:rPr>
          <w:rFonts w:cs="Arial"/>
        </w:rPr>
        <w:t xml:space="preserve">In R. H. Hoyle (Ed.), </w:t>
      </w:r>
      <w:r w:rsidRPr="009A6955">
        <w:rPr>
          <w:rFonts w:cs="Arial"/>
          <w:i/>
          <w:iCs/>
        </w:rPr>
        <w:t xml:space="preserve">Structural equation modelling, concepts, issues, and applications </w:t>
      </w:r>
      <w:r w:rsidRPr="009A6955">
        <w:rPr>
          <w:rFonts w:cs="Arial"/>
        </w:rPr>
        <w:t>(pp. 1-15).</w:t>
      </w:r>
      <w:proofErr w:type="gramEnd"/>
      <w:r w:rsidRPr="009A6955">
        <w:rPr>
          <w:rFonts w:cs="Arial"/>
        </w:rPr>
        <w:t xml:space="preserve"> Thousand Oaks, CA: Sage.</w:t>
      </w:r>
    </w:p>
    <w:p w:rsidR="000541AE" w:rsidRPr="009A6955" w:rsidRDefault="000541AE" w:rsidP="00B934B6">
      <w:pPr>
        <w:rPr>
          <w:rFonts w:cs="Arial"/>
        </w:rPr>
      </w:pPr>
      <w:proofErr w:type="gramStart"/>
      <w:r w:rsidRPr="009A6955">
        <w:rPr>
          <w:rFonts w:cs="Arial"/>
        </w:rPr>
        <w:t>Hu, L., &amp; Bentler, P. (1999).</w:t>
      </w:r>
      <w:proofErr w:type="gramEnd"/>
      <w:r w:rsidRPr="009A6955">
        <w:rPr>
          <w:rFonts w:cs="Arial"/>
        </w:rPr>
        <w:t xml:space="preserve"> Cutoff criteria for fit indexes in covariance structure analysis: Conventional criteria versus new alternatives. </w:t>
      </w:r>
      <w:r w:rsidRPr="009A6955">
        <w:rPr>
          <w:rFonts w:cs="Arial"/>
          <w:i/>
          <w:iCs/>
        </w:rPr>
        <w:t>Structural Equation Modelling</w:t>
      </w:r>
      <w:r w:rsidRPr="009A6955">
        <w:rPr>
          <w:rFonts w:cs="Arial"/>
        </w:rPr>
        <w:t xml:space="preserve">, </w:t>
      </w:r>
      <w:r w:rsidRPr="009A6955">
        <w:rPr>
          <w:rFonts w:cs="Arial"/>
          <w:i/>
          <w:iCs/>
        </w:rPr>
        <w:t>6</w:t>
      </w:r>
      <w:r w:rsidRPr="009A6955">
        <w:rPr>
          <w:rFonts w:cs="Arial"/>
        </w:rPr>
        <w:t>, 1-55.</w:t>
      </w:r>
    </w:p>
    <w:p w:rsidR="000541AE" w:rsidRPr="009A6955" w:rsidRDefault="000541AE" w:rsidP="00B934B6">
      <w:pPr>
        <w:rPr>
          <w:rStyle w:val="ft"/>
          <w:rFonts w:cs="Arial"/>
          <w:color w:val="222222"/>
          <w:szCs w:val="22"/>
        </w:rPr>
      </w:pPr>
      <w:bookmarkStart w:id="91" w:name="_ENREF_13"/>
      <w:proofErr w:type="gramStart"/>
      <w:r w:rsidRPr="009A6955">
        <w:rPr>
          <w:rStyle w:val="ft"/>
          <w:rFonts w:cs="Arial"/>
          <w:bCs/>
          <w:color w:val="000000"/>
          <w:szCs w:val="22"/>
        </w:rPr>
        <w:t>Idris</w:t>
      </w:r>
      <w:r w:rsidRPr="009A6955">
        <w:rPr>
          <w:rStyle w:val="ft"/>
          <w:rFonts w:cs="Arial"/>
          <w:color w:val="222222"/>
          <w:szCs w:val="22"/>
        </w:rPr>
        <w:t xml:space="preserve">, </w:t>
      </w:r>
      <w:r w:rsidRPr="009A6955">
        <w:rPr>
          <w:rStyle w:val="ft"/>
          <w:rFonts w:cs="Arial"/>
          <w:bCs/>
          <w:color w:val="000000"/>
          <w:szCs w:val="22"/>
        </w:rPr>
        <w:t>M. A.</w:t>
      </w:r>
      <w:r w:rsidRPr="009A6955">
        <w:rPr>
          <w:rStyle w:val="ft"/>
          <w:rFonts w:cs="Arial"/>
          <w:color w:val="222222"/>
          <w:szCs w:val="22"/>
        </w:rPr>
        <w:t xml:space="preserve">, &amp; </w:t>
      </w:r>
      <w:r w:rsidRPr="009A6955">
        <w:rPr>
          <w:rStyle w:val="ft"/>
          <w:rFonts w:cs="Arial"/>
          <w:bCs/>
          <w:color w:val="000000"/>
          <w:szCs w:val="22"/>
        </w:rPr>
        <w:t>Dollard</w:t>
      </w:r>
      <w:r w:rsidRPr="009A6955">
        <w:rPr>
          <w:rStyle w:val="ft"/>
          <w:rFonts w:cs="Arial"/>
          <w:color w:val="222222"/>
          <w:szCs w:val="22"/>
        </w:rPr>
        <w:t xml:space="preserve">, </w:t>
      </w:r>
      <w:r w:rsidRPr="009A6955">
        <w:rPr>
          <w:rStyle w:val="ft"/>
          <w:rFonts w:cs="Arial"/>
          <w:bCs/>
          <w:color w:val="000000"/>
          <w:szCs w:val="22"/>
        </w:rPr>
        <w:t>M. F.</w:t>
      </w:r>
      <w:r w:rsidRPr="009A6955">
        <w:rPr>
          <w:rStyle w:val="ft"/>
          <w:rFonts w:cs="Arial"/>
          <w:color w:val="222222"/>
          <w:szCs w:val="22"/>
        </w:rPr>
        <w:t xml:space="preserve"> (</w:t>
      </w:r>
      <w:r w:rsidRPr="009A6955">
        <w:rPr>
          <w:rStyle w:val="ft"/>
          <w:rFonts w:cs="Arial"/>
          <w:bCs/>
          <w:color w:val="000000"/>
          <w:szCs w:val="22"/>
        </w:rPr>
        <w:t>2011</w:t>
      </w:r>
      <w:r w:rsidRPr="009A6955">
        <w:rPr>
          <w:rStyle w:val="ft"/>
          <w:rFonts w:cs="Arial"/>
          <w:color w:val="222222"/>
          <w:szCs w:val="22"/>
        </w:rPr>
        <w:t>).</w:t>
      </w:r>
      <w:proofErr w:type="gramEnd"/>
      <w:r w:rsidRPr="009A6955">
        <w:rPr>
          <w:rStyle w:val="ft"/>
          <w:rFonts w:cs="Arial"/>
          <w:color w:val="222222"/>
          <w:szCs w:val="22"/>
        </w:rPr>
        <w:t xml:space="preserve"> </w:t>
      </w:r>
      <w:r w:rsidRPr="009A6955">
        <w:rPr>
          <w:rStyle w:val="ft"/>
          <w:rFonts w:cs="Arial"/>
          <w:bCs/>
          <w:color w:val="000000"/>
          <w:szCs w:val="22"/>
        </w:rPr>
        <w:t>Psychosocial safety climate</w:t>
      </w:r>
      <w:r w:rsidRPr="009A6955">
        <w:rPr>
          <w:rStyle w:val="ft"/>
          <w:rFonts w:cs="Arial"/>
          <w:color w:val="222222"/>
          <w:szCs w:val="22"/>
        </w:rPr>
        <w:t xml:space="preserve">, </w:t>
      </w:r>
      <w:r w:rsidRPr="009A6955">
        <w:rPr>
          <w:rStyle w:val="ft"/>
          <w:rFonts w:cs="Arial"/>
          <w:bCs/>
          <w:color w:val="000000"/>
          <w:szCs w:val="22"/>
        </w:rPr>
        <w:t>work conditions</w:t>
      </w:r>
      <w:r w:rsidRPr="009A6955">
        <w:rPr>
          <w:rStyle w:val="ft"/>
          <w:rFonts w:cs="Arial"/>
          <w:color w:val="222222"/>
          <w:szCs w:val="22"/>
        </w:rPr>
        <w:t xml:space="preserve">, and </w:t>
      </w:r>
      <w:r w:rsidRPr="009A6955">
        <w:rPr>
          <w:rStyle w:val="ft"/>
          <w:rFonts w:cs="Arial"/>
          <w:bCs/>
          <w:color w:val="000000"/>
          <w:szCs w:val="22"/>
        </w:rPr>
        <w:t>emotions</w:t>
      </w:r>
      <w:r w:rsidRPr="009A6955">
        <w:rPr>
          <w:rStyle w:val="ft"/>
          <w:rFonts w:cs="Arial"/>
          <w:color w:val="222222"/>
          <w:szCs w:val="22"/>
        </w:rPr>
        <w:t xml:space="preserve"> in the </w:t>
      </w:r>
      <w:r w:rsidRPr="009A6955">
        <w:rPr>
          <w:rStyle w:val="ft"/>
          <w:rFonts w:cs="Arial"/>
          <w:bCs/>
          <w:color w:val="000000"/>
          <w:szCs w:val="22"/>
        </w:rPr>
        <w:t>workplace</w:t>
      </w:r>
      <w:r w:rsidRPr="009A6955">
        <w:rPr>
          <w:rStyle w:val="ft"/>
          <w:rFonts w:cs="Arial"/>
          <w:color w:val="222222"/>
          <w:szCs w:val="22"/>
        </w:rPr>
        <w:t xml:space="preserve">: A </w:t>
      </w:r>
      <w:r w:rsidRPr="009A6955">
        <w:rPr>
          <w:rStyle w:val="ft"/>
          <w:rFonts w:cs="Arial"/>
          <w:bCs/>
          <w:color w:val="000000"/>
          <w:szCs w:val="22"/>
        </w:rPr>
        <w:t>Malaysian population</w:t>
      </w:r>
      <w:r w:rsidRPr="009A6955">
        <w:rPr>
          <w:rStyle w:val="ft"/>
          <w:rFonts w:cs="Arial"/>
          <w:color w:val="222222"/>
          <w:szCs w:val="22"/>
        </w:rPr>
        <w:t>-</w:t>
      </w:r>
      <w:r w:rsidRPr="009A6955">
        <w:rPr>
          <w:rStyle w:val="ft"/>
          <w:rFonts w:cs="Arial"/>
          <w:bCs/>
          <w:color w:val="000000"/>
          <w:szCs w:val="22"/>
        </w:rPr>
        <w:t>based work stress study</w:t>
      </w:r>
      <w:r w:rsidRPr="009A6955">
        <w:rPr>
          <w:rStyle w:val="ft"/>
          <w:rFonts w:cs="Arial"/>
          <w:color w:val="222222"/>
          <w:szCs w:val="22"/>
        </w:rPr>
        <w:t xml:space="preserve">. </w:t>
      </w:r>
      <w:r w:rsidRPr="009A6955">
        <w:rPr>
          <w:rStyle w:val="ft"/>
          <w:rFonts w:cs="Arial"/>
          <w:bCs/>
          <w:i/>
          <w:color w:val="000000"/>
          <w:szCs w:val="22"/>
        </w:rPr>
        <w:t>International Journal</w:t>
      </w:r>
      <w:r w:rsidRPr="009A6955">
        <w:rPr>
          <w:rStyle w:val="ft"/>
          <w:rFonts w:cs="Arial"/>
          <w:i/>
          <w:color w:val="222222"/>
          <w:szCs w:val="22"/>
        </w:rPr>
        <w:t xml:space="preserve"> of </w:t>
      </w:r>
      <w:r w:rsidRPr="009A6955">
        <w:rPr>
          <w:rStyle w:val="ft"/>
          <w:rFonts w:cs="Arial"/>
          <w:bCs/>
          <w:i/>
          <w:color w:val="000000"/>
          <w:szCs w:val="22"/>
        </w:rPr>
        <w:t>Stress Management</w:t>
      </w:r>
      <w:r w:rsidRPr="009A6955">
        <w:rPr>
          <w:rStyle w:val="ft"/>
          <w:rFonts w:cs="Arial"/>
          <w:i/>
          <w:color w:val="222222"/>
          <w:szCs w:val="22"/>
        </w:rPr>
        <w:t>, 18</w:t>
      </w:r>
      <w:r w:rsidRPr="009A6955">
        <w:rPr>
          <w:rStyle w:val="ft"/>
          <w:rFonts w:cs="Arial"/>
          <w:color w:val="222222"/>
          <w:szCs w:val="22"/>
        </w:rPr>
        <w:t>(4), 324-347.</w:t>
      </w:r>
    </w:p>
    <w:p w:rsidR="000541AE" w:rsidRPr="009A6955" w:rsidRDefault="000541AE" w:rsidP="00B934B6">
      <w:pPr>
        <w:rPr>
          <w:rFonts w:cs="Arial"/>
        </w:rPr>
      </w:pPr>
      <w:proofErr w:type="gramStart"/>
      <w:r w:rsidRPr="009A6955">
        <w:rPr>
          <w:rFonts w:cs="Arial"/>
        </w:rPr>
        <w:t>Idris, M. A., Dollard, M.</w:t>
      </w:r>
      <w:r w:rsidR="003C6089" w:rsidRPr="009A6955">
        <w:rPr>
          <w:rFonts w:cs="Arial"/>
        </w:rPr>
        <w:t xml:space="preserve"> F., &amp; Winefield, A. H. (2011).</w:t>
      </w:r>
      <w:proofErr w:type="gramEnd"/>
      <w:r w:rsidRPr="009A6955">
        <w:rPr>
          <w:rFonts w:cs="Arial"/>
        </w:rPr>
        <w:t xml:space="preserve"> </w:t>
      </w:r>
      <w:proofErr w:type="gramStart"/>
      <w:r w:rsidRPr="009A6955">
        <w:rPr>
          <w:rFonts w:cs="Arial"/>
        </w:rPr>
        <w:t>Integrating psychosocial safety climate in the JD-R model: A study amongst Malaysian workers.</w:t>
      </w:r>
      <w:proofErr w:type="gramEnd"/>
      <w:r w:rsidRPr="009A6955">
        <w:rPr>
          <w:rFonts w:cs="Arial"/>
        </w:rPr>
        <w:t xml:space="preserve"> </w:t>
      </w:r>
      <w:r w:rsidRPr="009A6955">
        <w:rPr>
          <w:rFonts w:cs="Arial"/>
          <w:i/>
        </w:rPr>
        <w:t>South African Journal of Industrial Psychology, 37,</w:t>
      </w:r>
      <w:r w:rsidRPr="009A6955">
        <w:rPr>
          <w:rFonts w:cs="Arial"/>
        </w:rPr>
        <w:t xml:space="preserve"> 1-11.</w:t>
      </w:r>
    </w:p>
    <w:bookmarkEnd w:id="91"/>
    <w:p w:rsidR="000541AE" w:rsidRPr="009A6955" w:rsidRDefault="000541AE" w:rsidP="00B934B6">
      <w:pPr>
        <w:rPr>
          <w:rFonts w:cs="Arial"/>
        </w:rPr>
      </w:pPr>
      <w:proofErr w:type="gramStart"/>
      <w:r w:rsidRPr="009A6955">
        <w:rPr>
          <w:rFonts w:cs="Arial"/>
        </w:rPr>
        <w:t>Idris, M. A., Dollard, M. F., Coward, J., &amp; Dormann, C. (2012).</w:t>
      </w:r>
      <w:proofErr w:type="gramEnd"/>
      <w:r w:rsidRPr="009A6955">
        <w:rPr>
          <w:rFonts w:cs="Arial"/>
        </w:rPr>
        <w:t xml:space="preserve"> Psychosocial safety climate: Conceptual distinctiveness and effect on job demands and worker psychological health. </w:t>
      </w:r>
      <w:r w:rsidRPr="009A6955">
        <w:rPr>
          <w:rFonts w:cs="Arial"/>
          <w:i/>
          <w:iCs/>
        </w:rPr>
        <w:t>Safety Science, 50</w:t>
      </w:r>
      <w:r w:rsidRPr="009A6955">
        <w:rPr>
          <w:rFonts w:cs="Arial"/>
        </w:rPr>
        <w:t>(1), 19-28.</w:t>
      </w:r>
    </w:p>
    <w:p w:rsidR="000541AE" w:rsidRPr="009A6955" w:rsidRDefault="000541AE" w:rsidP="00B934B6">
      <w:pPr>
        <w:rPr>
          <w:rFonts w:cs="Arial"/>
        </w:rPr>
      </w:pPr>
      <w:proofErr w:type="gramStart"/>
      <w:r w:rsidRPr="009A6955">
        <w:rPr>
          <w:rFonts w:cs="Arial"/>
        </w:rPr>
        <w:t>International Labour Organisation.</w:t>
      </w:r>
      <w:proofErr w:type="gramEnd"/>
      <w:r w:rsidRPr="009A6955">
        <w:rPr>
          <w:rFonts w:cs="Arial"/>
        </w:rPr>
        <w:t xml:space="preserve"> (1986). </w:t>
      </w:r>
      <w:proofErr w:type="gramStart"/>
      <w:r w:rsidRPr="009A6955">
        <w:rPr>
          <w:rFonts w:cs="Arial"/>
          <w:i/>
        </w:rPr>
        <w:t>Psychosocial</w:t>
      </w:r>
      <w:proofErr w:type="gramEnd"/>
      <w:r w:rsidRPr="009A6955">
        <w:rPr>
          <w:rFonts w:cs="Arial"/>
          <w:i/>
        </w:rPr>
        <w:t xml:space="preserve"> factors at work: Recognition and control.</w:t>
      </w:r>
      <w:r w:rsidRPr="009A6955">
        <w:rPr>
          <w:rFonts w:cs="Arial"/>
        </w:rPr>
        <w:t xml:space="preserve"> Geneva: International Labour Office.</w:t>
      </w:r>
    </w:p>
    <w:p w:rsidR="000541AE" w:rsidRPr="009A6955" w:rsidRDefault="000541AE" w:rsidP="00B934B6">
      <w:pPr>
        <w:rPr>
          <w:rFonts w:cs="Arial"/>
        </w:rPr>
      </w:pPr>
      <w:proofErr w:type="gramStart"/>
      <w:r w:rsidRPr="009A6955">
        <w:rPr>
          <w:rFonts w:cs="Arial"/>
        </w:rPr>
        <w:t>Jackson, S. E., Schwab, R. L., &amp; Schuler, R. S. (1986).</w:t>
      </w:r>
      <w:proofErr w:type="gramEnd"/>
      <w:r w:rsidRPr="009A6955">
        <w:rPr>
          <w:rFonts w:cs="Arial"/>
        </w:rPr>
        <w:t xml:space="preserve"> </w:t>
      </w:r>
      <w:proofErr w:type="gramStart"/>
      <w:r w:rsidRPr="009A6955">
        <w:rPr>
          <w:rFonts w:cs="Arial"/>
        </w:rPr>
        <w:t>Toward an understanding of the burnout phenomenon.</w:t>
      </w:r>
      <w:proofErr w:type="gramEnd"/>
      <w:r w:rsidRPr="009A6955">
        <w:rPr>
          <w:rFonts w:cs="Arial"/>
        </w:rPr>
        <w:t xml:space="preserve"> </w:t>
      </w:r>
      <w:r w:rsidRPr="009A6955">
        <w:rPr>
          <w:rStyle w:val="Emphasis"/>
          <w:rFonts w:cs="Arial"/>
          <w:szCs w:val="22"/>
        </w:rPr>
        <w:t>Journal of Applied Psychology</w:t>
      </w:r>
      <w:r w:rsidRPr="009A6955">
        <w:rPr>
          <w:rFonts w:cs="Arial"/>
        </w:rPr>
        <w:t xml:space="preserve">, </w:t>
      </w:r>
      <w:r w:rsidRPr="009A6955">
        <w:rPr>
          <w:rStyle w:val="Emphasis"/>
          <w:rFonts w:cs="Arial"/>
          <w:szCs w:val="22"/>
        </w:rPr>
        <w:t>71(4)</w:t>
      </w:r>
      <w:r w:rsidRPr="009A6955">
        <w:rPr>
          <w:rFonts w:cs="Arial"/>
        </w:rPr>
        <w:t>, 630–640.</w:t>
      </w:r>
    </w:p>
    <w:p w:rsidR="000541AE" w:rsidRPr="009A6955" w:rsidRDefault="000541AE" w:rsidP="00B934B6">
      <w:pPr>
        <w:rPr>
          <w:rFonts w:eastAsia="Calibri" w:cs="Arial"/>
          <w:color w:val="000000"/>
        </w:rPr>
      </w:pPr>
      <w:proofErr w:type="gramStart"/>
      <w:r w:rsidRPr="009A6955">
        <w:rPr>
          <w:rFonts w:eastAsia="Calibri" w:cs="Arial"/>
          <w:color w:val="000000"/>
        </w:rPr>
        <w:t>James, L. R., Demaree, R. G., &amp; Wolf, G. (1984).</w:t>
      </w:r>
      <w:proofErr w:type="gramEnd"/>
      <w:r w:rsidRPr="009A6955">
        <w:rPr>
          <w:rFonts w:eastAsia="Calibri" w:cs="Arial"/>
          <w:color w:val="000000"/>
        </w:rPr>
        <w:t xml:space="preserve"> </w:t>
      </w:r>
      <w:proofErr w:type="gramStart"/>
      <w:r w:rsidRPr="009A6955">
        <w:rPr>
          <w:rFonts w:eastAsia="Calibri" w:cs="Arial"/>
          <w:color w:val="000000"/>
        </w:rPr>
        <w:t>Estimating within-group interrater reliability with and without response bias.</w:t>
      </w:r>
      <w:proofErr w:type="gramEnd"/>
      <w:r w:rsidRPr="009A6955">
        <w:rPr>
          <w:rFonts w:eastAsia="Calibri" w:cs="Arial"/>
          <w:color w:val="000000"/>
        </w:rPr>
        <w:t xml:space="preserve"> </w:t>
      </w:r>
      <w:r w:rsidRPr="009A6955">
        <w:rPr>
          <w:rFonts w:eastAsia="Calibri" w:cs="Arial"/>
          <w:i/>
          <w:iCs/>
          <w:color w:val="000000"/>
        </w:rPr>
        <w:t>Journal of Applied Psychology</w:t>
      </w:r>
      <w:r w:rsidRPr="009A6955">
        <w:rPr>
          <w:rFonts w:eastAsia="Calibri" w:cs="Arial"/>
          <w:color w:val="000000"/>
        </w:rPr>
        <w:t xml:space="preserve">, </w:t>
      </w:r>
      <w:r w:rsidRPr="009A6955">
        <w:rPr>
          <w:rFonts w:eastAsia="Calibri" w:cs="Arial"/>
          <w:i/>
          <w:iCs/>
          <w:color w:val="000000"/>
        </w:rPr>
        <w:t>69</w:t>
      </w:r>
      <w:r w:rsidR="00DA2B94">
        <w:rPr>
          <w:rFonts w:eastAsia="Calibri" w:cs="Arial"/>
          <w:color w:val="000000"/>
        </w:rPr>
        <w:t>, 85-98.</w:t>
      </w:r>
    </w:p>
    <w:p w:rsidR="000541AE" w:rsidRPr="009A6955" w:rsidRDefault="000541AE" w:rsidP="00B934B6">
      <w:pPr>
        <w:rPr>
          <w:rFonts w:eastAsia="Calibri" w:cs="Arial"/>
          <w:lang w:val="en-US"/>
        </w:rPr>
      </w:pPr>
      <w:proofErr w:type="gramStart"/>
      <w:r w:rsidRPr="009A6955">
        <w:rPr>
          <w:rFonts w:eastAsia="Calibri" w:cs="Arial"/>
          <w:lang w:val="en-US"/>
        </w:rPr>
        <w:t>Jianwei, Z., &amp; Yuxin, L. (2011).</w:t>
      </w:r>
      <w:proofErr w:type="gramEnd"/>
      <w:r w:rsidRPr="009A6955">
        <w:rPr>
          <w:rFonts w:eastAsia="Calibri" w:cs="Arial"/>
          <w:lang w:val="en-US"/>
        </w:rPr>
        <w:t xml:space="preserve"> Antecedents of work-family conflict: Review and prospect. </w:t>
      </w:r>
      <w:r w:rsidRPr="009A6955">
        <w:rPr>
          <w:rFonts w:eastAsia="Calibri" w:cs="Arial"/>
          <w:i/>
          <w:iCs/>
          <w:lang w:val="en-US"/>
        </w:rPr>
        <w:t>International Journal of Business &amp; Management, 6</w:t>
      </w:r>
      <w:r w:rsidR="00DA2B94">
        <w:rPr>
          <w:rFonts w:eastAsia="Calibri" w:cs="Arial"/>
          <w:lang w:val="en-US"/>
        </w:rPr>
        <w:t>(1), 89-103.</w:t>
      </w:r>
    </w:p>
    <w:p w:rsidR="00401438" w:rsidRPr="009A6955" w:rsidRDefault="006409D1" w:rsidP="00B934B6">
      <w:pPr>
        <w:rPr>
          <w:rFonts w:eastAsia="Calibri" w:cs="Arial"/>
          <w:color w:val="000000"/>
        </w:rPr>
      </w:pPr>
      <w:hyperlink r:id="rId40" w:history="1">
        <w:proofErr w:type="gramStart"/>
        <w:r w:rsidR="00EA31C3">
          <w:rPr>
            <w:rStyle w:val="Hyperlink"/>
            <w:rFonts w:eastAsia="Calibri" w:cs="Arial"/>
          </w:rPr>
          <w:t>Job Content Questionnaire Centre.</w:t>
        </w:r>
        <w:proofErr w:type="gramEnd"/>
        <w:r w:rsidR="00EA31C3">
          <w:rPr>
            <w:rStyle w:val="Hyperlink"/>
            <w:rFonts w:eastAsia="Calibri" w:cs="Arial"/>
          </w:rPr>
          <w:t xml:space="preserve"> (2012). </w:t>
        </w:r>
        <w:proofErr w:type="gramStart"/>
        <w:r w:rsidR="00EA31C3">
          <w:rPr>
            <w:rStyle w:val="Hyperlink"/>
            <w:rFonts w:eastAsia="Calibri" w:cs="Arial"/>
          </w:rPr>
          <w:t>The</w:t>
        </w:r>
        <w:proofErr w:type="gramEnd"/>
        <w:r w:rsidR="00EA31C3">
          <w:rPr>
            <w:rStyle w:val="Hyperlink"/>
            <w:rFonts w:eastAsia="Calibri" w:cs="Arial"/>
          </w:rPr>
          <w:t xml:space="preserve"> job content questionnaire (JCQ). Department of Work Environment: University of Massachusetts. </w:t>
        </w:r>
        <w:proofErr w:type="gramStart"/>
        <w:r w:rsidR="00EA31C3">
          <w:rPr>
            <w:rStyle w:val="Hyperlink"/>
            <w:rFonts w:eastAsia="Calibri" w:cs="Arial"/>
          </w:rPr>
          <w:t>Retrieved April 1, 2009</w:t>
        </w:r>
      </w:hyperlink>
      <w:r w:rsidR="00401438" w:rsidRPr="009A6955">
        <w:rPr>
          <w:rFonts w:eastAsia="Calibri" w:cs="Arial"/>
          <w:color w:val="000000"/>
        </w:rPr>
        <w:t>.</w:t>
      </w:r>
      <w:proofErr w:type="gramEnd"/>
    </w:p>
    <w:p w:rsidR="000541AE" w:rsidRPr="009A6955" w:rsidRDefault="000541AE" w:rsidP="00B934B6">
      <w:pPr>
        <w:rPr>
          <w:rFonts w:cs="Arial"/>
        </w:rPr>
      </w:pPr>
      <w:proofErr w:type="gramStart"/>
      <w:r w:rsidRPr="009A6955">
        <w:rPr>
          <w:rFonts w:cs="Arial"/>
        </w:rPr>
        <w:t>Johnstone, R., Quinlan, M., &amp; McNamara, M. (2011).</w:t>
      </w:r>
      <w:proofErr w:type="gramEnd"/>
      <w:r w:rsidRPr="009A6955">
        <w:rPr>
          <w:rFonts w:cs="Arial"/>
        </w:rPr>
        <w:t xml:space="preserve"> OHS inspectors and psychosocial risk factors: Evidence from Australia. </w:t>
      </w:r>
      <w:r w:rsidRPr="009A6955">
        <w:rPr>
          <w:rFonts w:cs="Arial"/>
          <w:i/>
        </w:rPr>
        <w:t>Safety Science, 49,</w:t>
      </w:r>
      <w:r w:rsidRPr="009A6955">
        <w:rPr>
          <w:rFonts w:cs="Arial"/>
        </w:rPr>
        <w:t xml:space="preserve"> 547-557.</w:t>
      </w:r>
    </w:p>
    <w:p w:rsidR="000541AE" w:rsidRPr="009A6955" w:rsidRDefault="000541AE" w:rsidP="00B934B6">
      <w:pPr>
        <w:rPr>
          <w:rFonts w:cs="Arial"/>
        </w:rPr>
      </w:pPr>
      <w:r w:rsidRPr="009A6955">
        <w:rPr>
          <w:rFonts w:cs="Arial"/>
        </w:rPr>
        <w:lastRenderedPageBreak/>
        <w:t xml:space="preserve">Kang, S. Y., Staniford, A., Dollard, M. F., &amp; Kompier, M. (2008). Knowledge development and content in occupational health psychology: A systematic analysis of the Journal of Occupational Health Psychology, and Work &amp; Stress, 1996-2006. In J. Houdmont &amp; S. Leka (Eds.), </w:t>
      </w:r>
      <w:r w:rsidRPr="009A6955">
        <w:rPr>
          <w:rFonts w:cs="Arial"/>
          <w:i/>
        </w:rPr>
        <w:t>Occupational health psychology: European perspectives on research, education and practice</w:t>
      </w:r>
      <w:r w:rsidRPr="009A6955">
        <w:rPr>
          <w:rFonts w:cs="Arial"/>
        </w:rPr>
        <w:t xml:space="preserve"> (pp. 27–63). Maia, Portugal: ISMAI Publishers.</w:t>
      </w:r>
    </w:p>
    <w:p w:rsidR="000541AE" w:rsidRPr="009A6955" w:rsidRDefault="000541AE" w:rsidP="00B934B6">
      <w:pPr>
        <w:rPr>
          <w:rFonts w:eastAsia="Calibri" w:cs="Arial"/>
          <w:color w:val="000000"/>
        </w:rPr>
      </w:pPr>
      <w:r w:rsidRPr="009A6955">
        <w:rPr>
          <w:rFonts w:eastAsia="Calibri" w:cs="Arial"/>
          <w:color w:val="000000"/>
        </w:rPr>
        <w:t xml:space="preserve">Karasek, R. </w:t>
      </w:r>
      <w:proofErr w:type="gramStart"/>
      <w:r w:rsidRPr="009A6955">
        <w:rPr>
          <w:rFonts w:eastAsia="Calibri" w:cs="Arial"/>
          <w:color w:val="000000"/>
        </w:rPr>
        <w:t>A, (1979).</w:t>
      </w:r>
      <w:proofErr w:type="gramEnd"/>
      <w:r w:rsidRPr="009A6955">
        <w:rPr>
          <w:rFonts w:eastAsia="Calibri" w:cs="Arial"/>
          <w:color w:val="000000"/>
        </w:rPr>
        <w:t xml:space="preserve"> Job demands, job decision latitude, and mental strain: Implications for job redesign. </w:t>
      </w:r>
      <w:r w:rsidRPr="009A6955">
        <w:rPr>
          <w:rFonts w:eastAsia="Calibri" w:cs="Arial"/>
          <w:i/>
          <w:iCs/>
          <w:color w:val="000000"/>
        </w:rPr>
        <w:t>Administration Science Quarterly, 224</w:t>
      </w:r>
      <w:r w:rsidR="00DA2B94">
        <w:rPr>
          <w:rFonts w:eastAsia="Calibri" w:cs="Arial"/>
          <w:color w:val="000000"/>
        </w:rPr>
        <w:t>, 285-307.</w:t>
      </w:r>
    </w:p>
    <w:p w:rsidR="000541AE" w:rsidRPr="009A6955" w:rsidRDefault="000541AE" w:rsidP="00B934B6">
      <w:pPr>
        <w:rPr>
          <w:rFonts w:cs="Arial"/>
        </w:rPr>
      </w:pPr>
      <w:proofErr w:type="gramStart"/>
      <w:r w:rsidRPr="009A6955">
        <w:rPr>
          <w:rFonts w:cs="Arial"/>
        </w:rPr>
        <w:t>Karasek, R., &amp; Theorell, T. (1990).</w:t>
      </w:r>
      <w:proofErr w:type="gramEnd"/>
      <w:r w:rsidRPr="009A6955">
        <w:rPr>
          <w:rFonts w:cs="Arial"/>
        </w:rPr>
        <w:t xml:space="preserve"> </w:t>
      </w:r>
      <w:r w:rsidRPr="009A6955">
        <w:rPr>
          <w:rFonts w:cs="Arial"/>
          <w:i/>
        </w:rPr>
        <w:t>Healthy work: Stress, productivity, and the reconstruction of working life.</w:t>
      </w:r>
      <w:r w:rsidRPr="009A6955">
        <w:rPr>
          <w:rFonts w:cs="Arial"/>
        </w:rPr>
        <w:t xml:space="preserve"> New York: Basic Books.</w:t>
      </w:r>
    </w:p>
    <w:p w:rsidR="000541AE" w:rsidRPr="009A6955" w:rsidRDefault="000541AE" w:rsidP="00B934B6">
      <w:pPr>
        <w:rPr>
          <w:rFonts w:eastAsia="Calibri" w:cs="Arial"/>
          <w:lang w:val="en-US"/>
        </w:rPr>
      </w:pPr>
      <w:proofErr w:type="gramStart"/>
      <w:r w:rsidRPr="009A6955">
        <w:rPr>
          <w:rFonts w:eastAsia="Calibri" w:cs="Arial"/>
          <w:lang w:val="en-US"/>
        </w:rPr>
        <w:t>Kattenbach, R., Demerouti, E., &amp; Nachreiner, F. (2010).</w:t>
      </w:r>
      <w:proofErr w:type="gramEnd"/>
      <w:r w:rsidRPr="009A6955">
        <w:rPr>
          <w:rFonts w:eastAsia="Calibri" w:cs="Arial"/>
          <w:lang w:val="en-US"/>
        </w:rPr>
        <w:t xml:space="preserve"> Flexible working times: Effects on employees' exhaustion, work-nonwork conflict and job performance. </w:t>
      </w:r>
      <w:r w:rsidRPr="009A6955">
        <w:rPr>
          <w:rFonts w:eastAsia="Calibri" w:cs="Arial"/>
          <w:i/>
          <w:iCs/>
          <w:lang w:val="en-US"/>
        </w:rPr>
        <w:t>Career Development International, 15</w:t>
      </w:r>
      <w:r w:rsidRPr="009A6955">
        <w:rPr>
          <w:rFonts w:eastAsia="Calibri" w:cs="Arial"/>
          <w:lang w:val="en-US"/>
        </w:rPr>
        <w:t xml:space="preserve">(3), </w:t>
      </w:r>
      <w:r w:rsidR="00DA2B94">
        <w:rPr>
          <w:rFonts w:eastAsia="Calibri" w:cs="Arial"/>
          <w:lang w:val="en-US"/>
        </w:rPr>
        <w:t>279-295.</w:t>
      </w:r>
    </w:p>
    <w:p w:rsidR="000541AE" w:rsidRPr="009A6955" w:rsidRDefault="000541AE" w:rsidP="00B934B6">
      <w:pPr>
        <w:rPr>
          <w:rFonts w:cs="Arial"/>
        </w:rPr>
      </w:pPr>
      <w:proofErr w:type="gramStart"/>
      <w:r w:rsidRPr="009A6955">
        <w:rPr>
          <w:rFonts w:cs="Arial"/>
        </w:rPr>
        <w:t>Kessler, R. C., Barber, C., Beck, A., Berglund, P., Cleary, P.</w:t>
      </w:r>
      <w:r w:rsidR="00401438" w:rsidRPr="009A6955">
        <w:rPr>
          <w:rFonts w:cs="Arial"/>
        </w:rPr>
        <w:t xml:space="preserve"> D., McKenas, D.,</w:t>
      </w:r>
      <w:r w:rsidR="00E7726E" w:rsidRPr="009A6955">
        <w:rPr>
          <w:rFonts w:cs="Arial"/>
        </w:rPr>
        <w:t xml:space="preserve"> &amp;</w:t>
      </w:r>
      <w:r w:rsidRPr="009A6955">
        <w:rPr>
          <w:rFonts w:cs="Arial"/>
        </w:rPr>
        <w:t xml:space="preserve"> Wang, P. (2003).</w:t>
      </w:r>
      <w:proofErr w:type="gramEnd"/>
      <w:r w:rsidRPr="009A6955">
        <w:rPr>
          <w:rFonts w:cs="Arial"/>
        </w:rPr>
        <w:t xml:space="preserve"> </w:t>
      </w:r>
      <w:proofErr w:type="gramStart"/>
      <w:r w:rsidRPr="009A6955">
        <w:rPr>
          <w:rFonts w:cs="Arial"/>
        </w:rPr>
        <w:t>The World Health Organization health and work performance questionnaire (HPQ).</w:t>
      </w:r>
      <w:proofErr w:type="gramEnd"/>
      <w:r w:rsidRPr="009A6955">
        <w:rPr>
          <w:rFonts w:cs="Arial"/>
        </w:rPr>
        <w:t xml:space="preserve"> </w:t>
      </w:r>
      <w:r w:rsidRPr="009A6955">
        <w:rPr>
          <w:rFonts w:cs="Arial"/>
          <w:i/>
          <w:iCs/>
        </w:rPr>
        <w:t>Journal of Occupational and Environmental Medicine, 45</w:t>
      </w:r>
      <w:r w:rsidRPr="009A6955">
        <w:rPr>
          <w:rFonts w:cs="Arial"/>
          <w:iCs/>
        </w:rPr>
        <w:t xml:space="preserve">(2), </w:t>
      </w:r>
      <w:r w:rsidRPr="009A6955">
        <w:rPr>
          <w:rFonts w:cs="Arial"/>
        </w:rPr>
        <w:t>156-174.</w:t>
      </w:r>
    </w:p>
    <w:p w:rsidR="000541AE" w:rsidRPr="009A6955" w:rsidRDefault="000541AE" w:rsidP="00B934B6">
      <w:pPr>
        <w:rPr>
          <w:rFonts w:cs="Arial"/>
        </w:rPr>
      </w:pPr>
      <w:r w:rsidRPr="009A6955">
        <w:rPr>
          <w:rFonts w:cs="Arial"/>
          <w:lang w:eastAsia="en-US"/>
        </w:rPr>
        <w:t xml:space="preserve">Kessler, R. C., Barber, C., Birnbaum, H. G., Frank, R. G., Greenberg, P. E., </w:t>
      </w:r>
      <w:r w:rsidR="00E7726E" w:rsidRPr="009A6955">
        <w:rPr>
          <w:rFonts w:cs="Arial"/>
          <w:lang w:eastAsia="en-US"/>
        </w:rPr>
        <w:t>Rose, R. M., &amp;</w:t>
      </w:r>
      <w:r w:rsidRPr="009A6955">
        <w:rPr>
          <w:rFonts w:cs="Arial"/>
          <w:lang w:eastAsia="en-US"/>
        </w:rPr>
        <w:t xml:space="preserve"> Wang, P. (1999). Depression in the workplace: Effects on short-term disability. </w:t>
      </w:r>
      <w:r w:rsidRPr="009A6955">
        <w:rPr>
          <w:rStyle w:val="Emphasis"/>
          <w:rFonts w:cs="Arial"/>
          <w:szCs w:val="22"/>
          <w:lang w:eastAsia="en-US"/>
        </w:rPr>
        <w:t>Health Affairs, 18</w:t>
      </w:r>
      <w:r w:rsidRPr="009A6955">
        <w:rPr>
          <w:rFonts w:cs="Arial"/>
          <w:lang w:eastAsia="en-US"/>
        </w:rPr>
        <w:t>(5), 163-171.</w:t>
      </w:r>
    </w:p>
    <w:p w:rsidR="000541AE" w:rsidRPr="009A6955" w:rsidRDefault="000541AE" w:rsidP="00B934B6">
      <w:pPr>
        <w:rPr>
          <w:rFonts w:cs="Arial"/>
          <w:lang w:val="en-CA"/>
        </w:rPr>
      </w:pPr>
      <w:proofErr w:type="gramStart"/>
      <w:r w:rsidRPr="009A6955">
        <w:rPr>
          <w:rFonts w:cs="Arial"/>
          <w:lang w:val="en-CA"/>
        </w:rPr>
        <w:t>Kessler, R., &amp; Mroczek, D. (1994).</w:t>
      </w:r>
      <w:proofErr w:type="gramEnd"/>
      <w:r w:rsidRPr="009A6955">
        <w:rPr>
          <w:rFonts w:cs="Arial"/>
          <w:lang w:val="en-CA"/>
        </w:rPr>
        <w:t xml:space="preserve"> </w:t>
      </w:r>
      <w:r w:rsidRPr="009A6955">
        <w:rPr>
          <w:rFonts w:cs="Arial"/>
          <w:i/>
          <w:lang w:val="en-CA"/>
        </w:rPr>
        <w:t>Final version of our non-specific psychological distress scale</w:t>
      </w:r>
      <w:r w:rsidRPr="009A6955">
        <w:rPr>
          <w:rFonts w:cs="Arial"/>
          <w:lang w:val="en-CA"/>
        </w:rPr>
        <w:t xml:space="preserve"> (memo, March 10, 1994). </w:t>
      </w:r>
      <w:r w:rsidRPr="009A6955">
        <w:rPr>
          <w:rFonts w:cs="Arial"/>
          <w:iCs/>
          <w:lang w:val="en-CA"/>
        </w:rPr>
        <w:t>Ann Arbor, MI: Institute for Social Research.</w:t>
      </w:r>
    </w:p>
    <w:p w:rsidR="000541AE" w:rsidRPr="009A6955" w:rsidRDefault="000541AE" w:rsidP="00B934B6">
      <w:pPr>
        <w:rPr>
          <w:rFonts w:cs="Arial"/>
        </w:rPr>
      </w:pPr>
      <w:proofErr w:type="gramStart"/>
      <w:r w:rsidRPr="009A6955">
        <w:rPr>
          <w:rFonts w:cs="Arial"/>
        </w:rPr>
        <w:t>Kim, H., Knight, D. K., &amp; Crutsinger, C. (2009).</w:t>
      </w:r>
      <w:proofErr w:type="gramEnd"/>
      <w:r w:rsidRPr="009A6955">
        <w:rPr>
          <w:rFonts w:cs="Arial"/>
        </w:rPr>
        <w:t xml:space="preserve"> Generation Y employees’ retail work experience: The mediating effect of job characteristics. </w:t>
      </w:r>
      <w:r w:rsidRPr="009A6955">
        <w:rPr>
          <w:rFonts w:cs="Arial"/>
          <w:i/>
        </w:rPr>
        <w:t xml:space="preserve">Journal of Business Research, 62, </w:t>
      </w:r>
      <w:r w:rsidRPr="009A6955">
        <w:rPr>
          <w:rFonts w:cs="Arial"/>
        </w:rPr>
        <w:t>548-556.</w:t>
      </w:r>
    </w:p>
    <w:p w:rsidR="000541AE" w:rsidRPr="009A6955" w:rsidRDefault="000541AE" w:rsidP="00B934B6">
      <w:pPr>
        <w:rPr>
          <w:rFonts w:cs="Arial"/>
        </w:rPr>
      </w:pPr>
      <w:proofErr w:type="gramStart"/>
      <w:r w:rsidRPr="009A6955">
        <w:rPr>
          <w:rFonts w:cs="Arial"/>
        </w:rPr>
        <w:t>Kim, J. M., Shin, I. S., Yoon, J. S., &amp; Stewart, R. (2002).</w:t>
      </w:r>
      <w:proofErr w:type="gramEnd"/>
      <w:r w:rsidRPr="009A6955">
        <w:rPr>
          <w:rFonts w:cs="Arial"/>
        </w:rPr>
        <w:t xml:space="preserve"> Prevalence and correlates of late-life depression compared between urban and rural populations in Korea. </w:t>
      </w:r>
      <w:r w:rsidRPr="009A6955">
        <w:rPr>
          <w:rFonts w:cs="Arial"/>
          <w:i/>
        </w:rPr>
        <w:t>International Journal of Geriatric Psychiatry, 17</w:t>
      </w:r>
      <w:r w:rsidRPr="009A6955">
        <w:rPr>
          <w:rFonts w:cs="Arial"/>
        </w:rPr>
        <w:t>(5), 409–415.</w:t>
      </w:r>
    </w:p>
    <w:p w:rsidR="000541AE" w:rsidRPr="009A6955" w:rsidRDefault="000541AE" w:rsidP="00B934B6">
      <w:pPr>
        <w:rPr>
          <w:rFonts w:cs="Arial"/>
        </w:rPr>
      </w:pPr>
      <w:proofErr w:type="gramStart"/>
      <w:r w:rsidRPr="009A6955">
        <w:rPr>
          <w:rFonts w:cs="Arial"/>
        </w:rPr>
        <w:t>Kitchener, B. A., &amp; Jorm, A. F. (2006).</w:t>
      </w:r>
      <w:proofErr w:type="gramEnd"/>
      <w:r w:rsidRPr="009A6955">
        <w:rPr>
          <w:rFonts w:cs="Arial"/>
        </w:rPr>
        <w:t xml:space="preserve"> Mental health first aid training: review of evaluation studies.  </w:t>
      </w:r>
      <w:r w:rsidRPr="009A6955">
        <w:rPr>
          <w:rFonts w:cs="Arial"/>
          <w:i/>
        </w:rPr>
        <w:t>Australian and New Zealand Journal of Psychiatry, 40</w:t>
      </w:r>
      <w:r w:rsidRPr="009A6955">
        <w:rPr>
          <w:rFonts w:cs="Arial"/>
        </w:rPr>
        <w:t>, 6–8.</w:t>
      </w:r>
    </w:p>
    <w:p w:rsidR="000541AE" w:rsidRPr="009A6955" w:rsidRDefault="000541AE" w:rsidP="00B934B6">
      <w:pPr>
        <w:rPr>
          <w:rFonts w:eastAsia="SimSun" w:cs="Arial"/>
        </w:rPr>
      </w:pPr>
      <w:proofErr w:type="gramStart"/>
      <w:r w:rsidRPr="009A6955">
        <w:rPr>
          <w:rFonts w:eastAsia="SimSun" w:cs="Arial"/>
        </w:rPr>
        <w:t>Komiti, A., Judd, F., &amp; Jackson, H. (2006).</w:t>
      </w:r>
      <w:proofErr w:type="gramEnd"/>
      <w:r w:rsidRPr="009A6955">
        <w:rPr>
          <w:rFonts w:eastAsia="SimSun" w:cs="Arial"/>
        </w:rPr>
        <w:t xml:space="preserve"> The influence of stigma and attitudes on seeking help from a GP </w:t>
      </w:r>
      <w:proofErr w:type="gramStart"/>
      <w:r w:rsidRPr="009A6955">
        <w:rPr>
          <w:rFonts w:eastAsia="SimSun" w:cs="Arial"/>
        </w:rPr>
        <w:t>for a mental health problems</w:t>
      </w:r>
      <w:proofErr w:type="gramEnd"/>
      <w:r w:rsidRPr="009A6955">
        <w:rPr>
          <w:rFonts w:eastAsia="SimSun" w:cs="Arial"/>
        </w:rPr>
        <w:t>: A rural context. Social Psychiatry and Psychiatric Epidemiology, 41(9), 738–745.</w:t>
      </w:r>
    </w:p>
    <w:p w:rsidR="000541AE" w:rsidRPr="009A6955" w:rsidRDefault="000541AE" w:rsidP="00B934B6">
      <w:pPr>
        <w:rPr>
          <w:rFonts w:cs="Arial"/>
          <w:color w:val="000000"/>
        </w:rPr>
      </w:pPr>
      <w:proofErr w:type="gramStart"/>
      <w:r w:rsidRPr="009A6955">
        <w:rPr>
          <w:rFonts w:cs="Arial"/>
          <w:color w:val="000000"/>
        </w:rPr>
        <w:t>Laitinen-Krispijn, S., &amp; Bijl, R. V. (2000).</w:t>
      </w:r>
      <w:proofErr w:type="gramEnd"/>
      <w:r w:rsidRPr="009A6955">
        <w:rPr>
          <w:rFonts w:cs="Arial"/>
          <w:color w:val="000000"/>
        </w:rPr>
        <w:t xml:space="preserve"> Mental disorders and employee sickness absence: The NEMESIS stu</w:t>
      </w:r>
      <w:r w:rsidRPr="009A6955">
        <w:rPr>
          <w:rFonts w:cs="Arial"/>
        </w:rPr>
        <w:t xml:space="preserve">dy.  </w:t>
      </w:r>
      <w:r w:rsidRPr="009A6955">
        <w:rPr>
          <w:rFonts w:cs="Arial"/>
          <w:i/>
        </w:rPr>
        <w:t>Social Psychiatry &amp; Psychiatric Epidemiology, 35</w:t>
      </w:r>
      <w:r w:rsidRPr="009A6955">
        <w:rPr>
          <w:rFonts w:cs="Arial"/>
        </w:rPr>
        <w:t>, 71-</w:t>
      </w:r>
      <w:r w:rsidR="00DA2B94">
        <w:rPr>
          <w:rFonts w:cs="Arial"/>
          <w:color w:val="000000"/>
        </w:rPr>
        <w:t>77.</w:t>
      </w:r>
    </w:p>
    <w:p w:rsidR="000541AE" w:rsidRPr="009A6955" w:rsidRDefault="000541AE" w:rsidP="00B934B6">
      <w:pPr>
        <w:rPr>
          <w:rFonts w:cs="Arial"/>
        </w:rPr>
      </w:pPr>
      <w:proofErr w:type="gramStart"/>
      <w:r w:rsidRPr="009A6955">
        <w:rPr>
          <w:rFonts w:cs="Arial"/>
        </w:rPr>
        <w:t>LaMontagne, A. D., Keegel, T., Louie, A. M., Ostry, A., &amp; Landsbergis, P. A. (2007).</w:t>
      </w:r>
      <w:proofErr w:type="gramEnd"/>
      <w:r w:rsidRPr="009A6955">
        <w:rPr>
          <w:rFonts w:cs="Arial"/>
        </w:rPr>
        <w:t xml:space="preserve"> </w:t>
      </w:r>
      <w:proofErr w:type="gramStart"/>
      <w:r w:rsidRPr="009A6955">
        <w:rPr>
          <w:rFonts w:cs="Arial"/>
        </w:rPr>
        <w:t>A systematic review of the job-stress intervention evaluation literature, 1990-2005</w:t>
      </w:r>
      <w:r w:rsidRPr="009A6955">
        <w:rPr>
          <w:rFonts w:cs="Arial"/>
          <w:i/>
        </w:rPr>
        <w:t>.</w:t>
      </w:r>
      <w:proofErr w:type="gramEnd"/>
      <w:r w:rsidRPr="009A6955">
        <w:rPr>
          <w:rFonts w:cs="Arial"/>
          <w:i/>
        </w:rPr>
        <w:t xml:space="preserve"> International Journal of Environmental Health, 13</w:t>
      </w:r>
      <w:r w:rsidRPr="009A6955">
        <w:rPr>
          <w:rFonts w:cs="Arial"/>
        </w:rPr>
        <w:t>(3), 268–280.</w:t>
      </w:r>
    </w:p>
    <w:p w:rsidR="000541AE" w:rsidRPr="009A6955" w:rsidRDefault="000541AE" w:rsidP="00B934B6">
      <w:pPr>
        <w:rPr>
          <w:rFonts w:cs="Arial"/>
        </w:rPr>
      </w:pPr>
      <w:proofErr w:type="gramStart"/>
      <w:r w:rsidRPr="009A6955">
        <w:rPr>
          <w:rFonts w:cs="Arial"/>
          <w:lang w:val="en-US"/>
        </w:rPr>
        <w:t>LaMontagne, A. D., Sanderson, K., &amp; Cocker, F. (2010).</w:t>
      </w:r>
      <w:proofErr w:type="gramEnd"/>
      <w:r w:rsidRPr="009A6955">
        <w:rPr>
          <w:rFonts w:cs="Arial"/>
          <w:lang w:val="en-US"/>
        </w:rPr>
        <w:t xml:space="preserve"> </w:t>
      </w:r>
      <w:proofErr w:type="gramStart"/>
      <w:r w:rsidRPr="009A6955">
        <w:rPr>
          <w:rFonts w:cs="Arial"/>
          <w:i/>
          <w:iCs/>
        </w:rPr>
        <w:t>Estimating the economic benefits of eliminating job strain as a risk factor for depression</w:t>
      </w:r>
      <w:r w:rsidRPr="009A6955">
        <w:rPr>
          <w:rFonts w:cs="Arial"/>
        </w:rPr>
        <w:t>.</w:t>
      </w:r>
      <w:proofErr w:type="gramEnd"/>
      <w:r w:rsidRPr="009A6955">
        <w:rPr>
          <w:rFonts w:cs="Arial"/>
        </w:rPr>
        <w:t xml:space="preserve">  </w:t>
      </w:r>
      <w:r w:rsidRPr="009A6955">
        <w:rPr>
          <w:rFonts w:cs="Arial"/>
          <w:lang w:val="fr-FR"/>
        </w:rPr>
        <w:t>Melbourne: Victoria</w:t>
      </w:r>
      <w:r w:rsidR="00EA3B8C" w:rsidRPr="009A6955">
        <w:rPr>
          <w:rFonts w:cs="Arial"/>
          <w:lang w:val="fr-FR"/>
        </w:rPr>
        <w:t>n Health Promotion Foundation.</w:t>
      </w:r>
    </w:p>
    <w:p w:rsidR="000541AE" w:rsidRPr="009A6955" w:rsidRDefault="000541AE" w:rsidP="00B934B6">
      <w:pPr>
        <w:rPr>
          <w:rFonts w:cs="Arial"/>
        </w:rPr>
      </w:pPr>
      <w:proofErr w:type="gramStart"/>
      <w:r w:rsidRPr="009A6955">
        <w:rPr>
          <w:rFonts w:cs="Arial"/>
        </w:rPr>
        <w:lastRenderedPageBreak/>
        <w:t>LaMontagne, A., Keegel, T., Vallance, D., Ostry, A., &amp; Wolfe, R. (2008).</w:t>
      </w:r>
      <w:proofErr w:type="gramEnd"/>
      <w:r w:rsidRPr="009A6955">
        <w:rPr>
          <w:rFonts w:cs="Arial"/>
        </w:rPr>
        <w:t xml:space="preserve"> Job strain-attributable depression in a sample of working Australians: Assessing the contribution to health equalities. </w:t>
      </w:r>
      <w:r w:rsidRPr="009A6955">
        <w:rPr>
          <w:rFonts w:cs="Arial"/>
          <w:i/>
          <w:iCs/>
        </w:rPr>
        <w:t>BMC Public Health, 8</w:t>
      </w:r>
      <w:r w:rsidR="00401438" w:rsidRPr="009A6955">
        <w:rPr>
          <w:rFonts w:cs="Arial"/>
        </w:rPr>
        <w:t>, 1 - </w:t>
      </w:r>
      <w:r w:rsidRPr="009A6955">
        <w:rPr>
          <w:rFonts w:cs="Arial"/>
        </w:rPr>
        <w:t>9.</w:t>
      </w:r>
    </w:p>
    <w:p w:rsidR="000541AE" w:rsidRPr="009A6955" w:rsidRDefault="000541AE" w:rsidP="00B934B6">
      <w:pPr>
        <w:rPr>
          <w:rFonts w:eastAsia="Calibri" w:cs="Arial"/>
        </w:rPr>
      </w:pPr>
      <w:proofErr w:type="gramStart"/>
      <w:r w:rsidRPr="009A6955">
        <w:rPr>
          <w:rFonts w:eastAsia="Calibri" w:cs="Arial"/>
        </w:rPr>
        <w:t>Law, R., Dollard, M. F., Tuckey, M. R., &amp; Dormann, C. (2011).</w:t>
      </w:r>
      <w:proofErr w:type="gramEnd"/>
      <w:r w:rsidRPr="009A6955">
        <w:rPr>
          <w:rFonts w:eastAsia="Calibri" w:cs="Arial"/>
        </w:rPr>
        <w:t xml:space="preserve"> </w:t>
      </w:r>
      <w:proofErr w:type="gramStart"/>
      <w:r w:rsidRPr="009A6955">
        <w:rPr>
          <w:rFonts w:eastAsia="Calibri" w:cs="Arial"/>
        </w:rPr>
        <w:t>Psychosocial safety climate as a lead indicator of workplace bullying and harassment, job resources, psychological health and employee engagement.</w:t>
      </w:r>
      <w:proofErr w:type="gramEnd"/>
      <w:r w:rsidRPr="009A6955">
        <w:rPr>
          <w:rFonts w:eastAsia="Calibri" w:cs="Arial"/>
        </w:rPr>
        <w:t xml:space="preserve"> </w:t>
      </w:r>
      <w:r w:rsidRPr="009A6955">
        <w:rPr>
          <w:rFonts w:eastAsia="Calibri" w:cs="Arial"/>
          <w:i/>
          <w:iCs/>
        </w:rPr>
        <w:t>Accident Analysis and Prevention, 43</w:t>
      </w:r>
      <w:r w:rsidRPr="009A6955">
        <w:rPr>
          <w:rFonts w:eastAsia="Calibri" w:cs="Arial"/>
          <w:iCs/>
        </w:rPr>
        <w:t>(5), 1782-1793.</w:t>
      </w:r>
    </w:p>
    <w:p w:rsidR="000541AE" w:rsidRPr="00DA2B94" w:rsidRDefault="000541AE" w:rsidP="00B934B6">
      <w:pPr>
        <w:rPr>
          <w:rFonts w:cs="Arial"/>
          <w:color w:val="auto"/>
        </w:rPr>
      </w:pPr>
      <w:proofErr w:type="gramStart"/>
      <w:r w:rsidRPr="009A6955">
        <w:rPr>
          <w:rFonts w:cs="Arial"/>
        </w:rPr>
        <w:t>Leiter, M. P., &amp; Maslach, C. (1988).</w:t>
      </w:r>
      <w:proofErr w:type="gramEnd"/>
      <w:r w:rsidRPr="009A6955">
        <w:rPr>
          <w:rFonts w:cs="Arial"/>
        </w:rPr>
        <w:t xml:space="preserve"> </w:t>
      </w:r>
      <w:proofErr w:type="gramStart"/>
      <w:r w:rsidRPr="009A6955">
        <w:rPr>
          <w:rFonts w:cs="Arial"/>
        </w:rPr>
        <w:t>The impact of interpersonal en</w:t>
      </w:r>
      <w:r w:rsidR="00F34DA3" w:rsidRPr="009A6955">
        <w:rPr>
          <w:rFonts w:cs="Arial"/>
        </w:rPr>
        <w:t>vironment on burnout and organis</w:t>
      </w:r>
      <w:r w:rsidRPr="009A6955">
        <w:rPr>
          <w:rFonts w:cs="Arial"/>
        </w:rPr>
        <w:t>ational commitment.</w:t>
      </w:r>
      <w:proofErr w:type="gramEnd"/>
      <w:r w:rsidRPr="009A6955">
        <w:rPr>
          <w:rFonts w:cs="Arial"/>
        </w:rPr>
        <w:t xml:space="preserve"> </w:t>
      </w:r>
      <w:r w:rsidRPr="009A6955">
        <w:rPr>
          <w:rFonts w:cs="Arial"/>
          <w:i/>
          <w:iCs/>
        </w:rPr>
        <w:t>Journal of Organizational Behavior, 9</w:t>
      </w:r>
      <w:r w:rsidRPr="009A6955">
        <w:rPr>
          <w:rFonts w:cs="Arial"/>
          <w:iCs/>
        </w:rPr>
        <w:t xml:space="preserve">, </w:t>
      </w:r>
      <w:r w:rsidRPr="009A6955">
        <w:rPr>
          <w:rFonts w:cs="Arial"/>
        </w:rPr>
        <w:t>297-308.</w:t>
      </w:r>
    </w:p>
    <w:p w:rsidR="000541AE" w:rsidRPr="009A6955" w:rsidRDefault="000541AE" w:rsidP="00B934B6">
      <w:pPr>
        <w:rPr>
          <w:rFonts w:cs="Arial"/>
        </w:rPr>
      </w:pPr>
      <w:proofErr w:type="gramStart"/>
      <w:r w:rsidRPr="009A6955">
        <w:rPr>
          <w:rFonts w:cs="Arial"/>
        </w:rPr>
        <w:t>Leka, S., &amp; Jain, A. (2010).</w:t>
      </w:r>
      <w:proofErr w:type="gramEnd"/>
      <w:r w:rsidRPr="009A6955">
        <w:rPr>
          <w:rFonts w:cs="Arial"/>
        </w:rPr>
        <w:t xml:space="preserve"> </w:t>
      </w:r>
      <w:r w:rsidRPr="009A6955">
        <w:rPr>
          <w:rFonts w:cs="Arial"/>
          <w:i/>
        </w:rPr>
        <w:t>Health impact of psychosocial hazards at work: An overview.</w:t>
      </w:r>
      <w:r w:rsidRPr="009A6955">
        <w:rPr>
          <w:rFonts w:cs="Arial"/>
        </w:rPr>
        <w:t xml:space="preserve"> Nottingham: World Health Organisation.</w:t>
      </w:r>
    </w:p>
    <w:p w:rsidR="000541AE" w:rsidRPr="009A6955" w:rsidRDefault="000541AE" w:rsidP="00B934B6">
      <w:pPr>
        <w:rPr>
          <w:rFonts w:eastAsia="Calibri" w:cs="Arial"/>
          <w:color w:val="000000"/>
        </w:rPr>
      </w:pPr>
      <w:r w:rsidRPr="009A6955">
        <w:rPr>
          <w:rFonts w:eastAsia="Calibri" w:cs="Arial"/>
          <w:color w:val="000000"/>
        </w:rPr>
        <w:t xml:space="preserve">Leka, S., Cox, T., &amp; Zwetsloot, G. (2008). </w:t>
      </w:r>
      <w:proofErr w:type="gramStart"/>
      <w:r w:rsidRPr="009A6955">
        <w:rPr>
          <w:rFonts w:eastAsia="Calibri" w:cs="Arial"/>
          <w:color w:val="000000"/>
        </w:rPr>
        <w:t>The European framework for psychosocial risk management (PRIMA-EF).</w:t>
      </w:r>
      <w:proofErr w:type="gramEnd"/>
      <w:r w:rsidRPr="009A6955">
        <w:rPr>
          <w:rFonts w:eastAsia="Calibri" w:cs="Arial"/>
          <w:color w:val="000000"/>
        </w:rPr>
        <w:t xml:space="preserve"> In S. Leka, &amp; T. Cox (Eds), </w:t>
      </w:r>
      <w:proofErr w:type="gramStart"/>
      <w:r w:rsidRPr="009A6955">
        <w:rPr>
          <w:rFonts w:eastAsia="Calibri" w:cs="Arial"/>
          <w:i/>
          <w:iCs/>
          <w:color w:val="000000"/>
        </w:rPr>
        <w:t>The</w:t>
      </w:r>
      <w:proofErr w:type="gramEnd"/>
      <w:r w:rsidRPr="009A6955">
        <w:rPr>
          <w:rFonts w:eastAsia="Calibri" w:cs="Arial"/>
          <w:i/>
          <w:iCs/>
          <w:color w:val="000000"/>
        </w:rPr>
        <w:t xml:space="preserve"> European Framework for Psychosocial Risk Management </w:t>
      </w:r>
      <w:r w:rsidRPr="009A6955">
        <w:rPr>
          <w:rFonts w:eastAsia="Calibri" w:cs="Arial"/>
          <w:iCs/>
          <w:color w:val="000000"/>
        </w:rPr>
        <w:t>(pp. 1-16).</w:t>
      </w:r>
      <w:r w:rsidRPr="009A6955">
        <w:rPr>
          <w:rFonts w:eastAsia="Calibri" w:cs="Arial"/>
          <w:i/>
          <w:iCs/>
          <w:color w:val="000000"/>
        </w:rPr>
        <w:t xml:space="preserve"> </w:t>
      </w:r>
      <w:r w:rsidR="00DA2B94">
        <w:rPr>
          <w:rFonts w:eastAsia="Calibri" w:cs="Arial"/>
          <w:color w:val="000000"/>
        </w:rPr>
        <w:t>Nottingham: I-WHO.</w:t>
      </w:r>
    </w:p>
    <w:p w:rsidR="000541AE" w:rsidRPr="009A6955" w:rsidRDefault="000541AE" w:rsidP="00B934B6">
      <w:pPr>
        <w:rPr>
          <w:rStyle w:val="citationjournalpages"/>
          <w:rFonts w:cs="Arial"/>
          <w:szCs w:val="22"/>
        </w:rPr>
      </w:pPr>
      <w:r w:rsidRPr="009A6955">
        <w:rPr>
          <w:rStyle w:val="citationarticleauthors"/>
          <w:rFonts w:cs="Arial"/>
          <w:szCs w:val="22"/>
        </w:rPr>
        <w:t>Leka, S., Jain, A., Cox, T., &amp; Kortum, E. (2011)</w:t>
      </w:r>
      <w:r w:rsidRPr="009A6955">
        <w:rPr>
          <w:rStyle w:val="citationarticleyear"/>
          <w:rFonts w:cs="Arial"/>
          <w:szCs w:val="22"/>
        </w:rPr>
        <w:t xml:space="preserve">. </w:t>
      </w:r>
      <w:r w:rsidRPr="009A6955">
        <w:rPr>
          <w:rStyle w:val="citationarticletitle"/>
          <w:rFonts w:cs="Arial"/>
          <w:szCs w:val="22"/>
        </w:rPr>
        <w:t xml:space="preserve">The development of the European framework for psychosocial risk management: PRIMA-EF. </w:t>
      </w:r>
      <w:r w:rsidRPr="009A6955">
        <w:rPr>
          <w:rStyle w:val="citationjournaltitle"/>
          <w:rFonts w:cs="Arial"/>
          <w:i/>
          <w:szCs w:val="22"/>
        </w:rPr>
        <w:t xml:space="preserve">Journal of Occupational Health, </w:t>
      </w:r>
      <w:r w:rsidRPr="009A6955">
        <w:rPr>
          <w:rStyle w:val="citationjournalvolumeandpart"/>
          <w:rFonts w:cs="Arial"/>
          <w:i/>
          <w:szCs w:val="22"/>
        </w:rPr>
        <w:t>53,</w:t>
      </w:r>
      <w:r w:rsidRPr="009A6955">
        <w:rPr>
          <w:rStyle w:val="citationjournalvolumeandpart"/>
          <w:rFonts w:cs="Arial"/>
          <w:szCs w:val="22"/>
        </w:rPr>
        <w:t xml:space="preserve"> </w:t>
      </w:r>
      <w:r w:rsidRPr="009A6955">
        <w:rPr>
          <w:rStyle w:val="citationjournalpages"/>
          <w:rFonts w:cs="Arial"/>
          <w:szCs w:val="22"/>
        </w:rPr>
        <w:t>137-143.</w:t>
      </w:r>
    </w:p>
    <w:p w:rsidR="000541AE" w:rsidRPr="009A6955" w:rsidRDefault="000541AE" w:rsidP="00B934B6">
      <w:pPr>
        <w:rPr>
          <w:rFonts w:cs="Arial"/>
          <w:color w:val="000000"/>
        </w:rPr>
      </w:pPr>
      <w:proofErr w:type="gramStart"/>
      <w:r w:rsidRPr="009A6955">
        <w:rPr>
          <w:rFonts w:cs="Arial"/>
          <w:color w:val="000000"/>
        </w:rPr>
        <w:t>Lim, D., Sander</w:t>
      </w:r>
      <w:r w:rsidR="00EA3B8C" w:rsidRPr="009A6955">
        <w:rPr>
          <w:rFonts w:cs="Arial"/>
          <w:color w:val="000000"/>
        </w:rPr>
        <w:t>son, K., &amp; Andrews, G. (2000).</w:t>
      </w:r>
      <w:proofErr w:type="gramEnd"/>
      <w:r w:rsidR="00EA3B8C" w:rsidRPr="009A6955">
        <w:rPr>
          <w:rFonts w:cs="Arial"/>
          <w:color w:val="000000"/>
        </w:rPr>
        <w:t xml:space="preserve"> </w:t>
      </w:r>
      <w:proofErr w:type="gramStart"/>
      <w:r w:rsidRPr="009A6955">
        <w:rPr>
          <w:rFonts w:cs="Arial"/>
          <w:color w:val="000000"/>
        </w:rPr>
        <w:t>Lost productivity among full-time workers</w:t>
      </w:r>
      <w:r w:rsidR="00EA3B8C" w:rsidRPr="009A6955">
        <w:rPr>
          <w:rFonts w:cs="Arial"/>
          <w:color w:val="000000"/>
        </w:rPr>
        <w:t xml:space="preserve"> with mental disorders.</w:t>
      </w:r>
      <w:proofErr w:type="gramEnd"/>
      <w:r w:rsidRPr="009A6955">
        <w:rPr>
          <w:rFonts w:cs="Arial"/>
          <w:color w:val="000000"/>
        </w:rPr>
        <w:t xml:space="preserve"> </w:t>
      </w:r>
      <w:r w:rsidRPr="009A6955">
        <w:rPr>
          <w:rFonts w:cs="Arial"/>
          <w:i/>
          <w:color w:val="000000"/>
        </w:rPr>
        <w:t>The Journal of Mental Health Policy and Economics, 3</w:t>
      </w:r>
      <w:r w:rsidRPr="009A6955">
        <w:rPr>
          <w:rFonts w:cs="Arial"/>
          <w:color w:val="000000"/>
        </w:rPr>
        <w:t>, 139-146.</w:t>
      </w:r>
    </w:p>
    <w:p w:rsidR="000541AE" w:rsidRPr="009A6955" w:rsidRDefault="000541AE" w:rsidP="00B934B6">
      <w:pPr>
        <w:rPr>
          <w:rFonts w:cs="Arial"/>
        </w:rPr>
      </w:pPr>
      <w:proofErr w:type="gramStart"/>
      <w:r w:rsidRPr="009A6955">
        <w:rPr>
          <w:rFonts w:cs="Arial"/>
        </w:rPr>
        <w:t>Lindström, K., Elo, A. L., Skogstad, A., Dallner, M.</w:t>
      </w:r>
      <w:r w:rsidR="00EA3B8C" w:rsidRPr="009A6955">
        <w:rPr>
          <w:rFonts w:cs="Arial"/>
        </w:rPr>
        <w:t>, Gamberale, F., Hottinen, V.,</w:t>
      </w:r>
      <w:r w:rsidRPr="009A6955">
        <w:rPr>
          <w:rFonts w:cs="Arial"/>
        </w:rPr>
        <w:t xml:space="preserve"> </w:t>
      </w:r>
      <w:r w:rsidR="00EA3B8C" w:rsidRPr="009A6955">
        <w:rPr>
          <w:rFonts w:cs="Arial"/>
        </w:rPr>
        <w:t xml:space="preserve">&amp; </w:t>
      </w:r>
      <w:r w:rsidRPr="009A6955">
        <w:rPr>
          <w:rFonts w:cs="Arial"/>
        </w:rPr>
        <w:t xml:space="preserve">Ørhede, E., (2000) </w:t>
      </w:r>
      <w:r w:rsidRPr="009A6955">
        <w:rPr>
          <w:rFonts w:cs="Arial"/>
          <w:i/>
          <w:iCs/>
        </w:rPr>
        <w:t>User’s Guide for QPSNordic.</w:t>
      </w:r>
      <w:proofErr w:type="gramEnd"/>
      <w:r w:rsidRPr="009A6955">
        <w:rPr>
          <w:rFonts w:cs="Arial"/>
          <w:i/>
          <w:iCs/>
        </w:rPr>
        <w:t xml:space="preserve"> </w:t>
      </w:r>
      <w:proofErr w:type="gramStart"/>
      <w:r w:rsidRPr="009A6955">
        <w:rPr>
          <w:rFonts w:cs="Arial"/>
          <w:i/>
          <w:iCs/>
        </w:rPr>
        <w:t>General Nordic questionnaire for psychological and social factors at work.</w:t>
      </w:r>
      <w:proofErr w:type="gramEnd"/>
      <w:r w:rsidRPr="009A6955">
        <w:rPr>
          <w:rFonts w:cs="Arial"/>
        </w:rPr>
        <w:t xml:space="preserve"> Copenhagen: Nordic Council of Minister.</w:t>
      </w:r>
    </w:p>
    <w:p w:rsidR="000541AE" w:rsidRPr="009A6955" w:rsidRDefault="000541AE" w:rsidP="00B934B6">
      <w:pPr>
        <w:rPr>
          <w:rFonts w:cs="Arial"/>
        </w:rPr>
      </w:pPr>
      <w:proofErr w:type="gramStart"/>
      <w:r w:rsidRPr="009A6955">
        <w:rPr>
          <w:rFonts w:cs="Arial"/>
        </w:rPr>
        <w:t xml:space="preserve">Major, V. S., Klein, </w:t>
      </w:r>
      <w:r w:rsidR="00EA3B8C" w:rsidRPr="009A6955">
        <w:rPr>
          <w:rFonts w:cs="Arial"/>
        </w:rPr>
        <w:t>K. J., &amp; Ehrhart, M. G. (2002).</w:t>
      </w:r>
      <w:proofErr w:type="gramEnd"/>
      <w:r w:rsidRPr="009A6955">
        <w:rPr>
          <w:rFonts w:cs="Arial"/>
        </w:rPr>
        <w:t xml:space="preserve"> Work time, work interference with fami</w:t>
      </w:r>
      <w:r w:rsidR="00EA3B8C" w:rsidRPr="009A6955">
        <w:rPr>
          <w:rFonts w:cs="Arial"/>
        </w:rPr>
        <w:t>ly, and psychological distress.</w:t>
      </w:r>
      <w:r w:rsidRPr="009A6955">
        <w:rPr>
          <w:rFonts w:cs="Arial"/>
        </w:rPr>
        <w:t xml:space="preserve"> </w:t>
      </w:r>
      <w:r w:rsidRPr="009A6955">
        <w:rPr>
          <w:rFonts w:cs="Arial"/>
          <w:i/>
        </w:rPr>
        <w:t>Journal of Applied Psychology, 87</w:t>
      </w:r>
      <w:r w:rsidRPr="009A6955">
        <w:rPr>
          <w:rFonts w:cs="Arial"/>
        </w:rPr>
        <w:t>(3), 427–436.</w:t>
      </w:r>
    </w:p>
    <w:p w:rsidR="000541AE" w:rsidRPr="009A6955" w:rsidRDefault="000541AE" w:rsidP="00B934B6">
      <w:pPr>
        <w:rPr>
          <w:rFonts w:cs="Arial"/>
        </w:rPr>
      </w:pPr>
      <w:r w:rsidRPr="009A6955">
        <w:rPr>
          <w:rFonts w:cs="Arial"/>
        </w:rPr>
        <w:t xml:space="preserve">Marchand, A. (2007). Mental health in Canada: Are there any risky occupations and industries? </w:t>
      </w:r>
      <w:r w:rsidRPr="009A6955">
        <w:rPr>
          <w:rFonts w:cs="Arial"/>
          <w:i/>
          <w:iCs/>
        </w:rPr>
        <w:t>International Journal of Law and Psychiatry, 30</w:t>
      </w:r>
      <w:r w:rsidRPr="009A6955">
        <w:rPr>
          <w:rFonts w:cs="Arial"/>
        </w:rPr>
        <w:t>(4-5), 272-283.</w:t>
      </w:r>
    </w:p>
    <w:p w:rsidR="000541AE" w:rsidRPr="009A6955" w:rsidRDefault="000541AE" w:rsidP="00B934B6">
      <w:pPr>
        <w:rPr>
          <w:rFonts w:cs="Arial"/>
        </w:rPr>
      </w:pPr>
      <w:proofErr w:type="gramStart"/>
      <w:r w:rsidRPr="009A6955">
        <w:rPr>
          <w:rFonts w:cs="Arial"/>
        </w:rPr>
        <w:t>Marsh, H.W., Hau, K., &amp; Wen, Z. (2004).</w:t>
      </w:r>
      <w:proofErr w:type="gramEnd"/>
      <w:r w:rsidRPr="009A6955">
        <w:rPr>
          <w:rFonts w:cs="Arial"/>
        </w:rPr>
        <w:t xml:space="preserve"> In search of golden rules: Comment on hypothesis-testing approaches to setting cutoff values for fit inde</w:t>
      </w:r>
      <w:r w:rsidR="00F34DA3" w:rsidRPr="009A6955">
        <w:rPr>
          <w:rFonts w:cs="Arial"/>
        </w:rPr>
        <w:t>xes and dangers in overgeneralis</w:t>
      </w:r>
      <w:r w:rsidRPr="009A6955">
        <w:rPr>
          <w:rFonts w:cs="Arial"/>
        </w:rPr>
        <w:t xml:space="preserve">ing Hu and Bentler’s (1999) findings. </w:t>
      </w:r>
      <w:r w:rsidRPr="009A6955">
        <w:rPr>
          <w:rFonts w:cs="Arial"/>
          <w:i/>
        </w:rPr>
        <w:t>Structural Equation Modelling, 11</w:t>
      </w:r>
      <w:r w:rsidRPr="009A6955">
        <w:rPr>
          <w:rFonts w:cs="Arial"/>
        </w:rPr>
        <w:t>, 320-341.</w:t>
      </w:r>
    </w:p>
    <w:p w:rsidR="000541AE" w:rsidRPr="009A6955" w:rsidRDefault="000541AE" w:rsidP="00B934B6">
      <w:pPr>
        <w:rPr>
          <w:rFonts w:cs="Arial"/>
          <w:color w:val="000000"/>
        </w:rPr>
      </w:pPr>
      <w:proofErr w:type="gramStart"/>
      <w:r w:rsidRPr="009A6955">
        <w:rPr>
          <w:rFonts w:cs="Arial"/>
          <w:color w:val="000000"/>
        </w:rPr>
        <w:t>Maslach, C., Schaufeli, W. B., &amp; Leiter, M. P. (2001).</w:t>
      </w:r>
      <w:proofErr w:type="gramEnd"/>
      <w:r w:rsidRPr="009A6955">
        <w:rPr>
          <w:rFonts w:cs="Arial"/>
          <w:color w:val="000000"/>
        </w:rPr>
        <w:t xml:space="preserve"> </w:t>
      </w:r>
      <w:proofErr w:type="gramStart"/>
      <w:r w:rsidRPr="009A6955">
        <w:rPr>
          <w:rFonts w:cs="Arial"/>
          <w:color w:val="000000"/>
        </w:rPr>
        <w:t>Job burnout.</w:t>
      </w:r>
      <w:proofErr w:type="gramEnd"/>
      <w:r w:rsidRPr="009A6955">
        <w:rPr>
          <w:rFonts w:cs="Arial"/>
          <w:color w:val="000000"/>
        </w:rPr>
        <w:t xml:space="preserve"> </w:t>
      </w:r>
      <w:r w:rsidRPr="009A6955">
        <w:rPr>
          <w:rFonts w:cs="Arial"/>
          <w:i/>
          <w:color w:val="000000"/>
        </w:rPr>
        <w:t>Annual Review of Psychology, 52</w:t>
      </w:r>
      <w:r w:rsidRPr="009A6955">
        <w:rPr>
          <w:rFonts w:cs="Arial"/>
          <w:color w:val="000000"/>
        </w:rPr>
        <w:t>(1), 397</w:t>
      </w:r>
      <w:r w:rsidR="00401438" w:rsidRPr="009A6955">
        <w:rPr>
          <w:rFonts w:cs="Arial"/>
          <w:color w:val="000000"/>
        </w:rPr>
        <w:t> </w:t>
      </w:r>
      <w:r w:rsidR="007005BB" w:rsidRPr="009A6955">
        <w:rPr>
          <w:rFonts w:cs="Arial"/>
          <w:color w:val="000000"/>
        </w:rPr>
        <w:t>- </w:t>
      </w:r>
      <w:r w:rsidR="00401438" w:rsidRPr="009A6955">
        <w:rPr>
          <w:rFonts w:cs="Arial"/>
          <w:color w:val="000000"/>
        </w:rPr>
        <w:t>422.</w:t>
      </w:r>
    </w:p>
    <w:p w:rsidR="000541AE" w:rsidRPr="009A6955" w:rsidRDefault="000541AE" w:rsidP="00B934B6">
      <w:pPr>
        <w:rPr>
          <w:rFonts w:cs="Arial"/>
        </w:rPr>
      </w:pPr>
      <w:proofErr w:type="gramStart"/>
      <w:r w:rsidRPr="009A6955">
        <w:rPr>
          <w:rFonts w:cs="Arial"/>
        </w:rPr>
        <w:t>McTernan, W. P., Dollard, M. F., &amp; LaMontagne, A. D. (2012, in review).</w:t>
      </w:r>
      <w:proofErr w:type="gramEnd"/>
      <w:r w:rsidRPr="009A6955">
        <w:rPr>
          <w:rFonts w:cs="Arial"/>
        </w:rPr>
        <w:t xml:space="preserve"> Clinical and sub-clinical depression in Australian workplaces: an economic cost analysis of depression-related productivity loss attributable to job-strain and bullying. </w:t>
      </w:r>
      <w:proofErr w:type="gramStart"/>
      <w:r w:rsidRPr="009A6955">
        <w:rPr>
          <w:rFonts w:cs="Arial"/>
          <w:i/>
        </w:rPr>
        <w:t>Scandinavian Journal of Work, Environment and Health</w:t>
      </w:r>
      <w:r w:rsidRPr="009A6955">
        <w:rPr>
          <w:rFonts w:cs="Arial"/>
        </w:rPr>
        <w:t>, in review.</w:t>
      </w:r>
      <w:proofErr w:type="gramEnd"/>
    </w:p>
    <w:p w:rsidR="000541AE" w:rsidRPr="009A6955" w:rsidRDefault="000541AE" w:rsidP="00B934B6">
      <w:pPr>
        <w:rPr>
          <w:rFonts w:cs="Arial"/>
        </w:rPr>
      </w:pPr>
      <w:proofErr w:type="gramStart"/>
      <w:r w:rsidRPr="009A6955">
        <w:rPr>
          <w:rFonts w:cs="Arial"/>
          <w:bCs/>
        </w:rPr>
        <w:t>Mechakra-Tahiri, S., Zunzunegui, M. V., Préville, M., &amp; Dubé, M. (2009).</w:t>
      </w:r>
      <w:proofErr w:type="gramEnd"/>
      <w:r w:rsidRPr="009A6955">
        <w:rPr>
          <w:rFonts w:cs="Arial"/>
        </w:rPr>
        <w:t xml:space="preserve"> </w:t>
      </w:r>
      <w:proofErr w:type="gramStart"/>
      <w:r w:rsidRPr="009A6955">
        <w:rPr>
          <w:rFonts w:cs="Arial"/>
          <w:bCs/>
        </w:rPr>
        <w:t>Social relationships and depression among people 65 years and over living in rural and urban areas of Quebec.</w:t>
      </w:r>
      <w:proofErr w:type="gramEnd"/>
      <w:r w:rsidRPr="009A6955">
        <w:rPr>
          <w:rFonts w:cs="Arial"/>
          <w:bCs/>
        </w:rPr>
        <w:t xml:space="preserve"> </w:t>
      </w:r>
      <w:r w:rsidRPr="009A6955">
        <w:rPr>
          <w:rFonts w:cs="Arial"/>
          <w:bCs/>
          <w:i/>
        </w:rPr>
        <w:t>International Journal or Geriatric Psychiatry, 24</w:t>
      </w:r>
      <w:r w:rsidRPr="009A6955">
        <w:rPr>
          <w:rFonts w:cs="Arial"/>
          <w:bCs/>
        </w:rPr>
        <w:t>(11), 1226-1236.</w:t>
      </w:r>
    </w:p>
    <w:p w:rsidR="000541AE" w:rsidRPr="009A6955" w:rsidRDefault="000541AE" w:rsidP="00B934B6">
      <w:pPr>
        <w:rPr>
          <w:rFonts w:cs="Arial"/>
        </w:rPr>
      </w:pPr>
      <w:proofErr w:type="gramStart"/>
      <w:r w:rsidRPr="009A6955">
        <w:rPr>
          <w:rFonts w:cs="Arial"/>
        </w:rPr>
        <w:t>Mueller, D. P. (1981).</w:t>
      </w:r>
      <w:proofErr w:type="gramEnd"/>
      <w:r w:rsidRPr="009A6955">
        <w:rPr>
          <w:rFonts w:cs="Arial"/>
        </w:rPr>
        <w:t xml:space="preserve"> The current status of urban-rural differences in psychiatric disorder: An emerging trend for depression. </w:t>
      </w:r>
      <w:r w:rsidRPr="009A6955">
        <w:rPr>
          <w:rFonts w:cs="Arial"/>
          <w:i/>
        </w:rPr>
        <w:t>The Journal of Nervous and Mental Disease, 169</w:t>
      </w:r>
      <w:r w:rsidRPr="009A6955">
        <w:rPr>
          <w:rFonts w:cs="Arial"/>
        </w:rPr>
        <w:t>(1), 18-27.</w:t>
      </w:r>
    </w:p>
    <w:p w:rsidR="000541AE" w:rsidRPr="009A6955" w:rsidRDefault="000541AE" w:rsidP="00B934B6">
      <w:pPr>
        <w:rPr>
          <w:rFonts w:cs="Arial"/>
        </w:rPr>
      </w:pPr>
      <w:proofErr w:type="gramStart"/>
      <w:r w:rsidRPr="009A6955">
        <w:rPr>
          <w:rFonts w:cs="Arial"/>
        </w:rPr>
        <w:lastRenderedPageBreak/>
        <w:t>Mumford, D. B., Minhas, F. A., Akhtar, I., Akhter, S., &amp; Mubbashar, M. H. (2000).</w:t>
      </w:r>
      <w:proofErr w:type="gramEnd"/>
      <w:r w:rsidRPr="009A6955">
        <w:rPr>
          <w:rFonts w:cs="Arial"/>
        </w:rPr>
        <w:t xml:space="preserve"> </w:t>
      </w:r>
      <w:proofErr w:type="gramStart"/>
      <w:r w:rsidRPr="009A6955">
        <w:rPr>
          <w:rFonts w:cs="Arial"/>
        </w:rPr>
        <w:t>Stress and psychiatric disorder in urban Rawalpindi.</w:t>
      </w:r>
      <w:proofErr w:type="gramEnd"/>
      <w:r w:rsidRPr="009A6955">
        <w:rPr>
          <w:rFonts w:cs="Arial"/>
        </w:rPr>
        <w:t xml:space="preserve"> </w:t>
      </w:r>
      <w:r w:rsidRPr="009A6955">
        <w:rPr>
          <w:rFonts w:cs="Arial"/>
          <w:i/>
        </w:rPr>
        <w:t>The British Journal of Psychiatry, 177</w:t>
      </w:r>
      <w:r w:rsidRPr="009A6955">
        <w:rPr>
          <w:rFonts w:cs="Arial"/>
        </w:rPr>
        <w:t>(6), 557–562.</w:t>
      </w:r>
    </w:p>
    <w:p w:rsidR="000541AE" w:rsidRPr="009A6955" w:rsidRDefault="000541AE" w:rsidP="00B934B6">
      <w:pPr>
        <w:rPr>
          <w:rFonts w:cs="Arial"/>
        </w:rPr>
      </w:pPr>
      <w:r w:rsidRPr="009A6955">
        <w:rPr>
          <w:rFonts w:cs="Arial"/>
        </w:rPr>
        <w:t xml:space="preserve">Munir, F., Yarker, J., Haslam, C., Long, H., Leka, S., Griffiths, A., &amp; Cox, S. </w:t>
      </w:r>
      <w:r w:rsidR="00EA3B8C" w:rsidRPr="009A6955">
        <w:rPr>
          <w:rFonts w:cs="Arial"/>
        </w:rPr>
        <w:t xml:space="preserve">(2007). </w:t>
      </w:r>
      <w:r w:rsidRPr="009A6955">
        <w:rPr>
          <w:rFonts w:cs="Arial"/>
        </w:rPr>
        <w:t xml:space="preserve">Work factors related to psychological distress among employees with chronic illness. </w:t>
      </w:r>
      <w:r w:rsidRPr="009A6955">
        <w:rPr>
          <w:rFonts w:cs="Arial"/>
          <w:i/>
        </w:rPr>
        <w:t>Journal of Occupational Rehabilitation, 17</w:t>
      </w:r>
      <w:r w:rsidRPr="009A6955">
        <w:rPr>
          <w:rFonts w:cs="Arial"/>
        </w:rPr>
        <w:t>(2), 259–277</w:t>
      </w:r>
      <w:r w:rsidR="007005BB" w:rsidRPr="009A6955">
        <w:rPr>
          <w:rFonts w:cs="Arial"/>
        </w:rPr>
        <w:t>.</w:t>
      </w:r>
    </w:p>
    <w:p w:rsidR="000541AE" w:rsidRPr="009A6955" w:rsidRDefault="000541AE" w:rsidP="00B934B6">
      <w:pPr>
        <w:rPr>
          <w:rFonts w:cs="Arial"/>
        </w:rPr>
      </w:pPr>
      <w:proofErr w:type="gramStart"/>
      <w:r w:rsidRPr="009A6955">
        <w:rPr>
          <w:rFonts w:cs="Arial"/>
        </w:rPr>
        <w:t>Murphy, L. R., &amp; Sa</w:t>
      </w:r>
      <w:r w:rsidR="00F34DA3" w:rsidRPr="009A6955">
        <w:rPr>
          <w:rFonts w:cs="Arial"/>
        </w:rPr>
        <w:t>uter, S. L. (2004).</w:t>
      </w:r>
      <w:proofErr w:type="gramEnd"/>
      <w:r w:rsidR="00F34DA3" w:rsidRPr="009A6955">
        <w:rPr>
          <w:rFonts w:cs="Arial"/>
        </w:rPr>
        <w:t xml:space="preserve"> Work organis</w:t>
      </w:r>
      <w:r w:rsidRPr="009A6955">
        <w:rPr>
          <w:rFonts w:cs="Arial"/>
        </w:rPr>
        <w:t xml:space="preserve">ation interventions: Stage of knowledge and future directions. </w:t>
      </w:r>
      <w:r w:rsidRPr="009A6955">
        <w:rPr>
          <w:rFonts w:cs="Arial"/>
          <w:i/>
        </w:rPr>
        <w:t>Social &amp; Preventive Medicine, 49</w:t>
      </w:r>
      <w:r w:rsidRPr="009A6955">
        <w:rPr>
          <w:rFonts w:cs="Arial"/>
        </w:rPr>
        <w:t>, 79-86.</w:t>
      </w:r>
    </w:p>
    <w:p w:rsidR="000541AE" w:rsidRPr="009A6955" w:rsidRDefault="000541AE" w:rsidP="00B934B6">
      <w:pPr>
        <w:rPr>
          <w:rFonts w:cs="Arial"/>
        </w:rPr>
      </w:pPr>
      <w:proofErr w:type="gramStart"/>
      <w:r w:rsidRPr="009A6955">
        <w:rPr>
          <w:rFonts w:cs="Arial"/>
        </w:rPr>
        <w:t>Murray, C. J. L., &amp; Lopez, A. (1996).</w:t>
      </w:r>
      <w:proofErr w:type="gramEnd"/>
      <w:r w:rsidRPr="009A6955">
        <w:rPr>
          <w:rFonts w:cs="Arial"/>
        </w:rPr>
        <w:t xml:space="preserve"> </w:t>
      </w:r>
      <w:r w:rsidRPr="009A6955">
        <w:rPr>
          <w:rFonts w:cs="Arial"/>
          <w:i/>
        </w:rPr>
        <w:t>Global health statistics: A compendium of incidence, prevalence and mortality estimates for over 2000 conditions.</w:t>
      </w:r>
      <w:r w:rsidRPr="009A6955">
        <w:rPr>
          <w:rFonts w:cs="Arial"/>
        </w:rPr>
        <w:t xml:space="preserve"> Cambridge: Harvard School of Public Health.</w:t>
      </w:r>
    </w:p>
    <w:p w:rsidR="000541AE" w:rsidRPr="009A6955" w:rsidRDefault="000541AE" w:rsidP="00B934B6">
      <w:pPr>
        <w:rPr>
          <w:rFonts w:cs="Arial"/>
        </w:rPr>
      </w:pPr>
      <w:r w:rsidRPr="009A6955">
        <w:rPr>
          <w:rFonts w:cs="Arial"/>
        </w:rPr>
        <w:t>Nakata, A., Ikeda, T., Takahashi, M., Haratan</w:t>
      </w:r>
      <w:r w:rsidR="00EA3B8C" w:rsidRPr="009A6955">
        <w:rPr>
          <w:rFonts w:cs="Arial"/>
        </w:rPr>
        <w:t>i, T., Hojou, M., Fukioka, Y., &amp;</w:t>
      </w:r>
      <w:r w:rsidRPr="009A6955">
        <w:rPr>
          <w:rFonts w:cs="Arial"/>
        </w:rPr>
        <w:t xml:space="preserve"> Araki, S. (2006). </w:t>
      </w:r>
      <w:proofErr w:type="gramStart"/>
      <w:r w:rsidRPr="009A6955">
        <w:rPr>
          <w:rFonts w:cs="Arial"/>
        </w:rPr>
        <w:t>Impact of psychosocial job stress on non-fatal occupational injuries in small and medium-sized manufacturing enterprises</w:t>
      </w:r>
      <w:r w:rsidRPr="009A6955">
        <w:rPr>
          <w:rFonts w:cs="Arial"/>
          <w:i/>
        </w:rPr>
        <w:t>.</w:t>
      </w:r>
      <w:proofErr w:type="gramEnd"/>
      <w:r w:rsidRPr="009A6955">
        <w:rPr>
          <w:rFonts w:cs="Arial"/>
          <w:i/>
        </w:rPr>
        <w:t xml:space="preserve"> American Journal of Industrial Medicine, 49</w:t>
      </w:r>
      <w:r w:rsidRPr="009A6955">
        <w:rPr>
          <w:rFonts w:cs="Arial"/>
        </w:rPr>
        <w:t>(8), 658-669.</w:t>
      </w:r>
    </w:p>
    <w:p w:rsidR="000541AE" w:rsidRPr="009A6955" w:rsidRDefault="000541AE" w:rsidP="00B934B6">
      <w:pPr>
        <w:rPr>
          <w:rFonts w:cs="Arial"/>
        </w:rPr>
      </w:pPr>
      <w:proofErr w:type="gramStart"/>
      <w:r w:rsidRPr="009A6955">
        <w:rPr>
          <w:rFonts w:cs="Arial"/>
        </w:rPr>
        <w:t>Netemeyer, R. G., Boles, J. S., &amp; McMurrian, R. (1996).</w:t>
      </w:r>
      <w:proofErr w:type="gramEnd"/>
      <w:r w:rsidRPr="009A6955">
        <w:rPr>
          <w:rFonts w:cs="Arial"/>
        </w:rPr>
        <w:t xml:space="preserve"> </w:t>
      </w:r>
      <w:proofErr w:type="gramStart"/>
      <w:r w:rsidRPr="009A6955">
        <w:rPr>
          <w:rFonts w:cs="Arial"/>
        </w:rPr>
        <w:t>Development and validation of work–family conflict and family–work conflict scales.</w:t>
      </w:r>
      <w:proofErr w:type="gramEnd"/>
      <w:r w:rsidRPr="009A6955">
        <w:rPr>
          <w:rFonts w:cs="Arial"/>
        </w:rPr>
        <w:t xml:space="preserve"> </w:t>
      </w:r>
      <w:r w:rsidRPr="009A6955">
        <w:rPr>
          <w:rFonts w:cs="Arial"/>
          <w:i/>
        </w:rPr>
        <w:t>Journal of Applied Psychology, 81</w:t>
      </w:r>
      <w:r w:rsidRPr="009A6955">
        <w:rPr>
          <w:rFonts w:cs="Arial"/>
        </w:rPr>
        <w:t>(4), 400-410.</w:t>
      </w:r>
    </w:p>
    <w:p w:rsidR="000541AE" w:rsidRPr="009A6955" w:rsidRDefault="000541AE" w:rsidP="00B934B6">
      <w:pPr>
        <w:rPr>
          <w:rFonts w:cs="Arial"/>
          <w:iCs/>
        </w:rPr>
      </w:pPr>
      <w:r w:rsidRPr="009A6955">
        <w:rPr>
          <w:rFonts w:cs="Arial"/>
          <w:iCs/>
        </w:rPr>
        <w:t xml:space="preserve">Niedhammer, I., Goldberg, M., Leclerc, A., Bugel, I., &amp; David, S. (1998). Psychosocial factors at work and subsequent depressive symptoms in the gazel cohort. </w:t>
      </w:r>
      <w:r w:rsidRPr="009A6955">
        <w:rPr>
          <w:rFonts w:cs="Arial"/>
          <w:i/>
          <w:iCs/>
        </w:rPr>
        <w:t xml:space="preserve">Scandinavian Journal of Work, Environment and Health, 24, </w:t>
      </w:r>
      <w:r w:rsidRPr="009A6955">
        <w:rPr>
          <w:rFonts w:cs="Arial"/>
          <w:iCs/>
        </w:rPr>
        <w:t>197-205.</w:t>
      </w:r>
    </w:p>
    <w:bookmarkStart w:id="92" w:name="_ENREF_29"/>
    <w:p w:rsidR="007005BB" w:rsidRPr="009A6955" w:rsidRDefault="007B41E6" w:rsidP="00B934B6">
      <w:pPr>
        <w:rPr>
          <w:rFonts w:cs="Arial"/>
          <w:noProof/>
        </w:rPr>
      </w:pPr>
      <w:r w:rsidRPr="009A6955">
        <w:fldChar w:fldCharType="begin"/>
      </w:r>
      <w:r w:rsidR="00EA31C3">
        <w:rPr>
          <w:rFonts w:cs="Arial"/>
        </w:rPr>
        <w:instrText>HYPERLINK "http://stats.oecd.org/Index.aspx?DataSetCode=ANHRS"</w:instrText>
      </w:r>
      <w:r w:rsidRPr="009A6955">
        <w:fldChar w:fldCharType="separate"/>
      </w:r>
      <w:r w:rsidR="00EA31C3">
        <w:rPr>
          <w:rStyle w:val="Hyperlink"/>
          <w:rFonts w:cs="Arial"/>
          <w:noProof/>
          <w:szCs w:val="24"/>
        </w:rPr>
        <w:t>Organisation for Economic Co-operation and Development. (2011). Stat Extracts: Average annual hours actually worked per worker. Retrieved 10 November, 2011</w:t>
      </w:r>
      <w:r w:rsidRPr="009A6955">
        <w:rPr>
          <w:rStyle w:val="Hyperlink"/>
          <w:rFonts w:cs="Arial"/>
          <w:noProof/>
          <w:szCs w:val="24"/>
        </w:rPr>
        <w:fldChar w:fldCharType="end"/>
      </w:r>
      <w:bookmarkEnd w:id="92"/>
      <w:r w:rsidR="007005BB" w:rsidRPr="009A6955">
        <w:rPr>
          <w:rFonts w:cs="Arial"/>
          <w:noProof/>
        </w:rPr>
        <w:t>.</w:t>
      </w:r>
    </w:p>
    <w:p w:rsidR="000541AE" w:rsidRPr="009A6955" w:rsidRDefault="000541AE" w:rsidP="00B934B6">
      <w:pPr>
        <w:rPr>
          <w:rFonts w:cs="Arial"/>
        </w:rPr>
      </w:pPr>
      <w:proofErr w:type="gramStart"/>
      <w:r w:rsidRPr="009A6955">
        <w:rPr>
          <w:rFonts w:cs="Arial"/>
        </w:rPr>
        <w:t>Parikh, S., Wasylenki, D., Goering, P., &amp; Wong, J. (1996).</w:t>
      </w:r>
      <w:proofErr w:type="gramEnd"/>
      <w:r w:rsidRPr="009A6955">
        <w:rPr>
          <w:rFonts w:cs="Arial"/>
        </w:rPr>
        <w:t xml:space="preserve"> Mood disorders: Rural/urban differences i</w:t>
      </w:r>
      <w:r w:rsidR="00F34DA3" w:rsidRPr="009A6955">
        <w:rPr>
          <w:rFonts w:cs="Arial"/>
        </w:rPr>
        <w:t>n prevalence, health care utilis</w:t>
      </w:r>
      <w:r w:rsidRPr="009A6955">
        <w:rPr>
          <w:rFonts w:cs="Arial"/>
        </w:rPr>
        <w:t xml:space="preserve">ation, and disability in Ontario. </w:t>
      </w:r>
      <w:r w:rsidRPr="009A6955">
        <w:rPr>
          <w:rFonts w:cs="Arial"/>
          <w:i/>
        </w:rPr>
        <w:t>Journal of Affective Disorders, 38</w:t>
      </w:r>
      <w:r w:rsidRPr="009A6955">
        <w:rPr>
          <w:rFonts w:cs="Arial"/>
        </w:rPr>
        <w:t>(1), 57–65.</w:t>
      </w:r>
    </w:p>
    <w:p w:rsidR="000541AE" w:rsidRPr="009A6955" w:rsidRDefault="000541AE" w:rsidP="00B934B6">
      <w:pPr>
        <w:rPr>
          <w:rFonts w:eastAsia="Calibri" w:cs="Arial"/>
          <w:color w:val="000000"/>
        </w:rPr>
      </w:pPr>
      <w:r w:rsidRPr="009A6955">
        <w:rPr>
          <w:rFonts w:eastAsia="Calibri" w:cs="Arial"/>
          <w:color w:val="000000"/>
        </w:rPr>
        <w:t>Pfeffer, J. (201</w:t>
      </w:r>
      <w:r w:rsidR="00F34DA3" w:rsidRPr="009A6955">
        <w:rPr>
          <w:rFonts w:eastAsia="Calibri" w:cs="Arial"/>
          <w:color w:val="000000"/>
        </w:rPr>
        <w:t xml:space="preserve">0). </w:t>
      </w:r>
      <w:proofErr w:type="gramStart"/>
      <w:r w:rsidR="00F34DA3" w:rsidRPr="009A6955">
        <w:rPr>
          <w:rFonts w:eastAsia="Calibri" w:cs="Arial"/>
          <w:color w:val="000000"/>
        </w:rPr>
        <w:t>Building sustainable organis</w:t>
      </w:r>
      <w:r w:rsidRPr="009A6955">
        <w:rPr>
          <w:rFonts w:eastAsia="Calibri" w:cs="Arial"/>
          <w:color w:val="000000"/>
        </w:rPr>
        <w:t>ations: The human factor.</w:t>
      </w:r>
      <w:proofErr w:type="gramEnd"/>
      <w:r w:rsidRPr="009A6955">
        <w:rPr>
          <w:rFonts w:eastAsia="Calibri" w:cs="Arial"/>
          <w:color w:val="000000"/>
        </w:rPr>
        <w:t xml:space="preserve"> </w:t>
      </w:r>
      <w:r w:rsidRPr="009A6955">
        <w:rPr>
          <w:rFonts w:eastAsia="Calibri" w:cs="Arial"/>
          <w:i/>
          <w:iCs/>
          <w:color w:val="000000"/>
        </w:rPr>
        <w:t xml:space="preserve">The Academy of Management Perspectives, </w:t>
      </w:r>
      <w:r w:rsidRPr="009A6955">
        <w:rPr>
          <w:rFonts w:eastAsia="Calibri" w:cs="Arial"/>
          <w:i/>
          <w:color w:val="000000"/>
        </w:rPr>
        <w:t>24,</w:t>
      </w:r>
      <w:r w:rsidR="00DA2B94">
        <w:rPr>
          <w:rFonts w:eastAsia="Calibri" w:cs="Arial"/>
          <w:color w:val="000000"/>
        </w:rPr>
        <w:t xml:space="preserve"> 34-45.</w:t>
      </w:r>
    </w:p>
    <w:p w:rsidR="000541AE" w:rsidRPr="009A6955" w:rsidRDefault="000541AE" w:rsidP="00B934B6">
      <w:pPr>
        <w:rPr>
          <w:rFonts w:cs="Arial"/>
        </w:rPr>
      </w:pPr>
      <w:proofErr w:type="gramStart"/>
      <w:r w:rsidRPr="009A6955">
        <w:rPr>
          <w:rFonts w:cs="Arial"/>
        </w:rPr>
        <w:t>Probst, J. C., Laditka, S. B., Moore, C. G., Harun, N., Powell, M. P., &amp; Baxley, E. G. (2006).</w:t>
      </w:r>
      <w:proofErr w:type="gramEnd"/>
      <w:r w:rsidRPr="009A6955">
        <w:rPr>
          <w:rFonts w:cs="Arial"/>
        </w:rPr>
        <w:t xml:space="preserve"> Rural-urban differences in depression prevalence: Implications for family medicine. </w:t>
      </w:r>
      <w:r w:rsidRPr="009A6955">
        <w:rPr>
          <w:rFonts w:cs="Arial"/>
          <w:i/>
        </w:rPr>
        <w:t>Family Medicine, 38</w:t>
      </w:r>
      <w:r w:rsidRPr="009A6955">
        <w:rPr>
          <w:rFonts w:cs="Arial"/>
        </w:rPr>
        <w:t>(9), 653–660.</w:t>
      </w:r>
    </w:p>
    <w:p w:rsidR="000541AE" w:rsidRPr="009A6955" w:rsidRDefault="000541AE" w:rsidP="00B934B6">
      <w:pPr>
        <w:rPr>
          <w:rFonts w:cs="Arial"/>
        </w:rPr>
      </w:pPr>
      <w:proofErr w:type="gramStart"/>
      <w:r w:rsidRPr="009A6955">
        <w:rPr>
          <w:rFonts w:cs="Arial"/>
        </w:rPr>
        <w:t>Purvanova, R. K., &amp; Muros, J. P. (2010).</w:t>
      </w:r>
      <w:proofErr w:type="gramEnd"/>
      <w:r w:rsidRPr="009A6955">
        <w:rPr>
          <w:rFonts w:cs="Arial"/>
        </w:rPr>
        <w:t xml:space="preserve"> Gender differences in burnout: A meta-analysis. </w:t>
      </w:r>
      <w:r w:rsidRPr="009A6955">
        <w:rPr>
          <w:rFonts w:cs="Arial"/>
          <w:i/>
          <w:iCs/>
        </w:rPr>
        <w:t>Journal of Vocational Behaviour, 77</w:t>
      </w:r>
      <w:r w:rsidRPr="009A6955">
        <w:rPr>
          <w:rFonts w:cs="Arial"/>
        </w:rPr>
        <w:t>, 168-185.</w:t>
      </w:r>
    </w:p>
    <w:p w:rsidR="000541AE" w:rsidRPr="009A6955" w:rsidRDefault="000541AE" w:rsidP="00B934B6">
      <w:pPr>
        <w:rPr>
          <w:rFonts w:eastAsia="Calibri" w:cs="Arial"/>
          <w:color w:val="000000"/>
        </w:rPr>
      </w:pPr>
      <w:proofErr w:type="gramStart"/>
      <w:r w:rsidRPr="009A6955">
        <w:rPr>
          <w:rFonts w:eastAsia="Calibri" w:cs="Arial"/>
          <w:color w:val="000000"/>
        </w:rPr>
        <w:t>Reason, J. T. (1997).</w:t>
      </w:r>
      <w:proofErr w:type="gramEnd"/>
      <w:r w:rsidRPr="009A6955">
        <w:rPr>
          <w:rFonts w:eastAsia="Calibri" w:cs="Arial"/>
          <w:color w:val="000000"/>
        </w:rPr>
        <w:t xml:space="preserve"> </w:t>
      </w:r>
      <w:proofErr w:type="gramStart"/>
      <w:r w:rsidR="00F34DA3" w:rsidRPr="009A6955">
        <w:rPr>
          <w:rFonts w:eastAsia="Calibri" w:cs="Arial"/>
          <w:i/>
          <w:color w:val="000000"/>
        </w:rPr>
        <w:t>Managing the risks of organis</w:t>
      </w:r>
      <w:r w:rsidRPr="009A6955">
        <w:rPr>
          <w:rFonts w:eastAsia="Calibri" w:cs="Arial"/>
          <w:i/>
          <w:color w:val="000000"/>
        </w:rPr>
        <w:t>ational accidents.</w:t>
      </w:r>
      <w:proofErr w:type="gramEnd"/>
      <w:r w:rsidRPr="009A6955">
        <w:rPr>
          <w:rFonts w:eastAsia="Calibri" w:cs="Arial"/>
          <w:color w:val="000000"/>
        </w:rPr>
        <w:t xml:space="preserve"> Aldershot, U.K.: Ashgate.</w:t>
      </w:r>
    </w:p>
    <w:p w:rsidR="000541AE" w:rsidRPr="009A6955" w:rsidRDefault="000541AE" w:rsidP="00B934B6">
      <w:pPr>
        <w:rPr>
          <w:rFonts w:eastAsia="Calibri" w:cs="Arial"/>
          <w:color w:val="000000"/>
        </w:rPr>
      </w:pPr>
      <w:proofErr w:type="gramStart"/>
      <w:r w:rsidRPr="009A6955">
        <w:rPr>
          <w:rFonts w:eastAsia="Calibri" w:cs="Arial"/>
          <w:color w:val="000000"/>
        </w:rPr>
        <w:t>Reichers, A. E., &amp; Schneider, B. (1990).</w:t>
      </w:r>
      <w:proofErr w:type="gramEnd"/>
      <w:r w:rsidRPr="009A6955">
        <w:rPr>
          <w:rFonts w:eastAsia="Calibri" w:cs="Arial"/>
          <w:color w:val="000000"/>
        </w:rPr>
        <w:t xml:space="preserve"> Climate and culture: An evolution of constructs. </w:t>
      </w:r>
      <w:proofErr w:type="gramStart"/>
      <w:r w:rsidRPr="009A6955">
        <w:rPr>
          <w:rFonts w:eastAsia="Calibri" w:cs="Arial"/>
          <w:color w:val="000000"/>
        </w:rPr>
        <w:t xml:space="preserve">In Schneider B. (Ed.), </w:t>
      </w:r>
      <w:r w:rsidRPr="009A6955">
        <w:rPr>
          <w:rFonts w:eastAsia="Calibri" w:cs="Arial"/>
          <w:i/>
          <w:iCs/>
          <w:color w:val="000000"/>
        </w:rPr>
        <w:t>Organizational Climate and Culture</w:t>
      </w:r>
      <w:r w:rsidRPr="009A6955">
        <w:rPr>
          <w:rFonts w:eastAsia="Calibri" w:cs="Arial"/>
          <w:color w:val="000000"/>
        </w:rPr>
        <w:t xml:space="preserve"> (pp. 5-39).</w:t>
      </w:r>
      <w:proofErr w:type="gramEnd"/>
      <w:r w:rsidRPr="009A6955">
        <w:rPr>
          <w:rFonts w:eastAsia="Calibri" w:cs="Arial"/>
          <w:color w:val="000000"/>
        </w:rPr>
        <w:t xml:space="preserve"> San Fransico: Jossey-Bass.</w:t>
      </w:r>
    </w:p>
    <w:p w:rsidR="000541AE" w:rsidRPr="00DA2B94" w:rsidRDefault="000541AE" w:rsidP="00B934B6">
      <w:pPr>
        <w:rPr>
          <w:rFonts w:cs="Arial"/>
          <w:color w:val="auto"/>
          <w:lang w:val="en-CA"/>
        </w:rPr>
      </w:pPr>
      <w:proofErr w:type="gramStart"/>
      <w:r w:rsidRPr="009A6955">
        <w:rPr>
          <w:rFonts w:cs="Arial"/>
        </w:rPr>
        <w:t>Richman, J. A., Flaherty, J. A., &amp; Rospenda, K. M. (1996).</w:t>
      </w:r>
      <w:proofErr w:type="gramEnd"/>
      <w:r w:rsidRPr="009A6955">
        <w:rPr>
          <w:rFonts w:cs="Arial"/>
        </w:rPr>
        <w:t xml:space="preserve"> Perceived workplace harassment experiences and problem drinking among problem drinking physicians: Broadening the stress/alienation paradigm. </w:t>
      </w:r>
      <w:r w:rsidRPr="009A6955">
        <w:rPr>
          <w:rFonts w:cs="Arial"/>
          <w:i/>
          <w:iCs/>
        </w:rPr>
        <w:t>Addiction, 91</w:t>
      </w:r>
      <w:r w:rsidRPr="009A6955">
        <w:rPr>
          <w:rFonts w:cs="Arial"/>
          <w:iCs/>
        </w:rPr>
        <w:t>(3)</w:t>
      </w:r>
      <w:r w:rsidRPr="009A6955">
        <w:rPr>
          <w:rFonts w:cs="Arial"/>
        </w:rPr>
        <w:t>, 391-403.</w:t>
      </w:r>
    </w:p>
    <w:p w:rsidR="000541AE" w:rsidRPr="009A6955" w:rsidRDefault="000541AE" w:rsidP="00B934B6">
      <w:pPr>
        <w:rPr>
          <w:rFonts w:cs="Arial"/>
          <w:lang w:val="en-CA"/>
        </w:rPr>
      </w:pPr>
      <w:proofErr w:type="gramStart"/>
      <w:r w:rsidRPr="009A6955">
        <w:rPr>
          <w:rFonts w:cs="Arial"/>
          <w:lang w:val="en-CA"/>
        </w:rPr>
        <w:lastRenderedPageBreak/>
        <w:t xml:space="preserve">Rush, A. J., Trivedi, M. H., Ibrahim, H. M., Carmody, </w:t>
      </w:r>
      <w:r w:rsidR="00EA3B8C" w:rsidRPr="009A6955">
        <w:rPr>
          <w:rFonts w:cs="Arial"/>
          <w:lang w:val="en-CA"/>
        </w:rPr>
        <w:t>T. J., Arnow, B., Klein, D. N., &amp;</w:t>
      </w:r>
      <w:r w:rsidRPr="009A6955">
        <w:rPr>
          <w:rFonts w:cs="Arial"/>
          <w:lang w:val="en-CA"/>
        </w:rPr>
        <w:t xml:space="preserve"> Keller, M. B. (2003).</w:t>
      </w:r>
      <w:proofErr w:type="gramEnd"/>
      <w:r w:rsidRPr="009A6955">
        <w:rPr>
          <w:rFonts w:cs="Arial"/>
          <w:lang w:val="en-CA"/>
        </w:rPr>
        <w:t xml:space="preserve"> </w:t>
      </w:r>
      <w:r w:rsidRPr="009A6955">
        <w:rPr>
          <w:rFonts w:cs="Arial"/>
          <w:bCs/>
        </w:rPr>
        <w:t xml:space="preserve">The 16-Item quick inventory of depressive symptomatology (QIDS), clinician rating (QIDS-C), and self-report (QIDS-SR): A psychometric evaluation in patients with chronic major depression. </w:t>
      </w:r>
      <w:r w:rsidRPr="009A6955">
        <w:rPr>
          <w:rFonts w:cs="Arial"/>
          <w:bCs/>
          <w:i/>
        </w:rPr>
        <w:t>Biological Psychiatry, 54</w:t>
      </w:r>
      <w:r w:rsidRPr="009A6955">
        <w:rPr>
          <w:rFonts w:cs="Arial"/>
          <w:bCs/>
        </w:rPr>
        <w:t>(5), 573-583.</w:t>
      </w:r>
    </w:p>
    <w:p w:rsidR="007005BB" w:rsidRPr="009A6955" w:rsidRDefault="006409D1" w:rsidP="00B934B6">
      <w:pPr>
        <w:rPr>
          <w:rFonts w:cs="Arial"/>
        </w:rPr>
      </w:pPr>
      <w:hyperlink r:id="rId41" w:history="1">
        <w:proofErr w:type="gramStart"/>
        <w:r w:rsidR="00EA31C3">
          <w:rPr>
            <w:rStyle w:val="Hyperlink"/>
            <w:rFonts w:cs="Arial"/>
          </w:rPr>
          <w:t>Safe Work Australia.</w:t>
        </w:r>
        <w:proofErr w:type="gramEnd"/>
        <w:r w:rsidR="00EA31C3">
          <w:rPr>
            <w:rStyle w:val="Hyperlink"/>
            <w:rFonts w:cs="Arial"/>
          </w:rPr>
          <w:t xml:space="preserve"> (2012). Compendium of Workers’ Compensation Statistics 2009-10, February 2011. </w:t>
        </w:r>
        <w:proofErr w:type="gramStart"/>
        <w:r w:rsidR="00EA31C3">
          <w:rPr>
            <w:rStyle w:val="Hyperlink"/>
            <w:rFonts w:cs="Arial"/>
          </w:rPr>
          <w:t>Retrieved April 1, 2012</w:t>
        </w:r>
      </w:hyperlink>
      <w:r w:rsidR="007005BB" w:rsidRPr="009A6955">
        <w:rPr>
          <w:rFonts w:cs="Arial"/>
        </w:rPr>
        <w:t>.</w:t>
      </w:r>
      <w:proofErr w:type="gramEnd"/>
    </w:p>
    <w:p w:rsidR="007005BB" w:rsidRPr="009A6955" w:rsidRDefault="00EA31C3" w:rsidP="00B934B6">
      <w:pPr>
        <w:rPr>
          <w:rFonts w:cs="Arial"/>
        </w:rPr>
      </w:pPr>
      <w:proofErr w:type="gramStart"/>
      <w:r w:rsidRPr="002B5830">
        <w:rPr>
          <w:rFonts w:cs="Arial"/>
          <w:szCs w:val="22"/>
        </w:rPr>
        <w:t>Safe Work Australia.</w:t>
      </w:r>
      <w:proofErr w:type="gramEnd"/>
      <w:r w:rsidRPr="002B5830">
        <w:rPr>
          <w:rFonts w:cs="Arial"/>
          <w:szCs w:val="22"/>
        </w:rPr>
        <w:t xml:space="preserve"> </w:t>
      </w:r>
      <w:proofErr w:type="gramStart"/>
      <w:r w:rsidRPr="002B5830">
        <w:rPr>
          <w:rFonts w:cs="Arial"/>
          <w:szCs w:val="22"/>
        </w:rPr>
        <w:t>(2011). Transport and storage.</w:t>
      </w:r>
      <w:proofErr w:type="gramEnd"/>
      <w:r w:rsidRPr="002B5830">
        <w:rPr>
          <w:rFonts w:cs="Arial"/>
          <w:szCs w:val="22"/>
        </w:rPr>
        <w:t xml:space="preserve"> </w:t>
      </w:r>
      <w:proofErr w:type="gramStart"/>
      <w:r w:rsidRPr="002B5830">
        <w:rPr>
          <w:rFonts w:cs="Arial"/>
          <w:szCs w:val="22"/>
        </w:rPr>
        <w:t xml:space="preserve">Retrieved May </w:t>
      </w:r>
      <w:r w:rsidR="002B5830">
        <w:rPr>
          <w:rFonts w:cs="Arial"/>
          <w:szCs w:val="22"/>
        </w:rPr>
        <w:t>2, 2012.</w:t>
      </w:r>
      <w:proofErr w:type="gramEnd"/>
    </w:p>
    <w:p w:rsidR="000541AE" w:rsidRPr="009A6955" w:rsidRDefault="000541AE" w:rsidP="00B934B6">
      <w:pPr>
        <w:rPr>
          <w:rFonts w:eastAsia="Calibri" w:cs="Arial"/>
          <w:color w:val="000000"/>
        </w:rPr>
      </w:pPr>
      <w:r w:rsidRPr="009A6955">
        <w:rPr>
          <w:rFonts w:eastAsia="Calibri" w:cs="Arial"/>
          <w:color w:val="000000"/>
        </w:rPr>
        <w:t xml:space="preserve">Sauter, S. L., Brightwell, W. S., Colligan, M. J., Hurrell, J. J. Jr., </w:t>
      </w:r>
      <w:r w:rsidR="00EA3B8C" w:rsidRPr="009A6955">
        <w:rPr>
          <w:rFonts w:eastAsia="Calibri" w:cs="Arial"/>
          <w:color w:val="000000"/>
        </w:rPr>
        <w:t>Katz, T. M., LeGrande, D. E., &amp;</w:t>
      </w:r>
      <w:r w:rsidRPr="009A6955">
        <w:rPr>
          <w:rFonts w:eastAsia="Calibri" w:cs="Arial"/>
          <w:color w:val="000000"/>
        </w:rPr>
        <w:t xml:space="preserve"> Tetrick, L. E. (2002). </w:t>
      </w:r>
      <w:proofErr w:type="gramStart"/>
      <w:r w:rsidR="00F34DA3" w:rsidRPr="009A6955">
        <w:rPr>
          <w:rFonts w:eastAsia="Calibri" w:cs="Arial"/>
          <w:i/>
          <w:color w:val="000000"/>
        </w:rPr>
        <w:t>The changing organis</w:t>
      </w:r>
      <w:r w:rsidRPr="009A6955">
        <w:rPr>
          <w:rFonts w:eastAsia="Calibri" w:cs="Arial"/>
          <w:i/>
          <w:color w:val="000000"/>
        </w:rPr>
        <w:t>ation of work and the safety and health of working people.</w:t>
      </w:r>
      <w:proofErr w:type="gramEnd"/>
      <w:r w:rsidRPr="009A6955">
        <w:rPr>
          <w:rFonts w:eastAsia="Calibri" w:cs="Arial"/>
          <w:color w:val="000000"/>
        </w:rPr>
        <w:t xml:space="preserve"> Cincinnati, USA: The National Institute for Occupational Safety and Health (NIOSH).</w:t>
      </w:r>
    </w:p>
    <w:p w:rsidR="000541AE" w:rsidRPr="009A6955" w:rsidRDefault="000541AE" w:rsidP="00B934B6">
      <w:pPr>
        <w:rPr>
          <w:rFonts w:eastAsia="Calibri" w:cs="Arial"/>
          <w:color w:val="000000"/>
        </w:rPr>
      </w:pPr>
      <w:proofErr w:type="gramStart"/>
      <w:r w:rsidRPr="009A6955">
        <w:rPr>
          <w:rFonts w:eastAsia="Calibri" w:cs="Arial"/>
          <w:color w:val="000000"/>
        </w:rPr>
        <w:t>Schaufeli, W. B., &amp; Bakker, A. B. (2004).</w:t>
      </w:r>
      <w:proofErr w:type="gramEnd"/>
      <w:r w:rsidRPr="009A6955">
        <w:rPr>
          <w:rFonts w:eastAsia="Calibri" w:cs="Arial"/>
          <w:color w:val="000000"/>
        </w:rPr>
        <w:t xml:space="preserve"> Job demands, job resources, and their relationship with burnout and engagement: A multi-sample study. </w:t>
      </w:r>
      <w:r w:rsidRPr="009A6955">
        <w:rPr>
          <w:rFonts w:eastAsia="Calibri" w:cs="Arial"/>
          <w:i/>
          <w:iCs/>
          <w:color w:val="000000"/>
        </w:rPr>
        <w:t>Journal of Organizational Behavior</w:t>
      </w:r>
      <w:r w:rsidRPr="009A6955">
        <w:rPr>
          <w:rFonts w:eastAsia="Calibri" w:cs="Arial"/>
          <w:color w:val="000000"/>
        </w:rPr>
        <w:t xml:space="preserve">, </w:t>
      </w:r>
      <w:r w:rsidRPr="009A6955">
        <w:rPr>
          <w:rFonts w:eastAsia="Calibri" w:cs="Arial"/>
          <w:i/>
          <w:iCs/>
          <w:color w:val="000000"/>
        </w:rPr>
        <w:t>25</w:t>
      </w:r>
      <w:r w:rsidR="00DA2B94">
        <w:rPr>
          <w:rFonts w:eastAsia="Calibri" w:cs="Arial"/>
          <w:color w:val="000000"/>
        </w:rPr>
        <w:t>, 293-315.</w:t>
      </w:r>
    </w:p>
    <w:p w:rsidR="000541AE" w:rsidRPr="009A6955" w:rsidRDefault="000541AE" w:rsidP="00B934B6">
      <w:pPr>
        <w:rPr>
          <w:rFonts w:cs="Arial"/>
        </w:rPr>
      </w:pPr>
      <w:proofErr w:type="gramStart"/>
      <w:r w:rsidRPr="009A6955">
        <w:rPr>
          <w:rFonts w:cs="Arial"/>
        </w:rPr>
        <w:t>Schaufeli, W. B., Bakker, A. B., &amp; Salanova, M. (2006).</w:t>
      </w:r>
      <w:proofErr w:type="gramEnd"/>
      <w:r w:rsidRPr="009A6955">
        <w:rPr>
          <w:rFonts w:cs="Arial"/>
        </w:rPr>
        <w:t xml:space="preserve"> The measurement of work engagement with a brief questionnaire: A cross-national study. </w:t>
      </w:r>
      <w:r w:rsidRPr="009A6955">
        <w:rPr>
          <w:rFonts w:cs="Arial"/>
          <w:i/>
        </w:rPr>
        <w:t>Educational and Psychological Measurement, 66,</w:t>
      </w:r>
      <w:r w:rsidRPr="009A6955">
        <w:rPr>
          <w:rFonts w:cs="Arial"/>
        </w:rPr>
        <w:t xml:space="preserve"> 701-716.</w:t>
      </w:r>
    </w:p>
    <w:p w:rsidR="000541AE" w:rsidRPr="00DA2B94" w:rsidRDefault="000541AE" w:rsidP="00B934B6">
      <w:pPr>
        <w:rPr>
          <w:rFonts w:cs="Arial"/>
          <w:color w:val="auto"/>
          <w:lang w:val="en-CA"/>
        </w:rPr>
      </w:pPr>
      <w:proofErr w:type="gramStart"/>
      <w:r w:rsidRPr="009A6955">
        <w:rPr>
          <w:rFonts w:cs="Arial"/>
        </w:rPr>
        <w:t>Schaufeli, W. B., Leiter, M. P., Maslach, C., &amp; Jackson, S. E. (1996).</w:t>
      </w:r>
      <w:proofErr w:type="gramEnd"/>
      <w:r w:rsidRPr="009A6955">
        <w:rPr>
          <w:rFonts w:cs="Arial"/>
        </w:rPr>
        <w:t xml:space="preserve"> </w:t>
      </w:r>
      <w:proofErr w:type="gramStart"/>
      <w:r w:rsidRPr="009A6955">
        <w:rPr>
          <w:rFonts w:cs="Arial"/>
        </w:rPr>
        <w:t>The Maslach Burnout Inventory-General Survey.</w:t>
      </w:r>
      <w:proofErr w:type="gramEnd"/>
      <w:r w:rsidRPr="009A6955">
        <w:rPr>
          <w:rFonts w:cs="Arial"/>
        </w:rPr>
        <w:t xml:space="preserve"> In C. Maslach, S. E. Jackson, &amp; M. P. Leiter (Eds.), </w:t>
      </w:r>
      <w:r w:rsidRPr="009A6955">
        <w:rPr>
          <w:rFonts w:cs="Arial"/>
          <w:i/>
          <w:iCs/>
        </w:rPr>
        <w:t>Maslach Burnout Inventory</w:t>
      </w:r>
      <w:r w:rsidRPr="009A6955">
        <w:rPr>
          <w:rFonts w:cs="Arial"/>
        </w:rPr>
        <w:t>. Palo Alto, CA: Consulting Psychologists Press.</w:t>
      </w:r>
    </w:p>
    <w:p w:rsidR="000541AE" w:rsidRPr="009A6955" w:rsidRDefault="000541AE" w:rsidP="00B934B6">
      <w:pPr>
        <w:rPr>
          <w:rFonts w:cs="Arial"/>
        </w:rPr>
      </w:pPr>
      <w:proofErr w:type="gramStart"/>
      <w:r w:rsidRPr="009A6955">
        <w:rPr>
          <w:rFonts w:cs="Arial"/>
        </w:rPr>
        <w:t>Schermelleh-Engel, K., Moosbrugger, H., &amp; Muller, H. (2003).</w:t>
      </w:r>
      <w:proofErr w:type="gramEnd"/>
      <w:r w:rsidRPr="009A6955">
        <w:rPr>
          <w:rFonts w:cs="Arial"/>
        </w:rPr>
        <w:t xml:space="preserve"> </w:t>
      </w:r>
      <w:proofErr w:type="gramStart"/>
      <w:r w:rsidRPr="009A6955">
        <w:rPr>
          <w:rFonts w:cs="Arial"/>
        </w:rPr>
        <w:t>Evaluating the fit of structural equation models: Tests of significance and descriptive goodness-of-fit measures.</w:t>
      </w:r>
      <w:proofErr w:type="gramEnd"/>
      <w:r w:rsidRPr="009A6955">
        <w:rPr>
          <w:rFonts w:cs="Arial"/>
        </w:rPr>
        <w:t xml:space="preserve"> </w:t>
      </w:r>
      <w:r w:rsidRPr="009A6955">
        <w:rPr>
          <w:rFonts w:cs="Arial"/>
          <w:i/>
          <w:iCs/>
        </w:rPr>
        <w:t>Methods of Psychological Research Online, 8</w:t>
      </w:r>
      <w:r w:rsidRPr="009A6955">
        <w:rPr>
          <w:rFonts w:cs="Arial"/>
          <w:i/>
        </w:rPr>
        <w:t>,</w:t>
      </w:r>
      <w:r w:rsidRPr="009A6955">
        <w:rPr>
          <w:rFonts w:cs="Arial"/>
        </w:rPr>
        <w:t xml:space="preserve"> 23-74.</w:t>
      </w:r>
    </w:p>
    <w:p w:rsidR="000541AE" w:rsidRPr="009A6955" w:rsidRDefault="000541AE" w:rsidP="00B934B6">
      <w:pPr>
        <w:rPr>
          <w:rFonts w:eastAsia="Calibri" w:cs="Arial"/>
          <w:color w:val="000000"/>
        </w:rPr>
      </w:pPr>
      <w:r w:rsidRPr="009A6955">
        <w:rPr>
          <w:rFonts w:eastAsia="Calibri" w:cs="Arial"/>
          <w:color w:val="000000"/>
        </w:rPr>
        <w:t xml:space="preserve">Schneider, B. (2000). </w:t>
      </w:r>
      <w:proofErr w:type="gramStart"/>
      <w:r w:rsidRPr="009A6955">
        <w:rPr>
          <w:rFonts w:eastAsia="Calibri" w:cs="Arial"/>
          <w:color w:val="000000"/>
        </w:rPr>
        <w:t>T</w:t>
      </w:r>
      <w:r w:rsidR="00F34DA3" w:rsidRPr="009A6955">
        <w:rPr>
          <w:rFonts w:eastAsia="Calibri" w:cs="Arial"/>
          <w:color w:val="000000"/>
        </w:rPr>
        <w:t>he psychological life of organis</w:t>
      </w:r>
      <w:r w:rsidRPr="009A6955">
        <w:rPr>
          <w:rFonts w:eastAsia="Calibri" w:cs="Arial"/>
          <w:color w:val="000000"/>
        </w:rPr>
        <w:t>ations.</w:t>
      </w:r>
      <w:proofErr w:type="gramEnd"/>
      <w:r w:rsidRPr="009A6955">
        <w:rPr>
          <w:rFonts w:eastAsia="Calibri" w:cs="Arial"/>
          <w:color w:val="000000"/>
        </w:rPr>
        <w:t xml:space="preserve"> In N. M. Ashkanasy, C. Wilderom, &amp; M. F. Peterson (Eds.), </w:t>
      </w:r>
      <w:r w:rsidRPr="009A6955">
        <w:rPr>
          <w:rFonts w:eastAsia="Calibri" w:cs="Arial"/>
          <w:i/>
          <w:color w:val="000000"/>
        </w:rPr>
        <w:t>Handbook of organizational culture and climate</w:t>
      </w:r>
      <w:r w:rsidRPr="009A6955">
        <w:rPr>
          <w:rFonts w:eastAsia="Calibri" w:cs="Arial"/>
          <w:color w:val="000000"/>
        </w:rPr>
        <w:t xml:space="preserve"> (pp. xvii-xxx). Thousand Oaks, CA: Sage.</w:t>
      </w:r>
    </w:p>
    <w:p w:rsidR="000541AE" w:rsidRPr="009A6955" w:rsidRDefault="000541AE" w:rsidP="00B934B6">
      <w:pPr>
        <w:rPr>
          <w:rFonts w:cs="Arial"/>
        </w:rPr>
      </w:pPr>
      <w:proofErr w:type="gramStart"/>
      <w:r w:rsidRPr="009A6955">
        <w:rPr>
          <w:rFonts w:cs="Arial"/>
        </w:rPr>
        <w:t>Sears, S. F., Urizar, G. G., &amp; Evans, G. D. (2000).</w:t>
      </w:r>
      <w:proofErr w:type="gramEnd"/>
      <w:r w:rsidRPr="009A6955">
        <w:rPr>
          <w:rFonts w:cs="Arial"/>
        </w:rPr>
        <w:t xml:space="preserve"> </w:t>
      </w:r>
      <w:proofErr w:type="gramStart"/>
      <w:r w:rsidRPr="009A6955">
        <w:rPr>
          <w:rFonts w:cs="Arial"/>
        </w:rPr>
        <w:t>Examining a stress-coping model of burnout and depression in extension agents.</w:t>
      </w:r>
      <w:proofErr w:type="gramEnd"/>
      <w:r w:rsidRPr="009A6955">
        <w:rPr>
          <w:rFonts w:cs="Arial"/>
        </w:rPr>
        <w:t xml:space="preserve"> </w:t>
      </w:r>
      <w:r w:rsidRPr="009A6955">
        <w:rPr>
          <w:rFonts w:cs="Arial"/>
          <w:i/>
        </w:rPr>
        <w:t>Journal of Occupational Health Psychology, 5</w:t>
      </w:r>
      <w:r w:rsidRPr="009A6955">
        <w:rPr>
          <w:rFonts w:cs="Arial"/>
        </w:rPr>
        <w:t>(1), 56–62.</w:t>
      </w:r>
    </w:p>
    <w:p w:rsidR="000541AE" w:rsidRPr="009A6955" w:rsidRDefault="000541AE" w:rsidP="00B934B6">
      <w:pPr>
        <w:rPr>
          <w:rFonts w:cs="Arial"/>
        </w:rPr>
      </w:pPr>
      <w:proofErr w:type="gramStart"/>
      <w:r w:rsidRPr="009A6955">
        <w:rPr>
          <w:rFonts w:cs="Arial"/>
        </w:rPr>
        <w:t>Shultz, K. S., Wang, M., Crimmins, E. M., &amp; Fisher, G. G. (2010).</w:t>
      </w:r>
      <w:proofErr w:type="gramEnd"/>
      <w:r w:rsidRPr="009A6955">
        <w:rPr>
          <w:rFonts w:cs="Arial"/>
        </w:rPr>
        <w:t xml:space="preserve"> Age differences in the demand-control model of work stress: An examination of data from 15 European countries. </w:t>
      </w:r>
      <w:r w:rsidRPr="009A6955">
        <w:rPr>
          <w:rFonts w:cs="Arial"/>
          <w:i/>
          <w:iCs/>
        </w:rPr>
        <w:t>Journal of Applied Gerontology, 29</w:t>
      </w:r>
      <w:r w:rsidRPr="009A6955">
        <w:rPr>
          <w:rFonts w:cs="Arial"/>
        </w:rPr>
        <w:t>(1), 21-71.</w:t>
      </w:r>
    </w:p>
    <w:p w:rsidR="000541AE" w:rsidRPr="009A6955" w:rsidRDefault="000541AE" w:rsidP="00B934B6">
      <w:pPr>
        <w:rPr>
          <w:rFonts w:cs="Arial"/>
        </w:rPr>
      </w:pPr>
      <w:r w:rsidRPr="009A6955">
        <w:rPr>
          <w:rFonts w:cs="Arial"/>
          <w:lang w:val="en-CA"/>
        </w:rPr>
        <w:t xml:space="preserve">Siegrist, J. (1996). </w:t>
      </w:r>
      <w:r w:rsidRPr="009A6955">
        <w:rPr>
          <w:rFonts w:cs="Arial"/>
          <w:bCs/>
        </w:rPr>
        <w:t xml:space="preserve">Adverse health effects of high-effort/low-reward conditions. </w:t>
      </w:r>
      <w:r w:rsidRPr="009A6955">
        <w:rPr>
          <w:rFonts w:cs="Arial"/>
          <w:bCs/>
          <w:i/>
        </w:rPr>
        <w:t>Journal of Occupational Health Psychology, 1</w:t>
      </w:r>
      <w:r w:rsidRPr="009A6955">
        <w:rPr>
          <w:rFonts w:cs="Arial"/>
          <w:bCs/>
        </w:rPr>
        <w:t>(1), 27-41.</w:t>
      </w:r>
    </w:p>
    <w:p w:rsidR="000541AE" w:rsidRPr="009A6955" w:rsidRDefault="000541AE" w:rsidP="00B934B6">
      <w:pPr>
        <w:rPr>
          <w:rFonts w:cs="Arial"/>
        </w:rPr>
      </w:pPr>
      <w:r w:rsidRPr="009A6955">
        <w:rPr>
          <w:rFonts w:cs="Arial"/>
        </w:rPr>
        <w:t xml:space="preserve">Simon, G. E., Barber, C., Birnbaum, H. G., Frank, R. G., Greenberg, P. E., Rose, R. M., </w:t>
      </w:r>
      <w:r w:rsidR="00EA3B8C" w:rsidRPr="009A6955">
        <w:rPr>
          <w:rFonts w:cs="Arial"/>
        </w:rPr>
        <w:t xml:space="preserve">&amp; </w:t>
      </w:r>
      <w:r w:rsidRPr="009A6955">
        <w:rPr>
          <w:rFonts w:cs="Arial"/>
        </w:rPr>
        <w:t xml:space="preserve">Kessler, R. C. (2001). Depression and work productivity: The comparative costs of treatment versus nontreatment. </w:t>
      </w:r>
      <w:r w:rsidRPr="009A6955">
        <w:rPr>
          <w:rFonts w:cs="Arial"/>
          <w:i/>
        </w:rPr>
        <w:t>Journal of Occupational and Environmental Medicine, 43</w:t>
      </w:r>
      <w:r w:rsidRPr="009A6955">
        <w:rPr>
          <w:rFonts w:cs="Arial"/>
        </w:rPr>
        <w:t>(1), 2–9.</w:t>
      </w:r>
    </w:p>
    <w:p w:rsidR="000541AE" w:rsidRPr="009A6955" w:rsidRDefault="000541AE" w:rsidP="00B934B6">
      <w:pPr>
        <w:rPr>
          <w:rFonts w:eastAsia="Calibri" w:cs="Arial"/>
          <w:lang w:val="en-US"/>
        </w:rPr>
      </w:pPr>
      <w:proofErr w:type="gramStart"/>
      <w:r w:rsidRPr="009A6955">
        <w:rPr>
          <w:rFonts w:eastAsia="Calibri" w:cs="Arial"/>
          <w:lang w:val="en-US"/>
        </w:rPr>
        <w:t>Skinner, N., &amp; Pocock, B. (2011).</w:t>
      </w:r>
      <w:proofErr w:type="gramEnd"/>
      <w:r w:rsidRPr="009A6955">
        <w:rPr>
          <w:rFonts w:eastAsia="Calibri" w:cs="Arial"/>
          <w:lang w:val="en-US"/>
        </w:rPr>
        <w:t xml:space="preserve"> </w:t>
      </w:r>
      <w:proofErr w:type="gramStart"/>
      <w:r w:rsidRPr="009A6955">
        <w:rPr>
          <w:rFonts w:eastAsia="Calibri" w:cs="Arial"/>
          <w:lang w:val="en-US"/>
        </w:rPr>
        <w:t>Flexibility and work-life interference in Australia.</w:t>
      </w:r>
      <w:proofErr w:type="gramEnd"/>
      <w:r w:rsidRPr="009A6955">
        <w:rPr>
          <w:rFonts w:eastAsia="Calibri" w:cs="Arial"/>
          <w:lang w:val="en-US"/>
        </w:rPr>
        <w:t xml:space="preserve"> </w:t>
      </w:r>
      <w:r w:rsidRPr="009A6955">
        <w:rPr>
          <w:rFonts w:eastAsia="Calibri" w:cs="Arial"/>
          <w:i/>
          <w:iCs/>
          <w:lang w:val="en-US"/>
        </w:rPr>
        <w:t>Journal of Industrial Relations, 53</w:t>
      </w:r>
      <w:r w:rsidR="00DA2B94">
        <w:rPr>
          <w:rFonts w:eastAsia="Calibri" w:cs="Arial"/>
          <w:lang w:val="en-US"/>
        </w:rPr>
        <w:t>(1), 65-82.</w:t>
      </w:r>
    </w:p>
    <w:p w:rsidR="00C20E82" w:rsidRPr="009A6955" w:rsidRDefault="00C20E82" w:rsidP="00B934B6">
      <w:pPr>
        <w:rPr>
          <w:rFonts w:cs="Arial"/>
        </w:rPr>
      </w:pPr>
      <w:r w:rsidRPr="009A6955">
        <w:rPr>
          <w:rFonts w:cs="Arial"/>
          <w:bCs/>
        </w:rPr>
        <w:lastRenderedPageBreak/>
        <w:t xml:space="preserve">Sobel, M. E. (1982). </w:t>
      </w:r>
      <w:proofErr w:type="gramStart"/>
      <w:r w:rsidRPr="009A6955">
        <w:rPr>
          <w:rStyle w:val="grame"/>
          <w:rFonts w:cs="Arial"/>
          <w:bCs/>
        </w:rPr>
        <w:t>Asymptotic confidence intervals for indirect effects in structural equation models.</w:t>
      </w:r>
      <w:proofErr w:type="gramEnd"/>
      <w:r w:rsidRPr="009A6955">
        <w:rPr>
          <w:rFonts w:cs="Arial"/>
          <w:bCs/>
        </w:rPr>
        <w:t xml:space="preserve"> </w:t>
      </w:r>
      <w:proofErr w:type="gramStart"/>
      <w:r w:rsidRPr="009A6955">
        <w:rPr>
          <w:rFonts w:cs="Arial"/>
          <w:bCs/>
        </w:rPr>
        <w:t xml:space="preserve">In S. </w:t>
      </w:r>
      <w:r w:rsidRPr="009A6955">
        <w:rPr>
          <w:rStyle w:val="spelle"/>
          <w:rFonts w:cs="Arial"/>
          <w:bCs/>
        </w:rPr>
        <w:t>Leinhardt (Ed),</w:t>
      </w:r>
      <w:r w:rsidRPr="009A6955">
        <w:rPr>
          <w:rFonts w:cs="Arial"/>
          <w:bCs/>
        </w:rPr>
        <w:t xml:space="preserve"> </w:t>
      </w:r>
      <w:r w:rsidRPr="009A6955">
        <w:rPr>
          <w:rFonts w:cs="Arial"/>
          <w:bCs/>
          <w:i/>
          <w:iCs/>
        </w:rPr>
        <w:t>Sociological Methodology</w:t>
      </w:r>
      <w:r w:rsidRPr="009A6955">
        <w:rPr>
          <w:rFonts w:cs="Arial"/>
          <w:bCs/>
          <w:iCs/>
        </w:rPr>
        <w:t xml:space="preserve"> (pp. 290-312).</w:t>
      </w:r>
      <w:proofErr w:type="gramEnd"/>
      <w:r w:rsidRPr="009A6955">
        <w:rPr>
          <w:rFonts w:cs="Arial"/>
          <w:bCs/>
        </w:rPr>
        <w:t xml:space="preserve"> Washington DC: American Sociological Association.</w:t>
      </w:r>
    </w:p>
    <w:p w:rsidR="000541AE" w:rsidRPr="009A6955" w:rsidRDefault="000541AE" w:rsidP="00B934B6">
      <w:pPr>
        <w:rPr>
          <w:rFonts w:cs="Arial"/>
        </w:rPr>
      </w:pPr>
      <w:proofErr w:type="gramStart"/>
      <w:r w:rsidRPr="009A6955">
        <w:rPr>
          <w:rFonts w:cs="Arial"/>
        </w:rPr>
        <w:t>Spitzer, R., Kroenke, K., &amp; Williams J. (1999).</w:t>
      </w:r>
      <w:proofErr w:type="gramEnd"/>
      <w:r w:rsidRPr="009A6955">
        <w:rPr>
          <w:rFonts w:cs="Arial"/>
        </w:rPr>
        <w:t xml:space="preserve"> Validation and utility of a self-report version of PRIME-MD: The PHQ Primary Care Study. </w:t>
      </w:r>
      <w:r w:rsidRPr="009A6955">
        <w:rPr>
          <w:rFonts w:cs="Arial"/>
          <w:i/>
        </w:rPr>
        <w:t xml:space="preserve">Journal of the American Medical Association, 282, </w:t>
      </w:r>
      <w:r w:rsidRPr="009A6955">
        <w:rPr>
          <w:rFonts w:cs="Arial"/>
        </w:rPr>
        <w:t>1737-1744.</w:t>
      </w:r>
    </w:p>
    <w:p w:rsidR="000541AE" w:rsidRPr="00A17FF5" w:rsidRDefault="006409D1" w:rsidP="00B934B6">
      <w:pPr>
        <w:rPr>
          <w:rFonts w:cs="Arial"/>
          <w:color w:val="auto"/>
        </w:rPr>
      </w:pPr>
      <w:hyperlink r:id="rId42" w:history="1">
        <w:proofErr w:type="gramStart"/>
        <w:r w:rsidR="00EA31C3" w:rsidRPr="00A17FF5">
          <w:rPr>
            <w:rStyle w:val="Hyperlink"/>
            <w:rFonts w:cs="Arial"/>
            <w:color w:val="auto"/>
            <w:u w:val="none"/>
          </w:rPr>
          <w:t>Staniford, A., Dollard, M. F., &amp; Guerin, B. (2009).</w:t>
        </w:r>
        <w:proofErr w:type="gramEnd"/>
        <w:r w:rsidR="00EA31C3" w:rsidRPr="00A17FF5">
          <w:rPr>
            <w:rStyle w:val="Hyperlink"/>
            <w:rFonts w:cs="Arial"/>
            <w:color w:val="auto"/>
            <w:u w:val="none"/>
          </w:rPr>
          <w:t xml:space="preserve"> Stress and help seeking for drought-stricken citrus growers in the Riverland of South Australia. </w:t>
        </w:r>
        <w:r w:rsidR="00EA31C3" w:rsidRPr="00A17FF5">
          <w:rPr>
            <w:rStyle w:val="Hyperlink"/>
            <w:rFonts w:cs="Arial"/>
            <w:i/>
            <w:color w:val="auto"/>
            <w:u w:val="none"/>
          </w:rPr>
          <w:t>Australian Journal of Rural Health, 17</w:t>
        </w:r>
        <w:r w:rsidR="00EA31C3" w:rsidRPr="00A17FF5">
          <w:rPr>
            <w:rStyle w:val="Hyperlink"/>
            <w:rFonts w:cs="Arial"/>
            <w:color w:val="auto"/>
            <w:u w:val="none"/>
          </w:rPr>
          <w:t>, 147-154.</w:t>
        </w:r>
      </w:hyperlink>
    </w:p>
    <w:p w:rsidR="000541AE" w:rsidRPr="009A6955" w:rsidRDefault="000541AE" w:rsidP="00B934B6">
      <w:pPr>
        <w:rPr>
          <w:rFonts w:cs="Arial"/>
        </w:rPr>
      </w:pPr>
      <w:proofErr w:type="gramStart"/>
      <w:r w:rsidRPr="009A6955">
        <w:rPr>
          <w:rFonts w:cs="Arial"/>
          <w:color w:val="000000"/>
        </w:rPr>
        <w:t>Van</w:t>
      </w:r>
      <w:r w:rsidRPr="009A6955">
        <w:rPr>
          <w:rFonts w:cs="Arial"/>
        </w:rPr>
        <w:t xml:space="preserve"> Daalen, G., Willemsen, T. M., &amp; Sanders, K. (2006).</w:t>
      </w:r>
      <w:proofErr w:type="gramEnd"/>
      <w:r w:rsidRPr="009A6955">
        <w:rPr>
          <w:rFonts w:cs="Arial"/>
        </w:rPr>
        <w:t xml:space="preserve"> </w:t>
      </w:r>
      <w:proofErr w:type="gramStart"/>
      <w:r w:rsidRPr="009A6955">
        <w:rPr>
          <w:rFonts w:cs="Arial"/>
        </w:rPr>
        <w:t>Reducing work–family conflict through different sources of social support.</w:t>
      </w:r>
      <w:proofErr w:type="gramEnd"/>
      <w:r w:rsidRPr="009A6955">
        <w:rPr>
          <w:rFonts w:cs="Arial"/>
        </w:rPr>
        <w:t xml:space="preserve"> </w:t>
      </w:r>
      <w:r w:rsidRPr="009A6955">
        <w:rPr>
          <w:rFonts w:cs="Arial"/>
          <w:i/>
        </w:rPr>
        <w:t>Journal of Vocational Behavior, 69,</w:t>
      </w:r>
      <w:r w:rsidRPr="009A6955">
        <w:rPr>
          <w:rFonts w:cs="Arial"/>
        </w:rPr>
        <w:t xml:space="preserve"> 462–476.</w:t>
      </w:r>
    </w:p>
    <w:p w:rsidR="000541AE" w:rsidRPr="009A6955" w:rsidRDefault="000541AE" w:rsidP="00B934B6">
      <w:pPr>
        <w:rPr>
          <w:rFonts w:eastAsia="Calibri" w:cs="Arial"/>
          <w:color w:val="000000"/>
        </w:rPr>
      </w:pPr>
      <w:r w:rsidRPr="009A6955">
        <w:rPr>
          <w:rFonts w:eastAsia="Calibri" w:cs="Arial"/>
          <w:color w:val="000000"/>
        </w:rPr>
        <w:t xml:space="preserve">Van der Doef, M., &amp; Maes, S. (1999). The job demand-control (support) model and psychological well-being: A review of 20 years of empirical research. </w:t>
      </w:r>
      <w:r w:rsidRPr="009A6955">
        <w:rPr>
          <w:rFonts w:eastAsia="Calibri" w:cs="Arial"/>
          <w:i/>
          <w:iCs/>
          <w:color w:val="000000"/>
        </w:rPr>
        <w:t>Work and Stress, 13</w:t>
      </w:r>
      <w:r w:rsidR="00DA2B94">
        <w:rPr>
          <w:rFonts w:eastAsia="Calibri" w:cs="Arial"/>
          <w:color w:val="000000"/>
        </w:rPr>
        <w:t>, 87–114.</w:t>
      </w:r>
    </w:p>
    <w:p w:rsidR="000541AE" w:rsidRPr="009A6955" w:rsidRDefault="000541AE" w:rsidP="00B934B6">
      <w:pPr>
        <w:rPr>
          <w:rFonts w:cs="Arial"/>
        </w:rPr>
      </w:pPr>
      <w:proofErr w:type="gramStart"/>
      <w:r w:rsidRPr="009A6955">
        <w:rPr>
          <w:rFonts w:cs="Arial"/>
        </w:rPr>
        <w:t>Walters, K., Breeze, E., Wilkinson, P., Price, G. M., Bulpitt, C. J., &amp; Fletcher, A. (2004).</w:t>
      </w:r>
      <w:proofErr w:type="gramEnd"/>
      <w:r w:rsidRPr="009A6955">
        <w:rPr>
          <w:rFonts w:cs="Arial"/>
        </w:rPr>
        <w:t xml:space="preserve"> </w:t>
      </w:r>
      <w:proofErr w:type="gramStart"/>
      <w:r w:rsidRPr="009A6955">
        <w:rPr>
          <w:rFonts w:cs="Arial"/>
        </w:rPr>
        <w:t>Local area deprivation and urban-rural differences in anxiety and depression among people older than 75 years in Britain.</w:t>
      </w:r>
      <w:proofErr w:type="gramEnd"/>
      <w:r w:rsidRPr="009A6955">
        <w:rPr>
          <w:rFonts w:cs="Arial"/>
        </w:rPr>
        <w:t xml:space="preserve"> </w:t>
      </w:r>
      <w:r w:rsidRPr="009A6955">
        <w:rPr>
          <w:rFonts w:cs="Arial"/>
          <w:i/>
        </w:rPr>
        <w:t>American Journal of Public Health, 94</w:t>
      </w:r>
      <w:r w:rsidRPr="009A6955">
        <w:rPr>
          <w:rFonts w:cs="Arial"/>
        </w:rPr>
        <w:t>(10), 1768–1774.</w:t>
      </w:r>
    </w:p>
    <w:p w:rsidR="000541AE" w:rsidRPr="009A6955" w:rsidRDefault="000541AE" w:rsidP="00B934B6">
      <w:pPr>
        <w:rPr>
          <w:rFonts w:cs="Arial"/>
        </w:rPr>
      </w:pPr>
      <w:r w:rsidRPr="009A6955">
        <w:rPr>
          <w:rFonts w:cs="Arial"/>
        </w:rPr>
        <w:t xml:space="preserve">Wang, J. L. (2004). Rural–urban differences in the prevalence of major depression and associated impairment. </w:t>
      </w:r>
      <w:r w:rsidRPr="009A6955">
        <w:rPr>
          <w:rFonts w:cs="Arial"/>
          <w:i/>
        </w:rPr>
        <w:t>Social Psychiatry and Psychiatric Epidemiology, 39</w:t>
      </w:r>
      <w:r w:rsidRPr="009A6955">
        <w:rPr>
          <w:rFonts w:cs="Arial"/>
        </w:rPr>
        <w:t>(1), 19–25.</w:t>
      </w:r>
    </w:p>
    <w:p w:rsidR="000541AE" w:rsidRPr="009A6955" w:rsidRDefault="000541AE" w:rsidP="00B934B6">
      <w:pPr>
        <w:rPr>
          <w:rFonts w:cs="Arial"/>
        </w:rPr>
      </w:pPr>
      <w:proofErr w:type="gramStart"/>
      <w:r w:rsidRPr="009A6955">
        <w:rPr>
          <w:rFonts w:cs="Arial"/>
        </w:rPr>
        <w:t>Ware, J. E. Jr., &amp; Sherbourne, C. D. (1992).</w:t>
      </w:r>
      <w:proofErr w:type="gramEnd"/>
      <w:r w:rsidRPr="009A6955">
        <w:rPr>
          <w:rFonts w:cs="Arial"/>
        </w:rPr>
        <w:t xml:space="preserve"> </w:t>
      </w:r>
      <w:r w:rsidRPr="009A6955">
        <w:rPr>
          <w:rFonts w:cs="Arial"/>
          <w:bCs/>
        </w:rPr>
        <w:t xml:space="preserve">The MOS 36-item short-form health survey (SF-36). I. Conceptual framework and item selection. </w:t>
      </w:r>
      <w:r w:rsidRPr="009A6955">
        <w:rPr>
          <w:rFonts w:cs="Arial"/>
          <w:bCs/>
          <w:i/>
        </w:rPr>
        <w:t>Medical Care, 30</w:t>
      </w:r>
      <w:r w:rsidRPr="009A6955">
        <w:rPr>
          <w:rFonts w:cs="Arial"/>
          <w:bCs/>
        </w:rPr>
        <w:t xml:space="preserve">(6), </w:t>
      </w:r>
      <w:r w:rsidRPr="009A6955">
        <w:rPr>
          <w:rFonts w:cs="Arial"/>
        </w:rPr>
        <w:t>473-483.</w:t>
      </w:r>
    </w:p>
    <w:p w:rsidR="000541AE" w:rsidRPr="009A6955" w:rsidRDefault="000541AE" w:rsidP="00B934B6">
      <w:pPr>
        <w:rPr>
          <w:rFonts w:cs="Arial"/>
        </w:rPr>
      </w:pPr>
      <w:proofErr w:type="gramStart"/>
      <w:r w:rsidRPr="009A6955">
        <w:rPr>
          <w:rFonts w:cs="Arial"/>
        </w:rPr>
        <w:t>Weiclaw, J., Agerbo, E., Mortensen, P. B., &amp; Bonde, J. P. (2005).</w:t>
      </w:r>
      <w:proofErr w:type="gramEnd"/>
      <w:r w:rsidRPr="009A6955">
        <w:rPr>
          <w:rFonts w:cs="Arial"/>
        </w:rPr>
        <w:t xml:space="preserve"> </w:t>
      </w:r>
      <w:proofErr w:type="gramStart"/>
      <w:r w:rsidRPr="009A6955">
        <w:rPr>
          <w:rFonts w:cs="Arial"/>
        </w:rPr>
        <w:t>Occupational risk of affective and stress-related disorders in the Danish workforce.</w:t>
      </w:r>
      <w:proofErr w:type="gramEnd"/>
      <w:r w:rsidRPr="009A6955">
        <w:rPr>
          <w:rFonts w:cs="Arial"/>
        </w:rPr>
        <w:t xml:space="preserve"> </w:t>
      </w:r>
      <w:r w:rsidRPr="009A6955">
        <w:rPr>
          <w:rFonts w:cs="Arial"/>
          <w:i/>
          <w:iCs/>
        </w:rPr>
        <w:t>Scandinavian Journal of Work, Environment &amp; Health, 31</w:t>
      </w:r>
      <w:r w:rsidRPr="009A6955">
        <w:rPr>
          <w:rFonts w:cs="Arial"/>
        </w:rPr>
        <w:t>(5), 343-351.</w:t>
      </w:r>
    </w:p>
    <w:p w:rsidR="000541AE" w:rsidRPr="009A6955" w:rsidRDefault="000541AE" w:rsidP="00B934B6">
      <w:pPr>
        <w:rPr>
          <w:rFonts w:eastAsia="Calibri" w:cs="Arial"/>
          <w:color w:val="000000"/>
        </w:rPr>
      </w:pPr>
      <w:r w:rsidRPr="009A6955">
        <w:rPr>
          <w:rFonts w:eastAsia="Calibri" w:cs="Arial"/>
          <w:color w:val="000000"/>
        </w:rPr>
        <w:t>Wilson, M. G., DeJoy, D. M., Vandenberg, R. J., Richardson, H. A., &amp; McGrath, A. L. (2004). Work characteristics and employee health and well-being: Test of</w:t>
      </w:r>
      <w:r w:rsidR="00F34DA3" w:rsidRPr="009A6955">
        <w:rPr>
          <w:rFonts w:eastAsia="Calibri" w:cs="Arial"/>
          <w:color w:val="000000"/>
        </w:rPr>
        <w:t xml:space="preserve"> a model of healthy work organis</w:t>
      </w:r>
      <w:r w:rsidRPr="009A6955">
        <w:rPr>
          <w:rFonts w:eastAsia="Calibri" w:cs="Arial"/>
          <w:color w:val="000000"/>
        </w:rPr>
        <w:t xml:space="preserve">ation. </w:t>
      </w:r>
      <w:r w:rsidRPr="009A6955">
        <w:rPr>
          <w:rFonts w:eastAsia="Calibri" w:cs="Arial"/>
          <w:i/>
          <w:iCs/>
          <w:color w:val="000000"/>
        </w:rPr>
        <w:t>Journal of Occupational and Organizational Psychology</w:t>
      </w:r>
      <w:r w:rsidRPr="009A6955">
        <w:rPr>
          <w:rFonts w:eastAsia="Calibri" w:cs="Arial"/>
          <w:i/>
          <w:color w:val="000000"/>
        </w:rPr>
        <w:t>, 77,</w:t>
      </w:r>
      <w:r w:rsidR="00DA2B94">
        <w:rPr>
          <w:rFonts w:eastAsia="Calibri" w:cs="Arial"/>
          <w:color w:val="000000"/>
        </w:rPr>
        <w:t xml:space="preserve"> 565–588.</w:t>
      </w:r>
    </w:p>
    <w:p w:rsidR="000541AE" w:rsidRPr="009A6955" w:rsidRDefault="000541AE" w:rsidP="00B934B6">
      <w:pPr>
        <w:rPr>
          <w:rFonts w:cs="Arial"/>
          <w:color w:val="000000"/>
        </w:rPr>
      </w:pPr>
      <w:proofErr w:type="gramStart"/>
      <w:r w:rsidRPr="009A6955">
        <w:rPr>
          <w:rFonts w:cs="Arial"/>
          <w:color w:val="000000"/>
        </w:rPr>
        <w:t>Winwood, P. C., Winefield, A. H., &amp; Lushington, K. (2006).</w:t>
      </w:r>
      <w:proofErr w:type="gramEnd"/>
      <w:r w:rsidRPr="009A6955">
        <w:rPr>
          <w:rFonts w:cs="Arial"/>
          <w:color w:val="000000"/>
        </w:rPr>
        <w:t xml:space="preserve"> Further development and validation of the Occupational Fatigue Exhaustion Recovery (OFER) scale. </w:t>
      </w:r>
      <w:r w:rsidRPr="009A6955">
        <w:rPr>
          <w:rFonts w:cs="Arial"/>
          <w:i/>
          <w:iCs/>
          <w:color w:val="000000"/>
        </w:rPr>
        <w:t>Journal of Occupational and Environmental Medicine,</w:t>
      </w:r>
      <w:r w:rsidRPr="009A6955">
        <w:rPr>
          <w:rFonts w:cs="Arial"/>
          <w:i/>
          <w:color w:val="000000"/>
        </w:rPr>
        <w:t xml:space="preserve"> 48</w:t>
      </w:r>
      <w:r w:rsidRPr="009A6955">
        <w:rPr>
          <w:rFonts w:cs="Arial"/>
          <w:color w:val="000000"/>
        </w:rPr>
        <w:t>(4), 381-389.</w:t>
      </w:r>
    </w:p>
    <w:p w:rsidR="000541AE" w:rsidRPr="009A6955" w:rsidRDefault="000541AE" w:rsidP="00B934B6">
      <w:pPr>
        <w:rPr>
          <w:rFonts w:cs="Arial"/>
        </w:rPr>
      </w:pPr>
      <w:proofErr w:type="gramStart"/>
      <w:r w:rsidRPr="009A6955">
        <w:rPr>
          <w:rFonts w:cs="Arial"/>
        </w:rPr>
        <w:t>Witte, T. K., Timmons, K. A., Fink, E., Smith, A. R., &amp; Joiner, T. E. (2009).</w:t>
      </w:r>
      <w:proofErr w:type="gramEnd"/>
      <w:r w:rsidRPr="009A6955">
        <w:rPr>
          <w:rFonts w:cs="Arial"/>
        </w:rPr>
        <w:t xml:space="preserve"> Do major depressive disorder and dysthymic disorder confer differential risk for suicide? </w:t>
      </w:r>
      <w:r w:rsidRPr="009A6955">
        <w:rPr>
          <w:rFonts w:cs="Arial"/>
          <w:i/>
        </w:rPr>
        <w:t>Journal of Affective Disorders, 115</w:t>
      </w:r>
      <w:r w:rsidRPr="009A6955">
        <w:rPr>
          <w:rFonts w:cs="Arial"/>
        </w:rPr>
        <w:t>(1), 69–78.</w:t>
      </w:r>
    </w:p>
    <w:p w:rsidR="000541AE" w:rsidRPr="009A6955" w:rsidRDefault="000541AE" w:rsidP="00B934B6">
      <w:pPr>
        <w:rPr>
          <w:rFonts w:cs="Arial"/>
        </w:rPr>
      </w:pPr>
      <w:proofErr w:type="gramStart"/>
      <w:r w:rsidRPr="009A6955">
        <w:rPr>
          <w:rFonts w:cs="Arial"/>
        </w:rPr>
        <w:t>Wolpin, J., Burke, R. J., &amp; Greenglass, E. R. (1991).</w:t>
      </w:r>
      <w:proofErr w:type="gramEnd"/>
      <w:r w:rsidRPr="009A6955">
        <w:rPr>
          <w:rFonts w:cs="Arial"/>
        </w:rPr>
        <w:t xml:space="preserve"> Is job satisfaction an antecedent or a consequence of psychological burnout? </w:t>
      </w:r>
      <w:r w:rsidRPr="009A6955">
        <w:rPr>
          <w:rStyle w:val="Emphasis"/>
          <w:rFonts w:cs="Arial"/>
          <w:szCs w:val="22"/>
        </w:rPr>
        <w:t>Human Relations</w:t>
      </w:r>
      <w:r w:rsidRPr="009A6955">
        <w:rPr>
          <w:rFonts w:cs="Arial"/>
        </w:rPr>
        <w:t xml:space="preserve">, </w:t>
      </w:r>
      <w:r w:rsidRPr="009A6955">
        <w:rPr>
          <w:rStyle w:val="Emphasis"/>
          <w:rFonts w:cs="Arial"/>
          <w:szCs w:val="22"/>
        </w:rPr>
        <w:t>44(2)</w:t>
      </w:r>
      <w:r w:rsidRPr="009A6955">
        <w:rPr>
          <w:rFonts w:cs="Arial"/>
        </w:rPr>
        <w:t>, 193–209.</w:t>
      </w:r>
    </w:p>
    <w:p w:rsidR="000541AE" w:rsidRPr="009A6955" w:rsidRDefault="000541AE" w:rsidP="00B934B6">
      <w:pPr>
        <w:rPr>
          <w:rFonts w:cs="Arial"/>
        </w:rPr>
      </w:pPr>
      <w:proofErr w:type="gramStart"/>
      <w:r w:rsidRPr="009A6955">
        <w:rPr>
          <w:rFonts w:eastAsia="Calibri" w:cs="Arial"/>
        </w:rPr>
        <w:t>Wright, T. A., &amp; Bonett, D. G. (1997).</w:t>
      </w:r>
      <w:proofErr w:type="gramEnd"/>
      <w:r w:rsidRPr="009A6955">
        <w:rPr>
          <w:rFonts w:eastAsia="Calibri" w:cs="Arial"/>
        </w:rPr>
        <w:t xml:space="preserve"> </w:t>
      </w:r>
      <w:proofErr w:type="gramStart"/>
      <w:r w:rsidRPr="009A6955">
        <w:rPr>
          <w:rFonts w:eastAsia="Calibri" w:cs="Arial"/>
        </w:rPr>
        <w:t>The contribution of burnout to work performance</w:t>
      </w:r>
      <w:r w:rsidRPr="009A6955">
        <w:rPr>
          <w:rFonts w:eastAsia="Calibri" w:cs="Arial"/>
          <w:i/>
        </w:rPr>
        <w:t>.</w:t>
      </w:r>
      <w:proofErr w:type="gramEnd"/>
      <w:r w:rsidRPr="009A6955">
        <w:rPr>
          <w:rFonts w:eastAsia="Calibri" w:cs="Arial"/>
          <w:i/>
        </w:rPr>
        <w:t xml:space="preserve">  Journal of Organizational Behavior, 18</w:t>
      </w:r>
      <w:r w:rsidRPr="009A6955">
        <w:rPr>
          <w:rFonts w:cs="Arial"/>
        </w:rPr>
        <w:t>(5)</w:t>
      </w:r>
      <w:r w:rsidRPr="009A6955">
        <w:rPr>
          <w:rFonts w:eastAsia="Calibri" w:cs="Arial"/>
        </w:rPr>
        <w:t>, 491</w:t>
      </w:r>
      <w:r w:rsidRPr="009A6955">
        <w:rPr>
          <w:rFonts w:cs="Arial"/>
        </w:rPr>
        <w:t>–</w:t>
      </w:r>
      <w:r w:rsidR="00DA2B94">
        <w:rPr>
          <w:rFonts w:eastAsia="Calibri" w:cs="Arial"/>
        </w:rPr>
        <w:t>499.</w:t>
      </w:r>
    </w:p>
    <w:p w:rsidR="000541AE" w:rsidRPr="009A6955" w:rsidRDefault="000541AE" w:rsidP="00B934B6">
      <w:pPr>
        <w:rPr>
          <w:rFonts w:cs="Arial"/>
        </w:rPr>
      </w:pPr>
      <w:proofErr w:type="gramStart"/>
      <w:r w:rsidRPr="009A6955">
        <w:rPr>
          <w:rFonts w:eastAsia="Calibri" w:cs="Arial"/>
        </w:rPr>
        <w:t>Wright, T</w:t>
      </w:r>
      <w:r w:rsidR="007005BB" w:rsidRPr="009A6955">
        <w:rPr>
          <w:rFonts w:eastAsia="Calibri" w:cs="Arial"/>
        </w:rPr>
        <w:t>. A., &amp; Cropanzano, R. (1998).</w:t>
      </w:r>
      <w:proofErr w:type="gramEnd"/>
      <w:r w:rsidR="007005BB" w:rsidRPr="009A6955">
        <w:rPr>
          <w:rFonts w:eastAsia="Calibri" w:cs="Arial"/>
        </w:rPr>
        <w:t xml:space="preserve"> </w:t>
      </w:r>
      <w:proofErr w:type="gramStart"/>
      <w:r w:rsidRPr="009A6955">
        <w:rPr>
          <w:rFonts w:eastAsia="Calibri" w:cs="Arial"/>
        </w:rPr>
        <w:t>Emotional exhaustion as a predictor of job performance and voluntary turnover.</w:t>
      </w:r>
      <w:proofErr w:type="gramEnd"/>
      <w:r w:rsidRPr="009A6955">
        <w:rPr>
          <w:rFonts w:eastAsia="Calibri" w:cs="Arial"/>
        </w:rPr>
        <w:t xml:space="preserve">  </w:t>
      </w:r>
      <w:r w:rsidRPr="009A6955">
        <w:rPr>
          <w:rFonts w:eastAsia="Calibri" w:cs="Arial"/>
          <w:i/>
        </w:rPr>
        <w:t>Journal of Applied Psychology, 83</w:t>
      </w:r>
      <w:r w:rsidRPr="009A6955">
        <w:rPr>
          <w:rFonts w:eastAsia="Calibri" w:cs="Arial"/>
        </w:rPr>
        <w:t>(3), 486</w:t>
      </w:r>
      <w:r w:rsidRPr="009A6955">
        <w:rPr>
          <w:rFonts w:cs="Arial"/>
        </w:rPr>
        <w:t>–</w:t>
      </w:r>
      <w:r w:rsidRPr="009A6955">
        <w:rPr>
          <w:rFonts w:eastAsia="Calibri" w:cs="Arial"/>
        </w:rPr>
        <w:t>493.</w:t>
      </w:r>
    </w:p>
    <w:p w:rsidR="000541AE" w:rsidRPr="009A6955" w:rsidRDefault="000541AE" w:rsidP="00B934B6">
      <w:pPr>
        <w:rPr>
          <w:rFonts w:cs="Arial"/>
        </w:rPr>
      </w:pPr>
      <w:r w:rsidRPr="009A6955">
        <w:rPr>
          <w:rFonts w:cs="Arial"/>
          <w:noProof/>
        </w:rPr>
        <w:lastRenderedPageBreak/>
        <w:t xml:space="preserve">Xanthopoulou, D., Bakker, A. B., Dollard, M. F., Demerouti, E., Schaufeli, W. B., Taris, T., &amp; Schreurs, P. (2007). When do job demands particularly predict burnout? The moderating role of job resources. </w:t>
      </w:r>
      <w:r w:rsidRPr="009A6955">
        <w:rPr>
          <w:rFonts w:cs="Arial"/>
          <w:i/>
          <w:noProof/>
        </w:rPr>
        <w:t xml:space="preserve">Journal of Managerial Psychology, 22, </w:t>
      </w:r>
      <w:r w:rsidRPr="009A6955">
        <w:rPr>
          <w:rFonts w:cs="Arial"/>
          <w:noProof/>
        </w:rPr>
        <w:t>766-786.</w:t>
      </w:r>
    </w:p>
    <w:p w:rsidR="000541AE" w:rsidRPr="009A6955" w:rsidRDefault="000541AE" w:rsidP="00B934B6">
      <w:pPr>
        <w:rPr>
          <w:rFonts w:cs="Arial"/>
        </w:rPr>
      </w:pPr>
      <w:proofErr w:type="gramStart"/>
      <w:r w:rsidRPr="009A6955">
        <w:rPr>
          <w:rFonts w:cs="Arial"/>
        </w:rPr>
        <w:t>Zapf, D., &amp; Gross, C. (2001).</w:t>
      </w:r>
      <w:proofErr w:type="gramEnd"/>
      <w:r w:rsidRPr="009A6955">
        <w:rPr>
          <w:rFonts w:cs="Arial"/>
        </w:rPr>
        <w:t xml:space="preserve"> Conflict escalation and coping with workplace bullying: A replication and extension. </w:t>
      </w:r>
      <w:r w:rsidRPr="009A6955">
        <w:rPr>
          <w:rStyle w:val="HTMLCite"/>
          <w:rFonts w:cs="Arial"/>
          <w:szCs w:val="22"/>
        </w:rPr>
        <w:t>European Journal of Work and Organizational Psychology, 10,</w:t>
      </w:r>
      <w:r w:rsidRPr="009A6955">
        <w:rPr>
          <w:rFonts w:cs="Arial"/>
        </w:rPr>
        <w:t xml:space="preserve"> 497-522.</w:t>
      </w:r>
    </w:p>
    <w:p w:rsidR="000541AE" w:rsidRPr="009A6955" w:rsidRDefault="000541AE" w:rsidP="00B934B6">
      <w:pPr>
        <w:rPr>
          <w:rFonts w:cs="Arial"/>
        </w:rPr>
      </w:pPr>
      <w:proofErr w:type="gramStart"/>
      <w:r w:rsidRPr="009A6955">
        <w:rPr>
          <w:rFonts w:cs="Arial"/>
        </w:rPr>
        <w:t>Zapf, D., Einarsen, S., Hoel, H., &amp; Vartia, M. (2003).</w:t>
      </w:r>
      <w:proofErr w:type="gramEnd"/>
      <w:r w:rsidRPr="009A6955">
        <w:rPr>
          <w:rFonts w:cs="Arial"/>
        </w:rPr>
        <w:t xml:space="preserve"> </w:t>
      </w:r>
      <w:proofErr w:type="gramStart"/>
      <w:r w:rsidRPr="009A6955">
        <w:rPr>
          <w:rFonts w:cs="Arial"/>
        </w:rPr>
        <w:t>Empirical findings on bullying in the workplace.</w:t>
      </w:r>
      <w:proofErr w:type="gramEnd"/>
      <w:r w:rsidRPr="009A6955">
        <w:rPr>
          <w:rFonts w:cs="Arial"/>
        </w:rPr>
        <w:t xml:space="preserve"> In S. Einarsen, H. Hoel, D. Zapf, &amp; C. L. Cooper (Eds.), </w:t>
      </w:r>
      <w:r w:rsidRPr="009A6955">
        <w:rPr>
          <w:rFonts w:cs="Arial"/>
          <w:i/>
          <w:iCs/>
        </w:rPr>
        <w:t>Bullying and emotional abuse in the workplace: International perspectives in research and practice</w:t>
      </w:r>
      <w:r w:rsidRPr="009A6955">
        <w:rPr>
          <w:rFonts w:cs="Arial"/>
        </w:rPr>
        <w:t xml:space="preserve"> (pp. 103–126). London: Taylor &amp; Francis.</w:t>
      </w:r>
    </w:p>
    <w:p w:rsidR="000541AE" w:rsidRPr="009A6955" w:rsidRDefault="000541AE" w:rsidP="00B934B6">
      <w:pPr>
        <w:rPr>
          <w:rFonts w:cs="Arial"/>
        </w:rPr>
      </w:pPr>
      <w:r w:rsidRPr="009A6955">
        <w:rPr>
          <w:rFonts w:cs="Arial"/>
          <w:lang w:val="de-DE"/>
        </w:rPr>
        <w:t>Zimmermann, B. K., Haun, S., Dorm</w:t>
      </w:r>
      <w:r w:rsidR="00EA3B8C" w:rsidRPr="009A6955">
        <w:rPr>
          <w:rFonts w:cs="Arial"/>
          <w:lang w:val="de-DE"/>
        </w:rPr>
        <w:t xml:space="preserve">ann, C., &amp; Dollard, M. (2009). </w:t>
      </w:r>
      <w:r w:rsidRPr="009A6955">
        <w:rPr>
          <w:rFonts w:cs="Arial"/>
        </w:rPr>
        <w:t xml:space="preserve">Stress and reciprocity in service interactions: Main and moderating effects of psychosocial safety climate. </w:t>
      </w:r>
      <w:proofErr w:type="gramStart"/>
      <w:r w:rsidRPr="009A6955">
        <w:rPr>
          <w:rFonts w:cs="Arial"/>
        </w:rPr>
        <w:t xml:space="preserve">In P. H. Langford, N. J. Reynolds, &amp; J. E. Kehoe (Eds.), </w:t>
      </w:r>
      <w:r w:rsidRPr="009A6955">
        <w:rPr>
          <w:rFonts w:cs="Arial"/>
          <w:i/>
        </w:rPr>
        <w:t>Meeting the future: Promoting sustainable organisational growth, 8</w:t>
      </w:r>
      <w:r w:rsidRPr="009A6955">
        <w:rPr>
          <w:rFonts w:cs="Arial"/>
          <w:i/>
          <w:vertAlign w:val="superscript"/>
        </w:rPr>
        <w:t>th</w:t>
      </w:r>
      <w:r w:rsidRPr="009A6955">
        <w:rPr>
          <w:rFonts w:cs="Arial"/>
          <w:i/>
        </w:rPr>
        <w:t xml:space="preserve"> Industrial and Organisational Psychology Conference proceedings </w:t>
      </w:r>
      <w:r w:rsidRPr="009A6955">
        <w:rPr>
          <w:rFonts w:cs="Arial"/>
        </w:rPr>
        <w:t>(pp. 150-155).</w:t>
      </w:r>
      <w:proofErr w:type="gramEnd"/>
      <w:r w:rsidRPr="009A6955">
        <w:rPr>
          <w:rFonts w:cs="Arial"/>
        </w:rPr>
        <w:t xml:space="preserve"> Sydney: Au</w:t>
      </w:r>
      <w:r w:rsidR="00DA2B94">
        <w:rPr>
          <w:rFonts w:cs="Arial"/>
        </w:rPr>
        <w:t>stralian Psychological Society.</w:t>
      </w:r>
    </w:p>
    <w:p w:rsidR="000541AE" w:rsidRPr="009A6955" w:rsidRDefault="000541AE" w:rsidP="00B934B6">
      <w:pPr>
        <w:rPr>
          <w:rFonts w:eastAsia="Calibri" w:cs="Arial"/>
          <w:color w:val="000000"/>
        </w:rPr>
      </w:pPr>
      <w:r w:rsidRPr="009A6955">
        <w:rPr>
          <w:rFonts w:eastAsia="Calibri" w:cs="Arial"/>
          <w:color w:val="000000"/>
        </w:rPr>
        <w:t>Zohar, D. (2002). The effects of leadership dimensions, safety climate, and assigned priorities on minor injuries in work groups, Safe</w:t>
      </w:r>
      <w:r w:rsidR="00F34DA3" w:rsidRPr="009A6955">
        <w:rPr>
          <w:rFonts w:eastAsia="Calibri" w:cs="Arial"/>
          <w:color w:val="000000"/>
        </w:rPr>
        <w:t>ty climate in industrial organis</w:t>
      </w:r>
      <w:r w:rsidRPr="009A6955">
        <w:rPr>
          <w:rFonts w:eastAsia="Calibri" w:cs="Arial"/>
          <w:color w:val="000000"/>
        </w:rPr>
        <w:t xml:space="preserve">ations: Theoretical and applied implications. </w:t>
      </w:r>
      <w:r w:rsidRPr="009A6955">
        <w:rPr>
          <w:rFonts w:eastAsia="Calibri" w:cs="Arial"/>
          <w:i/>
          <w:iCs/>
          <w:color w:val="000000"/>
        </w:rPr>
        <w:t>Journal of Organizational Behavior, 23</w:t>
      </w:r>
      <w:r w:rsidRPr="009A6955">
        <w:rPr>
          <w:rFonts w:eastAsia="Calibri" w:cs="Arial"/>
          <w:color w:val="000000"/>
        </w:rPr>
        <w:t>, 75-92.</w:t>
      </w:r>
    </w:p>
    <w:p w:rsidR="000541AE" w:rsidRPr="009A6955" w:rsidRDefault="000541AE" w:rsidP="00B934B6">
      <w:pPr>
        <w:rPr>
          <w:rFonts w:eastAsia="Calibri" w:cs="Arial"/>
          <w:color w:val="000000"/>
        </w:rPr>
      </w:pPr>
      <w:proofErr w:type="gramStart"/>
      <w:r w:rsidRPr="009A6955">
        <w:rPr>
          <w:rFonts w:eastAsia="Calibri" w:cs="Arial"/>
          <w:color w:val="000000"/>
        </w:rPr>
        <w:t>Zohar, D., &amp; Luria, G. (2005).</w:t>
      </w:r>
      <w:proofErr w:type="gramEnd"/>
      <w:r w:rsidRPr="009A6955">
        <w:rPr>
          <w:rFonts w:eastAsia="Calibri" w:cs="Arial"/>
          <w:color w:val="000000"/>
        </w:rPr>
        <w:t xml:space="preserve"> A multilevel model of safety climate: Cross-lev</w:t>
      </w:r>
      <w:r w:rsidR="00F34DA3" w:rsidRPr="009A6955">
        <w:rPr>
          <w:rFonts w:eastAsia="Calibri" w:cs="Arial"/>
          <w:color w:val="000000"/>
        </w:rPr>
        <w:t>el relationships between organis</w:t>
      </w:r>
      <w:r w:rsidRPr="009A6955">
        <w:rPr>
          <w:rFonts w:eastAsia="Calibri" w:cs="Arial"/>
          <w:color w:val="000000"/>
        </w:rPr>
        <w:t xml:space="preserve">ation and group-level climates. </w:t>
      </w:r>
      <w:r w:rsidRPr="009A6955">
        <w:rPr>
          <w:rFonts w:eastAsia="Calibri" w:cs="Arial"/>
          <w:i/>
          <w:iCs/>
          <w:color w:val="000000"/>
        </w:rPr>
        <w:t xml:space="preserve">Journal of Applied Psychology, 90, </w:t>
      </w:r>
      <w:r w:rsidR="00DA2B94">
        <w:rPr>
          <w:rFonts w:eastAsia="Calibri" w:cs="Arial"/>
          <w:color w:val="000000"/>
        </w:rPr>
        <w:t>616-628.</w:t>
      </w:r>
    </w:p>
    <w:p w:rsidR="00D16852" w:rsidRDefault="00F65F9D" w:rsidP="005F6E13">
      <w:pPr>
        <w:pStyle w:val="Heading1"/>
        <w:spacing w:before="0" w:after="100" w:afterAutospacing="1"/>
      </w:pPr>
      <w:bookmarkStart w:id="93" w:name="_Toc343502454"/>
      <w:r>
        <w:lastRenderedPageBreak/>
        <w:t>Appendix A</w:t>
      </w:r>
      <w:bookmarkEnd w:id="93"/>
    </w:p>
    <w:p w:rsidR="00EC579C" w:rsidRDefault="00EC579C" w:rsidP="00EC579C">
      <w:pPr>
        <w:pStyle w:val="Heading2"/>
        <w:spacing w:before="100" w:beforeAutospacing="1" w:after="100" w:afterAutospacing="1"/>
        <w:rPr>
          <w:rFonts w:ascii="Calibri" w:hAnsi="Calibri" w:cs="Calibri"/>
          <w:b w:val="0"/>
          <w:szCs w:val="22"/>
        </w:rPr>
      </w:pPr>
      <w:bookmarkStart w:id="94" w:name="_Toc343502455"/>
      <w:r>
        <w:t>Glossary of terms</w:t>
      </w:r>
      <w:bookmarkEnd w:id="94"/>
    </w:p>
    <w:p w:rsidR="000E2FFA" w:rsidRPr="00E23A87" w:rsidRDefault="000E2FFA" w:rsidP="00B934B6">
      <w:pPr>
        <w:rPr>
          <w:b/>
        </w:rPr>
      </w:pPr>
      <w:r w:rsidRPr="00C84DF9">
        <w:rPr>
          <w:rStyle w:val="Strong"/>
        </w:rPr>
        <w:t>Absenteeism</w:t>
      </w:r>
      <w:r w:rsidRPr="000E2FFA">
        <w:rPr>
          <w:b/>
        </w:rPr>
        <w:t xml:space="preserve"> </w:t>
      </w:r>
      <w:r w:rsidRPr="00E23A87">
        <w:t>refers to when an employee does not turn up for scheduled work due to illness (mental or physical)</w:t>
      </w:r>
      <w:r w:rsidR="00E23A87" w:rsidRPr="00E23A87">
        <w:t>.</w:t>
      </w:r>
    </w:p>
    <w:p w:rsidR="00DA47B7" w:rsidRPr="009A7EEC" w:rsidRDefault="00DA47B7" w:rsidP="00B934B6">
      <w:pPr>
        <w:rPr>
          <w:rFonts w:cs="Arial"/>
          <w:szCs w:val="22"/>
          <w:lang w:val="en-US"/>
        </w:rPr>
      </w:pPr>
      <w:r w:rsidRPr="00AB452D">
        <w:rPr>
          <w:rStyle w:val="Strong"/>
        </w:rPr>
        <w:t>Absorption</w:t>
      </w:r>
      <w:r w:rsidRPr="009A7EEC">
        <w:rPr>
          <w:rFonts w:cs="Arial"/>
          <w:szCs w:val="22"/>
        </w:rPr>
        <w:t xml:space="preserve"> </w:t>
      </w:r>
      <w:r w:rsidRPr="009A7EEC">
        <w:rPr>
          <w:rFonts w:cs="Arial"/>
          <w:i/>
          <w:szCs w:val="22"/>
        </w:rPr>
        <w:t>relates to being deeply immersed in one’s work in a positive manner</w:t>
      </w:r>
      <w:r w:rsidR="00E23A87" w:rsidRPr="009A7EEC">
        <w:rPr>
          <w:rFonts w:cs="Arial"/>
          <w:szCs w:val="22"/>
        </w:rPr>
        <w:t>.</w:t>
      </w:r>
    </w:p>
    <w:p w:rsidR="00DA47B7" w:rsidRPr="009A7EEC" w:rsidRDefault="00DA47B7" w:rsidP="00B934B6">
      <w:pPr>
        <w:rPr>
          <w:rFonts w:cs="Arial"/>
          <w:szCs w:val="22"/>
        </w:rPr>
      </w:pPr>
      <w:r w:rsidRPr="00AB452D">
        <w:rPr>
          <w:rStyle w:val="Strong"/>
        </w:rPr>
        <w:t>Australian Workplace Barometer</w:t>
      </w:r>
      <w:r w:rsidRPr="009A7EEC">
        <w:rPr>
          <w:rFonts w:cs="Arial"/>
          <w:b/>
          <w:szCs w:val="22"/>
        </w:rPr>
        <w:t xml:space="preserve"> </w:t>
      </w:r>
      <w:r w:rsidRPr="009A7EEC">
        <w:rPr>
          <w:rFonts w:cs="Arial"/>
          <w:i/>
          <w:szCs w:val="22"/>
        </w:rPr>
        <w:t>a surveillance system that systematically monitors and benchmarks psychosocial risk factors in Australian workplaces and investigates their relationship to employee health and wellbeing outcomes</w:t>
      </w:r>
      <w:r w:rsidR="00E23A87" w:rsidRPr="009A7EEC">
        <w:rPr>
          <w:rFonts w:cs="Arial"/>
          <w:i/>
          <w:szCs w:val="22"/>
        </w:rPr>
        <w:t>.</w:t>
      </w:r>
    </w:p>
    <w:p w:rsidR="00DA47B7" w:rsidRPr="009A7EEC" w:rsidRDefault="00DA47B7" w:rsidP="00B934B6">
      <w:pPr>
        <w:rPr>
          <w:rFonts w:cs="Arial"/>
          <w:i/>
          <w:szCs w:val="22"/>
        </w:rPr>
      </w:pPr>
      <w:r w:rsidRPr="00AB452D">
        <w:rPr>
          <w:rStyle w:val="Strong"/>
        </w:rPr>
        <w:t>Australian Workplace Barometer project</w:t>
      </w:r>
      <w:r w:rsidRPr="009A7EEC">
        <w:rPr>
          <w:rFonts w:cs="Arial"/>
          <w:szCs w:val="22"/>
        </w:rPr>
        <w:t xml:space="preserve"> </w:t>
      </w:r>
      <w:r w:rsidRPr="009A7EEC">
        <w:rPr>
          <w:rFonts w:cs="Arial"/>
          <w:i/>
          <w:szCs w:val="22"/>
        </w:rPr>
        <w:t>aims to provide science-driven evidence of Australian work conditions and their relationships to workplace health and productivity</w:t>
      </w:r>
      <w:r w:rsidR="00E23A87" w:rsidRPr="009A7EEC">
        <w:rPr>
          <w:rFonts w:cs="Arial"/>
          <w:i/>
          <w:szCs w:val="22"/>
        </w:rPr>
        <w:t>.</w:t>
      </w:r>
    </w:p>
    <w:p w:rsidR="00DA47B7" w:rsidRPr="009A7EEC" w:rsidRDefault="00DA47B7" w:rsidP="00B934B6">
      <w:pPr>
        <w:rPr>
          <w:rFonts w:cs="Arial"/>
          <w:szCs w:val="22"/>
        </w:rPr>
      </w:pPr>
      <w:r w:rsidRPr="00E028B6">
        <w:rPr>
          <w:rStyle w:val="Strong"/>
        </w:rPr>
        <w:t>Autonomy</w:t>
      </w:r>
      <w:r w:rsidRPr="009A7EEC">
        <w:rPr>
          <w:rFonts w:cs="Arial"/>
          <w:szCs w:val="22"/>
        </w:rPr>
        <w:t xml:space="preserve"> </w:t>
      </w:r>
      <w:r w:rsidRPr="009A7EEC">
        <w:rPr>
          <w:rFonts w:cs="Arial"/>
          <w:i/>
          <w:szCs w:val="22"/>
        </w:rPr>
        <w:t xml:space="preserve">refers to having control </w:t>
      </w:r>
      <w:r w:rsidR="00CE6CF5" w:rsidRPr="009A7EEC">
        <w:rPr>
          <w:rFonts w:cs="Arial"/>
          <w:i/>
          <w:szCs w:val="22"/>
        </w:rPr>
        <w:t xml:space="preserve">in relation to decision making and skill discretion at </w:t>
      </w:r>
      <w:r w:rsidRPr="009A7EEC">
        <w:rPr>
          <w:rFonts w:cs="Arial"/>
          <w:i/>
          <w:szCs w:val="22"/>
        </w:rPr>
        <w:t>work</w:t>
      </w:r>
      <w:r w:rsidR="00E23A87" w:rsidRPr="009A7EEC">
        <w:rPr>
          <w:rFonts w:cs="Arial"/>
          <w:i/>
          <w:szCs w:val="22"/>
        </w:rPr>
        <w:t>.</w:t>
      </w:r>
    </w:p>
    <w:p w:rsidR="00DA47B7" w:rsidRPr="009A7EEC" w:rsidRDefault="00DA47B7" w:rsidP="00B934B6">
      <w:pPr>
        <w:rPr>
          <w:rFonts w:cs="Arial"/>
          <w:i/>
          <w:szCs w:val="22"/>
        </w:rPr>
      </w:pPr>
      <w:r w:rsidRPr="00E028B6">
        <w:rPr>
          <w:rStyle w:val="Strong"/>
        </w:rPr>
        <w:t>Bullying</w:t>
      </w:r>
      <w:r w:rsidRPr="009A7EEC">
        <w:rPr>
          <w:rFonts w:cs="Arial"/>
          <w:i/>
          <w:szCs w:val="22"/>
        </w:rPr>
        <w:t xml:space="preserve"> repeated unreasonable behaviour that creates risk to health and safety</w:t>
      </w:r>
      <w:r w:rsidR="00E23A87" w:rsidRPr="009A7EEC">
        <w:rPr>
          <w:rFonts w:cs="Arial"/>
          <w:i/>
          <w:szCs w:val="22"/>
        </w:rPr>
        <w:t>.</w:t>
      </w:r>
    </w:p>
    <w:p w:rsidR="00DA47B7" w:rsidRPr="009A7EEC" w:rsidRDefault="00DA47B7" w:rsidP="00B934B6">
      <w:pPr>
        <w:rPr>
          <w:rFonts w:cs="Arial"/>
          <w:szCs w:val="22"/>
        </w:rPr>
      </w:pPr>
      <w:r w:rsidRPr="00E028B6">
        <w:rPr>
          <w:rStyle w:val="Strong"/>
        </w:rPr>
        <w:t>CATI</w:t>
      </w:r>
      <w:r w:rsidRPr="009A7EEC">
        <w:rPr>
          <w:rFonts w:cs="Arial"/>
          <w:szCs w:val="22"/>
        </w:rPr>
        <w:t xml:space="preserve"> </w:t>
      </w:r>
      <w:r w:rsidRPr="009A7EEC">
        <w:rPr>
          <w:rFonts w:cs="Arial"/>
          <w:i/>
          <w:szCs w:val="22"/>
        </w:rPr>
        <w:t>Computer assisted telephone interviewing</w:t>
      </w:r>
      <w:r w:rsidR="00E23A87" w:rsidRPr="009A7EEC">
        <w:rPr>
          <w:rFonts w:cs="Arial"/>
          <w:szCs w:val="22"/>
        </w:rPr>
        <w:t>.</w:t>
      </w:r>
    </w:p>
    <w:p w:rsidR="00DA47B7" w:rsidRPr="009A7EEC" w:rsidRDefault="00DA47B7" w:rsidP="00B934B6">
      <w:pPr>
        <w:rPr>
          <w:rFonts w:cs="Arial"/>
          <w:i/>
          <w:szCs w:val="22"/>
        </w:rPr>
      </w:pPr>
      <w:r w:rsidRPr="00E028B6">
        <w:rPr>
          <w:rStyle w:val="Strong"/>
        </w:rPr>
        <w:t>Clustering at the organisational level</w:t>
      </w:r>
      <w:r w:rsidRPr="009A7EEC">
        <w:rPr>
          <w:rFonts w:cs="Arial"/>
          <w:szCs w:val="22"/>
        </w:rPr>
        <w:t xml:space="preserve"> </w:t>
      </w:r>
      <w:r w:rsidR="004D27D1" w:rsidRPr="009A7EEC">
        <w:rPr>
          <w:rFonts w:cs="Arial"/>
          <w:i/>
          <w:szCs w:val="22"/>
        </w:rPr>
        <w:t xml:space="preserve">is </w:t>
      </w:r>
      <w:r w:rsidR="00BC3B86" w:rsidRPr="009A7EEC">
        <w:rPr>
          <w:rFonts w:cs="Arial"/>
          <w:i/>
          <w:szCs w:val="22"/>
        </w:rPr>
        <w:t>clustering</w:t>
      </w:r>
      <w:r w:rsidRPr="009A7EEC">
        <w:rPr>
          <w:rFonts w:cs="Arial"/>
          <w:i/>
          <w:szCs w:val="22"/>
        </w:rPr>
        <w:t xml:space="preserve"> groups of individuals from different organisations to get more accurate average perceptions of PSC and other organisational factors to compare different </w:t>
      </w:r>
      <w:r w:rsidR="00BC3B86" w:rsidRPr="009A7EEC">
        <w:rPr>
          <w:rFonts w:cs="Arial"/>
          <w:i/>
          <w:szCs w:val="22"/>
        </w:rPr>
        <w:t>organisations</w:t>
      </w:r>
      <w:r w:rsidR="00E23A87" w:rsidRPr="009A7EEC">
        <w:rPr>
          <w:rFonts w:cs="Arial"/>
          <w:i/>
          <w:szCs w:val="22"/>
        </w:rPr>
        <w:t>.</w:t>
      </w:r>
    </w:p>
    <w:p w:rsidR="00DA47B7" w:rsidRPr="009A7EEC" w:rsidRDefault="00DA47B7" w:rsidP="00B934B6">
      <w:pPr>
        <w:rPr>
          <w:rFonts w:cs="Arial"/>
          <w:i/>
          <w:iCs/>
          <w:szCs w:val="22"/>
        </w:rPr>
      </w:pPr>
      <w:r w:rsidRPr="00E028B6">
        <w:rPr>
          <w:rStyle w:val="Strong"/>
        </w:rPr>
        <w:t>Correlations</w:t>
      </w:r>
      <w:r w:rsidR="00BC3B86" w:rsidRPr="009A7EEC">
        <w:rPr>
          <w:rFonts w:cs="Arial"/>
          <w:i/>
          <w:iCs/>
          <w:szCs w:val="22"/>
        </w:rPr>
        <w:t xml:space="preserve"> </w:t>
      </w:r>
      <w:r w:rsidRPr="009A7EEC">
        <w:rPr>
          <w:rFonts w:cs="Arial"/>
          <w:i/>
          <w:iCs/>
          <w:szCs w:val="22"/>
        </w:rPr>
        <w:t>are a measure of the degree of linear relationship between two variables, for example, a positive correlation between PSC and organisational rewards indicates that at PSC improves, so do rewards.</w:t>
      </w:r>
    </w:p>
    <w:p w:rsidR="00DA47B7" w:rsidRPr="009964AD" w:rsidRDefault="00DA47B7" w:rsidP="00B934B6">
      <w:pPr>
        <w:rPr>
          <w:rFonts w:cs="Arial"/>
          <w:color w:val="auto"/>
          <w:szCs w:val="22"/>
        </w:rPr>
      </w:pPr>
      <w:r w:rsidRPr="00E028B6">
        <w:rPr>
          <w:rStyle w:val="Strong"/>
        </w:rPr>
        <w:t>Co-worker support</w:t>
      </w:r>
      <w:r w:rsidRPr="009A7EEC">
        <w:rPr>
          <w:rFonts w:cs="Arial"/>
          <w:szCs w:val="22"/>
        </w:rPr>
        <w:t xml:space="preserve"> </w:t>
      </w:r>
      <w:r w:rsidRPr="009A7EEC">
        <w:rPr>
          <w:rFonts w:cs="Arial"/>
          <w:i/>
          <w:szCs w:val="22"/>
        </w:rPr>
        <w:t xml:space="preserve">is </w:t>
      </w:r>
      <w:r w:rsidRPr="009A7EEC">
        <w:rPr>
          <w:rFonts w:cs="Arial"/>
          <w:i/>
          <w:szCs w:val="22"/>
          <w:lang w:eastAsia="ja-JP"/>
        </w:rPr>
        <w:t>social support given by co-workers on the job</w:t>
      </w:r>
      <w:r w:rsidR="00E23A87" w:rsidRPr="009A7EEC">
        <w:rPr>
          <w:rFonts w:cs="Arial"/>
          <w:i/>
          <w:szCs w:val="22"/>
          <w:lang w:eastAsia="ja-JP"/>
        </w:rPr>
        <w:t>.</w:t>
      </w:r>
    </w:p>
    <w:p w:rsidR="00DA47B7" w:rsidRPr="009A7EEC" w:rsidRDefault="00DA47B7" w:rsidP="00B934B6">
      <w:pPr>
        <w:rPr>
          <w:rFonts w:cs="Arial"/>
          <w:szCs w:val="22"/>
        </w:rPr>
      </w:pPr>
      <w:r w:rsidRPr="00E028B6">
        <w:rPr>
          <w:rStyle w:val="Strong"/>
        </w:rPr>
        <w:t xml:space="preserve">Cross-sectional design </w:t>
      </w:r>
      <w:r w:rsidRPr="009A7EEC">
        <w:rPr>
          <w:rFonts w:cs="Arial"/>
          <w:i/>
          <w:szCs w:val="22"/>
        </w:rPr>
        <w:t>uses data gathered once at roughly the same time to establish correlational relationships</w:t>
      </w:r>
      <w:r w:rsidR="00E23A87" w:rsidRPr="009A7EEC">
        <w:rPr>
          <w:rFonts w:cs="Arial"/>
          <w:i/>
          <w:szCs w:val="22"/>
        </w:rPr>
        <w:t>.</w:t>
      </w:r>
    </w:p>
    <w:p w:rsidR="00DA47B7" w:rsidRPr="009A7EEC" w:rsidRDefault="00DA47B7" w:rsidP="00B934B6">
      <w:pPr>
        <w:rPr>
          <w:rFonts w:cs="Arial"/>
          <w:szCs w:val="22"/>
        </w:rPr>
      </w:pPr>
      <w:r w:rsidRPr="00E028B6">
        <w:rPr>
          <w:rStyle w:val="Strong"/>
        </w:rPr>
        <w:t>Decision authority</w:t>
      </w:r>
      <w:r w:rsidRPr="009A7EEC">
        <w:rPr>
          <w:rFonts w:cs="Arial"/>
          <w:szCs w:val="22"/>
        </w:rPr>
        <w:t xml:space="preserve"> </w:t>
      </w:r>
      <w:r w:rsidRPr="009A7EEC">
        <w:rPr>
          <w:rFonts w:cs="Arial"/>
          <w:i/>
          <w:szCs w:val="22"/>
        </w:rPr>
        <w:t xml:space="preserve">is a person’s ability to influence </w:t>
      </w:r>
      <w:r w:rsidR="00BC3B86" w:rsidRPr="009A7EEC">
        <w:rPr>
          <w:rFonts w:cs="Arial"/>
          <w:i/>
          <w:szCs w:val="22"/>
        </w:rPr>
        <w:t xml:space="preserve">decisions </w:t>
      </w:r>
      <w:r w:rsidRPr="009A7EEC">
        <w:rPr>
          <w:rFonts w:cs="Arial"/>
          <w:i/>
          <w:szCs w:val="22"/>
        </w:rPr>
        <w:t>in the workplace</w:t>
      </w:r>
      <w:r w:rsidR="00E23A87" w:rsidRPr="009A7EEC">
        <w:rPr>
          <w:rFonts w:cs="Arial"/>
          <w:i/>
          <w:szCs w:val="22"/>
        </w:rPr>
        <w:t>.</w:t>
      </w:r>
    </w:p>
    <w:p w:rsidR="00DA47B7" w:rsidRPr="009A7EEC" w:rsidRDefault="00DA47B7" w:rsidP="00B934B6">
      <w:pPr>
        <w:rPr>
          <w:rFonts w:cs="Arial"/>
          <w:szCs w:val="22"/>
        </w:rPr>
      </w:pPr>
      <w:r w:rsidRPr="00E028B6">
        <w:rPr>
          <w:rStyle w:val="Strong"/>
        </w:rPr>
        <w:t>Dedication</w:t>
      </w:r>
      <w:r w:rsidRPr="009A7EEC">
        <w:rPr>
          <w:rFonts w:cs="Arial"/>
          <w:szCs w:val="22"/>
        </w:rPr>
        <w:t xml:space="preserve"> </w:t>
      </w:r>
      <w:r w:rsidRPr="009A7EEC">
        <w:rPr>
          <w:rFonts w:cs="Arial"/>
          <w:i/>
          <w:szCs w:val="22"/>
        </w:rPr>
        <w:t>concerns enthusiastic involvement in challenging tasks.</w:t>
      </w:r>
      <w:r w:rsidRPr="009A7EEC">
        <w:rPr>
          <w:rFonts w:cs="Arial"/>
          <w:szCs w:val="22"/>
        </w:rPr>
        <w:t xml:space="preserve"> </w:t>
      </w:r>
    </w:p>
    <w:p w:rsidR="00DA47B7" w:rsidRPr="009A7EEC" w:rsidRDefault="00DA47B7" w:rsidP="00B934B6">
      <w:pPr>
        <w:rPr>
          <w:rFonts w:cs="Arial"/>
          <w:szCs w:val="22"/>
        </w:rPr>
      </w:pPr>
      <w:r w:rsidRPr="00E028B6">
        <w:rPr>
          <w:rStyle w:val="Strong"/>
        </w:rPr>
        <w:t>Demographic variables</w:t>
      </w:r>
      <w:r w:rsidRPr="009A7EEC">
        <w:rPr>
          <w:rFonts w:cs="Arial"/>
          <w:szCs w:val="22"/>
        </w:rPr>
        <w:t xml:space="preserve"> </w:t>
      </w:r>
      <w:r w:rsidRPr="009A7EEC">
        <w:rPr>
          <w:rFonts w:cs="Arial"/>
          <w:i/>
          <w:szCs w:val="22"/>
        </w:rPr>
        <w:t>are factors such as age, gender and other variables such as income or migration status</w:t>
      </w:r>
      <w:r w:rsidR="00E23A87" w:rsidRPr="009A7EEC">
        <w:rPr>
          <w:rFonts w:cs="Arial"/>
          <w:i/>
          <w:szCs w:val="22"/>
        </w:rPr>
        <w:t>.</w:t>
      </w:r>
    </w:p>
    <w:p w:rsidR="00DA47B7" w:rsidRPr="009964AD" w:rsidRDefault="00DA47B7" w:rsidP="00B934B6">
      <w:pPr>
        <w:rPr>
          <w:rFonts w:cs="Arial"/>
          <w:color w:val="auto"/>
          <w:szCs w:val="22"/>
        </w:rPr>
      </w:pPr>
      <w:r w:rsidRPr="00FA0702">
        <w:rPr>
          <w:rStyle w:val="Strong"/>
        </w:rPr>
        <w:t>Depression</w:t>
      </w:r>
      <w:r w:rsidRPr="009A7EEC">
        <w:rPr>
          <w:rFonts w:cs="Arial"/>
          <w:szCs w:val="22"/>
        </w:rPr>
        <w:t xml:space="preserve"> </w:t>
      </w:r>
      <w:r w:rsidRPr="009A7EEC">
        <w:rPr>
          <w:rFonts w:cs="Arial"/>
          <w:i/>
          <w:szCs w:val="22"/>
        </w:rPr>
        <w:t>is a mental disorder characterised by often chronic impairment of the individual’s ability to fulfil daily responsibilities such as self-care. Symptoms include lowered mood, reduced interest and self-worth, disturbed sleep/appetite, and lethargy.</w:t>
      </w:r>
    </w:p>
    <w:p w:rsidR="00DA47B7" w:rsidRPr="009964AD" w:rsidRDefault="00DA47B7" w:rsidP="00B934B6">
      <w:pPr>
        <w:rPr>
          <w:rFonts w:cs="Arial"/>
          <w:b/>
          <w:color w:val="auto"/>
          <w:szCs w:val="22"/>
        </w:rPr>
      </w:pPr>
      <w:r w:rsidRPr="00FA0702">
        <w:rPr>
          <w:rStyle w:val="Strong"/>
        </w:rPr>
        <w:t>Emotional demands</w:t>
      </w:r>
      <w:r w:rsidRPr="009964AD">
        <w:rPr>
          <w:rFonts w:cs="Arial"/>
          <w:b/>
          <w:color w:val="auto"/>
          <w:szCs w:val="22"/>
        </w:rPr>
        <w:t xml:space="preserve"> </w:t>
      </w:r>
      <w:r w:rsidRPr="009964AD">
        <w:rPr>
          <w:rFonts w:cs="Arial"/>
          <w:i/>
          <w:color w:val="auto"/>
          <w:szCs w:val="22"/>
        </w:rPr>
        <w:t>are the level of emotional effort required to perform in a given situation</w:t>
      </w:r>
      <w:r w:rsidR="00E23A87" w:rsidRPr="009964AD">
        <w:rPr>
          <w:rFonts w:cs="Arial"/>
          <w:i/>
          <w:color w:val="auto"/>
          <w:szCs w:val="22"/>
        </w:rPr>
        <w:t>.</w:t>
      </w:r>
    </w:p>
    <w:p w:rsidR="00DA47B7" w:rsidRPr="009A7EEC" w:rsidRDefault="00DA47B7" w:rsidP="00B934B6">
      <w:pPr>
        <w:rPr>
          <w:rFonts w:cs="Arial"/>
          <w:szCs w:val="22"/>
        </w:rPr>
      </w:pPr>
      <w:r w:rsidRPr="00FA0702">
        <w:rPr>
          <w:rStyle w:val="Strong"/>
        </w:rPr>
        <w:t>Employee health</w:t>
      </w:r>
      <w:r w:rsidRPr="009A7EEC">
        <w:rPr>
          <w:rFonts w:cs="Arial"/>
          <w:szCs w:val="22"/>
        </w:rPr>
        <w:t xml:space="preserve"> </w:t>
      </w:r>
      <w:r w:rsidRPr="009A7EEC">
        <w:rPr>
          <w:rFonts w:cs="Arial"/>
          <w:i/>
          <w:szCs w:val="22"/>
        </w:rPr>
        <w:t>is the physical and mental status of a worker’s wellbeing</w:t>
      </w:r>
      <w:r w:rsidR="00E23A87" w:rsidRPr="009A7EEC">
        <w:rPr>
          <w:rFonts w:cs="Arial"/>
          <w:i/>
          <w:szCs w:val="22"/>
        </w:rPr>
        <w:t>.</w:t>
      </w:r>
    </w:p>
    <w:p w:rsidR="00DA47B7" w:rsidRPr="009A7EEC" w:rsidRDefault="00DA47B7" w:rsidP="00B934B6">
      <w:pPr>
        <w:rPr>
          <w:rFonts w:cs="Arial"/>
          <w:i/>
          <w:szCs w:val="22"/>
        </w:rPr>
      </w:pPr>
      <w:r w:rsidRPr="00FA0702">
        <w:rPr>
          <w:rStyle w:val="Strong"/>
        </w:rPr>
        <w:t>Engagement</w:t>
      </w:r>
      <w:r w:rsidRPr="009A7EEC">
        <w:rPr>
          <w:rFonts w:cs="Arial"/>
          <w:szCs w:val="22"/>
        </w:rPr>
        <w:t xml:space="preserve"> </w:t>
      </w:r>
      <w:r w:rsidRPr="009A7EEC">
        <w:rPr>
          <w:rFonts w:cs="Arial"/>
          <w:i/>
          <w:szCs w:val="22"/>
        </w:rPr>
        <w:t xml:space="preserve">consists of vigour, dedication, and absorption, the three of which comprise the affective-motivational state of an ‘engaged’ worker. With all these characteristics combined, the </w:t>
      </w:r>
      <w:r w:rsidRPr="009A7EEC">
        <w:rPr>
          <w:rFonts w:cs="Arial"/>
          <w:i/>
          <w:szCs w:val="22"/>
        </w:rPr>
        <w:lastRenderedPageBreak/>
        <w:t>engaged worker is enthusiastic and tackles work energetically to the point that time passes relatively quickly for them.</w:t>
      </w:r>
    </w:p>
    <w:p w:rsidR="00DA47B7" w:rsidRPr="009A7EEC" w:rsidRDefault="00DA47B7" w:rsidP="00B934B6">
      <w:pPr>
        <w:rPr>
          <w:rFonts w:cs="Arial"/>
          <w:szCs w:val="22"/>
        </w:rPr>
      </w:pPr>
      <w:r w:rsidRPr="00FA0702">
        <w:rPr>
          <w:rStyle w:val="Strong"/>
        </w:rPr>
        <w:t>Exhaustion</w:t>
      </w:r>
      <w:r w:rsidRPr="009A7EEC">
        <w:rPr>
          <w:rFonts w:cs="Arial"/>
          <w:szCs w:val="22"/>
        </w:rPr>
        <w:t xml:space="preserve"> </w:t>
      </w:r>
      <w:r w:rsidRPr="009A7EEC">
        <w:rPr>
          <w:rFonts w:cs="Arial"/>
          <w:i/>
          <w:szCs w:val="22"/>
        </w:rPr>
        <w:t>at work is a negative state that results from extended involvement in demanding environments</w:t>
      </w:r>
      <w:r w:rsidR="00E23A87" w:rsidRPr="009A7EEC">
        <w:rPr>
          <w:rFonts w:cs="Arial"/>
          <w:i/>
          <w:szCs w:val="22"/>
        </w:rPr>
        <w:t>.</w:t>
      </w:r>
    </w:p>
    <w:p w:rsidR="00DA47B7" w:rsidRPr="009A7EEC" w:rsidRDefault="00DA47B7" w:rsidP="00B934B6">
      <w:pPr>
        <w:rPr>
          <w:rFonts w:cs="Arial"/>
          <w:szCs w:val="22"/>
        </w:rPr>
      </w:pPr>
      <w:r w:rsidRPr="00FA0702">
        <w:rPr>
          <w:rStyle w:val="Strong"/>
        </w:rPr>
        <w:t>Harassment</w:t>
      </w:r>
      <w:r w:rsidRPr="009A7EEC">
        <w:rPr>
          <w:rFonts w:cs="Arial"/>
          <w:szCs w:val="22"/>
        </w:rPr>
        <w:t xml:space="preserve"> </w:t>
      </w:r>
      <w:r w:rsidRPr="009A7EEC">
        <w:rPr>
          <w:rFonts w:cs="Arial"/>
          <w:i/>
          <w:szCs w:val="22"/>
        </w:rPr>
        <w:t>is a wide range of offensive and/or unwanted behaviours based on factors such as race, gender or sexual orientation</w:t>
      </w:r>
      <w:r w:rsidR="00E23A87" w:rsidRPr="009A7EEC">
        <w:rPr>
          <w:rFonts w:cs="Arial"/>
          <w:i/>
          <w:szCs w:val="22"/>
        </w:rPr>
        <w:t>.</w:t>
      </w:r>
    </w:p>
    <w:p w:rsidR="00DA47B7" w:rsidRPr="009A7EEC" w:rsidRDefault="00DA47B7" w:rsidP="00B934B6">
      <w:pPr>
        <w:rPr>
          <w:rFonts w:cs="Arial"/>
          <w:i/>
          <w:szCs w:val="22"/>
        </w:rPr>
      </w:pPr>
      <w:r w:rsidRPr="00FA0702">
        <w:rPr>
          <w:rStyle w:val="Strong"/>
        </w:rPr>
        <w:t>Health erosion pathway</w:t>
      </w:r>
      <w:r w:rsidRPr="009A7EEC">
        <w:rPr>
          <w:rFonts w:cs="Arial"/>
          <w:i/>
          <w:szCs w:val="22"/>
        </w:rPr>
        <w:t xml:space="preserve"> suggests that effort to cope with chronic job demands leads to an erosion of a worker’s energy reserve which in turn leads to negative responses, and in the longer term to psychological injury and health problems</w:t>
      </w:r>
      <w:r w:rsidR="00E23A87" w:rsidRPr="009A7EEC">
        <w:rPr>
          <w:rFonts w:cs="Arial"/>
          <w:i/>
          <w:szCs w:val="22"/>
        </w:rPr>
        <w:t>.</w:t>
      </w:r>
    </w:p>
    <w:p w:rsidR="00DA47B7" w:rsidRPr="009A7EEC" w:rsidRDefault="00DA47B7" w:rsidP="00B934B6">
      <w:pPr>
        <w:rPr>
          <w:rFonts w:cs="Arial"/>
          <w:szCs w:val="22"/>
        </w:rPr>
      </w:pPr>
      <w:r w:rsidRPr="00FA0702">
        <w:rPr>
          <w:rStyle w:val="Strong"/>
        </w:rPr>
        <w:t>Health outcomes</w:t>
      </w:r>
      <w:r w:rsidRPr="009A7EEC">
        <w:rPr>
          <w:rFonts w:cs="Arial"/>
          <w:szCs w:val="22"/>
        </w:rPr>
        <w:t xml:space="preserve"> </w:t>
      </w:r>
      <w:r w:rsidRPr="009A7EEC">
        <w:rPr>
          <w:rFonts w:cs="Arial"/>
          <w:i/>
          <w:szCs w:val="22"/>
        </w:rPr>
        <w:t>are a change in the health status o</w:t>
      </w:r>
      <w:r w:rsidR="007566E0" w:rsidRPr="009A7EEC">
        <w:rPr>
          <w:rFonts w:cs="Arial"/>
          <w:i/>
          <w:szCs w:val="22"/>
        </w:rPr>
        <w:t>f</w:t>
      </w:r>
      <w:r w:rsidRPr="009A7EEC">
        <w:rPr>
          <w:rFonts w:cs="Arial"/>
          <w:i/>
          <w:szCs w:val="22"/>
        </w:rPr>
        <w:t xml:space="preserve"> a person or group such as mental or physical wellbeing</w:t>
      </w:r>
      <w:r w:rsidR="00E23A87" w:rsidRPr="009A7EEC">
        <w:rPr>
          <w:rFonts w:cs="Arial"/>
          <w:i/>
          <w:szCs w:val="22"/>
        </w:rPr>
        <w:t>.</w:t>
      </w:r>
    </w:p>
    <w:p w:rsidR="00DA47B7" w:rsidRPr="009A7EEC" w:rsidRDefault="00DA47B7" w:rsidP="00B934B6">
      <w:pPr>
        <w:rPr>
          <w:rFonts w:cs="Arial"/>
          <w:szCs w:val="22"/>
        </w:rPr>
      </w:pPr>
      <w:r w:rsidRPr="00FA0702">
        <w:rPr>
          <w:rStyle w:val="Strong"/>
        </w:rPr>
        <w:t>High risk groups</w:t>
      </w:r>
      <w:r w:rsidRPr="009A7EEC">
        <w:rPr>
          <w:rFonts w:cs="Arial"/>
          <w:i/>
          <w:szCs w:val="22"/>
        </w:rPr>
        <w:t xml:space="preserve"> collections of individuals with the immediate potential to succumb to negative outcomes</w:t>
      </w:r>
      <w:r w:rsidR="00BC3B86" w:rsidRPr="009A7EEC">
        <w:rPr>
          <w:rFonts w:cs="Arial"/>
          <w:i/>
          <w:szCs w:val="22"/>
        </w:rPr>
        <w:t xml:space="preserve"> because of an impending factor</w:t>
      </w:r>
      <w:r w:rsidRPr="009A7EEC">
        <w:rPr>
          <w:rFonts w:cs="Arial"/>
          <w:i/>
          <w:szCs w:val="22"/>
        </w:rPr>
        <w:t xml:space="preserve"> (groups may be industries, etc.)</w:t>
      </w:r>
      <w:r w:rsidR="00E23A87" w:rsidRPr="009A7EEC">
        <w:rPr>
          <w:rFonts w:cs="Arial"/>
          <w:i/>
          <w:szCs w:val="22"/>
        </w:rPr>
        <w:t>.</w:t>
      </w:r>
    </w:p>
    <w:p w:rsidR="00DA47B7" w:rsidRPr="009A7EEC" w:rsidRDefault="00DA47B7" w:rsidP="00B934B6">
      <w:pPr>
        <w:rPr>
          <w:rFonts w:cs="Arial"/>
          <w:szCs w:val="22"/>
        </w:rPr>
      </w:pPr>
      <w:r w:rsidRPr="00FA0702">
        <w:rPr>
          <w:rStyle w:val="Strong"/>
        </w:rPr>
        <w:t>Job control</w:t>
      </w:r>
      <w:r w:rsidRPr="009A7EEC">
        <w:rPr>
          <w:rFonts w:cs="Arial"/>
          <w:szCs w:val="22"/>
        </w:rPr>
        <w:t xml:space="preserve"> </w:t>
      </w:r>
      <w:r w:rsidR="00BC3B86" w:rsidRPr="009A7EEC">
        <w:rPr>
          <w:rFonts w:cs="Arial"/>
          <w:szCs w:val="22"/>
        </w:rPr>
        <w:t xml:space="preserve">refers to </w:t>
      </w:r>
      <w:r w:rsidRPr="009A7EEC">
        <w:rPr>
          <w:rFonts w:cs="Arial"/>
          <w:i/>
          <w:color w:val="000000"/>
          <w:szCs w:val="22"/>
        </w:rPr>
        <w:t>skill discretion, decision authority, macro-decision latitude</w:t>
      </w:r>
      <w:r w:rsidR="00E23A87" w:rsidRPr="009A7EEC">
        <w:rPr>
          <w:rFonts w:cs="Arial"/>
          <w:i/>
          <w:color w:val="000000"/>
          <w:szCs w:val="22"/>
        </w:rPr>
        <w:t>.</w:t>
      </w:r>
    </w:p>
    <w:p w:rsidR="00DA47B7" w:rsidRPr="009A7EEC" w:rsidRDefault="00DA47B7" w:rsidP="00B934B6">
      <w:pPr>
        <w:rPr>
          <w:rFonts w:cs="Arial"/>
          <w:szCs w:val="22"/>
        </w:rPr>
      </w:pPr>
      <w:r w:rsidRPr="00FA0702">
        <w:rPr>
          <w:rStyle w:val="Strong"/>
        </w:rPr>
        <w:t>Job demands</w:t>
      </w:r>
      <w:r w:rsidRPr="009A7EEC">
        <w:rPr>
          <w:rFonts w:cs="Arial"/>
          <w:szCs w:val="22"/>
        </w:rPr>
        <w:t xml:space="preserve"> </w:t>
      </w:r>
      <w:r w:rsidRPr="009A7EEC">
        <w:rPr>
          <w:rFonts w:cs="Arial"/>
          <w:i/>
          <w:szCs w:val="22"/>
        </w:rPr>
        <w:t xml:space="preserve">factors that have to be completed at work that create any </w:t>
      </w:r>
      <w:r w:rsidRPr="009A7EEC">
        <w:rPr>
          <w:rFonts w:cs="Arial"/>
          <w:i/>
          <w:color w:val="000000"/>
          <w:szCs w:val="22"/>
        </w:rPr>
        <w:t>psychological, physical, or emotional job demands</w:t>
      </w:r>
      <w:r w:rsidR="00E23A87" w:rsidRPr="009A7EEC">
        <w:rPr>
          <w:rFonts w:cs="Arial"/>
          <w:szCs w:val="22"/>
        </w:rPr>
        <w:t>.</w:t>
      </w:r>
    </w:p>
    <w:p w:rsidR="00DA47B7" w:rsidRPr="009A7EEC" w:rsidRDefault="00DA47B7" w:rsidP="00B934B6">
      <w:pPr>
        <w:rPr>
          <w:rFonts w:cs="Arial"/>
          <w:szCs w:val="22"/>
        </w:rPr>
      </w:pPr>
      <w:r w:rsidRPr="00FA0702">
        <w:rPr>
          <w:rStyle w:val="Strong"/>
        </w:rPr>
        <w:t xml:space="preserve">Job Demands-Resources (JD-R) model </w:t>
      </w:r>
      <w:r w:rsidR="00BC3B86" w:rsidRPr="00FA0702">
        <w:rPr>
          <w:rStyle w:val="Strong"/>
        </w:rPr>
        <w:t>proposes that</w:t>
      </w:r>
      <w:r w:rsidR="00BC3B86" w:rsidRPr="009A7EEC">
        <w:rPr>
          <w:rFonts w:cs="Arial"/>
          <w:b/>
          <w:szCs w:val="22"/>
        </w:rPr>
        <w:t xml:space="preserve"> </w:t>
      </w:r>
      <w:r w:rsidRPr="009A7EEC">
        <w:rPr>
          <w:rFonts w:cs="Arial"/>
          <w:i/>
          <w:szCs w:val="22"/>
        </w:rPr>
        <w:t>psychosocial work conditions, particularly job demands are significant predictors of employee health via a health erosion pathway. The model further predicts that job resources will be related to work engagement and productivity outcomes via a motivation pathway</w:t>
      </w:r>
      <w:r w:rsidR="00E23A87" w:rsidRPr="009A7EEC">
        <w:rPr>
          <w:rFonts w:cs="Arial"/>
          <w:i/>
          <w:szCs w:val="22"/>
        </w:rPr>
        <w:t>.</w:t>
      </w:r>
    </w:p>
    <w:p w:rsidR="00DA47B7" w:rsidRPr="009A7EEC" w:rsidRDefault="00DA47B7" w:rsidP="00B934B6">
      <w:pPr>
        <w:rPr>
          <w:rFonts w:cs="Arial"/>
          <w:i/>
          <w:szCs w:val="22"/>
        </w:rPr>
      </w:pPr>
      <w:r w:rsidRPr="00FA0702">
        <w:rPr>
          <w:rStyle w:val="Strong"/>
        </w:rPr>
        <w:t>Job resources</w:t>
      </w:r>
      <w:r w:rsidRPr="009A7EEC">
        <w:rPr>
          <w:rFonts w:cs="Arial"/>
          <w:szCs w:val="22"/>
        </w:rPr>
        <w:t xml:space="preserve"> </w:t>
      </w:r>
      <w:r w:rsidRPr="009A7EEC">
        <w:rPr>
          <w:rFonts w:cs="Arial"/>
          <w:i/>
          <w:szCs w:val="22"/>
        </w:rPr>
        <w:t xml:space="preserve">factors that assist in achieving work goals, such as </w:t>
      </w:r>
      <w:r w:rsidRPr="009A7EEC">
        <w:rPr>
          <w:rFonts w:cs="Arial"/>
          <w:i/>
          <w:color w:val="000000"/>
          <w:szCs w:val="22"/>
        </w:rPr>
        <w:t>justice and rewards</w:t>
      </w:r>
      <w:r w:rsidR="00E23A87" w:rsidRPr="009A7EEC">
        <w:rPr>
          <w:rFonts w:cs="Arial"/>
          <w:i/>
          <w:color w:val="000000"/>
          <w:szCs w:val="22"/>
        </w:rPr>
        <w:t>.</w:t>
      </w:r>
    </w:p>
    <w:p w:rsidR="00DA47B7" w:rsidRPr="009A7EEC" w:rsidRDefault="00DA47B7" w:rsidP="00B934B6">
      <w:pPr>
        <w:rPr>
          <w:rFonts w:cs="Arial"/>
          <w:szCs w:val="22"/>
        </w:rPr>
      </w:pPr>
      <w:r w:rsidRPr="00FA0702">
        <w:rPr>
          <w:rStyle w:val="Strong"/>
        </w:rPr>
        <w:t>Job satisfaction</w:t>
      </w:r>
      <w:r w:rsidRPr="009A7EEC">
        <w:rPr>
          <w:rFonts w:cs="Arial"/>
          <w:szCs w:val="22"/>
        </w:rPr>
        <w:t xml:space="preserve"> </w:t>
      </w:r>
      <w:r w:rsidR="00BC3B86" w:rsidRPr="009A7EEC">
        <w:rPr>
          <w:rFonts w:cs="Arial"/>
          <w:szCs w:val="22"/>
        </w:rPr>
        <w:t xml:space="preserve">is </w:t>
      </w:r>
      <w:r w:rsidRPr="009A7EEC">
        <w:rPr>
          <w:rFonts w:cs="Arial"/>
          <w:i/>
          <w:szCs w:val="22"/>
        </w:rPr>
        <w:t>a one item measure of an individual’s overall satisfaction with work</w:t>
      </w:r>
      <w:r w:rsidR="00E23A87" w:rsidRPr="009A7EEC">
        <w:rPr>
          <w:rFonts w:cs="Arial"/>
          <w:i/>
          <w:szCs w:val="22"/>
        </w:rPr>
        <w:t>.</w:t>
      </w:r>
    </w:p>
    <w:p w:rsidR="00DA47B7" w:rsidRPr="009A7EEC" w:rsidRDefault="00DA47B7" w:rsidP="00B934B6">
      <w:pPr>
        <w:rPr>
          <w:rFonts w:cs="Arial"/>
          <w:szCs w:val="22"/>
        </w:rPr>
      </w:pPr>
      <w:r w:rsidRPr="00FA0702">
        <w:rPr>
          <w:rStyle w:val="Strong"/>
        </w:rPr>
        <w:t>Job security</w:t>
      </w:r>
      <w:r w:rsidRPr="009A7EEC">
        <w:rPr>
          <w:rFonts w:cs="Arial"/>
          <w:szCs w:val="22"/>
        </w:rPr>
        <w:t xml:space="preserve"> </w:t>
      </w:r>
      <w:r w:rsidR="00BC3B86" w:rsidRPr="009A7EEC">
        <w:rPr>
          <w:rFonts w:cs="Arial"/>
          <w:szCs w:val="22"/>
        </w:rPr>
        <w:t xml:space="preserve">is </w:t>
      </w:r>
      <w:r w:rsidRPr="009A7EEC">
        <w:rPr>
          <w:rFonts w:cs="Arial"/>
          <w:i/>
          <w:szCs w:val="22"/>
        </w:rPr>
        <w:t>the knowledge that one’s position at work is safe and stable</w:t>
      </w:r>
      <w:r w:rsidR="00E23A87" w:rsidRPr="009A7EEC">
        <w:rPr>
          <w:rFonts w:cs="Arial"/>
          <w:i/>
          <w:szCs w:val="22"/>
        </w:rPr>
        <w:t>.</w:t>
      </w:r>
    </w:p>
    <w:p w:rsidR="00DA47B7" w:rsidRPr="009A7EEC" w:rsidRDefault="00DA47B7" w:rsidP="00B934B6">
      <w:pPr>
        <w:rPr>
          <w:rFonts w:cs="Arial"/>
          <w:szCs w:val="22"/>
        </w:rPr>
      </w:pPr>
      <w:r w:rsidRPr="00FA0702">
        <w:rPr>
          <w:rStyle w:val="Strong"/>
        </w:rPr>
        <w:t>Macro-decision latitude</w:t>
      </w:r>
      <w:r w:rsidRPr="009A7EEC">
        <w:rPr>
          <w:rFonts w:cs="Arial"/>
          <w:szCs w:val="22"/>
        </w:rPr>
        <w:t xml:space="preserve"> </w:t>
      </w:r>
      <w:r w:rsidRPr="009A7EEC">
        <w:rPr>
          <w:rFonts w:cs="Arial"/>
          <w:i/>
          <w:szCs w:val="22"/>
        </w:rPr>
        <w:t>is the capacity for influencing decision making processes at the organisational level</w:t>
      </w:r>
      <w:r w:rsidR="00E23A87" w:rsidRPr="009A7EEC">
        <w:rPr>
          <w:rFonts w:cs="Arial"/>
          <w:i/>
          <w:szCs w:val="22"/>
        </w:rPr>
        <w:t>.</w:t>
      </w:r>
    </w:p>
    <w:p w:rsidR="00DA47B7" w:rsidRPr="009A7EEC" w:rsidRDefault="00DA47B7" w:rsidP="00B934B6">
      <w:pPr>
        <w:rPr>
          <w:rFonts w:cs="Arial"/>
          <w:i/>
          <w:szCs w:val="22"/>
        </w:rPr>
      </w:pPr>
      <w:r w:rsidRPr="00FA0702">
        <w:rPr>
          <w:rStyle w:val="Strong"/>
        </w:rPr>
        <w:t>Management commitment</w:t>
      </w:r>
      <w:r w:rsidRPr="009A7EEC">
        <w:rPr>
          <w:rFonts w:cs="Arial"/>
          <w:szCs w:val="22"/>
        </w:rPr>
        <w:t xml:space="preserve"> </w:t>
      </w:r>
      <w:r w:rsidRPr="009A7EEC">
        <w:rPr>
          <w:rFonts w:cs="Arial"/>
          <w:i/>
          <w:szCs w:val="22"/>
        </w:rPr>
        <w:t>is a PSC subscale that reflects the commitment and support management give to work stress prevention and the protection of psychological health</w:t>
      </w:r>
      <w:r w:rsidR="00E23A87" w:rsidRPr="009A7EEC">
        <w:rPr>
          <w:rFonts w:cs="Arial"/>
          <w:i/>
          <w:szCs w:val="22"/>
        </w:rPr>
        <w:t>.</w:t>
      </w:r>
    </w:p>
    <w:p w:rsidR="00DA47B7" w:rsidRPr="009A7EEC" w:rsidRDefault="00DA47B7" w:rsidP="00B934B6">
      <w:pPr>
        <w:rPr>
          <w:rFonts w:cs="Arial"/>
          <w:i/>
          <w:szCs w:val="22"/>
        </w:rPr>
      </w:pPr>
      <w:r w:rsidRPr="00FA0702">
        <w:rPr>
          <w:rStyle w:val="Strong"/>
        </w:rPr>
        <w:t>Management priority</w:t>
      </w:r>
      <w:r w:rsidRPr="009A7EEC">
        <w:rPr>
          <w:rFonts w:cs="Arial"/>
          <w:szCs w:val="22"/>
        </w:rPr>
        <w:t xml:space="preserve"> </w:t>
      </w:r>
      <w:r w:rsidRPr="009A7EEC">
        <w:rPr>
          <w:rFonts w:cs="Arial"/>
          <w:i/>
          <w:szCs w:val="22"/>
        </w:rPr>
        <w:t>is a PSC subscale that relates to the pri</w:t>
      </w:r>
      <w:r w:rsidR="00683BFB" w:rsidRPr="009A7EEC">
        <w:rPr>
          <w:rFonts w:cs="Arial"/>
          <w:i/>
          <w:szCs w:val="22"/>
        </w:rPr>
        <w:t>ority of concern management has</w:t>
      </w:r>
      <w:r w:rsidRPr="009A7EEC">
        <w:rPr>
          <w:rFonts w:cs="Arial"/>
          <w:i/>
          <w:szCs w:val="22"/>
        </w:rPr>
        <w:t xml:space="preserve"> about the psychological health of workers versus productivity imperatives</w:t>
      </w:r>
      <w:r w:rsidR="00E23A87" w:rsidRPr="009A7EEC">
        <w:rPr>
          <w:rFonts w:cs="Arial"/>
          <w:i/>
          <w:szCs w:val="22"/>
        </w:rPr>
        <w:t>.</w:t>
      </w:r>
    </w:p>
    <w:p w:rsidR="00DA47B7" w:rsidRPr="009A7EEC" w:rsidRDefault="00DA47B7" w:rsidP="00B934B6">
      <w:pPr>
        <w:rPr>
          <w:rFonts w:cs="Arial"/>
          <w:szCs w:val="22"/>
        </w:rPr>
      </w:pPr>
      <w:r w:rsidRPr="00FA0702">
        <w:rPr>
          <w:rStyle w:val="Strong"/>
        </w:rPr>
        <w:t>Mediation</w:t>
      </w:r>
      <w:r w:rsidRPr="009A7EEC">
        <w:rPr>
          <w:rFonts w:cs="Arial"/>
          <w:szCs w:val="22"/>
        </w:rPr>
        <w:t xml:space="preserve"> </w:t>
      </w:r>
      <w:r w:rsidRPr="009A7EEC">
        <w:rPr>
          <w:rFonts w:cs="Arial"/>
          <w:i/>
          <w:szCs w:val="22"/>
        </w:rPr>
        <w:t>is when a variable explains all or part of the relationship between a predictor and outcome</w:t>
      </w:r>
      <w:r w:rsidR="00E23A87" w:rsidRPr="009A7EEC">
        <w:rPr>
          <w:rFonts w:cs="Arial"/>
          <w:i/>
          <w:szCs w:val="22"/>
        </w:rPr>
        <w:t>.</w:t>
      </w:r>
    </w:p>
    <w:p w:rsidR="00DA47B7" w:rsidRPr="009A7EEC" w:rsidRDefault="00DA47B7" w:rsidP="00B934B6">
      <w:pPr>
        <w:rPr>
          <w:rFonts w:cs="Arial"/>
          <w:szCs w:val="22"/>
        </w:rPr>
      </w:pPr>
      <w:proofErr w:type="gramStart"/>
      <w:r w:rsidRPr="00FA0702">
        <w:rPr>
          <w:rStyle w:val="Strong"/>
        </w:rPr>
        <w:t>Mental health outcomes</w:t>
      </w:r>
      <w:r w:rsidRPr="009A7EEC">
        <w:rPr>
          <w:rFonts w:cs="Arial"/>
          <w:szCs w:val="22"/>
        </w:rPr>
        <w:t xml:space="preserve"> </w:t>
      </w:r>
      <w:r w:rsidRPr="009A7EEC">
        <w:rPr>
          <w:rFonts w:cs="Arial"/>
          <w:i/>
          <w:szCs w:val="22"/>
        </w:rPr>
        <w:t xml:space="preserve">psychological states including </w:t>
      </w:r>
      <w:r w:rsidRPr="009A7EEC">
        <w:rPr>
          <w:rFonts w:cs="Arial"/>
          <w:i/>
          <w:color w:val="000000"/>
          <w:szCs w:val="22"/>
        </w:rPr>
        <w:t>emotional exhaustion, psychological distress, and depression</w:t>
      </w:r>
      <w:r w:rsidR="00E23A87" w:rsidRPr="009A7EEC">
        <w:rPr>
          <w:rFonts w:cs="Arial"/>
          <w:i/>
          <w:color w:val="000000"/>
          <w:szCs w:val="22"/>
        </w:rPr>
        <w:t>.</w:t>
      </w:r>
      <w:proofErr w:type="gramEnd"/>
    </w:p>
    <w:p w:rsidR="00DA47B7" w:rsidRPr="009A7EEC" w:rsidRDefault="00DA47B7" w:rsidP="00B934B6">
      <w:pPr>
        <w:rPr>
          <w:rFonts w:cs="Arial"/>
          <w:szCs w:val="22"/>
        </w:rPr>
      </w:pPr>
      <w:r w:rsidRPr="00FA0702">
        <w:rPr>
          <w:rStyle w:val="Strong"/>
        </w:rPr>
        <w:t>Moderation</w:t>
      </w:r>
      <w:r w:rsidRPr="009A7EEC">
        <w:rPr>
          <w:rFonts w:cs="Arial"/>
          <w:szCs w:val="22"/>
        </w:rPr>
        <w:t xml:space="preserve"> </w:t>
      </w:r>
      <w:r w:rsidRPr="009A7EEC">
        <w:rPr>
          <w:rFonts w:cs="Arial"/>
          <w:i/>
          <w:szCs w:val="22"/>
        </w:rPr>
        <w:t>is when a variable affects the direction and/or strength or a relationship between a predictor and outcome</w:t>
      </w:r>
      <w:r w:rsidR="00E23A87" w:rsidRPr="009A7EEC">
        <w:rPr>
          <w:rFonts w:cs="Arial"/>
          <w:i/>
          <w:szCs w:val="22"/>
        </w:rPr>
        <w:t>.</w:t>
      </w:r>
    </w:p>
    <w:p w:rsidR="00DA47B7" w:rsidRPr="009A7EEC" w:rsidRDefault="00DA47B7" w:rsidP="00B934B6">
      <w:pPr>
        <w:rPr>
          <w:rFonts w:cs="Arial"/>
          <w:szCs w:val="22"/>
        </w:rPr>
      </w:pPr>
      <w:r w:rsidRPr="00FA0702">
        <w:rPr>
          <w:rStyle w:val="Strong"/>
        </w:rPr>
        <w:lastRenderedPageBreak/>
        <w:t>Motivational outcomes</w:t>
      </w:r>
      <w:r w:rsidRPr="009A7EEC">
        <w:rPr>
          <w:rFonts w:cs="Arial"/>
          <w:szCs w:val="22"/>
        </w:rPr>
        <w:t xml:space="preserve"> </w:t>
      </w:r>
      <w:r w:rsidR="00BC3B86" w:rsidRPr="009A7EEC">
        <w:rPr>
          <w:rFonts w:cs="Arial"/>
          <w:szCs w:val="22"/>
        </w:rPr>
        <w:t xml:space="preserve">included </w:t>
      </w:r>
      <w:r w:rsidRPr="009A7EEC">
        <w:rPr>
          <w:rFonts w:cs="Arial"/>
          <w:i/>
          <w:szCs w:val="22"/>
        </w:rPr>
        <w:t xml:space="preserve">individual </w:t>
      </w:r>
      <w:r w:rsidR="00BC3B86" w:rsidRPr="009A7EEC">
        <w:rPr>
          <w:rFonts w:cs="Arial"/>
          <w:i/>
          <w:szCs w:val="22"/>
        </w:rPr>
        <w:t>propensity</w:t>
      </w:r>
      <w:r w:rsidRPr="009A7EEC">
        <w:rPr>
          <w:rFonts w:cs="Arial"/>
          <w:i/>
          <w:szCs w:val="22"/>
        </w:rPr>
        <w:t xml:space="preserve"> to perform well or poorly in their workplace, such as work engagement</w:t>
      </w:r>
      <w:r w:rsidR="00E23A87" w:rsidRPr="009A7EEC">
        <w:rPr>
          <w:rFonts w:cs="Arial"/>
          <w:i/>
          <w:szCs w:val="22"/>
        </w:rPr>
        <w:t>.</w:t>
      </w:r>
    </w:p>
    <w:p w:rsidR="00DA47B7" w:rsidRPr="009A7EEC" w:rsidRDefault="00DA47B7" w:rsidP="00B934B6">
      <w:pPr>
        <w:rPr>
          <w:rFonts w:cs="Arial"/>
          <w:szCs w:val="22"/>
        </w:rPr>
      </w:pPr>
      <w:r w:rsidRPr="00FA0702">
        <w:rPr>
          <w:rStyle w:val="Strong"/>
        </w:rPr>
        <w:t>Motivational pathway</w:t>
      </w:r>
      <w:r w:rsidRPr="009A7EEC">
        <w:rPr>
          <w:rFonts w:cs="Arial"/>
          <w:szCs w:val="22"/>
        </w:rPr>
        <w:t xml:space="preserve"> </w:t>
      </w:r>
      <w:r w:rsidRPr="009A7EEC">
        <w:rPr>
          <w:rFonts w:cs="Arial"/>
          <w:i/>
          <w:szCs w:val="22"/>
        </w:rPr>
        <w:t>adequate resources are motivating and lead to engagement, and in turn to positive organisational outcomes such as improved performance</w:t>
      </w:r>
      <w:r w:rsidR="00E23A87" w:rsidRPr="009A7EEC">
        <w:rPr>
          <w:rFonts w:cs="Arial"/>
          <w:i/>
          <w:szCs w:val="22"/>
        </w:rPr>
        <w:t>.</w:t>
      </w:r>
    </w:p>
    <w:p w:rsidR="00DA47B7" w:rsidRPr="009A7EEC" w:rsidRDefault="00DA47B7" w:rsidP="00B934B6">
      <w:pPr>
        <w:rPr>
          <w:rFonts w:cs="Arial"/>
          <w:szCs w:val="22"/>
        </w:rPr>
      </w:pPr>
      <w:r w:rsidRPr="00FA0702">
        <w:rPr>
          <w:rStyle w:val="Strong"/>
        </w:rPr>
        <w:t>Organisation communication</w:t>
      </w:r>
      <w:r w:rsidRPr="009A7EEC">
        <w:rPr>
          <w:rFonts w:cs="Arial"/>
          <w:i/>
          <w:szCs w:val="22"/>
        </w:rPr>
        <w:t xml:space="preserve"> is a PSC subscale that refers to communication of information about psychological well-being and psychological safety issues, and listening to the contributions of employees about occupational health and safety concerns</w:t>
      </w:r>
      <w:r w:rsidR="00E23A87" w:rsidRPr="009A7EEC">
        <w:rPr>
          <w:rFonts w:cs="Arial"/>
          <w:i/>
          <w:szCs w:val="22"/>
        </w:rPr>
        <w:t>.</w:t>
      </w:r>
    </w:p>
    <w:p w:rsidR="00DA47B7" w:rsidRPr="009A7EEC" w:rsidRDefault="00DA47B7" w:rsidP="00B934B6">
      <w:pPr>
        <w:rPr>
          <w:rFonts w:cs="Arial"/>
          <w:i/>
          <w:szCs w:val="22"/>
        </w:rPr>
      </w:pPr>
      <w:r w:rsidRPr="00FA0702">
        <w:rPr>
          <w:rStyle w:val="Strong"/>
        </w:rPr>
        <w:t>Organisation participation</w:t>
      </w:r>
      <w:r w:rsidRPr="009A7EEC">
        <w:rPr>
          <w:rFonts w:cs="Arial"/>
          <w:szCs w:val="22"/>
        </w:rPr>
        <w:t xml:space="preserve"> </w:t>
      </w:r>
      <w:r w:rsidRPr="009A7EEC">
        <w:rPr>
          <w:rFonts w:cs="Arial"/>
          <w:i/>
          <w:szCs w:val="22"/>
        </w:rPr>
        <w:t>is a PSC subscale that reflects the extent of participation, consultation and involvement of all stakeholders and levels of the organisation in stress prevention</w:t>
      </w:r>
      <w:r w:rsidR="00E23A87" w:rsidRPr="009A7EEC">
        <w:rPr>
          <w:rFonts w:cs="Arial"/>
          <w:i/>
          <w:szCs w:val="22"/>
        </w:rPr>
        <w:t>.</w:t>
      </w:r>
    </w:p>
    <w:p w:rsidR="00DA47B7" w:rsidRPr="009A7EEC" w:rsidRDefault="00DA47B7" w:rsidP="00B934B6">
      <w:pPr>
        <w:rPr>
          <w:rFonts w:cs="Arial"/>
          <w:szCs w:val="22"/>
        </w:rPr>
      </w:pPr>
      <w:r w:rsidRPr="00FA0702">
        <w:rPr>
          <w:rStyle w:val="Strong"/>
        </w:rPr>
        <w:t>Organisational justice</w:t>
      </w:r>
      <w:r w:rsidRPr="009A7EEC">
        <w:rPr>
          <w:rFonts w:cs="Arial"/>
          <w:szCs w:val="22"/>
        </w:rPr>
        <w:t xml:space="preserve"> </w:t>
      </w:r>
      <w:r w:rsidR="00683BFB" w:rsidRPr="009A7EEC">
        <w:rPr>
          <w:rFonts w:cs="Arial"/>
          <w:i/>
          <w:szCs w:val="22"/>
        </w:rPr>
        <w:t>relates to adherence to</w:t>
      </w:r>
      <w:r w:rsidRPr="009A7EEC">
        <w:rPr>
          <w:rFonts w:cs="Arial"/>
          <w:i/>
          <w:szCs w:val="22"/>
        </w:rPr>
        <w:t xml:space="preserve"> fair processes, equal say, </w:t>
      </w:r>
      <w:proofErr w:type="gramStart"/>
      <w:r w:rsidRPr="009A7EEC">
        <w:rPr>
          <w:rFonts w:cs="Arial"/>
          <w:i/>
          <w:szCs w:val="22"/>
        </w:rPr>
        <w:t>the</w:t>
      </w:r>
      <w:proofErr w:type="gramEnd"/>
      <w:r w:rsidRPr="009A7EEC">
        <w:rPr>
          <w:rFonts w:cs="Arial"/>
          <w:i/>
          <w:szCs w:val="22"/>
        </w:rPr>
        <w:t xml:space="preserve"> expectation of respect from others, and general equality expected in implicit norms in the workplace</w:t>
      </w:r>
      <w:r w:rsidR="00E23A87" w:rsidRPr="009A7EEC">
        <w:rPr>
          <w:rFonts w:cs="Arial"/>
          <w:i/>
          <w:szCs w:val="22"/>
        </w:rPr>
        <w:t>.</w:t>
      </w:r>
    </w:p>
    <w:p w:rsidR="00DA47B7" w:rsidRPr="009A7EEC" w:rsidRDefault="00DA47B7" w:rsidP="00B934B6">
      <w:pPr>
        <w:rPr>
          <w:rFonts w:cs="Arial"/>
          <w:szCs w:val="22"/>
        </w:rPr>
      </w:pPr>
      <w:r w:rsidRPr="00FA0702">
        <w:rPr>
          <w:rStyle w:val="Strong"/>
        </w:rPr>
        <w:t>Organisational level</w:t>
      </w:r>
      <w:r w:rsidRPr="009A7EEC">
        <w:rPr>
          <w:rFonts w:cs="Arial"/>
          <w:szCs w:val="22"/>
        </w:rPr>
        <w:t xml:space="preserve">, </w:t>
      </w:r>
      <w:r w:rsidRPr="009A7EEC">
        <w:rPr>
          <w:rFonts w:cs="Arial"/>
          <w:i/>
          <w:szCs w:val="22"/>
        </w:rPr>
        <w:t xml:space="preserve">for example </w:t>
      </w:r>
      <w:r w:rsidRPr="009A7EEC">
        <w:rPr>
          <w:rFonts w:cs="Arial"/>
          <w:i/>
          <w:szCs w:val="22"/>
          <w:lang w:val="en-US"/>
        </w:rPr>
        <w:t xml:space="preserve">PSC is largely determined by management attitudes and values </w:t>
      </w:r>
      <w:r w:rsidR="00BC3B86" w:rsidRPr="009A7EEC">
        <w:rPr>
          <w:rFonts w:cs="Arial"/>
          <w:i/>
          <w:szCs w:val="22"/>
          <w:lang w:val="en-US"/>
        </w:rPr>
        <w:t xml:space="preserve">- </w:t>
      </w:r>
      <w:r w:rsidRPr="009A7EEC">
        <w:rPr>
          <w:rFonts w:cs="Arial"/>
          <w:i/>
          <w:szCs w:val="22"/>
          <w:lang w:val="en-US"/>
        </w:rPr>
        <w:t>w</w:t>
      </w:r>
      <w:r w:rsidRPr="009A7EEC">
        <w:rPr>
          <w:rFonts w:cs="Arial"/>
          <w:bCs/>
          <w:i/>
          <w:szCs w:val="22"/>
          <w:lang w:val="en-GB"/>
        </w:rPr>
        <w:t>e theorise that PSC will vary within and between organisations.</w:t>
      </w:r>
    </w:p>
    <w:p w:rsidR="00DA47B7" w:rsidRPr="009A7EEC" w:rsidRDefault="00DA47B7" w:rsidP="00B934B6">
      <w:pPr>
        <w:rPr>
          <w:rFonts w:cs="Arial"/>
          <w:szCs w:val="22"/>
        </w:rPr>
      </w:pPr>
      <w:r w:rsidRPr="00FA0702">
        <w:rPr>
          <w:rStyle w:val="Strong"/>
        </w:rPr>
        <w:t>Overall psychological health</w:t>
      </w:r>
      <w:r w:rsidRPr="009A7EEC">
        <w:rPr>
          <w:rFonts w:cs="Arial"/>
          <w:szCs w:val="22"/>
        </w:rPr>
        <w:t xml:space="preserve"> </w:t>
      </w:r>
      <w:r w:rsidR="00BC3B86" w:rsidRPr="009A7EEC">
        <w:rPr>
          <w:rFonts w:cs="Arial"/>
          <w:szCs w:val="22"/>
        </w:rPr>
        <w:t xml:space="preserve">is </w:t>
      </w:r>
      <w:r w:rsidRPr="009A7EEC">
        <w:rPr>
          <w:rFonts w:cs="Arial"/>
          <w:i/>
          <w:szCs w:val="22"/>
        </w:rPr>
        <w:t>a score derived from the standardisation of emotional exhaustion, psychological distress, and depression.</w:t>
      </w:r>
    </w:p>
    <w:p w:rsidR="00DA47B7" w:rsidRPr="009A7EEC" w:rsidRDefault="00DA47B7" w:rsidP="00B934B6">
      <w:pPr>
        <w:rPr>
          <w:rFonts w:cs="Arial"/>
          <w:szCs w:val="22"/>
        </w:rPr>
      </w:pPr>
      <w:r w:rsidRPr="00FA0702">
        <w:rPr>
          <w:rStyle w:val="Strong"/>
        </w:rPr>
        <w:t>Overall wellbeing</w:t>
      </w:r>
      <w:r w:rsidRPr="009A7EEC">
        <w:rPr>
          <w:rFonts w:cs="Arial"/>
          <w:szCs w:val="22"/>
        </w:rPr>
        <w:t xml:space="preserve"> </w:t>
      </w:r>
      <w:r w:rsidRPr="009A7EEC">
        <w:rPr>
          <w:rFonts w:cs="Arial"/>
          <w:i/>
          <w:szCs w:val="22"/>
        </w:rPr>
        <w:t>is a score derived from the standardisation of general physical health with emotional exhaustion, psychological distress, and depression.</w:t>
      </w:r>
    </w:p>
    <w:p w:rsidR="00DA47B7" w:rsidRPr="009A7EEC" w:rsidRDefault="00DA47B7" w:rsidP="00B934B6">
      <w:pPr>
        <w:rPr>
          <w:rFonts w:cs="Arial"/>
          <w:i/>
          <w:szCs w:val="22"/>
        </w:rPr>
      </w:pPr>
      <w:r w:rsidRPr="00FA0702">
        <w:rPr>
          <w:rStyle w:val="Strong"/>
        </w:rPr>
        <w:t>Physical health</w:t>
      </w:r>
      <w:r w:rsidRPr="009A7EEC">
        <w:rPr>
          <w:rFonts w:cs="Arial"/>
          <w:szCs w:val="22"/>
        </w:rPr>
        <w:t xml:space="preserve"> </w:t>
      </w:r>
      <w:r w:rsidRPr="009A7EEC">
        <w:rPr>
          <w:rFonts w:cs="Arial"/>
          <w:i/>
          <w:szCs w:val="22"/>
        </w:rPr>
        <w:t>outcomes refer to physical conditions that adversely affect their health</w:t>
      </w:r>
      <w:r w:rsidR="00E23A87" w:rsidRPr="009A7EEC">
        <w:rPr>
          <w:rFonts w:cs="Arial"/>
          <w:i/>
          <w:szCs w:val="22"/>
        </w:rPr>
        <w:t>.</w:t>
      </w:r>
    </w:p>
    <w:p w:rsidR="000E2FFA" w:rsidRPr="009A7EEC" w:rsidRDefault="000E2FFA" w:rsidP="00B934B6">
      <w:pPr>
        <w:rPr>
          <w:rFonts w:cs="Arial"/>
          <w:b/>
          <w:szCs w:val="22"/>
        </w:rPr>
      </w:pPr>
      <w:r w:rsidRPr="00FA0702">
        <w:rPr>
          <w:rStyle w:val="Strong"/>
        </w:rPr>
        <w:t>Presenteeism</w:t>
      </w:r>
      <w:r w:rsidRPr="009A7EEC">
        <w:rPr>
          <w:rFonts w:cs="Arial"/>
          <w:b/>
          <w:szCs w:val="22"/>
        </w:rPr>
        <w:t xml:space="preserve"> </w:t>
      </w:r>
      <w:r w:rsidRPr="009A7EEC">
        <w:rPr>
          <w:rFonts w:cs="Arial"/>
          <w:i/>
          <w:szCs w:val="22"/>
        </w:rPr>
        <w:t xml:space="preserve">unlike </w:t>
      </w:r>
      <w:proofErr w:type="gramStart"/>
      <w:r w:rsidRPr="009A7EEC">
        <w:rPr>
          <w:rFonts w:cs="Arial"/>
          <w:i/>
          <w:szCs w:val="22"/>
        </w:rPr>
        <w:t>absenteeism,</w:t>
      </w:r>
      <w:proofErr w:type="gramEnd"/>
      <w:r w:rsidRPr="009A7EEC">
        <w:rPr>
          <w:rFonts w:cs="Arial"/>
          <w:i/>
          <w:szCs w:val="22"/>
        </w:rPr>
        <w:t xml:space="preserve"> is where the employee does attend work but is not able to fully engage on the job due to distractions (physical, mental or emotional health, and problems such as job characteristics, or disruptions due to other life issues</w:t>
      </w:r>
      <w:r w:rsidR="00491E50" w:rsidRPr="009A7EEC">
        <w:rPr>
          <w:rFonts w:cs="Arial"/>
          <w:i/>
          <w:szCs w:val="22"/>
        </w:rPr>
        <w:t>)</w:t>
      </w:r>
      <w:r w:rsidR="00E23A87" w:rsidRPr="009A7EEC">
        <w:rPr>
          <w:rFonts w:cs="Arial"/>
          <w:i/>
          <w:szCs w:val="22"/>
        </w:rPr>
        <w:t>.</w:t>
      </w:r>
    </w:p>
    <w:p w:rsidR="00DA47B7" w:rsidRPr="009A7EEC" w:rsidRDefault="00DA47B7" w:rsidP="00B934B6">
      <w:pPr>
        <w:rPr>
          <w:rFonts w:cs="Arial"/>
          <w:i/>
          <w:szCs w:val="22"/>
        </w:rPr>
      </w:pPr>
      <w:r w:rsidRPr="00FA0702">
        <w:rPr>
          <w:rStyle w:val="Strong"/>
        </w:rPr>
        <w:t>Primary interventions</w:t>
      </w:r>
      <w:r w:rsidRPr="009A7EEC">
        <w:rPr>
          <w:rFonts w:cs="Arial"/>
          <w:szCs w:val="22"/>
        </w:rPr>
        <w:t xml:space="preserve"> </w:t>
      </w:r>
      <w:r w:rsidRPr="009A7EEC">
        <w:rPr>
          <w:rFonts w:cs="Arial"/>
          <w:i/>
          <w:szCs w:val="22"/>
        </w:rPr>
        <w:t>concerned with strategies aimed at the organisational level such as policy and procedure</w:t>
      </w:r>
      <w:r w:rsidR="00E23A87" w:rsidRPr="009A7EEC">
        <w:rPr>
          <w:rFonts w:cs="Arial"/>
          <w:i/>
          <w:szCs w:val="22"/>
        </w:rPr>
        <w:t>.</w:t>
      </w:r>
    </w:p>
    <w:p w:rsidR="00DA47B7" w:rsidRPr="009A7EEC" w:rsidRDefault="00DA47B7" w:rsidP="00B934B6">
      <w:pPr>
        <w:rPr>
          <w:rFonts w:cs="Arial"/>
          <w:i/>
          <w:szCs w:val="22"/>
        </w:rPr>
      </w:pPr>
      <w:r w:rsidRPr="00FA0702">
        <w:rPr>
          <w:rStyle w:val="Strong"/>
        </w:rPr>
        <w:t>Productivity</w:t>
      </w:r>
      <w:r w:rsidRPr="009A7EEC">
        <w:rPr>
          <w:rFonts w:cs="Arial"/>
          <w:i/>
          <w:szCs w:val="22"/>
        </w:rPr>
        <w:t xml:space="preserve"> is a measure of the efficiency in producing useful outputs</w:t>
      </w:r>
      <w:r w:rsidR="00E23A87" w:rsidRPr="009A7EEC">
        <w:rPr>
          <w:rFonts w:cs="Arial"/>
          <w:i/>
          <w:szCs w:val="22"/>
        </w:rPr>
        <w:t>.</w:t>
      </w:r>
    </w:p>
    <w:p w:rsidR="00DA47B7" w:rsidRPr="009A7EEC" w:rsidRDefault="008731C2" w:rsidP="00B934B6">
      <w:pPr>
        <w:rPr>
          <w:rFonts w:cs="Arial"/>
          <w:szCs w:val="22"/>
        </w:rPr>
      </w:pPr>
      <w:r w:rsidRPr="00FA0702">
        <w:rPr>
          <w:rStyle w:val="Strong"/>
        </w:rPr>
        <w:t>Work pressure</w:t>
      </w:r>
      <w:r w:rsidR="00DA47B7" w:rsidRPr="009A7EEC">
        <w:rPr>
          <w:rFonts w:cs="Arial"/>
          <w:szCs w:val="22"/>
        </w:rPr>
        <w:t xml:space="preserve"> </w:t>
      </w:r>
      <w:r w:rsidRPr="009A7EEC">
        <w:rPr>
          <w:rFonts w:cs="Arial"/>
          <w:i/>
          <w:szCs w:val="22"/>
        </w:rPr>
        <w:t>is</w:t>
      </w:r>
      <w:r w:rsidR="00DA47B7" w:rsidRPr="009A7EEC">
        <w:rPr>
          <w:rFonts w:cs="Arial"/>
          <w:i/>
          <w:szCs w:val="22"/>
        </w:rPr>
        <w:t xml:space="preserve"> the effort</w:t>
      </w:r>
      <w:r w:rsidRPr="009A7EEC">
        <w:rPr>
          <w:rFonts w:cs="Arial"/>
          <w:i/>
          <w:szCs w:val="22"/>
        </w:rPr>
        <w:t xml:space="preserve"> </w:t>
      </w:r>
      <w:r w:rsidR="00DA47B7" w:rsidRPr="009A7EEC">
        <w:rPr>
          <w:rFonts w:cs="Arial"/>
          <w:i/>
          <w:szCs w:val="22"/>
        </w:rPr>
        <w:t>required within a work role such as how hard and fast a person is required to perform their work tasks</w:t>
      </w:r>
      <w:r w:rsidR="00E23A87" w:rsidRPr="009A7EEC">
        <w:rPr>
          <w:rFonts w:cs="Arial"/>
          <w:i/>
          <w:szCs w:val="22"/>
        </w:rPr>
        <w:t>.</w:t>
      </w:r>
    </w:p>
    <w:p w:rsidR="00DA47B7" w:rsidRPr="009A7EEC" w:rsidRDefault="00DA47B7" w:rsidP="00B934B6">
      <w:pPr>
        <w:rPr>
          <w:rFonts w:cs="Arial"/>
          <w:szCs w:val="22"/>
        </w:rPr>
      </w:pPr>
      <w:r w:rsidRPr="00FA0702">
        <w:rPr>
          <w:rStyle w:val="Strong"/>
        </w:rPr>
        <w:t>Psychological distress</w:t>
      </w:r>
      <w:r w:rsidRPr="009A7EEC">
        <w:rPr>
          <w:rFonts w:cs="Arial"/>
          <w:i/>
          <w:szCs w:val="22"/>
        </w:rPr>
        <w:t xml:space="preserve"> is the effect of internal conflict or external stressors that causes a person suffering</w:t>
      </w:r>
      <w:r w:rsidR="00E23A87" w:rsidRPr="009A7EEC">
        <w:rPr>
          <w:rFonts w:cs="Arial"/>
          <w:i/>
          <w:szCs w:val="22"/>
        </w:rPr>
        <w:t>.</w:t>
      </w:r>
    </w:p>
    <w:p w:rsidR="00DA47B7" w:rsidRPr="009A7EEC" w:rsidRDefault="00DA47B7" w:rsidP="00B934B6">
      <w:pPr>
        <w:rPr>
          <w:rFonts w:cs="Arial"/>
          <w:szCs w:val="22"/>
        </w:rPr>
      </w:pPr>
      <w:r w:rsidRPr="00FA0702">
        <w:rPr>
          <w:rStyle w:val="Strong"/>
        </w:rPr>
        <w:t>Psychological health</w:t>
      </w:r>
      <w:r w:rsidRPr="009A7EEC">
        <w:rPr>
          <w:rFonts w:cs="Arial"/>
          <w:szCs w:val="22"/>
        </w:rPr>
        <w:t xml:space="preserve"> </w:t>
      </w:r>
      <w:r w:rsidR="00BC3B86" w:rsidRPr="009A7EEC">
        <w:rPr>
          <w:rFonts w:cs="Arial"/>
          <w:szCs w:val="22"/>
        </w:rPr>
        <w:t xml:space="preserve">is </w:t>
      </w:r>
      <w:r w:rsidRPr="009A7EEC">
        <w:rPr>
          <w:rFonts w:cs="Arial"/>
          <w:i/>
          <w:szCs w:val="22"/>
        </w:rPr>
        <w:t>a state of mental and emotional wellbeing where a person is able to cope with the demands required of them</w:t>
      </w:r>
      <w:r w:rsidR="00E23A87" w:rsidRPr="009A7EEC">
        <w:rPr>
          <w:rFonts w:cs="Arial"/>
          <w:i/>
          <w:szCs w:val="22"/>
        </w:rPr>
        <w:t>.</w:t>
      </w:r>
    </w:p>
    <w:p w:rsidR="00DA47B7" w:rsidRPr="009A7EEC" w:rsidRDefault="00DA47B7" w:rsidP="00B934B6">
      <w:pPr>
        <w:rPr>
          <w:rFonts w:cs="Arial"/>
          <w:szCs w:val="22"/>
        </w:rPr>
      </w:pPr>
      <w:r w:rsidRPr="00FA0702">
        <w:rPr>
          <w:rStyle w:val="Strong"/>
        </w:rPr>
        <w:t>Psychological illnesses</w:t>
      </w:r>
      <w:r w:rsidRPr="009A7EEC">
        <w:rPr>
          <w:rFonts w:cs="Arial"/>
          <w:szCs w:val="22"/>
        </w:rPr>
        <w:t xml:space="preserve"> </w:t>
      </w:r>
      <w:r w:rsidRPr="009A7EEC">
        <w:rPr>
          <w:rFonts w:cs="Arial"/>
          <w:i/>
          <w:szCs w:val="22"/>
        </w:rPr>
        <w:t>involve a variety of conditions that impair an individual’s cognitive, emotional or behaviour functioning such as stress, anxiety or depression</w:t>
      </w:r>
      <w:r w:rsidR="00E23A87" w:rsidRPr="009A7EEC">
        <w:rPr>
          <w:rFonts w:cs="Arial"/>
          <w:i/>
          <w:szCs w:val="22"/>
        </w:rPr>
        <w:t>.</w:t>
      </w:r>
    </w:p>
    <w:p w:rsidR="00DA47B7" w:rsidRPr="009A7EEC" w:rsidRDefault="00DA47B7" w:rsidP="00B934B6">
      <w:pPr>
        <w:rPr>
          <w:rFonts w:cs="Arial"/>
          <w:szCs w:val="22"/>
        </w:rPr>
      </w:pPr>
      <w:r w:rsidRPr="00FA0702">
        <w:rPr>
          <w:rStyle w:val="Strong"/>
        </w:rPr>
        <w:t>Psychological injury claims</w:t>
      </w:r>
      <w:r w:rsidRPr="009A7EEC">
        <w:rPr>
          <w:rFonts w:cs="Arial"/>
          <w:szCs w:val="22"/>
        </w:rPr>
        <w:t xml:space="preserve"> </w:t>
      </w:r>
      <w:r w:rsidRPr="009A7EEC">
        <w:rPr>
          <w:rFonts w:cs="Arial"/>
          <w:i/>
          <w:szCs w:val="22"/>
        </w:rPr>
        <w:t xml:space="preserve">are made when a worker formally requests compensation for a </w:t>
      </w:r>
      <w:r w:rsidR="00BC3B86" w:rsidRPr="009A7EEC">
        <w:rPr>
          <w:rFonts w:cs="Arial"/>
          <w:i/>
          <w:szCs w:val="22"/>
        </w:rPr>
        <w:t>substantial impact</w:t>
      </w:r>
      <w:r w:rsidRPr="009A7EEC">
        <w:rPr>
          <w:rFonts w:cs="Arial"/>
          <w:i/>
          <w:szCs w:val="22"/>
        </w:rPr>
        <w:t xml:space="preserve"> </w:t>
      </w:r>
      <w:r w:rsidR="00BC3B86" w:rsidRPr="009A7EEC">
        <w:rPr>
          <w:rFonts w:cs="Arial"/>
          <w:i/>
          <w:szCs w:val="22"/>
        </w:rPr>
        <w:t xml:space="preserve">of work </w:t>
      </w:r>
      <w:r w:rsidRPr="009A7EEC">
        <w:rPr>
          <w:rFonts w:cs="Arial"/>
          <w:i/>
          <w:szCs w:val="22"/>
        </w:rPr>
        <w:t>on their psychological health under Australian law</w:t>
      </w:r>
      <w:r w:rsidR="00E23A87" w:rsidRPr="009A7EEC">
        <w:rPr>
          <w:rFonts w:cs="Arial"/>
          <w:i/>
          <w:szCs w:val="22"/>
        </w:rPr>
        <w:t>.</w:t>
      </w:r>
    </w:p>
    <w:p w:rsidR="00DA47B7" w:rsidRPr="009A7EEC" w:rsidRDefault="00DA47B7" w:rsidP="00B934B6">
      <w:pPr>
        <w:rPr>
          <w:rFonts w:cs="Arial"/>
          <w:szCs w:val="22"/>
        </w:rPr>
      </w:pPr>
      <w:r w:rsidRPr="00FA0702">
        <w:rPr>
          <w:rStyle w:val="Strong"/>
        </w:rPr>
        <w:lastRenderedPageBreak/>
        <w:t>Psychosocial hazards</w:t>
      </w:r>
      <w:r w:rsidRPr="009A7EEC">
        <w:rPr>
          <w:rFonts w:cs="Arial"/>
          <w:szCs w:val="22"/>
        </w:rPr>
        <w:t xml:space="preserve"> </w:t>
      </w:r>
      <w:r w:rsidRPr="009A7EEC">
        <w:rPr>
          <w:rFonts w:cs="Arial"/>
          <w:i/>
          <w:szCs w:val="22"/>
        </w:rPr>
        <w:t xml:space="preserve">are defined as aspects in the workplace such as job content, work organisation and management, environmental </w:t>
      </w:r>
      <w:r w:rsidR="005B4444" w:rsidRPr="009A7EEC">
        <w:rPr>
          <w:rFonts w:cs="Arial"/>
          <w:i/>
          <w:szCs w:val="22"/>
        </w:rPr>
        <w:t>and organisational conditions,</w:t>
      </w:r>
      <w:r w:rsidRPr="009A7EEC">
        <w:rPr>
          <w:rFonts w:cs="Arial"/>
          <w:i/>
          <w:szCs w:val="22"/>
        </w:rPr>
        <w:t xml:space="preserve"> and the employees' competencies and needs that have a hazardous influence over employees' health and wellbeing</w:t>
      </w:r>
      <w:r w:rsidR="00E23A87" w:rsidRPr="009A7EEC">
        <w:rPr>
          <w:rFonts w:cs="Arial"/>
          <w:i/>
          <w:szCs w:val="22"/>
        </w:rPr>
        <w:t>.</w:t>
      </w:r>
    </w:p>
    <w:p w:rsidR="00DA47B7" w:rsidRPr="009A7EEC" w:rsidRDefault="00DA47B7" w:rsidP="00B934B6">
      <w:pPr>
        <w:rPr>
          <w:rFonts w:cs="Arial"/>
          <w:szCs w:val="22"/>
        </w:rPr>
      </w:pPr>
      <w:r w:rsidRPr="00FA0702">
        <w:rPr>
          <w:rStyle w:val="Strong"/>
        </w:rPr>
        <w:t>Psychosocial risk</w:t>
      </w:r>
      <w:r w:rsidRPr="009A7EEC">
        <w:rPr>
          <w:rFonts w:cs="Arial"/>
          <w:szCs w:val="22"/>
        </w:rPr>
        <w:t xml:space="preserve"> </w:t>
      </w:r>
      <w:r w:rsidR="00BC3B86" w:rsidRPr="009A7EEC">
        <w:rPr>
          <w:rFonts w:cs="Arial"/>
          <w:i/>
          <w:szCs w:val="22"/>
        </w:rPr>
        <w:t>consists</w:t>
      </w:r>
      <w:r w:rsidRPr="009A7EEC">
        <w:rPr>
          <w:rFonts w:cs="Arial"/>
          <w:i/>
          <w:szCs w:val="22"/>
        </w:rPr>
        <w:t xml:space="preserve"> of workplace factors such as job content, work organisation and management, environmental workplace conditions, and employee’</w:t>
      </w:r>
      <w:r w:rsidR="005B4444" w:rsidRPr="009A7EEC">
        <w:rPr>
          <w:rFonts w:cs="Arial"/>
          <w:i/>
          <w:szCs w:val="22"/>
        </w:rPr>
        <w:t>s</w:t>
      </w:r>
      <w:r w:rsidRPr="009A7EEC">
        <w:rPr>
          <w:rFonts w:cs="Arial"/>
          <w:i/>
          <w:szCs w:val="22"/>
        </w:rPr>
        <w:t xml:space="preserve"> competencies</w:t>
      </w:r>
      <w:r w:rsidR="00BC3B86" w:rsidRPr="009A7EEC">
        <w:rPr>
          <w:rFonts w:cs="Arial"/>
          <w:i/>
          <w:szCs w:val="22"/>
        </w:rPr>
        <w:t xml:space="preserve"> and</w:t>
      </w:r>
      <w:r w:rsidRPr="009A7EEC">
        <w:rPr>
          <w:rFonts w:cs="Arial"/>
          <w:i/>
          <w:szCs w:val="22"/>
        </w:rPr>
        <w:t xml:space="preserve"> the interaction of all these variables that is recognised as having a potentially hazardous effect on employee health</w:t>
      </w:r>
      <w:r w:rsidR="00E23A87" w:rsidRPr="009A7EEC">
        <w:rPr>
          <w:rFonts w:cs="Arial"/>
          <w:i/>
          <w:szCs w:val="22"/>
        </w:rPr>
        <w:t>.</w:t>
      </w:r>
    </w:p>
    <w:p w:rsidR="00DA47B7" w:rsidRPr="009A7EEC" w:rsidRDefault="00DA47B7" w:rsidP="00B934B6">
      <w:pPr>
        <w:rPr>
          <w:rFonts w:cs="Arial"/>
          <w:szCs w:val="22"/>
        </w:rPr>
      </w:pPr>
      <w:r w:rsidRPr="00FA0702">
        <w:rPr>
          <w:rStyle w:val="Strong"/>
        </w:rPr>
        <w:t>Psychosocial risk factors</w:t>
      </w:r>
      <w:r w:rsidRPr="009A7EEC">
        <w:rPr>
          <w:rFonts w:cs="Arial"/>
          <w:szCs w:val="22"/>
        </w:rPr>
        <w:t xml:space="preserve"> </w:t>
      </w:r>
      <w:r w:rsidRPr="009A7EEC">
        <w:rPr>
          <w:rFonts w:cs="Arial"/>
          <w:i/>
          <w:szCs w:val="22"/>
        </w:rPr>
        <w:t>are factors in the workplace such as demands and resources that have the potential to cause psychological or physical harm</w:t>
      </w:r>
      <w:r w:rsidR="00E23A87" w:rsidRPr="009A7EEC">
        <w:rPr>
          <w:rFonts w:cs="Arial"/>
          <w:i/>
          <w:szCs w:val="22"/>
        </w:rPr>
        <w:t>.</w:t>
      </w:r>
    </w:p>
    <w:p w:rsidR="00DA47B7" w:rsidRPr="009A7EEC" w:rsidRDefault="00DA47B7" w:rsidP="00B934B6">
      <w:pPr>
        <w:rPr>
          <w:rFonts w:cs="Arial"/>
          <w:i/>
          <w:szCs w:val="22"/>
        </w:rPr>
      </w:pPr>
      <w:r w:rsidRPr="00FA0702">
        <w:rPr>
          <w:rStyle w:val="Strong"/>
        </w:rPr>
        <w:t>Psychosocial safety climate</w:t>
      </w:r>
      <w:r w:rsidRPr="009A7EEC">
        <w:rPr>
          <w:rFonts w:cs="Arial"/>
          <w:b/>
          <w:szCs w:val="22"/>
        </w:rPr>
        <w:t xml:space="preserve"> </w:t>
      </w:r>
      <w:r w:rsidRPr="009A7EEC">
        <w:rPr>
          <w:rFonts w:cs="Arial"/>
          <w:i/>
          <w:szCs w:val="22"/>
        </w:rPr>
        <w:t>refers to an organisation’s true priorities for the protection of worker psychological health that are largely reflected through enacted organisational policies, practices and procedures</w:t>
      </w:r>
      <w:r w:rsidR="00E23A87" w:rsidRPr="009A7EEC">
        <w:rPr>
          <w:rFonts w:cs="Arial"/>
          <w:i/>
          <w:szCs w:val="22"/>
        </w:rPr>
        <w:t>.</w:t>
      </w:r>
    </w:p>
    <w:p w:rsidR="000E2FFA" w:rsidRPr="009A7EEC" w:rsidRDefault="000E2FFA" w:rsidP="00B934B6">
      <w:pPr>
        <w:rPr>
          <w:rFonts w:cs="Arial"/>
          <w:i/>
          <w:iCs/>
          <w:szCs w:val="22"/>
        </w:rPr>
      </w:pPr>
      <w:r w:rsidRPr="00FA0702">
        <w:rPr>
          <w:rStyle w:val="Strong"/>
        </w:rPr>
        <w:t>Recovery</w:t>
      </w:r>
      <w:r w:rsidRPr="009A7EEC">
        <w:rPr>
          <w:rFonts w:cs="Arial"/>
          <w:b/>
          <w:bCs/>
          <w:szCs w:val="22"/>
        </w:rPr>
        <w:t xml:space="preserve"> </w:t>
      </w:r>
      <w:r w:rsidRPr="009A7EEC">
        <w:rPr>
          <w:rFonts w:cs="Arial"/>
          <w:i/>
          <w:iCs/>
          <w:szCs w:val="22"/>
        </w:rPr>
        <w:t>refers to the ability to recover between work periods</w:t>
      </w:r>
      <w:r w:rsidR="00E23A87" w:rsidRPr="009A7EEC">
        <w:rPr>
          <w:rFonts w:cs="Arial"/>
          <w:i/>
          <w:iCs/>
          <w:szCs w:val="22"/>
        </w:rPr>
        <w:t>.</w:t>
      </w:r>
    </w:p>
    <w:p w:rsidR="00DA47B7" w:rsidRPr="009A7EEC" w:rsidRDefault="00DA47B7" w:rsidP="00B934B6">
      <w:pPr>
        <w:rPr>
          <w:rFonts w:cs="Arial"/>
          <w:i/>
          <w:szCs w:val="22"/>
        </w:rPr>
      </w:pPr>
      <w:r w:rsidRPr="00FA0702">
        <w:rPr>
          <w:rStyle w:val="Strong"/>
        </w:rPr>
        <w:t>Regression analysis</w:t>
      </w:r>
      <w:r w:rsidRPr="009A7EEC">
        <w:rPr>
          <w:rFonts w:cs="Arial"/>
          <w:b/>
          <w:szCs w:val="22"/>
        </w:rPr>
        <w:t xml:space="preserve"> </w:t>
      </w:r>
      <w:r w:rsidRPr="009A7EEC">
        <w:rPr>
          <w:rFonts w:cs="Arial"/>
          <w:i/>
          <w:szCs w:val="22"/>
        </w:rPr>
        <w:t>test</w:t>
      </w:r>
      <w:r w:rsidR="00EF149C" w:rsidRPr="009A7EEC">
        <w:rPr>
          <w:rFonts w:cs="Arial"/>
          <w:i/>
          <w:szCs w:val="22"/>
        </w:rPr>
        <w:t>s</w:t>
      </w:r>
      <w:r w:rsidRPr="009A7EEC">
        <w:rPr>
          <w:rFonts w:cs="Arial"/>
          <w:i/>
          <w:szCs w:val="22"/>
        </w:rPr>
        <w:t xml:space="preserve"> how much variance is explained in a dependent variable by a number of explanatory variables</w:t>
      </w:r>
      <w:r w:rsidR="00E23A87" w:rsidRPr="009A7EEC">
        <w:rPr>
          <w:rFonts w:cs="Arial"/>
          <w:i/>
          <w:szCs w:val="22"/>
        </w:rPr>
        <w:t>.</w:t>
      </w:r>
    </w:p>
    <w:p w:rsidR="00DA47B7" w:rsidRPr="009A7EEC" w:rsidRDefault="00DA47B7" w:rsidP="00B934B6">
      <w:pPr>
        <w:rPr>
          <w:rFonts w:cs="Arial"/>
          <w:szCs w:val="22"/>
        </w:rPr>
      </w:pPr>
      <w:r w:rsidRPr="00FA0702">
        <w:rPr>
          <w:rStyle w:val="Strong"/>
        </w:rPr>
        <w:t>Role conflict</w:t>
      </w:r>
      <w:r w:rsidRPr="009A7EEC">
        <w:rPr>
          <w:rFonts w:cs="Arial"/>
          <w:szCs w:val="22"/>
        </w:rPr>
        <w:t xml:space="preserve"> </w:t>
      </w:r>
      <w:r w:rsidRPr="009A7EEC">
        <w:rPr>
          <w:rFonts w:cs="Arial"/>
          <w:i/>
          <w:szCs w:val="22"/>
        </w:rPr>
        <w:t>is when there is lack of compatibility between expectations within a person’s job role</w:t>
      </w:r>
      <w:r w:rsidR="00E23A87" w:rsidRPr="009A7EEC">
        <w:rPr>
          <w:rFonts w:cs="Arial"/>
          <w:i/>
          <w:szCs w:val="22"/>
        </w:rPr>
        <w:t>.</w:t>
      </w:r>
    </w:p>
    <w:p w:rsidR="00DA47B7" w:rsidRPr="009A7EEC" w:rsidRDefault="00DA47B7" w:rsidP="00B934B6">
      <w:pPr>
        <w:rPr>
          <w:rFonts w:cs="Arial"/>
          <w:i/>
          <w:szCs w:val="22"/>
        </w:rPr>
      </w:pPr>
      <w:r w:rsidRPr="00FA0702">
        <w:rPr>
          <w:rStyle w:val="Strong"/>
        </w:rPr>
        <w:t>Second wave of data</w:t>
      </w:r>
      <w:r w:rsidRPr="009A7EEC">
        <w:rPr>
          <w:rFonts w:cs="Arial"/>
          <w:b/>
          <w:i/>
          <w:szCs w:val="22"/>
        </w:rPr>
        <w:t xml:space="preserve"> </w:t>
      </w:r>
      <w:r w:rsidRPr="009A7EEC">
        <w:rPr>
          <w:rFonts w:cs="Arial"/>
          <w:i/>
          <w:szCs w:val="22"/>
        </w:rPr>
        <w:t>are follow-up responses from the participants at a later date. When time has passed between two waves of data collection it allo</w:t>
      </w:r>
      <w:r w:rsidR="00E23A87" w:rsidRPr="009A7EEC">
        <w:rPr>
          <w:rFonts w:cs="Arial"/>
          <w:i/>
          <w:szCs w:val="22"/>
        </w:rPr>
        <w:t>ws prediction of causal effects.</w:t>
      </w:r>
    </w:p>
    <w:p w:rsidR="00DA47B7" w:rsidRPr="009A7EEC" w:rsidRDefault="00DA47B7" w:rsidP="00B934B6">
      <w:pPr>
        <w:rPr>
          <w:rFonts w:cs="Arial"/>
          <w:i/>
          <w:szCs w:val="22"/>
        </w:rPr>
      </w:pPr>
      <w:r w:rsidRPr="00FA0702">
        <w:rPr>
          <w:rStyle w:val="Strong"/>
        </w:rPr>
        <w:t>Secondary interventions</w:t>
      </w:r>
      <w:r w:rsidRPr="009A7EEC">
        <w:rPr>
          <w:rFonts w:cs="Arial"/>
          <w:szCs w:val="22"/>
        </w:rPr>
        <w:t xml:space="preserve"> </w:t>
      </w:r>
      <w:r w:rsidRPr="009A7EEC">
        <w:rPr>
          <w:rFonts w:cs="Arial"/>
          <w:i/>
          <w:szCs w:val="22"/>
        </w:rPr>
        <w:t>are aimed more at the job design aspects including levels of demands and resources</w:t>
      </w:r>
      <w:r w:rsidR="00E23A87" w:rsidRPr="009A7EEC">
        <w:rPr>
          <w:rFonts w:cs="Arial"/>
          <w:i/>
          <w:szCs w:val="22"/>
        </w:rPr>
        <w:t>.</w:t>
      </w:r>
    </w:p>
    <w:p w:rsidR="00DA47B7" w:rsidRPr="009A7EEC" w:rsidRDefault="00DA47B7" w:rsidP="00B934B6">
      <w:pPr>
        <w:rPr>
          <w:rFonts w:cs="Arial"/>
          <w:i/>
          <w:szCs w:val="22"/>
        </w:rPr>
      </w:pPr>
      <w:proofErr w:type="gramStart"/>
      <w:r w:rsidRPr="00FA0702">
        <w:rPr>
          <w:rStyle w:val="Strong"/>
        </w:rPr>
        <w:t>Sickness absence</w:t>
      </w:r>
      <w:r w:rsidRPr="009A7EEC">
        <w:rPr>
          <w:rFonts w:cs="Arial"/>
          <w:szCs w:val="22"/>
        </w:rPr>
        <w:t xml:space="preserve"> </w:t>
      </w:r>
      <w:r w:rsidRPr="009A7EEC">
        <w:rPr>
          <w:rFonts w:cs="Arial"/>
          <w:i/>
          <w:szCs w:val="22"/>
        </w:rPr>
        <w:t>as per absenteeism, but only when the reason for absence is illness</w:t>
      </w:r>
      <w:r w:rsidR="00E23A87" w:rsidRPr="009A7EEC">
        <w:rPr>
          <w:rFonts w:cs="Arial"/>
          <w:i/>
          <w:szCs w:val="22"/>
        </w:rPr>
        <w:t>.</w:t>
      </w:r>
      <w:proofErr w:type="gramEnd"/>
    </w:p>
    <w:p w:rsidR="00DA47B7" w:rsidRPr="009A7EEC" w:rsidRDefault="00DA47B7" w:rsidP="00B934B6">
      <w:pPr>
        <w:rPr>
          <w:rFonts w:cs="Arial"/>
          <w:i/>
          <w:szCs w:val="22"/>
        </w:rPr>
      </w:pPr>
      <w:r w:rsidRPr="00FA0702">
        <w:rPr>
          <w:rStyle w:val="Strong"/>
        </w:rPr>
        <w:t>Stress claims</w:t>
      </w:r>
      <w:r w:rsidRPr="009A7EEC">
        <w:rPr>
          <w:rFonts w:cs="Arial"/>
          <w:i/>
          <w:szCs w:val="22"/>
        </w:rPr>
        <w:t xml:space="preserve"> </w:t>
      </w:r>
      <w:r w:rsidR="00EF149C" w:rsidRPr="009A7EEC">
        <w:rPr>
          <w:rFonts w:cs="Arial"/>
          <w:i/>
          <w:szCs w:val="22"/>
        </w:rPr>
        <w:t xml:space="preserve">are </w:t>
      </w:r>
      <w:r w:rsidRPr="009A7EEC">
        <w:rPr>
          <w:rFonts w:cs="Arial"/>
          <w:i/>
          <w:szCs w:val="22"/>
        </w:rPr>
        <w:t xml:space="preserve">worker’s compensation claims made for psychological </w:t>
      </w:r>
      <w:r w:rsidR="00EF149C" w:rsidRPr="009A7EEC">
        <w:rPr>
          <w:rFonts w:cs="Arial"/>
          <w:i/>
          <w:szCs w:val="22"/>
        </w:rPr>
        <w:t>conditions</w:t>
      </w:r>
      <w:r w:rsidRPr="009A7EEC">
        <w:rPr>
          <w:rFonts w:cs="Arial"/>
          <w:i/>
          <w:szCs w:val="22"/>
        </w:rPr>
        <w:t>, such as depression</w:t>
      </w:r>
      <w:r w:rsidR="00EF149C" w:rsidRPr="009A7EEC">
        <w:rPr>
          <w:rFonts w:cs="Arial"/>
          <w:i/>
          <w:szCs w:val="22"/>
        </w:rPr>
        <w:t>, that arise largely from work conditions</w:t>
      </w:r>
      <w:r w:rsidR="00E23A87" w:rsidRPr="009A7EEC">
        <w:rPr>
          <w:rFonts w:cs="Arial"/>
          <w:i/>
          <w:szCs w:val="22"/>
        </w:rPr>
        <w:t>.</w:t>
      </w:r>
    </w:p>
    <w:p w:rsidR="00DA47B7" w:rsidRPr="009A7EEC" w:rsidRDefault="00DA47B7" w:rsidP="00B934B6">
      <w:pPr>
        <w:rPr>
          <w:rFonts w:cs="Arial"/>
          <w:i/>
          <w:szCs w:val="22"/>
        </w:rPr>
      </w:pPr>
      <w:r w:rsidRPr="00FA0702">
        <w:rPr>
          <w:rStyle w:val="Strong"/>
        </w:rPr>
        <w:t>StressCafé</w:t>
      </w:r>
      <w:r w:rsidRPr="009A7EEC">
        <w:rPr>
          <w:rFonts w:cs="Arial"/>
          <w:szCs w:val="22"/>
        </w:rPr>
        <w:t xml:space="preserve"> </w:t>
      </w:r>
      <w:r w:rsidR="009A7A41" w:rsidRPr="009A7A41">
        <w:rPr>
          <w:rFonts w:cs="Arial"/>
          <w:i/>
          <w:szCs w:val="22"/>
        </w:rPr>
        <w:t xml:space="preserve">is </w:t>
      </w:r>
      <w:r w:rsidRPr="009A7EEC">
        <w:rPr>
          <w:rFonts w:cs="Arial"/>
          <w:i/>
          <w:szCs w:val="22"/>
        </w:rPr>
        <w:t>a website permitting collection of national level data using the Australian Workplace Barometer in an online medium</w:t>
      </w:r>
      <w:r w:rsidR="00E23A87" w:rsidRPr="009A7EEC">
        <w:rPr>
          <w:rFonts w:cs="Arial"/>
          <w:i/>
          <w:szCs w:val="22"/>
        </w:rPr>
        <w:t>.</w:t>
      </w:r>
    </w:p>
    <w:p w:rsidR="00DA47B7" w:rsidRPr="009A7EEC" w:rsidRDefault="00DA47B7" w:rsidP="00B934B6">
      <w:pPr>
        <w:rPr>
          <w:rFonts w:cs="Arial"/>
          <w:i/>
          <w:szCs w:val="22"/>
        </w:rPr>
      </w:pPr>
      <w:r w:rsidRPr="00FA0702">
        <w:rPr>
          <w:rStyle w:val="Strong"/>
        </w:rPr>
        <w:t>Support</w:t>
      </w:r>
      <w:r w:rsidRPr="009A7EEC">
        <w:rPr>
          <w:rFonts w:cs="Arial"/>
          <w:szCs w:val="22"/>
        </w:rPr>
        <w:t xml:space="preserve"> </w:t>
      </w:r>
      <w:r w:rsidRPr="009A7EEC">
        <w:rPr>
          <w:rFonts w:cs="Arial"/>
          <w:i/>
          <w:szCs w:val="22"/>
        </w:rPr>
        <w:t xml:space="preserve">is </w:t>
      </w:r>
      <w:r w:rsidR="00EF149C" w:rsidRPr="009A7EEC">
        <w:rPr>
          <w:rFonts w:cs="Arial"/>
          <w:i/>
          <w:szCs w:val="22"/>
        </w:rPr>
        <w:t xml:space="preserve">emotional and instrumental </w:t>
      </w:r>
      <w:r w:rsidRPr="009A7EEC">
        <w:rPr>
          <w:rFonts w:cs="Arial"/>
          <w:i/>
          <w:szCs w:val="22"/>
        </w:rPr>
        <w:t>aid received from others in the workplace, such as supervisors and co-workers</w:t>
      </w:r>
      <w:r w:rsidR="00E23A87" w:rsidRPr="009A7EEC">
        <w:rPr>
          <w:rFonts w:cs="Arial"/>
          <w:i/>
          <w:szCs w:val="22"/>
        </w:rPr>
        <w:t>.</w:t>
      </w:r>
    </w:p>
    <w:p w:rsidR="00DA47B7" w:rsidRPr="009A7EEC" w:rsidRDefault="00DA47B7" w:rsidP="00B934B6">
      <w:pPr>
        <w:rPr>
          <w:rFonts w:cs="Arial"/>
          <w:szCs w:val="22"/>
        </w:rPr>
      </w:pPr>
      <w:r w:rsidRPr="00FA0702">
        <w:rPr>
          <w:rStyle w:val="Strong"/>
        </w:rPr>
        <w:t>Surveillance</w:t>
      </w:r>
      <w:r w:rsidRPr="009A7EEC">
        <w:rPr>
          <w:rFonts w:cs="Arial"/>
          <w:szCs w:val="22"/>
        </w:rPr>
        <w:t xml:space="preserve"> </w:t>
      </w:r>
      <w:r w:rsidR="00EF149C" w:rsidRPr="009A7EEC">
        <w:rPr>
          <w:rFonts w:cs="Arial"/>
          <w:szCs w:val="22"/>
        </w:rPr>
        <w:t xml:space="preserve">means </w:t>
      </w:r>
      <w:r w:rsidRPr="009A7EEC">
        <w:rPr>
          <w:rFonts w:cs="Arial"/>
          <w:i/>
          <w:szCs w:val="22"/>
        </w:rPr>
        <w:t xml:space="preserve">measuring </w:t>
      </w:r>
      <w:r w:rsidR="00EF149C" w:rsidRPr="009A7EEC">
        <w:rPr>
          <w:rFonts w:cs="Arial"/>
          <w:i/>
          <w:szCs w:val="22"/>
        </w:rPr>
        <w:t xml:space="preserve">levels of </w:t>
      </w:r>
      <w:r w:rsidRPr="009A7EEC">
        <w:rPr>
          <w:rFonts w:cs="Arial"/>
          <w:i/>
          <w:szCs w:val="22"/>
        </w:rPr>
        <w:t>workplace factors</w:t>
      </w:r>
      <w:r w:rsidR="00EF149C" w:rsidRPr="009A7EEC">
        <w:rPr>
          <w:rFonts w:cs="Arial"/>
          <w:i/>
          <w:szCs w:val="22"/>
        </w:rPr>
        <w:t xml:space="preserve">, </w:t>
      </w:r>
      <w:r w:rsidRPr="009A7EEC">
        <w:rPr>
          <w:rFonts w:cs="Arial"/>
          <w:i/>
          <w:szCs w:val="22"/>
        </w:rPr>
        <w:t xml:space="preserve">health </w:t>
      </w:r>
      <w:r w:rsidR="00EF149C" w:rsidRPr="009A7EEC">
        <w:rPr>
          <w:rFonts w:cs="Arial"/>
          <w:i/>
          <w:szCs w:val="22"/>
        </w:rPr>
        <w:t xml:space="preserve">and productivity </w:t>
      </w:r>
      <w:r w:rsidRPr="009A7EEC">
        <w:rPr>
          <w:rFonts w:cs="Arial"/>
          <w:i/>
          <w:szCs w:val="22"/>
        </w:rPr>
        <w:t>outcomes</w:t>
      </w:r>
      <w:r w:rsidR="00E23A87" w:rsidRPr="009A7EEC">
        <w:rPr>
          <w:rFonts w:cs="Arial"/>
          <w:i/>
          <w:szCs w:val="22"/>
        </w:rPr>
        <w:t>.</w:t>
      </w:r>
    </w:p>
    <w:p w:rsidR="00DA47B7" w:rsidRPr="009A7EEC" w:rsidRDefault="00DA47B7" w:rsidP="00B934B6">
      <w:pPr>
        <w:rPr>
          <w:rFonts w:cs="Arial"/>
          <w:szCs w:val="22"/>
        </w:rPr>
      </w:pPr>
      <w:r w:rsidRPr="00FA0702">
        <w:rPr>
          <w:rStyle w:val="Strong"/>
        </w:rPr>
        <w:t>Task specialisation</w:t>
      </w:r>
      <w:r w:rsidRPr="009A7EEC">
        <w:rPr>
          <w:rFonts w:cs="Arial"/>
          <w:szCs w:val="22"/>
        </w:rPr>
        <w:t xml:space="preserve"> </w:t>
      </w:r>
      <w:r w:rsidRPr="009A7EEC">
        <w:rPr>
          <w:rFonts w:cs="Arial"/>
          <w:i/>
          <w:szCs w:val="22"/>
        </w:rPr>
        <w:t>is a specific activity, action or process within a job role</w:t>
      </w:r>
      <w:r w:rsidR="00E23A87" w:rsidRPr="009A7EEC">
        <w:rPr>
          <w:rFonts w:cs="Arial"/>
          <w:i/>
          <w:szCs w:val="22"/>
        </w:rPr>
        <w:t>.</w:t>
      </w:r>
    </w:p>
    <w:p w:rsidR="00DA47B7" w:rsidRPr="009A7EEC" w:rsidRDefault="00DA47B7" w:rsidP="00B934B6">
      <w:pPr>
        <w:rPr>
          <w:rFonts w:cs="Arial"/>
          <w:szCs w:val="22"/>
        </w:rPr>
      </w:pPr>
      <w:r w:rsidRPr="00FA0702">
        <w:rPr>
          <w:rStyle w:val="Strong"/>
        </w:rPr>
        <w:t>Tertiary interventions</w:t>
      </w:r>
      <w:r w:rsidRPr="009A7EEC">
        <w:rPr>
          <w:rFonts w:cs="Arial"/>
          <w:szCs w:val="22"/>
        </w:rPr>
        <w:t xml:space="preserve"> </w:t>
      </w:r>
      <w:r w:rsidRPr="009A7EEC">
        <w:rPr>
          <w:rFonts w:cs="Arial"/>
          <w:i/>
          <w:szCs w:val="22"/>
        </w:rPr>
        <w:t xml:space="preserve">focus on the individual such as </w:t>
      </w:r>
      <w:r w:rsidR="00EF149C" w:rsidRPr="009A7EEC">
        <w:rPr>
          <w:rFonts w:cs="Arial"/>
          <w:i/>
          <w:szCs w:val="22"/>
        </w:rPr>
        <w:t xml:space="preserve">improving </w:t>
      </w:r>
      <w:r w:rsidRPr="009A7EEC">
        <w:rPr>
          <w:rFonts w:cs="Arial"/>
          <w:i/>
          <w:szCs w:val="22"/>
        </w:rPr>
        <w:t>coping skills to reduce the effects of the psychosocial risk factors</w:t>
      </w:r>
      <w:r w:rsidR="00E23A87" w:rsidRPr="009A7EEC">
        <w:rPr>
          <w:rFonts w:cs="Arial"/>
          <w:i/>
          <w:szCs w:val="22"/>
        </w:rPr>
        <w:t>.</w:t>
      </w:r>
    </w:p>
    <w:p w:rsidR="00DA47B7" w:rsidRPr="009A7EEC" w:rsidRDefault="00DA47B7" w:rsidP="00B934B6">
      <w:pPr>
        <w:rPr>
          <w:rFonts w:cs="Arial"/>
          <w:szCs w:val="22"/>
        </w:rPr>
      </w:pPr>
      <w:r w:rsidRPr="00FA0702">
        <w:rPr>
          <w:rStyle w:val="Strong"/>
        </w:rPr>
        <w:t>Vigour</w:t>
      </w:r>
      <w:r w:rsidRPr="009A7EEC">
        <w:rPr>
          <w:rFonts w:cs="Arial"/>
          <w:szCs w:val="22"/>
        </w:rPr>
        <w:t xml:space="preserve"> </w:t>
      </w:r>
      <w:r w:rsidRPr="009A7EEC">
        <w:rPr>
          <w:rFonts w:cs="Arial"/>
          <w:i/>
          <w:szCs w:val="22"/>
        </w:rPr>
        <w:t>refers to energy levels during work as well as mental resilience.</w:t>
      </w:r>
      <w:r w:rsidRPr="009A7EEC">
        <w:rPr>
          <w:rFonts w:cs="Arial"/>
          <w:szCs w:val="22"/>
        </w:rPr>
        <w:t xml:space="preserve"> </w:t>
      </w:r>
    </w:p>
    <w:p w:rsidR="00DA47B7" w:rsidRPr="009A7EEC" w:rsidRDefault="00DA47B7" w:rsidP="00B934B6">
      <w:pPr>
        <w:rPr>
          <w:rFonts w:cs="Arial"/>
          <w:szCs w:val="22"/>
        </w:rPr>
      </w:pPr>
      <w:r w:rsidRPr="00FA0702">
        <w:rPr>
          <w:rStyle w:val="Strong"/>
        </w:rPr>
        <w:t>Weighting</w:t>
      </w:r>
      <w:r w:rsidRPr="009A7EEC">
        <w:rPr>
          <w:rFonts w:cs="Arial"/>
          <w:szCs w:val="22"/>
        </w:rPr>
        <w:t xml:space="preserve"> </w:t>
      </w:r>
      <w:r w:rsidRPr="009A7EEC">
        <w:rPr>
          <w:rFonts w:cs="Arial"/>
          <w:i/>
          <w:szCs w:val="22"/>
        </w:rPr>
        <w:t>based on factors including age, gender, number of phone numbers in the white pages and number of members of the household, to establish representativeness of the sample to the wider Australian population</w:t>
      </w:r>
      <w:r w:rsidR="00E23A87" w:rsidRPr="009A7EEC">
        <w:rPr>
          <w:rFonts w:cs="Arial"/>
          <w:i/>
          <w:szCs w:val="22"/>
        </w:rPr>
        <w:t>.</w:t>
      </w:r>
    </w:p>
    <w:p w:rsidR="00DA47B7" w:rsidRPr="009A7EEC" w:rsidRDefault="00DA47B7" w:rsidP="00B934B6">
      <w:pPr>
        <w:rPr>
          <w:rFonts w:cs="Arial"/>
          <w:szCs w:val="22"/>
        </w:rPr>
      </w:pPr>
      <w:r w:rsidRPr="00FA0702">
        <w:rPr>
          <w:rStyle w:val="Strong"/>
        </w:rPr>
        <w:lastRenderedPageBreak/>
        <w:t>Work outcomes</w:t>
      </w:r>
      <w:r w:rsidRPr="009A7EEC">
        <w:rPr>
          <w:rFonts w:cs="Arial"/>
          <w:szCs w:val="22"/>
        </w:rPr>
        <w:t xml:space="preserve"> </w:t>
      </w:r>
      <w:r w:rsidR="00EF149C" w:rsidRPr="009A7EEC">
        <w:rPr>
          <w:rFonts w:cs="Arial"/>
          <w:szCs w:val="22"/>
        </w:rPr>
        <w:t xml:space="preserve">are </w:t>
      </w:r>
      <w:r w:rsidRPr="009A7EEC">
        <w:rPr>
          <w:rFonts w:cs="Arial"/>
          <w:i/>
          <w:szCs w:val="22"/>
        </w:rPr>
        <w:t>measurable workplace outcomes such as productivity and absenteeism.</w:t>
      </w:r>
    </w:p>
    <w:p w:rsidR="00DA47B7" w:rsidRPr="009A7EEC" w:rsidRDefault="00DA47B7" w:rsidP="00B934B6">
      <w:pPr>
        <w:rPr>
          <w:rFonts w:cs="Arial"/>
          <w:szCs w:val="22"/>
        </w:rPr>
      </w:pPr>
      <w:r w:rsidRPr="00FA0702">
        <w:rPr>
          <w:rStyle w:val="Strong"/>
        </w:rPr>
        <w:t>Work stress</w:t>
      </w:r>
      <w:r w:rsidRPr="009A7EEC">
        <w:rPr>
          <w:rFonts w:cs="Arial"/>
          <w:szCs w:val="22"/>
        </w:rPr>
        <w:t xml:space="preserve"> </w:t>
      </w:r>
      <w:r w:rsidRPr="009A7EEC">
        <w:rPr>
          <w:rFonts w:cs="Arial"/>
          <w:i/>
          <w:szCs w:val="22"/>
        </w:rPr>
        <w:t>is a harmful physical and emotional condition resulting from a variety of workplace conditions.</w:t>
      </w:r>
    </w:p>
    <w:p w:rsidR="00DA47B7" w:rsidRPr="009A7EEC" w:rsidRDefault="00DA47B7" w:rsidP="00B934B6">
      <w:pPr>
        <w:rPr>
          <w:rFonts w:eastAsia="Calibri" w:cs="Arial"/>
          <w:i/>
          <w:szCs w:val="22"/>
          <w:lang w:val="en-US"/>
        </w:rPr>
      </w:pPr>
      <w:r w:rsidRPr="00FA0702">
        <w:rPr>
          <w:rStyle w:val="Strong"/>
        </w:rPr>
        <w:t>Work-family conflict</w:t>
      </w:r>
      <w:r w:rsidRPr="009A7EEC">
        <w:rPr>
          <w:rFonts w:cs="Arial"/>
          <w:szCs w:val="22"/>
        </w:rPr>
        <w:t xml:space="preserve"> </w:t>
      </w:r>
      <w:r w:rsidRPr="009A7EEC">
        <w:rPr>
          <w:rFonts w:eastAsia="Calibri" w:cs="Arial"/>
          <w:i/>
          <w:szCs w:val="22"/>
          <w:lang w:val="en-US"/>
        </w:rPr>
        <w:t>occurs when the demands of a person’s role adversely impact</w:t>
      </w:r>
      <w:r w:rsidR="00EF149C" w:rsidRPr="009A7EEC">
        <w:rPr>
          <w:rFonts w:eastAsia="Calibri" w:cs="Arial"/>
          <w:i/>
          <w:szCs w:val="22"/>
          <w:lang w:val="en-US"/>
        </w:rPr>
        <w:t>s</w:t>
      </w:r>
      <w:r w:rsidRPr="009A7EEC">
        <w:rPr>
          <w:rFonts w:eastAsia="Calibri" w:cs="Arial"/>
          <w:i/>
          <w:szCs w:val="22"/>
          <w:lang w:val="en-US"/>
        </w:rPr>
        <w:t xml:space="preserve"> on their ability to adequately fulfill their role as part of their family</w:t>
      </w:r>
      <w:r w:rsidR="00E23A87" w:rsidRPr="009A7EEC">
        <w:rPr>
          <w:rFonts w:eastAsia="Calibri" w:cs="Arial"/>
          <w:i/>
          <w:szCs w:val="22"/>
          <w:lang w:val="en-US"/>
        </w:rPr>
        <w:t>.</w:t>
      </w:r>
    </w:p>
    <w:p w:rsidR="000E2FFA" w:rsidRPr="009A7EEC" w:rsidRDefault="000E2FFA" w:rsidP="00B934B6">
      <w:pPr>
        <w:rPr>
          <w:rFonts w:cs="Arial"/>
          <w:i/>
          <w:iCs/>
          <w:szCs w:val="22"/>
        </w:rPr>
      </w:pPr>
      <w:r w:rsidRPr="00FA0702">
        <w:rPr>
          <w:rStyle w:val="Strong"/>
        </w:rPr>
        <w:t>Working hours</w:t>
      </w:r>
      <w:r w:rsidRPr="009A7EEC">
        <w:rPr>
          <w:rFonts w:cs="Arial"/>
          <w:b/>
          <w:bCs/>
          <w:szCs w:val="22"/>
        </w:rPr>
        <w:t xml:space="preserve"> </w:t>
      </w:r>
      <w:r w:rsidRPr="009A7EEC">
        <w:rPr>
          <w:rFonts w:cs="Arial"/>
          <w:i/>
          <w:iCs/>
          <w:szCs w:val="22"/>
        </w:rPr>
        <w:t xml:space="preserve">is a measure of how many hours </w:t>
      </w:r>
      <w:r w:rsidR="00EF149C" w:rsidRPr="009A7EEC">
        <w:rPr>
          <w:rFonts w:cs="Arial"/>
          <w:i/>
          <w:iCs/>
          <w:szCs w:val="22"/>
        </w:rPr>
        <w:t>are</w:t>
      </w:r>
      <w:r w:rsidRPr="009A7EEC">
        <w:rPr>
          <w:rFonts w:cs="Arial"/>
          <w:i/>
          <w:iCs/>
          <w:szCs w:val="22"/>
        </w:rPr>
        <w:t xml:space="preserve"> worked over the last seven days in total</w:t>
      </w:r>
      <w:r w:rsidR="00E23A87" w:rsidRPr="009A7EEC">
        <w:rPr>
          <w:rFonts w:cs="Arial"/>
          <w:i/>
          <w:iCs/>
          <w:szCs w:val="22"/>
        </w:rPr>
        <w:t>.</w:t>
      </w:r>
    </w:p>
    <w:p w:rsidR="005B19FB" w:rsidRPr="005B19FB" w:rsidRDefault="005B19FB" w:rsidP="005B19FB">
      <w:pPr>
        <w:pStyle w:val="Heading1"/>
        <w:spacing w:before="0" w:after="100" w:afterAutospacing="1"/>
      </w:pPr>
      <w:bookmarkStart w:id="95" w:name="_Toc343502456"/>
      <w:r>
        <w:lastRenderedPageBreak/>
        <w:t>Appendix B</w:t>
      </w:r>
      <w:bookmarkEnd w:id="95"/>
    </w:p>
    <w:p w:rsidR="005B19FB" w:rsidRPr="004D27D1" w:rsidRDefault="00B045D8" w:rsidP="005B19FB">
      <w:pPr>
        <w:pStyle w:val="Heading2"/>
        <w:spacing w:before="100" w:beforeAutospacing="1" w:after="100" w:afterAutospacing="1"/>
        <w:rPr>
          <w:rFonts w:ascii="Arial Bold" w:hAnsi="Arial Bold"/>
          <w:vertAlign w:val="superscript"/>
        </w:rPr>
      </w:pPr>
      <w:bookmarkStart w:id="96" w:name="_Toc343502457"/>
      <w:r>
        <w:t xml:space="preserve">Summary of Data </w:t>
      </w:r>
      <w:r w:rsidR="00F0634F">
        <w:t>Collection Methodology and Weighting</w:t>
      </w:r>
      <w:r w:rsidR="004D27D1">
        <w:rPr>
          <w:rStyle w:val="FootnoteReference"/>
        </w:rPr>
        <w:footnoteReference w:id="3"/>
      </w:r>
      <w:bookmarkEnd w:id="96"/>
    </w:p>
    <w:p w:rsidR="00F0634F" w:rsidRPr="00FA0702" w:rsidRDefault="00F0634F" w:rsidP="00C65C6B">
      <w:pPr>
        <w:pStyle w:val="Heading3"/>
        <w:rPr>
          <w:rStyle w:val="Strong"/>
        </w:rPr>
      </w:pPr>
      <w:bookmarkStart w:id="97" w:name="_Toc343502458"/>
      <w:r w:rsidRPr="00FA0702">
        <w:rPr>
          <w:rStyle w:val="Strong"/>
        </w:rPr>
        <w:t>Sample selection</w:t>
      </w:r>
      <w:bookmarkEnd w:id="97"/>
    </w:p>
    <w:p w:rsidR="00F0634F" w:rsidRPr="00F0634F" w:rsidRDefault="00F0634F" w:rsidP="00B13861">
      <w:r w:rsidRPr="00F0634F">
        <w:t>Interviews were conducted in Tasmania,</w:t>
      </w:r>
      <w:r w:rsidR="0045728B">
        <w:t xml:space="preserve"> the</w:t>
      </w:r>
      <w:r w:rsidRPr="00F0634F">
        <w:t xml:space="preserve"> Australian Capital Territory (ACT) and </w:t>
      </w:r>
      <w:r w:rsidR="0045728B">
        <w:t xml:space="preserve">the </w:t>
      </w:r>
      <w:r w:rsidR="005B4444">
        <w:t xml:space="preserve">Northern Territory (NT). </w:t>
      </w:r>
      <w:r w:rsidRPr="00F0634F">
        <w:t>All households with a telephone number listed in the Electronic White Pages (EWP)</w:t>
      </w:r>
      <w:r w:rsidR="005B4444">
        <w:t xml:space="preserve"> were eligible for selection. </w:t>
      </w:r>
      <w:r w:rsidR="00B84BF2">
        <w:t xml:space="preserve">Initially a sample of 7 </w:t>
      </w:r>
      <w:r w:rsidRPr="00F0634F">
        <w:t>354 (3</w:t>
      </w:r>
      <w:r w:rsidR="00B84BF2">
        <w:t xml:space="preserve"> </w:t>
      </w:r>
      <w:r w:rsidRPr="00F0634F">
        <w:t>750, 2</w:t>
      </w:r>
      <w:r w:rsidR="00B84BF2">
        <w:t xml:space="preserve"> </w:t>
      </w:r>
      <w:r w:rsidRPr="00F0634F">
        <w:t xml:space="preserve">104, and 1500 for </w:t>
      </w:r>
      <w:r w:rsidR="0045728B">
        <w:t>Tasmania</w:t>
      </w:r>
      <w:r w:rsidRPr="00F0634F">
        <w:t xml:space="preserve">, </w:t>
      </w:r>
      <w:r w:rsidR="0045728B">
        <w:t xml:space="preserve">the </w:t>
      </w:r>
      <w:r w:rsidRPr="00F0634F">
        <w:t xml:space="preserve">ACT and </w:t>
      </w:r>
      <w:r w:rsidR="0045728B">
        <w:t xml:space="preserve">the </w:t>
      </w:r>
      <w:r w:rsidR="005B4444">
        <w:t xml:space="preserve">NT respectively) was selected. </w:t>
      </w:r>
      <w:r w:rsidRPr="00F0634F">
        <w:t>Within each household, one adult, aged 18 years or over, who was the last to have a birthday and was currently in paid employment</w:t>
      </w:r>
      <w:r w:rsidR="005B4444">
        <w:t xml:space="preserve"> was selected for interview.</w:t>
      </w:r>
    </w:p>
    <w:p w:rsidR="00F0634F" w:rsidRPr="00E74404" w:rsidRDefault="00F0634F" w:rsidP="00C65C6B">
      <w:pPr>
        <w:pStyle w:val="Heading3"/>
        <w:rPr>
          <w:rStyle w:val="Strong"/>
        </w:rPr>
      </w:pPr>
      <w:bookmarkStart w:id="98" w:name="_Toc343502459"/>
      <w:r w:rsidRPr="00E74404">
        <w:rPr>
          <w:rStyle w:val="Strong"/>
        </w:rPr>
        <w:t>Introductory letter</w:t>
      </w:r>
      <w:bookmarkEnd w:id="98"/>
    </w:p>
    <w:p w:rsidR="00F0634F" w:rsidRPr="00F0634F" w:rsidRDefault="00F0634F" w:rsidP="00B13861">
      <w:r w:rsidRPr="00F0634F">
        <w:t>A letter introducing the study was sent to the household of e</w:t>
      </w:r>
      <w:r w:rsidR="005B4444">
        <w:t xml:space="preserve">ach selected telephone number. </w:t>
      </w:r>
      <w:r w:rsidRPr="00F0634F">
        <w:t>There was no replacement for non-contactable persons. The letter informed people of the purpose of the survey and indicated that they could expect a telephone call within</w:t>
      </w:r>
      <w:r w:rsidR="005B4444">
        <w:t xml:space="preserve"> the time frame of the survey. </w:t>
      </w:r>
      <w:r w:rsidRPr="00F0634F">
        <w:t>Overall, 56.2</w:t>
      </w:r>
      <w:r w:rsidR="0043538F">
        <w:t xml:space="preserve"> per cent</w:t>
      </w:r>
      <w:r w:rsidRPr="00F0634F">
        <w:t xml:space="preserve"> of those who participated indicated that they had received the letter.</w:t>
      </w:r>
    </w:p>
    <w:p w:rsidR="00F0634F" w:rsidRPr="00E74404" w:rsidRDefault="00F0634F" w:rsidP="00C65C6B">
      <w:pPr>
        <w:pStyle w:val="Heading3"/>
        <w:rPr>
          <w:rStyle w:val="Strong"/>
        </w:rPr>
      </w:pPr>
      <w:bookmarkStart w:id="99" w:name="_Toc343502460"/>
      <w:r w:rsidRPr="00E74404">
        <w:rPr>
          <w:rStyle w:val="Strong"/>
        </w:rPr>
        <w:t>Questions</w:t>
      </w:r>
      <w:bookmarkEnd w:id="99"/>
    </w:p>
    <w:p w:rsidR="00F0634F" w:rsidRPr="00F0634F" w:rsidRDefault="00F0634F" w:rsidP="00B13861">
      <w:r w:rsidRPr="00F0634F">
        <w:t>Questions were provided by the Chief Investigators for the project in conjunction with other researchers in the field and based on those previously asked in New South Wales and Western Australia. The average interview time was 31.5 minutes.</w:t>
      </w:r>
    </w:p>
    <w:p w:rsidR="00F0634F" w:rsidRPr="00E74404" w:rsidRDefault="00F0634F" w:rsidP="00C65C6B">
      <w:pPr>
        <w:pStyle w:val="Heading3"/>
        <w:rPr>
          <w:rStyle w:val="Strong"/>
        </w:rPr>
      </w:pPr>
      <w:bookmarkStart w:id="100" w:name="_Toc198529141"/>
      <w:bookmarkStart w:id="101" w:name="_Toc231978833"/>
      <w:bookmarkStart w:id="102" w:name="_Toc343502461"/>
      <w:r w:rsidRPr="00E74404">
        <w:rPr>
          <w:rStyle w:val="Strong"/>
        </w:rPr>
        <w:t>Data collection</w:t>
      </w:r>
      <w:bookmarkEnd w:id="100"/>
      <w:bookmarkEnd w:id="101"/>
      <w:bookmarkEnd w:id="102"/>
    </w:p>
    <w:p w:rsidR="00F0634F" w:rsidRPr="00F0634F" w:rsidRDefault="00F0634F" w:rsidP="00B13861">
      <w:r w:rsidRPr="00F0634F">
        <w:t>Data were collected by a contracted agency and intervi</w:t>
      </w:r>
      <w:r w:rsidR="00FB6A71">
        <w:t>ews were conducted in English.</w:t>
      </w:r>
    </w:p>
    <w:p w:rsidR="00F0634F" w:rsidRPr="00E74404" w:rsidRDefault="00F0634F" w:rsidP="00C65C6B">
      <w:pPr>
        <w:pStyle w:val="Heading3"/>
        <w:rPr>
          <w:rStyle w:val="Strong"/>
        </w:rPr>
      </w:pPr>
      <w:bookmarkStart w:id="103" w:name="_Toc198529142"/>
      <w:bookmarkStart w:id="104" w:name="_Toc231978834"/>
      <w:bookmarkStart w:id="105" w:name="_Toc343502462"/>
      <w:r w:rsidRPr="00E74404">
        <w:rPr>
          <w:rStyle w:val="Strong"/>
        </w:rPr>
        <w:t>CATI</w:t>
      </w:r>
      <w:bookmarkEnd w:id="103"/>
      <w:bookmarkEnd w:id="104"/>
      <w:bookmarkEnd w:id="105"/>
    </w:p>
    <w:p w:rsidR="00F0634F" w:rsidRDefault="00F0634F" w:rsidP="00B13861">
      <w:r w:rsidRPr="00F0634F">
        <w:t>The CATI (Computer Assisted Telephone Interview) system was used to conduct the interviews. This system allows immediate entry of data from the interviewer’s questionnaire screen to the computer database. The main advantages of this system are the precise ordering and timing of call-backs and correct sequencing of questions as specific answers are given. The CATI system enforces a range of checks on each response with most questions having a set of pre-determined response categories. In addition, CATI automatically rotates response categories, when required, to minimise bias. When open-ended responses are required these are transcribed exactly by the interviewer.</w:t>
      </w:r>
    </w:p>
    <w:p w:rsidR="00F0634F" w:rsidRPr="00E74404" w:rsidRDefault="00F0634F" w:rsidP="00C65C6B">
      <w:pPr>
        <w:pStyle w:val="Heading3"/>
        <w:rPr>
          <w:rStyle w:val="Strong"/>
        </w:rPr>
      </w:pPr>
      <w:bookmarkStart w:id="106" w:name="_Toc198529143"/>
      <w:bookmarkStart w:id="107" w:name="_Toc231978835"/>
      <w:bookmarkStart w:id="108" w:name="_Toc343502463"/>
      <w:r w:rsidRPr="00E74404">
        <w:rPr>
          <w:rStyle w:val="Strong"/>
        </w:rPr>
        <w:t>Call backs</w:t>
      </w:r>
      <w:bookmarkEnd w:id="106"/>
      <w:bookmarkEnd w:id="107"/>
      <w:bookmarkEnd w:id="108"/>
    </w:p>
    <w:p w:rsidR="00F0634F" w:rsidRPr="00F0634F" w:rsidRDefault="00F0634F" w:rsidP="00B13861">
      <w:r w:rsidRPr="00F0634F">
        <w:t xml:space="preserve">At least </w:t>
      </w:r>
      <w:r w:rsidR="0045728B">
        <w:t>10</w:t>
      </w:r>
      <w:r w:rsidR="0045728B" w:rsidRPr="00F0634F">
        <w:t xml:space="preserve"> </w:t>
      </w:r>
      <w:r w:rsidRPr="00F0634F">
        <w:t>call-backs were made to the telephone number selected at random from EWP to interview household members. Different times of the day or evening were scheduled for each call back. If a person could not be interviewed immediately they were re-scheduled for intervi</w:t>
      </w:r>
      <w:r w:rsidR="005B4444">
        <w:t xml:space="preserve">ew at a time suitable to them. </w:t>
      </w:r>
      <w:r w:rsidRPr="00F0634F">
        <w:t>Replacement interviews for persons who could not be contacted or interviewed were not permitted.</w:t>
      </w:r>
    </w:p>
    <w:p w:rsidR="008475B9" w:rsidRDefault="008475B9">
      <w:pPr>
        <w:spacing w:after="0" w:line="240" w:lineRule="auto"/>
        <w:rPr>
          <w:rFonts w:ascii="Arial Bold" w:eastAsia="Calibri" w:hAnsi="Arial Bold"/>
          <w:b/>
          <w:bCs/>
          <w:color w:val="000000"/>
          <w:sz w:val="24"/>
          <w:szCs w:val="26"/>
        </w:rPr>
      </w:pPr>
      <w:bookmarkStart w:id="109" w:name="_Toc198529144"/>
      <w:bookmarkStart w:id="110" w:name="_Toc231978836"/>
      <w:r>
        <w:br w:type="page"/>
      </w:r>
    </w:p>
    <w:p w:rsidR="00F0634F" w:rsidRPr="00E74404" w:rsidRDefault="00F0634F" w:rsidP="00C65C6B">
      <w:pPr>
        <w:pStyle w:val="Heading3"/>
        <w:rPr>
          <w:rStyle w:val="Strong"/>
        </w:rPr>
      </w:pPr>
      <w:bookmarkStart w:id="111" w:name="_Toc343502464"/>
      <w:r w:rsidRPr="00E74404">
        <w:rPr>
          <w:rStyle w:val="Strong"/>
        </w:rPr>
        <w:lastRenderedPageBreak/>
        <w:t>Validation</w:t>
      </w:r>
      <w:bookmarkEnd w:id="109"/>
      <w:bookmarkEnd w:id="110"/>
      <w:bookmarkEnd w:id="111"/>
    </w:p>
    <w:p w:rsidR="00F0634F" w:rsidRPr="00F0634F" w:rsidRDefault="00F0634F" w:rsidP="00B13861">
      <w:r w:rsidRPr="00F0634F">
        <w:t>Of each interviewer’s work, 10% was selected at random for validation by the supervisor</w:t>
      </w:r>
      <w:r w:rsidR="005B4444">
        <w:t xml:space="preserve">. </w:t>
      </w:r>
      <w:r w:rsidRPr="00F0634F">
        <w:t>The contracted agency is a member of Interviewer Quality Control Australia (IQCA).</w:t>
      </w:r>
    </w:p>
    <w:p w:rsidR="00F0634F" w:rsidRPr="00E74404" w:rsidRDefault="00F0634F" w:rsidP="00C65C6B">
      <w:pPr>
        <w:pStyle w:val="Heading3"/>
        <w:rPr>
          <w:rStyle w:val="Strong"/>
        </w:rPr>
      </w:pPr>
      <w:bookmarkStart w:id="112" w:name="_Toc198529146"/>
      <w:bookmarkStart w:id="113" w:name="_Toc231978837"/>
      <w:bookmarkStart w:id="114" w:name="_Toc343502465"/>
      <w:r w:rsidRPr="00E74404">
        <w:rPr>
          <w:rStyle w:val="Strong"/>
        </w:rPr>
        <w:t>Response rates</w:t>
      </w:r>
      <w:bookmarkEnd w:id="112"/>
      <w:bookmarkEnd w:id="113"/>
      <w:bookmarkEnd w:id="114"/>
    </w:p>
    <w:p w:rsidR="00F0634F" w:rsidRPr="00F0634F" w:rsidRDefault="00F0634F" w:rsidP="00B13861">
      <w:r w:rsidRPr="00F0634F">
        <w:t>The overal</w:t>
      </w:r>
      <w:r w:rsidR="00CE5449">
        <w:t>l sample response rate was 27.7 per cent</w:t>
      </w:r>
      <w:r w:rsidRPr="00F0634F">
        <w:t xml:space="preserve"> and the participation rate was 42.1</w:t>
      </w:r>
      <w:r w:rsidR="0043538F">
        <w:t xml:space="preserve"> per cent</w:t>
      </w:r>
      <w:r w:rsidR="005B4444">
        <w:t xml:space="preserve">. </w:t>
      </w:r>
      <w:r w:rsidRPr="00F0634F">
        <w:t>Initially a sample of 7</w:t>
      </w:r>
      <w:r w:rsidR="00B84BF2">
        <w:t xml:space="preserve"> </w:t>
      </w:r>
      <w:r w:rsidRPr="00F0634F">
        <w:t>354 was drawn. Sample loss of 3720 occurred due to non-connected numbers (1</w:t>
      </w:r>
      <w:r w:rsidR="00B84BF2">
        <w:t xml:space="preserve"> </w:t>
      </w:r>
      <w:r w:rsidRPr="00F0634F">
        <w:t xml:space="preserve">755), non-residential numbers (85), fax/modem connections (60) and ineligible (not working or </w:t>
      </w:r>
      <w:r w:rsidR="00E841A9" w:rsidRPr="00F0634F">
        <w:t>self-e</w:t>
      </w:r>
      <w:r w:rsidR="00E841A9">
        <w:t>mployed</w:t>
      </w:r>
      <w:r w:rsidR="005B4444">
        <w:t xml:space="preserve"> or not in area (1</w:t>
      </w:r>
      <w:r w:rsidR="00B84BF2">
        <w:t xml:space="preserve"> </w:t>
      </w:r>
      <w:r w:rsidR="005B4444">
        <w:t xml:space="preserve">762). </w:t>
      </w:r>
      <w:r w:rsidRPr="00F0634F">
        <w:t xml:space="preserve">From the eligible sample of 3634, the overall response rate was calculated as shown in </w:t>
      </w:r>
      <w:r w:rsidR="00897A0A">
        <w:fldChar w:fldCharType="begin"/>
      </w:r>
      <w:r w:rsidR="00897A0A">
        <w:instrText xml:space="preserve"> REF _Ref238146266 \h  \* MERGEFORMAT </w:instrText>
      </w:r>
      <w:r w:rsidR="00897A0A">
        <w:fldChar w:fldCharType="separate"/>
      </w:r>
      <w:r w:rsidR="00767BCD" w:rsidRPr="009964AD">
        <w:t xml:space="preserve">Table </w:t>
      </w:r>
      <w:r w:rsidR="00897A0A">
        <w:fldChar w:fldCharType="end"/>
      </w:r>
      <w:r w:rsidR="00345CE7">
        <w:t>6</w:t>
      </w:r>
      <w:r w:rsidRPr="00F0634F">
        <w:t>.</w:t>
      </w:r>
    </w:p>
    <w:p w:rsidR="00F0634F" w:rsidRPr="009964AD" w:rsidRDefault="00F0634F" w:rsidP="00C65C6B">
      <w:pPr>
        <w:pStyle w:val="FigureCaption"/>
      </w:pPr>
      <w:bookmarkStart w:id="115" w:name="_Ref238146266"/>
      <w:r w:rsidRPr="009964AD">
        <w:t xml:space="preserve">Table </w:t>
      </w:r>
      <w:bookmarkEnd w:id="115"/>
      <w:r w:rsidR="00D1426B" w:rsidRPr="009964AD">
        <w:t>6</w:t>
      </w:r>
      <w:r w:rsidRPr="009964AD">
        <w:t>: Response rate</w:t>
      </w:r>
    </w:p>
    <w:tbl>
      <w:tblPr>
        <w:tblW w:w="8113" w:type="dxa"/>
        <w:tblLayout w:type="fixed"/>
        <w:tblLook w:val="0160" w:firstRow="1" w:lastRow="1" w:firstColumn="0" w:lastColumn="1" w:noHBand="0" w:noVBand="0"/>
      </w:tblPr>
      <w:tblGrid>
        <w:gridCol w:w="5070"/>
        <w:gridCol w:w="1521"/>
        <w:gridCol w:w="1522"/>
      </w:tblGrid>
      <w:tr w:rsidR="00F0634F" w:rsidRPr="00F0634F" w:rsidTr="000B7B4A">
        <w:tc>
          <w:tcPr>
            <w:tcW w:w="5070" w:type="dxa"/>
            <w:tcBorders>
              <w:top w:val="single" w:sz="4" w:space="0" w:color="auto"/>
              <w:bottom w:val="single" w:sz="4" w:space="0" w:color="auto"/>
            </w:tcBorders>
            <w:noWrap/>
          </w:tcPr>
          <w:p w:rsidR="00F0634F" w:rsidRPr="00F0634F" w:rsidRDefault="00F0634F" w:rsidP="00110659">
            <w:pPr>
              <w:spacing w:before="100" w:beforeAutospacing="1" w:after="100" w:afterAutospacing="1" w:line="240" w:lineRule="auto"/>
              <w:rPr>
                <w:rFonts w:ascii="Calibri" w:hAnsi="Calibri" w:cs="Calibri"/>
                <w:b/>
                <w:bCs/>
                <w:i/>
                <w:szCs w:val="22"/>
              </w:rPr>
            </w:pPr>
          </w:p>
        </w:tc>
        <w:tc>
          <w:tcPr>
            <w:tcW w:w="1521" w:type="dxa"/>
            <w:tcBorders>
              <w:top w:val="single" w:sz="4" w:space="0" w:color="auto"/>
              <w:bottom w:val="single" w:sz="4" w:space="0" w:color="auto"/>
            </w:tcBorders>
          </w:tcPr>
          <w:p w:rsidR="00F0634F" w:rsidRPr="00F0634F" w:rsidRDefault="00F0634F" w:rsidP="00110659">
            <w:pPr>
              <w:spacing w:before="100" w:beforeAutospacing="1" w:after="100" w:afterAutospacing="1" w:line="240" w:lineRule="auto"/>
              <w:jc w:val="center"/>
              <w:rPr>
                <w:rFonts w:ascii="Calibri" w:hAnsi="Calibri" w:cs="Calibri"/>
                <w:b/>
                <w:bCs/>
                <w:iCs/>
                <w:szCs w:val="22"/>
              </w:rPr>
            </w:pPr>
            <w:r w:rsidRPr="00F0634F">
              <w:rPr>
                <w:rFonts w:ascii="Calibri" w:hAnsi="Calibri" w:cs="Calibri"/>
                <w:b/>
                <w:bCs/>
                <w:iCs/>
                <w:szCs w:val="22"/>
              </w:rPr>
              <w:t>n</w:t>
            </w:r>
          </w:p>
        </w:tc>
        <w:tc>
          <w:tcPr>
            <w:tcW w:w="1522" w:type="dxa"/>
            <w:tcBorders>
              <w:top w:val="single" w:sz="4" w:space="0" w:color="auto"/>
              <w:bottom w:val="single" w:sz="4" w:space="0" w:color="auto"/>
            </w:tcBorders>
            <w:noWrap/>
          </w:tcPr>
          <w:p w:rsidR="00F0634F" w:rsidRPr="00F0634F" w:rsidRDefault="00F0634F" w:rsidP="00110659">
            <w:pPr>
              <w:spacing w:before="100" w:beforeAutospacing="1" w:after="100" w:afterAutospacing="1" w:line="240" w:lineRule="auto"/>
              <w:jc w:val="center"/>
              <w:rPr>
                <w:rFonts w:ascii="Calibri" w:hAnsi="Calibri" w:cs="Calibri"/>
                <w:b/>
                <w:bCs/>
                <w:szCs w:val="22"/>
              </w:rPr>
            </w:pPr>
            <w:r w:rsidRPr="00F0634F">
              <w:rPr>
                <w:rFonts w:ascii="Calibri" w:hAnsi="Calibri" w:cs="Calibri"/>
                <w:b/>
                <w:bCs/>
                <w:szCs w:val="22"/>
              </w:rPr>
              <w:t>%</w:t>
            </w:r>
          </w:p>
        </w:tc>
      </w:tr>
      <w:tr w:rsidR="00F0634F" w:rsidRPr="00F0634F" w:rsidTr="000B7B4A">
        <w:tc>
          <w:tcPr>
            <w:tcW w:w="5070" w:type="dxa"/>
            <w:tcBorders>
              <w:top w:val="single" w:sz="4" w:space="0" w:color="auto"/>
              <w:bottom w:val="nil"/>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 xml:space="preserve">Initial eligible sample </w:t>
            </w:r>
          </w:p>
        </w:tc>
        <w:tc>
          <w:tcPr>
            <w:tcW w:w="1521" w:type="dxa"/>
            <w:tcBorders>
              <w:top w:val="single" w:sz="4" w:space="0" w:color="auto"/>
              <w:bottom w:val="nil"/>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3634</w:t>
            </w:r>
          </w:p>
        </w:tc>
        <w:tc>
          <w:tcPr>
            <w:tcW w:w="1522" w:type="dxa"/>
            <w:tcBorders>
              <w:top w:val="single" w:sz="4" w:space="0" w:color="auto"/>
              <w:bottom w:val="nil"/>
            </w:tcBorders>
            <w:noWrap/>
          </w:tcPr>
          <w:p w:rsidR="00F0634F" w:rsidRPr="00F0634F" w:rsidRDefault="00F0634F" w:rsidP="00110659">
            <w:pPr>
              <w:spacing w:before="100" w:beforeAutospacing="1" w:after="100" w:afterAutospacing="1" w:line="240" w:lineRule="auto"/>
              <w:rPr>
                <w:rFonts w:ascii="Calibri" w:hAnsi="Calibri" w:cs="Calibri"/>
                <w:szCs w:val="22"/>
              </w:rPr>
            </w:pPr>
          </w:p>
        </w:tc>
      </w:tr>
      <w:tr w:rsidR="00F0634F" w:rsidRPr="00F0634F" w:rsidTr="00110659">
        <w:tc>
          <w:tcPr>
            <w:tcW w:w="5070" w:type="dxa"/>
            <w:tcBorders>
              <w:top w:val="nil"/>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 xml:space="preserve">Refusals </w:t>
            </w:r>
          </w:p>
        </w:tc>
        <w:tc>
          <w:tcPr>
            <w:tcW w:w="1521" w:type="dxa"/>
            <w:tcBorders>
              <w:top w:val="nil"/>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1237</w:t>
            </w:r>
          </w:p>
        </w:tc>
        <w:tc>
          <w:tcPr>
            <w:tcW w:w="1522" w:type="dxa"/>
            <w:tcBorders>
              <w:top w:val="nil"/>
            </w:tcBorders>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34.0</w:t>
            </w:r>
          </w:p>
        </w:tc>
      </w:tr>
      <w:tr w:rsidR="00F0634F" w:rsidRPr="00F0634F" w:rsidTr="00110659">
        <w:tc>
          <w:tcPr>
            <w:tcW w:w="5070" w:type="dxa"/>
            <w:tcBorders>
              <w:top w:val="nil"/>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 xml:space="preserve">Non-contact after 15 attempts </w:t>
            </w:r>
          </w:p>
        </w:tc>
        <w:tc>
          <w:tcPr>
            <w:tcW w:w="1521" w:type="dxa"/>
            <w:tcBorders>
              <w:top w:val="nil"/>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1271</w:t>
            </w:r>
          </w:p>
        </w:tc>
        <w:tc>
          <w:tcPr>
            <w:tcW w:w="1522" w:type="dxa"/>
            <w:tcBorders>
              <w:top w:val="nil"/>
            </w:tcBorders>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35.0</w:t>
            </w:r>
          </w:p>
        </w:tc>
      </w:tr>
      <w:tr w:rsidR="00F0634F" w:rsidRPr="00F0634F" w:rsidTr="00110659">
        <w:tc>
          <w:tcPr>
            <w:tcW w:w="5070" w:type="dxa"/>
            <w:tcBorders>
              <w:top w:val="nil"/>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 xml:space="preserve">Respondent unable to speak English </w:t>
            </w:r>
          </w:p>
        </w:tc>
        <w:tc>
          <w:tcPr>
            <w:tcW w:w="1521" w:type="dxa"/>
            <w:tcBorders>
              <w:top w:val="nil"/>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49</w:t>
            </w:r>
          </w:p>
        </w:tc>
        <w:tc>
          <w:tcPr>
            <w:tcW w:w="1522" w:type="dxa"/>
            <w:tcBorders>
              <w:top w:val="nil"/>
            </w:tcBorders>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1.3</w:t>
            </w:r>
          </w:p>
        </w:tc>
      </w:tr>
      <w:tr w:rsidR="00F0634F" w:rsidRPr="00F0634F" w:rsidTr="00110659">
        <w:tc>
          <w:tcPr>
            <w:tcW w:w="5070" w:type="dxa"/>
            <w:tcBorders>
              <w:top w:val="nil"/>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Incapacitated and unable to be interviewed (</w:t>
            </w:r>
            <w:r w:rsidR="00683BFB" w:rsidRPr="00F0634F">
              <w:rPr>
                <w:rFonts w:ascii="Calibri" w:hAnsi="Calibri" w:cs="Calibri"/>
                <w:bCs/>
                <w:szCs w:val="22"/>
              </w:rPr>
              <w:t>i.e.</w:t>
            </w:r>
            <w:r w:rsidRPr="00F0634F">
              <w:rPr>
                <w:rFonts w:ascii="Calibri" w:hAnsi="Calibri" w:cs="Calibri"/>
                <w:bCs/>
                <w:szCs w:val="22"/>
              </w:rPr>
              <w:t xml:space="preserve"> too ill, hearing impaired, deceased)</w:t>
            </w:r>
          </w:p>
        </w:tc>
        <w:tc>
          <w:tcPr>
            <w:tcW w:w="1521" w:type="dxa"/>
            <w:tcBorders>
              <w:top w:val="nil"/>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25</w:t>
            </w:r>
          </w:p>
        </w:tc>
        <w:tc>
          <w:tcPr>
            <w:tcW w:w="1522" w:type="dxa"/>
            <w:tcBorders>
              <w:top w:val="nil"/>
            </w:tcBorders>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0.7</w:t>
            </w:r>
          </w:p>
        </w:tc>
      </w:tr>
      <w:tr w:rsidR="00F0634F" w:rsidRPr="00F0634F" w:rsidTr="00110659">
        <w:tc>
          <w:tcPr>
            <w:tcW w:w="5070" w:type="dxa"/>
            <w:tcBorders>
              <w:top w:val="nil"/>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 xml:space="preserve">Terminated interview </w:t>
            </w:r>
          </w:p>
        </w:tc>
        <w:tc>
          <w:tcPr>
            <w:tcW w:w="1521" w:type="dxa"/>
            <w:tcBorders>
              <w:top w:val="nil"/>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6</w:t>
            </w:r>
          </w:p>
        </w:tc>
        <w:tc>
          <w:tcPr>
            <w:tcW w:w="1522" w:type="dxa"/>
            <w:tcBorders>
              <w:top w:val="nil"/>
            </w:tcBorders>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0.2</w:t>
            </w:r>
          </w:p>
        </w:tc>
      </w:tr>
      <w:tr w:rsidR="00F0634F" w:rsidRPr="00F0634F" w:rsidTr="000B7B4A">
        <w:tc>
          <w:tcPr>
            <w:tcW w:w="5070" w:type="dxa"/>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szCs w:val="22"/>
                <w:lang w:eastAsia="zh-TW"/>
              </w:rPr>
              <w:t>Respondent unavailable</w:t>
            </w:r>
          </w:p>
        </w:tc>
        <w:tc>
          <w:tcPr>
            <w:tcW w:w="1521" w:type="dxa"/>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40</w:t>
            </w:r>
          </w:p>
        </w:tc>
        <w:tc>
          <w:tcPr>
            <w:tcW w:w="1522" w:type="dxa"/>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1.1</w:t>
            </w:r>
          </w:p>
        </w:tc>
      </w:tr>
      <w:tr w:rsidR="00F0634F" w:rsidRPr="00F0634F" w:rsidTr="000B7B4A">
        <w:tc>
          <w:tcPr>
            <w:tcW w:w="5070" w:type="dxa"/>
            <w:tcBorders>
              <w:bottom w:val="single" w:sz="4" w:space="0" w:color="auto"/>
            </w:tcBorders>
            <w:noWrap/>
          </w:tcPr>
          <w:p w:rsidR="00F0634F" w:rsidRPr="00F0634F" w:rsidRDefault="00F0634F" w:rsidP="00110659">
            <w:pPr>
              <w:tabs>
                <w:tab w:val="left" w:pos="180"/>
              </w:tabs>
              <w:spacing w:before="100" w:beforeAutospacing="1" w:after="100" w:afterAutospacing="1" w:line="240" w:lineRule="auto"/>
              <w:rPr>
                <w:rFonts w:ascii="Calibri" w:hAnsi="Calibri" w:cs="Calibri"/>
                <w:bCs/>
                <w:szCs w:val="22"/>
              </w:rPr>
            </w:pPr>
            <w:r w:rsidRPr="00F0634F">
              <w:rPr>
                <w:rFonts w:ascii="Calibri" w:hAnsi="Calibri" w:cs="Calibri"/>
                <w:bCs/>
                <w:szCs w:val="22"/>
              </w:rPr>
              <w:t xml:space="preserve">Completed interviews </w:t>
            </w:r>
          </w:p>
        </w:tc>
        <w:tc>
          <w:tcPr>
            <w:tcW w:w="1521" w:type="dxa"/>
            <w:tcBorders>
              <w:bottom w:val="single" w:sz="4" w:space="0" w:color="auto"/>
            </w:tcBorders>
            <w:vAlign w:val="center"/>
          </w:tcPr>
          <w:p w:rsidR="00F0634F" w:rsidRPr="00F0634F" w:rsidRDefault="00F0634F" w:rsidP="00110659">
            <w:pPr>
              <w:tabs>
                <w:tab w:val="decimal" w:pos="884"/>
              </w:tabs>
              <w:spacing w:before="100" w:beforeAutospacing="1" w:after="100" w:afterAutospacing="1" w:line="240" w:lineRule="auto"/>
              <w:rPr>
                <w:rFonts w:ascii="Calibri" w:hAnsi="Calibri" w:cs="Calibri"/>
                <w:szCs w:val="22"/>
              </w:rPr>
            </w:pPr>
            <w:r w:rsidRPr="00F0634F">
              <w:rPr>
                <w:rFonts w:ascii="Calibri" w:hAnsi="Calibri" w:cs="Calibri"/>
                <w:szCs w:val="22"/>
              </w:rPr>
              <w:t>1006</w:t>
            </w:r>
          </w:p>
        </w:tc>
        <w:tc>
          <w:tcPr>
            <w:tcW w:w="1522" w:type="dxa"/>
            <w:tcBorders>
              <w:bottom w:val="single" w:sz="4" w:space="0" w:color="auto"/>
            </w:tcBorders>
            <w:noWrap/>
            <w:vAlign w:val="center"/>
          </w:tcPr>
          <w:p w:rsidR="00F0634F" w:rsidRPr="00F0634F" w:rsidRDefault="00F0634F" w:rsidP="00110659">
            <w:pPr>
              <w:tabs>
                <w:tab w:val="decimal" w:pos="564"/>
              </w:tabs>
              <w:spacing w:before="100" w:beforeAutospacing="1" w:after="100" w:afterAutospacing="1" w:line="240" w:lineRule="auto"/>
              <w:rPr>
                <w:rFonts w:ascii="Calibri" w:hAnsi="Calibri" w:cs="Calibri"/>
                <w:szCs w:val="22"/>
              </w:rPr>
            </w:pPr>
            <w:r w:rsidRPr="00F0634F">
              <w:rPr>
                <w:rFonts w:ascii="Calibri" w:hAnsi="Calibri" w:cs="Calibri"/>
                <w:szCs w:val="22"/>
              </w:rPr>
              <w:t>27.7</w:t>
            </w:r>
          </w:p>
        </w:tc>
      </w:tr>
    </w:tbl>
    <w:p w:rsidR="00F0634F" w:rsidRPr="00B13861" w:rsidRDefault="00F0634F" w:rsidP="00C65C6B">
      <w:pPr>
        <w:pStyle w:val="Heading4"/>
      </w:pPr>
      <w:r w:rsidRPr="00B13861">
        <w:t>The response rate is determined by the following formula:</w:t>
      </w:r>
    </w:p>
    <w:p w:rsidR="00F0634F" w:rsidRPr="00B13861" w:rsidRDefault="00F0634F" w:rsidP="00F0634F">
      <w:pPr>
        <w:spacing w:before="100" w:beforeAutospacing="1" w:after="100" w:afterAutospacing="1"/>
        <w:jc w:val="both"/>
        <w:rPr>
          <w:rFonts w:cs="Arial"/>
          <w:i/>
          <w:szCs w:val="22"/>
        </w:rPr>
      </w:pPr>
      <w:r w:rsidRPr="00B13861">
        <w:rPr>
          <w:rFonts w:cs="Arial"/>
          <w:i/>
          <w:szCs w:val="22"/>
        </w:rPr>
        <w:t>Response rate = completed interviews / initial eligible sample</w:t>
      </w:r>
      <w:r w:rsidR="005B4444" w:rsidRPr="00B13861">
        <w:rPr>
          <w:rFonts w:cs="Arial"/>
          <w:i/>
          <w:szCs w:val="22"/>
        </w:rPr>
        <w:t>.</w:t>
      </w:r>
    </w:p>
    <w:p w:rsidR="00F0634F" w:rsidRPr="00B13861" w:rsidRDefault="00F0634F" w:rsidP="00C65C6B">
      <w:pPr>
        <w:pStyle w:val="Heading4"/>
      </w:pPr>
      <w:r w:rsidRPr="00B13861">
        <w:t>The participation rate is determined by the following formula:</w:t>
      </w:r>
    </w:p>
    <w:p w:rsidR="00F0634F" w:rsidRPr="00B13861" w:rsidRDefault="00F0634F" w:rsidP="00F0634F">
      <w:pPr>
        <w:spacing w:before="100" w:beforeAutospacing="1" w:after="100" w:afterAutospacing="1"/>
        <w:jc w:val="both"/>
        <w:rPr>
          <w:rFonts w:cs="Arial"/>
          <w:i/>
          <w:szCs w:val="22"/>
        </w:rPr>
      </w:pPr>
      <w:r w:rsidRPr="00B13861">
        <w:rPr>
          <w:rFonts w:cs="Arial"/>
          <w:i/>
          <w:szCs w:val="22"/>
        </w:rPr>
        <w:t>Participation rate = completed interviews / (initial eligible sample - non-contact after ten attempts)</w:t>
      </w:r>
      <w:r w:rsidR="005B4444" w:rsidRPr="00B13861">
        <w:rPr>
          <w:rFonts w:cs="Arial"/>
          <w:i/>
          <w:szCs w:val="22"/>
        </w:rPr>
        <w:t>.</w:t>
      </w:r>
    </w:p>
    <w:p w:rsidR="00F0634F" w:rsidRPr="00B13861" w:rsidRDefault="00F0634F" w:rsidP="00C65C6B">
      <w:pPr>
        <w:pStyle w:val="Heading3"/>
        <w:rPr>
          <w:rStyle w:val="Heading7Char"/>
          <w:rFonts w:ascii="Arial" w:hAnsi="Arial" w:cs="Arial"/>
          <w:b w:val="0"/>
          <w:sz w:val="22"/>
          <w:szCs w:val="22"/>
        </w:rPr>
      </w:pPr>
      <w:bookmarkStart w:id="116" w:name="_Toc343502466"/>
      <w:r w:rsidRPr="00B13861">
        <w:rPr>
          <w:rStyle w:val="Heading7Char"/>
          <w:rFonts w:ascii="Arial" w:hAnsi="Arial" w:cs="Arial"/>
          <w:b w:val="0"/>
          <w:sz w:val="22"/>
          <w:szCs w:val="22"/>
        </w:rPr>
        <w:t>Weighting data</w:t>
      </w:r>
      <w:bookmarkEnd w:id="116"/>
    </w:p>
    <w:p w:rsidR="00F0634F" w:rsidRPr="00F0634F" w:rsidRDefault="00F0634F" w:rsidP="00B13861">
      <w:r w:rsidRPr="00F0634F">
        <w:t>For every survey there is usually a difference between the actual proportion (based on sex and age groups) identified by</w:t>
      </w:r>
      <w:r w:rsidR="00C320A3">
        <w:t xml:space="preserve"> the Australian Bureau of Statistics</w:t>
      </w:r>
      <w:r w:rsidRPr="00F0634F">
        <w:t xml:space="preserve"> </w:t>
      </w:r>
      <w:r w:rsidR="00C320A3">
        <w:t>(</w:t>
      </w:r>
      <w:r w:rsidRPr="00F0634F">
        <w:t>ABS</w:t>
      </w:r>
      <w:r w:rsidR="00C320A3">
        <w:t>)</w:t>
      </w:r>
      <w:r w:rsidRPr="00F0634F">
        <w:t xml:space="preserve"> data and the proportion in each sex and a</w:t>
      </w:r>
      <w:r w:rsidR="005B4444">
        <w:t xml:space="preserve">ge group actually interviewed. </w:t>
      </w:r>
      <w:r w:rsidRPr="00F0634F">
        <w:t>If correction for the non-responders is not undertaken, the results of any analyses will be biased. To eliminate or reduce potential biases and to make sure that the results accurately reflect the population of interest, the data were weighted. This is common in probability-based sample surveys and ensures that the sample is represe</w:t>
      </w:r>
      <w:r w:rsidR="005B4444">
        <w:t>ntative.</w:t>
      </w:r>
      <w:r w:rsidRPr="00F0634F">
        <w:t xml:space="preserve"> Those groups that are over-represented include respondents easier to access and under-represented groups include responde</w:t>
      </w:r>
      <w:r w:rsidR="005B4444">
        <w:t xml:space="preserve">nts whom are harder to access. </w:t>
      </w:r>
      <w:r w:rsidRPr="00F0634F">
        <w:t>The weighting process will weight down the age/sex/area groups where too many respondents were interviewed and weight up the groups where not enough respondents were interviewed in order to be representativ</w:t>
      </w:r>
      <w:r w:rsidR="005B4444">
        <w:t xml:space="preserve">e of the population structure. </w:t>
      </w:r>
      <w:r w:rsidRPr="00F0634F">
        <w:t>The overall number of observations (the total numbe</w:t>
      </w:r>
      <w:r w:rsidR="005B4444">
        <w:t>r of records) does not change.</w:t>
      </w:r>
    </w:p>
    <w:p w:rsidR="00F0634F" w:rsidRPr="00F0634F" w:rsidRDefault="00F0634F" w:rsidP="00B13861">
      <w:r w:rsidRPr="00F0634F">
        <w:t xml:space="preserve">The data in this survey have been weighted to the Australian Census (2006) released by </w:t>
      </w:r>
      <w:r w:rsidR="00C320A3">
        <w:t xml:space="preserve">the ABS </w:t>
      </w:r>
      <w:r w:rsidRPr="00F0634F">
        <w:t>in 2007</w:t>
      </w:r>
      <w:r w:rsidRPr="00F0634F">
        <w:rPr>
          <w:vertAlign w:val="superscript"/>
        </w:rPr>
        <w:t>1</w:t>
      </w:r>
      <w:r w:rsidR="00FB6A71">
        <w:t xml:space="preserve">. </w:t>
      </w:r>
      <w:r w:rsidRPr="00F0634F">
        <w:t>The number of people in paid employment but not self employed by age group and sex was determined from these figures.</w:t>
      </w:r>
    </w:p>
    <w:p w:rsidR="00F0634F" w:rsidRPr="00F0634F" w:rsidRDefault="00F0634F" w:rsidP="00B13861">
      <w:r w:rsidRPr="00F0634F">
        <w:lastRenderedPageBreak/>
        <w:t>One respondent did not provide an age and could not be weig</w:t>
      </w:r>
      <w:r w:rsidR="005B4444">
        <w:t>hted. This respondent</w:t>
      </w:r>
      <w:r w:rsidRPr="00F0634F">
        <w:t xml:space="preserve"> was removed from the data.</w:t>
      </w:r>
    </w:p>
    <w:p w:rsidR="00F0634F" w:rsidRPr="00E74404" w:rsidRDefault="00F0634F" w:rsidP="00C65C6B">
      <w:pPr>
        <w:pStyle w:val="Heading3"/>
        <w:rPr>
          <w:rStyle w:val="Strong"/>
        </w:rPr>
      </w:pPr>
      <w:bookmarkStart w:id="117" w:name="_Toc421003468"/>
      <w:bookmarkStart w:id="118" w:name="_Ref422731098"/>
      <w:bookmarkStart w:id="119" w:name="_Toc422908015"/>
      <w:bookmarkStart w:id="120" w:name="_Toc427032716"/>
      <w:bookmarkStart w:id="121" w:name="_Toc460305031"/>
      <w:bookmarkStart w:id="122" w:name="_Toc490287707"/>
      <w:bookmarkStart w:id="123" w:name="regionwt"/>
      <w:bookmarkStart w:id="124" w:name="_Toc343502467"/>
      <w:r w:rsidRPr="00E74404">
        <w:rPr>
          <w:rStyle w:val="Strong"/>
        </w:rPr>
        <w:t>State weight</w:t>
      </w:r>
      <w:bookmarkEnd w:id="117"/>
      <w:bookmarkEnd w:id="118"/>
      <w:bookmarkEnd w:id="119"/>
      <w:bookmarkEnd w:id="120"/>
      <w:bookmarkEnd w:id="121"/>
      <w:bookmarkEnd w:id="122"/>
      <w:bookmarkEnd w:id="123"/>
      <w:bookmarkEnd w:id="124"/>
    </w:p>
    <w:p w:rsidR="00F0634F" w:rsidRPr="00F0634F" w:rsidRDefault="00F0634F" w:rsidP="00B13861">
      <w:r w:rsidRPr="00F0634F">
        <w:t xml:space="preserve">The data are weighted by age, sex and probability of selection for those aged 18 years and over in the household who worked in paid employment, but were not self-employed, to reflect the structure of those employed full or part time in Tasmania, </w:t>
      </w:r>
      <w:r w:rsidR="00C320A3">
        <w:t xml:space="preserve">the </w:t>
      </w:r>
      <w:r w:rsidRPr="00F0634F">
        <w:t>ACT and the NT. A weight variable (call</w:t>
      </w:r>
      <w:r w:rsidR="00FB6A71">
        <w:t>ed statewt) has been produced.</w:t>
      </w:r>
    </w:p>
    <w:p w:rsidR="00F0634F" w:rsidRPr="00E74404" w:rsidRDefault="00F0634F" w:rsidP="0040008A">
      <w:pPr>
        <w:rPr>
          <w:rStyle w:val="Strong"/>
        </w:rPr>
      </w:pPr>
      <w:r w:rsidRPr="00E74404">
        <w:rPr>
          <w:rStyle w:val="Strong"/>
        </w:rPr>
        <w:t>Analyses should use the overall w</w:t>
      </w:r>
      <w:r w:rsidR="0040008A">
        <w:rPr>
          <w:rStyle w:val="Strong"/>
        </w:rPr>
        <w:t>eight.</w:t>
      </w:r>
    </w:p>
    <w:p w:rsidR="00F0634F" w:rsidRPr="00E74404" w:rsidRDefault="00F0634F" w:rsidP="00C65C6B">
      <w:pPr>
        <w:pStyle w:val="Heading3"/>
        <w:rPr>
          <w:rStyle w:val="Strong"/>
        </w:rPr>
      </w:pPr>
      <w:bookmarkStart w:id="125" w:name="_Toc343502468"/>
      <w:r w:rsidRPr="00E74404">
        <w:rPr>
          <w:rStyle w:val="Strong"/>
        </w:rPr>
        <w:t>SPSS Command</w:t>
      </w:r>
      <w:bookmarkEnd w:id="125"/>
    </w:p>
    <w:p w:rsidR="00F0634F" w:rsidRPr="00F0634F" w:rsidRDefault="00F0634F" w:rsidP="00B13861">
      <w:r w:rsidRPr="00F0634F">
        <w:t xml:space="preserve">We recommend that the weight variable is permanently set on. Once a weight variable has been applied it remains in effect until it is turned off. The SPSS instructions to weight cases </w:t>
      </w:r>
      <w:r w:rsidR="007F78E7">
        <w:t>are</w:t>
      </w:r>
      <w:r w:rsidRPr="00F0634F">
        <w:t xml:space="preserve"> as follows:</w:t>
      </w:r>
    </w:p>
    <w:p w:rsidR="00F0634F" w:rsidRPr="007513D9" w:rsidRDefault="00F0634F" w:rsidP="007513D9">
      <w:pPr>
        <w:pStyle w:val="ListParagraph"/>
        <w:numPr>
          <w:ilvl w:val="0"/>
          <w:numId w:val="3"/>
        </w:numPr>
        <w:spacing w:before="100" w:beforeAutospacing="1" w:after="100" w:afterAutospacing="1"/>
        <w:rPr>
          <w:rFonts w:ascii="Arial" w:hAnsi="Arial" w:cs="Arial"/>
        </w:rPr>
      </w:pPr>
      <w:r w:rsidRPr="007513D9">
        <w:rPr>
          <w:rFonts w:ascii="Arial" w:hAnsi="Arial" w:cs="Arial"/>
        </w:rPr>
        <w:t>From the menus choose:</w:t>
      </w:r>
      <w:bookmarkStart w:id="126" w:name="_GoBack"/>
      <w:bookmarkEnd w:id="126"/>
    </w:p>
    <w:p w:rsidR="00F0634F" w:rsidRPr="007513D9" w:rsidRDefault="00F0634F" w:rsidP="007513D9">
      <w:pPr>
        <w:pStyle w:val="ListParagraph"/>
        <w:spacing w:before="100" w:beforeAutospacing="1" w:after="100" w:afterAutospacing="1"/>
        <w:rPr>
          <w:rFonts w:ascii="Arial" w:hAnsi="Arial" w:cs="Arial"/>
        </w:rPr>
      </w:pPr>
      <w:r w:rsidRPr="007513D9">
        <w:rPr>
          <w:rFonts w:ascii="Arial" w:hAnsi="Arial" w:cs="Arial"/>
        </w:rPr>
        <w:t>Data</w:t>
      </w:r>
    </w:p>
    <w:p w:rsidR="00F0634F" w:rsidRPr="007513D9" w:rsidRDefault="00F0634F" w:rsidP="007513D9">
      <w:pPr>
        <w:pStyle w:val="ListParagraph"/>
        <w:spacing w:before="100" w:beforeAutospacing="1" w:after="100" w:afterAutospacing="1"/>
        <w:rPr>
          <w:rFonts w:ascii="Arial" w:hAnsi="Arial" w:cs="Arial"/>
        </w:rPr>
      </w:pPr>
      <w:r w:rsidRPr="007513D9">
        <w:rPr>
          <w:rFonts w:ascii="Arial" w:hAnsi="Arial" w:cs="Arial"/>
        </w:rPr>
        <w:t>Weight cases…..</w:t>
      </w:r>
    </w:p>
    <w:p w:rsidR="00F0634F" w:rsidRDefault="00F0634F" w:rsidP="007513D9">
      <w:pPr>
        <w:pStyle w:val="ListParagraph"/>
        <w:numPr>
          <w:ilvl w:val="0"/>
          <w:numId w:val="3"/>
        </w:numPr>
        <w:spacing w:before="100" w:beforeAutospacing="1" w:after="100" w:afterAutospacing="1"/>
        <w:rPr>
          <w:rFonts w:cs="Arial"/>
        </w:rPr>
      </w:pPr>
      <w:r w:rsidRPr="007513D9">
        <w:rPr>
          <w:rFonts w:ascii="Arial" w:hAnsi="Arial" w:cs="Arial"/>
        </w:rPr>
        <w:t>Select Weight</w:t>
      </w:r>
      <w:r w:rsidRPr="007513D9">
        <w:rPr>
          <w:rFonts w:ascii="Arial" w:hAnsi="Arial" w:cs="Arial"/>
          <w:i/>
          <w:iCs/>
        </w:rPr>
        <w:t xml:space="preserve"> cases by </w:t>
      </w:r>
      <w:r w:rsidRPr="007513D9">
        <w:rPr>
          <w:rFonts w:ascii="Arial" w:hAnsi="Arial" w:cs="Arial"/>
        </w:rPr>
        <w:t xml:space="preserve">(and select </w:t>
      </w:r>
      <w:r w:rsidR="009733EA" w:rsidRPr="007513D9">
        <w:rPr>
          <w:rFonts w:ascii="Arial" w:hAnsi="Arial" w:cs="Arial"/>
        </w:rPr>
        <w:t>“</w:t>
      </w:r>
      <w:r w:rsidRPr="007513D9">
        <w:rPr>
          <w:rFonts w:ascii="Arial" w:hAnsi="Arial" w:cs="Arial"/>
        </w:rPr>
        <w:t>wt</w:t>
      </w:r>
      <w:r w:rsidR="009733EA" w:rsidRPr="007513D9">
        <w:rPr>
          <w:rFonts w:ascii="Arial" w:hAnsi="Arial" w:cs="Arial"/>
        </w:rPr>
        <w:t>”</w:t>
      </w:r>
      <w:r w:rsidRPr="007513D9">
        <w:rPr>
          <w:rFonts w:ascii="Arial" w:hAnsi="Arial" w:cs="Arial"/>
        </w:rPr>
        <w:t xml:space="preserve"> from the list of variable names).</w:t>
      </w:r>
    </w:p>
    <w:p w:rsidR="002A79A9" w:rsidRPr="00B13861" w:rsidRDefault="002A79A9" w:rsidP="002A79A9">
      <w:pPr>
        <w:tabs>
          <w:tab w:val="left" w:pos="1134"/>
        </w:tabs>
        <w:autoSpaceDE w:val="0"/>
        <w:autoSpaceDN w:val="0"/>
        <w:adjustRightInd w:val="0"/>
        <w:spacing w:after="0" w:line="240" w:lineRule="auto"/>
        <w:ind w:left="1440"/>
        <w:jc w:val="both"/>
        <w:rPr>
          <w:rFonts w:cs="Arial"/>
          <w:szCs w:val="22"/>
        </w:rPr>
      </w:pPr>
    </w:p>
    <w:p w:rsidR="00F0634F" w:rsidRPr="00F0634F" w:rsidRDefault="00F0634F" w:rsidP="00B13861">
      <w:r w:rsidRPr="00F0634F">
        <w:t>All further analysis will use weighted data. Saving the dataset with the weighted variable switched on will ensure that the weighting is applied when the data is next opened. The status bar at the bottom of the SPSS application window displays the message “Weight on” if weighting is in effect in the working data file.</w:t>
      </w:r>
    </w:p>
    <w:p w:rsidR="00F0634F" w:rsidRPr="00E74404" w:rsidRDefault="00F0634F" w:rsidP="00C65C6B">
      <w:pPr>
        <w:pStyle w:val="Heading3"/>
        <w:rPr>
          <w:rStyle w:val="Strong"/>
        </w:rPr>
      </w:pPr>
      <w:bookmarkStart w:id="127" w:name="_Toc343502469"/>
      <w:r w:rsidRPr="00E74404">
        <w:rPr>
          <w:rStyle w:val="Strong"/>
        </w:rPr>
        <w:t>Formal Definition</w:t>
      </w:r>
      <w:bookmarkEnd w:id="127"/>
    </w:p>
    <w:p w:rsidR="00F0634F" w:rsidRPr="00F0634F" w:rsidRDefault="00F0634F" w:rsidP="00B13861">
      <w:r w:rsidRPr="00F0634F">
        <w:t>The sample weight is the inverse of that person’s selection probability, and signifies the number of individuals in the target population that the sampled individual represents.</w:t>
      </w:r>
    </w:p>
    <w:p w:rsidR="00F0634F" w:rsidRPr="00E74404" w:rsidRDefault="00F0634F" w:rsidP="00C65C6B">
      <w:pPr>
        <w:pStyle w:val="Heading3"/>
        <w:rPr>
          <w:rStyle w:val="Strong"/>
        </w:rPr>
      </w:pPr>
      <w:bookmarkStart w:id="128" w:name="_Toc343502470"/>
      <w:r w:rsidRPr="00E74404">
        <w:rPr>
          <w:rStyle w:val="Strong"/>
        </w:rPr>
        <w:t>Additional Note</w:t>
      </w:r>
      <w:bookmarkEnd w:id="128"/>
    </w:p>
    <w:p w:rsidR="00F0634F" w:rsidRPr="00F0634F" w:rsidRDefault="00F0634F" w:rsidP="00B13861">
      <w:r w:rsidRPr="00F0634F">
        <w:t xml:space="preserve">Although in most examples the weight is applied to correct for selection bias, the data can be weighted to change a population base - for example the sample data could be used to provide expected estimates for another population (Australia instead of SA) or to be used in a </w:t>
      </w:r>
      <w:r w:rsidR="00E841A9" w:rsidRPr="00F0634F">
        <w:t>meta-analysis</w:t>
      </w:r>
      <w:r w:rsidRPr="00F0634F">
        <w:t>. Advice on these procedures i</w:t>
      </w:r>
      <w:r w:rsidR="007F78E7">
        <w:t>s</w:t>
      </w:r>
      <w:r w:rsidRPr="00F0634F">
        <w:t xml:space="preserve"> available from PROS.</w:t>
      </w:r>
    </w:p>
    <w:p w:rsidR="0043538F" w:rsidRPr="005B19FB" w:rsidRDefault="0043538F" w:rsidP="0043538F">
      <w:pPr>
        <w:pStyle w:val="Heading1"/>
        <w:spacing w:before="0" w:after="100" w:afterAutospacing="1"/>
      </w:pPr>
      <w:bookmarkStart w:id="129" w:name="_Toc343502471"/>
      <w:r>
        <w:lastRenderedPageBreak/>
        <w:t>Appendix C</w:t>
      </w:r>
      <w:bookmarkEnd w:id="129"/>
    </w:p>
    <w:p w:rsidR="0043538F" w:rsidRPr="007F78E7" w:rsidRDefault="0043538F" w:rsidP="007F78E7">
      <w:pPr>
        <w:pStyle w:val="Heading2"/>
        <w:spacing w:before="100" w:beforeAutospacing="1" w:after="100" w:afterAutospacing="1"/>
        <w:rPr>
          <w:iCs/>
        </w:rPr>
      </w:pPr>
      <w:bookmarkStart w:id="130" w:name="_Toc343502472"/>
      <w:r w:rsidRPr="007F78E7">
        <w:rPr>
          <w:iCs/>
        </w:rPr>
        <w:t>Results</w:t>
      </w:r>
      <w:r w:rsidR="007F78E7">
        <w:rPr>
          <w:iCs/>
        </w:rPr>
        <w:t xml:space="preserve"> from structural equation model</w:t>
      </w:r>
      <w:bookmarkEnd w:id="130"/>
    </w:p>
    <w:p w:rsidR="0043538F" w:rsidRDefault="0043538F" w:rsidP="000E0752">
      <w:r w:rsidRPr="00FE4AC7">
        <w:t>We controlled for age, gender and income</w:t>
      </w:r>
      <w:r w:rsidR="00C312ED">
        <w:t xml:space="preserve">. </w:t>
      </w:r>
      <w:r w:rsidRPr="00FE4AC7">
        <w:t xml:space="preserve">To test how well the </w:t>
      </w:r>
      <w:r>
        <w:t xml:space="preserve">theoretical </w:t>
      </w:r>
      <w:r w:rsidRPr="00FE4AC7">
        <w:t>model fit the data we used a range of indices; the Root Mean Square Error of Approximation (RMSEA); the χ2 goodness-of-fit statistic; the Goodness of Fit Index (GFI); the Comparative Fit Index (CFI); the Non-Normed Fit Index (NNFI); and the Akaik</w:t>
      </w:r>
      <w:r w:rsidR="00C312ED">
        <w:t xml:space="preserve">e Information Criterion (AIC). </w:t>
      </w:r>
      <w:r w:rsidRPr="00FE4AC7">
        <w:t>The χ2 goodness-of-fit statistic should be ≤ .05</w:t>
      </w:r>
      <w:r>
        <w:t>. T</w:t>
      </w:r>
      <w:r w:rsidRPr="00FE4AC7">
        <w:t>his indicator is sensitive to large sample sizes and the probability of rejecting a model when it is true may increase with larger sample sizes (Marsh, Hau, &amp; Wen, 2004). Therefore it is important to use relative fit indices (CFI and NNFI); values typically range from zero to unity, and ≥ .90 are considered to indicate an acceptable fit (Hoyle, 1995). Hu and Bentler (1999) and others (Schermelleh-Engel, Moosbrugger, &amp; Mueller, 2003) recommend a higher cut off for a good fit of at least .95 for these relative fit indices. Recently scholars have argued that these levels are too restrictive and other considerations need to be made (Marsh, Hau, &amp; Wen, 2004). GFI values also range from zero to unity; GIF ≥ .90 is considered a reasonable fit and GFI ≥ .95 is con</w:t>
      </w:r>
      <w:r>
        <w:t>sidered a good fit (Hoyle, 1995;</w:t>
      </w:r>
      <w:r w:rsidRPr="00FE4AC7">
        <w:t xml:space="preserve"> Schermelleh-Engel et al., 2003). RMSEA values should be close to zero; values ≤ .08 are considered sufficient (Browne &amp; Cudeck, 1993), and ≤ .05 a good fit (Schermelleh-Engel et al., 2003). Smaller levels of AIC indicate a better fit (Schermelleh-Engel et al., 2003). Maximum likelihood estimation methods</w:t>
      </w:r>
      <w:r w:rsidR="00FB6A71">
        <w:t xml:space="preserve"> were used in the SEM analysis.</w:t>
      </w:r>
    </w:p>
    <w:p w:rsidR="0043538F" w:rsidRDefault="0043538F" w:rsidP="000E0752">
      <w:r w:rsidRPr="00FE4AC7">
        <w:t>To validate the model, we randomly split the data into two files (</w:t>
      </w:r>
      <w:r w:rsidRPr="00EF149C">
        <w:rPr>
          <w:i/>
        </w:rPr>
        <w:t>N</w:t>
      </w:r>
      <w:r w:rsidRPr="00EF149C">
        <w:rPr>
          <w:vertAlign w:val="subscript"/>
        </w:rPr>
        <w:t>1</w:t>
      </w:r>
      <w:r w:rsidRPr="00FE4AC7">
        <w:t xml:space="preserve"> = 1</w:t>
      </w:r>
      <w:r w:rsidR="00B84BF2">
        <w:t xml:space="preserve"> </w:t>
      </w:r>
      <w:r w:rsidRPr="00FE4AC7">
        <w:t xml:space="preserve">577, </w:t>
      </w:r>
      <w:r w:rsidRPr="00EF149C">
        <w:rPr>
          <w:i/>
        </w:rPr>
        <w:t>N</w:t>
      </w:r>
      <w:r w:rsidRPr="00EF149C">
        <w:rPr>
          <w:vertAlign w:val="subscript"/>
        </w:rPr>
        <w:t>2</w:t>
      </w:r>
      <w:r w:rsidRPr="00FE4AC7">
        <w:t xml:space="preserve"> = 1</w:t>
      </w:r>
      <w:r w:rsidR="00B84BF2">
        <w:t xml:space="preserve"> </w:t>
      </w:r>
      <w:r w:rsidRPr="00FE4AC7">
        <w:t>575) and reran the model as an SEM multi</w:t>
      </w:r>
      <w:r>
        <w:t>-</w:t>
      </w:r>
      <w:r w:rsidRPr="00FE4AC7">
        <w:t>group analysis. First we compared the structural paths of the model when the paths were allowed to vary between the two groups (M2). Then we compared the fit of the model when the paths were constrained to be equal between the two groups (M3); in this case we assume the model is equal in the two separate data sets. If there is no deterioration in fit between the unconstrained and constrained model, we can assume that the models are equivalent, and the structural relationships between the constructs are equivalent. In this case a conclusion that t</w:t>
      </w:r>
      <w:r>
        <w:t xml:space="preserve">he model as outlined in Figure </w:t>
      </w:r>
      <w:r w:rsidR="00540975">
        <w:t>4</w:t>
      </w:r>
      <w:r w:rsidRPr="00FE4AC7">
        <w:t xml:space="preserve"> is validated in two separate samples is warranted.</w:t>
      </w:r>
    </w:p>
    <w:p w:rsidR="0043538F" w:rsidRPr="00C65C6B" w:rsidRDefault="0043538F" w:rsidP="00C65C6B">
      <w:pPr>
        <w:pStyle w:val="FigureCaption"/>
      </w:pPr>
      <w:proofErr w:type="gramStart"/>
      <w:r w:rsidRPr="00C65C6B">
        <w:t xml:space="preserve">Table </w:t>
      </w:r>
      <w:r w:rsidR="00D1426B" w:rsidRPr="00C65C6B">
        <w:t>7</w:t>
      </w:r>
      <w:r w:rsidRPr="00C65C6B">
        <w:t>.</w:t>
      </w:r>
      <w:proofErr w:type="gramEnd"/>
      <w:r w:rsidRPr="00C65C6B">
        <w:t xml:space="preserve"> Comparison of Alternative Models</w:t>
      </w:r>
    </w:p>
    <w:tbl>
      <w:tblPr>
        <w:tblW w:w="9270" w:type="dxa"/>
        <w:jc w:val="center"/>
        <w:tblInd w:w="-435" w:type="dxa"/>
        <w:tblBorders>
          <w:top w:val="single" w:sz="12" w:space="0" w:color="auto"/>
          <w:insideH w:val="single" w:sz="4" w:space="0" w:color="auto"/>
        </w:tblBorders>
        <w:tblLayout w:type="fixed"/>
        <w:tblLook w:val="01E0" w:firstRow="1" w:lastRow="1" w:firstColumn="1" w:lastColumn="1" w:noHBand="0" w:noVBand="0"/>
      </w:tblPr>
      <w:tblGrid>
        <w:gridCol w:w="3000"/>
        <w:gridCol w:w="1005"/>
        <w:gridCol w:w="720"/>
        <w:gridCol w:w="585"/>
        <w:gridCol w:w="709"/>
        <w:gridCol w:w="709"/>
        <w:gridCol w:w="699"/>
        <w:gridCol w:w="851"/>
        <w:gridCol w:w="992"/>
      </w:tblGrid>
      <w:tr w:rsidR="0043538F" w:rsidRPr="001E72B3" w:rsidTr="0043538F">
        <w:trPr>
          <w:jc w:val="center"/>
        </w:trPr>
        <w:tc>
          <w:tcPr>
            <w:tcW w:w="3000" w:type="dxa"/>
            <w:tcBorders>
              <w:top w:val="single" w:sz="12" w:space="0" w:color="auto"/>
              <w:bottom w:val="single" w:sz="4" w:space="0" w:color="auto"/>
            </w:tcBorders>
          </w:tcPr>
          <w:p w:rsidR="0043538F" w:rsidRPr="001E72B3" w:rsidRDefault="0043538F" w:rsidP="0043538F">
            <w:pPr>
              <w:spacing w:line="360" w:lineRule="auto"/>
              <w:rPr>
                <w:rFonts w:ascii="Calibri" w:hAnsi="Calibri" w:cs="Calibri"/>
                <w:sz w:val="20"/>
                <w:szCs w:val="20"/>
              </w:rPr>
            </w:pPr>
          </w:p>
        </w:tc>
        <w:tc>
          <w:tcPr>
            <w:tcW w:w="1005" w:type="dxa"/>
            <w:tcBorders>
              <w:bottom w:val="single" w:sz="4" w:space="0" w:color="auto"/>
            </w:tcBorders>
          </w:tcPr>
          <w:p w:rsidR="0043538F" w:rsidRPr="001E72B3" w:rsidRDefault="0043538F" w:rsidP="0043538F">
            <w:pPr>
              <w:tabs>
                <w:tab w:val="decimal" w:pos="391"/>
              </w:tabs>
              <w:spacing w:line="360" w:lineRule="auto"/>
              <w:jc w:val="center"/>
              <w:rPr>
                <w:rFonts w:ascii="Calibri" w:hAnsi="Calibri" w:cs="Calibri"/>
                <w:sz w:val="20"/>
                <w:szCs w:val="20"/>
              </w:rPr>
            </w:pPr>
            <w:r w:rsidRPr="001E72B3">
              <w:rPr>
                <w:rFonts w:ascii="Calibri" w:hAnsi="Calibri" w:cs="Calibri"/>
                <w:sz w:val="20"/>
                <w:szCs w:val="20"/>
              </w:rPr>
              <w:t>χ</w:t>
            </w:r>
            <w:r w:rsidRPr="001E72B3">
              <w:rPr>
                <w:rFonts w:ascii="Calibri" w:hAnsi="Calibri" w:cs="Calibri"/>
                <w:sz w:val="20"/>
                <w:szCs w:val="20"/>
                <w:vertAlign w:val="superscript"/>
              </w:rPr>
              <w:t>2</w:t>
            </w:r>
          </w:p>
        </w:tc>
        <w:tc>
          <w:tcPr>
            <w:tcW w:w="720" w:type="dxa"/>
            <w:tcBorders>
              <w:bottom w:val="single" w:sz="4" w:space="0" w:color="auto"/>
            </w:tcBorders>
          </w:tcPr>
          <w:p w:rsidR="0043538F" w:rsidRPr="001E72B3" w:rsidRDefault="0043538F" w:rsidP="0043538F">
            <w:pPr>
              <w:spacing w:line="360" w:lineRule="auto"/>
              <w:jc w:val="center"/>
              <w:rPr>
                <w:rFonts w:ascii="Calibri" w:hAnsi="Calibri" w:cs="Calibri"/>
                <w:sz w:val="20"/>
                <w:szCs w:val="20"/>
              </w:rPr>
            </w:pPr>
            <w:r w:rsidRPr="001E72B3">
              <w:rPr>
                <w:rFonts w:ascii="Calibri" w:hAnsi="Calibri" w:cs="Calibri"/>
                <w:sz w:val="20"/>
                <w:szCs w:val="20"/>
              </w:rPr>
              <w:t>df</w:t>
            </w:r>
          </w:p>
        </w:tc>
        <w:tc>
          <w:tcPr>
            <w:tcW w:w="585" w:type="dxa"/>
            <w:tcBorders>
              <w:bottom w:val="single" w:sz="4" w:space="0" w:color="auto"/>
            </w:tcBorders>
          </w:tcPr>
          <w:p w:rsidR="0043538F" w:rsidRPr="00280087" w:rsidRDefault="0043538F" w:rsidP="0043538F">
            <w:pPr>
              <w:spacing w:line="360" w:lineRule="auto"/>
              <w:jc w:val="center"/>
              <w:rPr>
                <w:rStyle w:val="Emphasis"/>
                <w:rFonts w:asciiTheme="minorHAnsi" w:hAnsiTheme="minorHAnsi" w:cstheme="minorHAnsi"/>
              </w:rPr>
            </w:pPr>
            <w:r w:rsidRPr="00280087">
              <w:rPr>
                <w:rStyle w:val="Emphasis"/>
                <w:rFonts w:asciiTheme="minorHAnsi" w:hAnsiTheme="minorHAnsi" w:cstheme="minorHAnsi"/>
              </w:rPr>
              <w:t>p</w:t>
            </w:r>
          </w:p>
        </w:tc>
        <w:tc>
          <w:tcPr>
            <w:tcW w:w="709" w:type="dxa"/>
            <w:tcBorders>
              <w:bottom w:val="single" w:sz="4" w:space="0" w:color="auto"/>
            </w:tcBorders>
          </w:tcPr>
          <w:p w:rsidR="0043538F" w:rsidRPr="001E72B3" w:rsidRDefault="0043538F" w:rsidP="0043538F">
            <w:pPr>
              <w:spacing w:line="360" w:lineRule="auto"/>
              <w:jc w:val="center"/>
              <w:rPr>
                <w:rFonts w:ascii="Calibri" w:hAnsi="Calibri" w:cs="Calibri"/>
                <w:sz w:val="20"/>
                <w:szCs w:val="20"/>
              </w:rPr>
            </w:pPr>
            <w:r w:rsidRPr="001E72B3">
              <w:rPr>
                <w:rFonts w:ascii="Calibri" w:hAnsi="Calibri" w:cs="Calibri"/>
                <w:sz w:val="20"/>
                <w:szCs w:val="20"/>
              </w:rPr>
              <w:t>GFI</w:t>
            </w:r>
          </w:p>
        </w:tc>
        <w:tc>
          <w:tcPr>
            <w:tcW w:w="709" w:type="dxa"/>
            <w:tcBorders>
              <w:bottom w:val="single" w:sz="4" w:space="0" w:color="auto"/>
            </w:tcBorders>
          </w:tcPr>
          <w:p w:rsidR="0043538F" w:rsidRPr="001E72B3" w:rsidRDefault="0043538F" w:rsidP="0043538F">
            <w:pPr>
              <w:spacing w:line="360" w:lineRule="auto"/>
              <w:jc w:val="center"/>
              <w:rPr>
                <w:rFonts w:ascii="Calibri" w:hAnsi="Calibri" w:cs="Calibri"/>
                <w:sz w:val="20"/>
                <w:szCs w:val="20"/>
              </w:rPr>
            </w:pPr>
            <w:r w:rsidRPr="001E72B3">
              <w:rPr>
                <w:rFonts w:ascii="Calibri" w:hAnsi="Calibri" w:cs="Calibri"/>
                <w:sz w:val="20"/>
                <w:szCs w:val="20"/>
              </w:rPr>
              <w:t>CFI</w:t>
            </w:r>
          </w:p>
        </w:tc>
        <w:tc>
          <w:tcPr>
            <w:tcW w:w="699" w:type="dxa"/>
            <w:tcBorders>
              <w:bottom w:val="single" w:sz="4" w:space="0" w:color="auto"/>
            </w:tcBorders>
          </w:tcPr>
          <w:p w:rsidR="0043538F" w:rsidRPr="001E72B3" w:rsidRDefault="0043538F" w:rsidP="0043538F">
            <w:pPr>
              <w:spacing w:line="360" w:lineRule="auto"/>
              <w:jc w:val="center"/>
              <w:rPr>
                <w:rFonts w:ascii="Calibri" w:hAnsi="Calibri" w:cs="Calibri"/>
                <w:sz w:val="20"/>
                <w:szCs w:val="20"/>
              </w:rPr>
            </w:pPr>
            <w:r w:rsidRPr="001E72B3">
              <w:rPr>
                <w:rFonts w:ascii="Calibri" w:hAnsi="Calibri" w:cs="Calibri"/>
                <w:sz w:val="20"/>
                <w:szCs w:val="20"/>
              </w:rPr>
              <w:t>NNFI</w:t>
            </w:r>
          </w:p>
        </w:tc>
        <w:tc>
          <w:tcPr>
            <w:tcW w:w="851" w:type="dxa"/>
            <w:tcBorders>
              <w:bottom w:val="single" w:sz="4" w:space="0" w:color="auto"/>
            </w:tcBorders>
          </w:tcPr>
          <w:p w:rsidR="0043538F" w:rsidRPr="001E72B3" w:rsidRDefault="0043538F" w:rsidP="0043538F">
            <w:pPr>
              <w:spacing w:line="360" w:lineRule="auto"/>
              <w:jc w:val="center"/>
              <w:rPr>
                <w:rFonts w:ascii="Calibri" w:hAnsi="Calibri" w:cs="Calibri"/>
                <w:sz w:val="20"/>
                <w:szCs w:val="20"/>
              </w:rPr>
            </w:pPr>
            <w:r w:rsidRPr="001E72B3">
              <w:rPr>
                <w:rFonts w:ascii="Calibri" w:hAnsi="Calibri" w:cs="Calibri"/>
                <w:sz w:val="20"/>
                <w:szCs w:val="20"/>
              </w:rPr>
              <w:t>RMSEA</w:t>
            </w:r>
          </w:p>
        </w:tc>
        <w:tc>
          <w:tcPr>
            <w:tcW w:w="992" w:type="dxa"/>
            <w:tcBorders>
              <w:bottom w:val="single" w:sz="4" w:space="0" w:color="auto"/>
            </w:tcBorders>
          </w:tcPr>
          <w:p w:rsidR="0043538F" w:rsidRPr="001E72B3" w:rsidRDefault="0043538F" w:rsidP="0043538F">
            <w:pPr>
              <w:spacing w:line="360" w:lineRule="auto"/>
              <w:jc w:val="center"/>
              <w:rPr>
                <w:rFonts w:ascii="Calibri" w:hAnsi="Calibri" w:cs="Calibri"/>
                <w:sz w:val="20"/>
                <w:szCs w:val="20"/>
              </w:rPr>
            </w:pPr>
            <w:r w:rsidRPr="001E72B3">
              <w:rPr>
                <w:rFonts w:ascii="Calibri" w:hAnsi="Calibri" w:cs="Calibri"/>
                <w:sz w:val="20"/>
                <w:szCs w:val="20"/>
              </w:rPr>
              <w:t>AIC</w:t>
            </w:r>
          </w:p>
        </w:tc>
      </w:tr>
      <w:tr w:rsidR="0043538F" w:rsidRPr="001E72B3" w:rsidTr="0043538F">
        <w:trPr>
          <w:jc w:val="center"/>
        </w:trPr>
        <w:tc>
          <w:tcPr>
            <w:tcW w:w="3000" w:type="dxa"/>
            <w:tcBorders>
              <w:top w:val="nil"/>
              <w:bottom w:val="nil"/>
            </w:tcBorders>
          </w:tcPr>
          <w:p w:rsidR="0043538F" w:rsidRPr="001E72B3" w:rsidRDefault="0043538F" w:rsidP="0043538F">
            <w:pPr>
              <w:spacing w:line="360" w:lineRule="auto"/>
              <w:rPr>
                <w:rFonts w:ascii="Calibri" w:hAnsi="Calibri" w:cs="Calibri"/>
                <w:sz w:val="20"/>
                <w:szCs w:val="20"/>
              </w:rPr>
            </w:pPr>
            <w:r w:rsidRPr="001E72B3">
              <w:rPr>
                <w:rFonts w:ascii="Calibri" w:hAnsi="Calibri" w:cs="Calibri"/>
                <w:sz w:val="20"/>
                <w:szCs w:val="20"/>
              </w:rPr>
              <w:t>M1. Study Model</w:t>
            </w:r>
          </w:p>
        </w:tc>
        <w:tc>
          <w:tcPr>
            <w:tcW w:w="1005"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2192.29</w:t>
            </w:r>
          </w:p>
        </w:tc>
        <w:tc>
          <w:tcPr>
            <w:tcW w:w="720" w:type="dxa"/>
            <w:tcBorders>
              <w:top w:val="nil"/>
              <w:bottom w:val="nil"/>
            </w:tcBorders>
          </w:tcPr>
          <w:p w:rsidR="0043538F" w:rsidRPr="001E72B3" w:rsidRDefault="0043538F" w:rsidP="0043538F">
            <w:pPr>
              <w:tabs>
                <w:tab w:val="decimal" w:pos="268"/>
              </w:tabs>
              <w:spacing w:line="360" w:lineRule="auto"/>
              <w:rPr>
                <w:rFonts w:ascii="Calibri" w:hAnsi="Calibri" w:cs="Calibri"/>
                <w:sz w:val="20"/>
                <w:szCs w:val="20"/>
              </w:rPr>
            </w:pPr>
            <w:r w:rsidRPr="001E72B3">
              <w:rPr>
                <w:rFonts w:ascii="Calibri" w:hAnsi="Calibri" w:cs="Calibri"/>
                <w:sz w:val="20"/>
                <w:szCs w:val="20"/>
              </w:rPr>
              <w:t>228</w:t>
            </w:r>
          </w:p>
        </w:tc>
        <w:tc>
          <w:tcPr>
            <w:tcW w:w="585"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.001</w:t>
            </w:r>
          </w:p>
        </w:tc>
        <w:tc>
          <w:tcPr>
            <w:tcW w:w="709"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.95</w:t>
            </w:r>
          </w:p>
        </w:tc>
        <w:tc>
          <w:tcPr>
            <w:tcW w:w="709" w:type="dxa"/>
            <w:tcBorders>
              <w:top w:val="nil"/>
              <w:bottom w:val="nil"/>
            </w:tcBorders>
          </w:tcPr>
          <w:p w:rsidR="0043538F" w:rsidRPr="001E72B3" w:rsidRDefault="0043538F" w:rsidP="0043538F">
            <w:pPr>
              <w:tabs>
                <w:tab w:val="decimal" w:pos="152"/>
                <w:tab w:val="decimal" w:pos="268"/>
              </w:tabs>
              <w:spacing w:line="360" w:lineRule="auto"/>
              <w:jc w:val="center"/>
              <w:rPr>
                <w:rFonts w:ascii="Calibri" w:hAnsi="Calibri" w:cs="Calibri"/>
                <w:sz w:val="20"/>
                <w:szCs w:val="20"/>
              </w:rPr>
            </w:pPr>
            <w:r w:rsidRPr="001E72B3">
              <w:rPr>
                <w:rFonts w:ascii="Calibri" w:hAnsi="Calibri" w:cs="Calibri"/>
                <w:sz w:val="20"/>
                <w:szCs w:val="20"/>
              </w:rPr>
              <w:t>.94</w:t>
            </w:r>
          </w:p>
        </w:tc>
        <w:tc>
          <w:tcPr>
            <w:tcW w:w="699"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.92</w:t>
            </w:r>
          </w:p>
        </w:tc>
        <w:tc>
          <w:tcPr>
            <w:tcW w:w="851"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.05</w:t>
            </w:r>
          </w:p>
        </w:tc>
        <w:tc>
          <w:tcPr>
            <w:tcW w:w="992" w:type="dxa"/>
            <w:tcBorders>
              <w:top w:val="nil"/>
              <w:bottom w:val="nil"/>
            </w:tcBorders>
          </w:tcPr>
          <w:p w:rsidR="0043538F" w:rsidRPr="001E72B3" w:rsidRDefault="0043538F" w:rsidP="0043538F">
            <w:pPr>
              <w:tabs>
                <w:tab w:val="decimal" w:pos="162"/>
              </w:tabs>
              <w:spacing w:line="360" w:lineRule="auto"/>
              <w:jc w:val="right"/>
              <w:rPr>
                <w:rFonts w:ascii="Calibri" w:hAnsi="Calibri" w:cs="Calibri"/>
                <w:sz w:val="20"/>
                <w:szCs w:val="20"/>
              </w:rPr>
            </w:pPr>
            <w:r w:rsidRPr="001E72B3">
              <w:rPr>
                <w:rFonts w:ascii="Calibri" w:hAnsi="Calibri" w:cs="Calibri"/>
                <w:sz w:val="20"/>
                <w:szCs w:val="20"/>
              </w:rPr>
              <w:t>2386.20</w:t>
            </w:r>
          </w:p>
        </w:tc>
      </w:tr>
      <w:tr w:rsidR="0043538F" w:rsidRPr="001E72B3" w:rsidTr="0043538F">
        <w:trPr>
          <w:jc w:val="center"/>
        </w:trPr>
        <w:tc>
          <w:tcPr>
            <w:tcW w:w="3000" w:type="dxa"/>
            <w:tcBorders>
              <w:top w:val="nil"/>
              <w:bottom w:val="nil"/>
            </w:tcBorders>
          </w:tcPr>
          <w:p w:rsidR="0043538F" w:rsidRPr="001E72B3" w:rsidRDefault="0043538F" w:rsidP="0043538F">
            <w:pPr>
              <w:spacing w:line="360" w:lineRule="auto"/>
              <w:rPr>
                <w:rFonts w:ascii="Calibri" w:hAnsi="Calibri" w:cs="Calibri"/>
                <w:sz w:val="20"/>
                <w:szCs w:val="20"/>
              </w:rPr>
            </w:pPr>
            <w:r w:rsidRPr="001E72B3">
              <w:rPr>
                <w:rFonts w:ascii="Calibri" w:hAnsi="Calibri" w:cs="Calibri"/>
                <w:sz w:val="20"/>
                <w:szCs w:val="20"/>
              </w:rPr>
              <w:t>M2. Unconstrained Model</w:t>
            </w:r>
          </w:p>
        </w:tc>
        <w:tc>
          <w:tcPr>
            <w:tcW w:w="1005"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2431.07</w:t>
            </w:r>
          </w:p>
        </w:tc>
        <w:tc>
          <w:tcPr>
            <w:tcW w:w="720" w:type="dxa"/>
            <w:tcBorders>
              <w:top w:val="nil"/>
              <w:bottom w:val="nil"/>
            </w:tcBorders>
          </w:tcPr>
          <w:p w:rsidR="0043538F" w:rsidRPr="001E72B3" w:rsidRDefault="0043538F" w:rsidP="0043538F">
            <w:pPr>
              <w:tabs>
                <w:tab w:val="decimal" w:pos="268"/>
              </w:tabs>
              <w:spacing w:line="360" w:lineRule="auto"/>
              <w:rPr>
                <w:rFonts w:ascii="Calibri" w:hAnsi="Calibri" w:cs="Calibri"/>
                <w:sz w:val="20"/>
                <w:szCs w:val="20"/>
              </w:rPr>
            </w:pPr>
            <w:r w:rsidRPr="001E72B3">
              <w:rPr>
                <w:rFonts w:ascii="Calibri" w:hAnsi="Calibri" w:cs="Calibri"/>
                <w:sz w:val="20"/>
                <w:szCs w:val="20"/>
              </w:rPr>
              <w:t>456</w:t>
            </w:r>
          </w:p>
        </w:tc>
        <w:tc>
          <w:tcPr>
            <w:tcW w:w="585"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.001</w:t>
            </w:r>
          </w:p>
        </w:tc>
        <w:tc>
          <w:tcPr>
            <w:tcW w:w="709"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.94</w:t>
            </w:r>
          </w:p>
        </w:tc>
        <w:tc>
          <w:tcPr>
            <w:tcW w:w="709" w:type="dxa"/>
            <w:tcBorders>
              <w:top w:val="nil"/>
              <w:bottom w:val="nil"/>
            </w:tcBorders>
          </w:tcPr>
          <w:p w:rsidR="0043538F" w:rsidRPr="001E72B3" w:rsidRDefault="0043538F" w:rsidP="0043538F">
            <w:pPr>
              <w:tabs>
                <w:tab w:val="decimal" w:pos="152"/>
                <w:tab w:val="decimal" w:pos="268"/>
              </w:tabs>
              <w:spacing w:line="360" w:lineRule="auto"/>
              <w:jc w:val="center"/>
              <w:rPr>
                <w:rFonts w:ascii="Calibri" w:hAnsi="Calibri" w:cs="Calibri"/>
                <w:sz w:val="20"/>
                <w:szCs w:val="20"/>
              </w:rPr>
            </w:pPr>
            <w:r w:rsidRPr="001E72B3">
              <w:rPr>
                <w:rFonts w:ascii="Calibri" w:hAnsi="Calibri" w:cs="Calibri"/>
                <w:sz w:val="20"/>
                <w:szCs w:val="20"/>
              </w:rPr>
              <w:t>.94</w:t>
            </w:r>
          </w:p>
        </w:tc>
        <w:tc>
          <w:tcPr>
            <w:tcW w:w="699"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.92</w:t>
            </w:r>
          </w:p>
        </w:tc>
        <w:tc>
          <w:tcPr>
            <w:tcW w:w="851"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.04</w:t>
            </w:r>
          </w:p>
        </w:tc>
        <w:tc>
          <w:tcPr>
            <w:tcW w:w="992" w:type="dxa"/>
            <w:tcBorders>
              <w:top w:val="nil"/>
              <w:bottom w:val="nil"/>
            </w:tcBorders>
          </w:tcPr>
          <w:p w:rsidR="0043538F" w:rsidRPr="001E72B3" w:rsidRDefault="0043538F" w:rsidP="0043538F">
            <w:pPr>
              <w:tabs>
                <w:tab w:val="decimal" w:pos="162"/>
              </w:tabs>
              <w:spacing w:line="360" w:lineRule="auto"/>
              <w:jc w:val="right"/>
              <w:rPr>
                <w:rFonts w:ascii="Calibri" w:hAnsi="Calibri" w:cs="Calibri"/>
                <w:sz w:val="20"/>
                <w:szCs w:val="20"/>
              </w:rPr>
            </w:pPr>
            <w:r w:rsidRPr="001E72B3">
              <w:rPr>
                <w:rFonts w:ascii="Calibri" w:hAnsi="Calibri" w:cs="Calibri"/>
                <w:sz w:val="20"/>
                <w:szCs w:val="20"/>
              </w:rPr>
              <w:t>2819.07</w:t>
            </w:r>
          </w:p>
        </w:tc>
      </w:tr>
      <w:tr w:rsidR="0043538F" w:rsidRPr="001E72B3" w:rsidTr="0043538F">
        <w:trPr>
          <w:jc w:val="center"/>
        </w:trPr>
        <w:tc>
          <w:tcPr>
            <w:tcW w:w="3000" w:type="dxa"/>
            <w:tcBorders>
              <w:top w:val="nil"/>
              <w:bottom w:val="nil"/>
            </w:tcBorders>
          </w:tcPr>
          <w:p w:rsidR="0043538F" w:rsidRPr="001E72B3" w:rsidRDefault="0043538F" w:rsidP="0043538F">
            <w:pPr>
              <w:spacing w:line="360" w:lineRule="auto"/>
              <w:rPr>
                <w:rFonts w:ascii="Calibri" w:hAnsi="Calibri" w:cs="Calibri"/>
                <w:sz w:val="20"/>
                <w:szCs w:val="20"/>
              </w:rPr>
            </w:pPr>
            <w:r w:rsidRPr="001E72B3">
              <w:rPr>
                <w:rFonts w:ascii="Calibri" w:hAnsi="Calibri" w:cs="Calibri"/>
                <w:sz w:val="20"/>
                <w:szCs w:val="20"/>
              </w:rPr>
              <w:t>M3. Constrained Structural Model</w:t>
            </w:r>
          </w:p>
        </w:tc>
        <w:tc>
          <w:tcPr>
            <w:tcW w:w="1005"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2502.24</w:t>
            </w:r>
          </w:p>
        </w:tc>
        <w:tc>
          <w:tcPr>
            <w:tcW w:w="720" w:type="dxa"/>
            <w:tcBorders>
              <w:top w:val="nil"/>
              <w:bottom w:val="nil"/>
            </w:tcBorders>
          </w:tcPr>
          <w:p w:rsidR="0043538F" w:rsidRPr="001E72B3" w:rsidRDefault="0043538F" w:rsidP="0043538F">
            <w:pPr>
              <w:tabs>
                <w:tab w:val="decimal" w:pos="268"/>
              </w:tabs>
              <w:spacing w:line="360" w:lineRule="auto"/>
              <w:rPr>
                <w:rFonts w:ascii="Calibri" w:hAnsi="Calibri" w:cs="Calibri"/>
                <w:sz w:val="20"/>
                <w:szCs w:val="20"/>
              </w:rPr>
            </w:pPr>
            <w:r w:rsidRPr="001E72B3">
              <w:rPr>
                <w:rFonts w:ascii="Calibri" w:hAnsi="Calibri" w:cs="Calibri"/>
                <w:sz w:val="20"/>
                <w:szCs w:val="20"/>
              </w:rPr>
              <w:t>506</w:t>
            </w:r>
          </w:p>
        </w:tc>
        <w:tc>
          <w:tcPr>
            <w:tcW w:w="585"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.001</w:t>
            </w:r>
          </w:p>
        </w:tc>
        <w:tc>
          <w:tcPr>
            <w:tcW w:w="709"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.94</w:t>
            </w:r>
          </w:p>
        </w:tc>
        <w:tc>
          <w:tcPr>
            <w:tcW w:w="709" w:type="dxa"/>
            <w:tcBorders>
              <w:top w:val="nil"/>
              <w:bottom w:val="nil"/>
            </w:tcBorders>
          </w:tcPr>
          <w:p w:rsidR="0043538F" w:rsidRPr="001E72B3" w:rsidRDefault="0043538F" w:rsidP="0043538F">
            <w:pPr>
              <w:tabs>
                <w:tab w:val="decimal" w:pos="152"/>
                <w:tab w:val="decimal" w:pos="268"/>
              </w:tabs>
              <w:spacing w:line="360" w:lineRule="auto"/>
              <w:jc w:val="center"/>
              <w:rPr>
                <w:rFonts w:ascii="Calibri" w:hAnsi="Calibri" w:cs="Calibri"/>
                <w:sz w:val="20"/>
                <w:szCs w:val="20"/>
              </w:rPr>
            </w:pPr>
            <w:r w:rsidRPr="001E72B3">
              <w:rPr>
                <w:rFonts w:ascii="Calibri" w:hAnsi="Calibri" w:cs="Calibri"/>
                <w:sz w:val="20"/>
                <w:szCs w:val="20"/>
              </w:rPr>
              <w:t>.94</w:t>
            </w:r>
          </w:p>
        </w:tc>
        <w:tc>
          <w:tcPr>
            <w:tcW w:w="699"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.92</w:t>
            </w:r>
          </w:p>
        </w:tc>
        <w:tc>
          <w:tcPr>
            <w:tcW w:w="851" w:type="dxa"/>
            <w:tcBorders>
              <w:top w:val="nil"/>
              <w:bottom w:val="nil"/>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.04</w:t>
            </w:r>
          </w:p>
        </w:tc>
        <w:tc>
          <w:tcPr>
            <w:tcW w:w="992" w:type="dxa"/>
            <w:tcBorders>
              <w:top w:val="nil"/>
              <w:bottom w:val="nil"/>
            </w:tcBorders>
          </w:tcPr>
          <w:p w:rsidR="0043538F" w:rsidRPr="001E72B3" w:rsidRDefault="0043538F" w:rsidP="0043538F">
            <w:pPr>
              <w:tabs>
                <w:tab w:val="decimal" w:pos="162"/>
              </w:tabs>
              <w:spacing w:line="360" w:lineRule="auto"/>
              <w:jc w:val="right"/>
              <w:rPr>
                <w:rFonts w:ascii="Calibri" w:hAnsi="Calibri" w:cs="Calibri"/>
                <w:sz w:val="20"/>
                <w:szCs w:val="20"/>
              </w:rPr>
            </w:pPr>
            <w:r w:rsidRPr="001E72B3">
              <w:rPr>
                <w:rFonts w:ascii="Calibri" w:hAnsi="Calibri" w:cs="Calibri"/>
                <w:sz w:val="20"/>
                <w:szCs w:val="20"/>
              </w:rPr>
              <w:t>2793.24</w:t>
            </w:r>
          </w:p>
        </w:tc>
      </w:tr>
      <w:tr w:rsidR="0043538F" w:rsidRPr="001E72B3" w:rsidTr="0043538F">
        <w:trPr>
          <w:jc w:val="center"/>
        </w:trPr>
        <w:tc>
          <w:tcPr>
            <w:tcW w:w="3000" w:type="dxa"/>
            <w:tcBorders>
              <w:top w:val="nil"/>
              <w:bottom w:val="single" w:sz="2" w:space="0" w:color="000000"/>
            </w:tcBorders>
          </w:tcPr>
          <w:p w:rsidR="0043538F" w:rsidRPr="001E72B3" w:rsidRDefault="0043538F" w:rsidP="0043538F">
            <w:pPr>
              <w:spacing w:line="360" w:lineRule="auto"/>
              <w:rPr>
                <w:rFonts w:ascii="Calibri" w:hAnsi="Calibri" w:cs="Calibri"/>
                <w:sz w:val="20"/>
                <w:szCs w:val="20"/>
              </w:rPr>
            </w:pPr>
            <w:r w:rsidRPr="001E72B3">
              <w:rPr>
                <w:rFonts w:ascii="Calibri" w:hAnsi="Calibri" w:cs="Calibri"/>
                <w:sz w:val="20"/>
                <w:szCs w:val="20"/>
              </w:rPr>
              <w:t>Null Model</w:t>
            </w:r>
          </w:p>
        </w:tc>
        <w:tc>
          <w:tcPr>
            <w:tcW w:w="1005" w:type="dxa"/>
            <w:tcBorders>
              <w:top w:val="nil"/>
              <w:bottom w:val="single" w:sz="2" w:space="0" w:color="000000"/>
            </w:tcBorders>
          </w:tcPr>
          <w:p w:rsidR="0043538F" w:rsidRPr="001E72B3" w:rsidRDefault="0043538F" w:rsidP="0043538F">
            <w:pPr>
              <w:tabs>
                <w:tab w:val="decimal" w:pos="268"/>
                <w:tab w:val="decimal" w:pos="338"/>
              </w:tabs>
              <w:spacing w:line="360" w:lineRule="auto"/>
              <w:jc w:val="center"/>
              <w:rPr>
                <w:rFonts w:ascii="Calibri" w:hAnsi="Calibri" w:cs="Calibri"/>
                <w:sz w:val="20"/>
                <w:szCs w:val="20"/>
              </w:rPr>
            </w:pPr>
            <w:r w:rsidRPr="001E72B3">
              <w:rPr>
                <w:rFonts w:ascii="Calibri" w:hAnsi="Calibri" w:cs="Calibri"/>
                <w:sz w:val="20"/>
                <w:szCs w:val="20"/>
              </w:rPr>
              <w:t>33959.78</w:t>
            </w:r>
          </w:p>
        </w:tc>
        <w:tc>
          <w:tcPr>
            <w:tcW w:w="720" w:type="dxa"/>
            <w:tcBorders>
              <w:top w:val="nil"/>
              <w:bottom w:val="single" w:sz="2" w:space="0" w:color="000000"/>
            </w:tcBorders>
          </w:tcPr>
          <w:p w:rsidR="0043538F" w:rsidRPr="001E72B3" w:rsidRDefault="0043538F" w:rsidP="0043538F">
            <w:pPr>
              <w:tabs>
                <w:tab w:val="decimal" w:pos="268"/>
              </w:tabs>
              <w:spacing w:line="360" w:lineRule="auto"/>
              <w:rPr>
                <w:rFonts w:ascii="Calibri" w:hAnsi="Calibri" w:cs="Calibri"/>
                <w:sz w:val="20"/>
                <w:szCs w:val="20"/>
              </w:rPr>
            </w:pPr>
            <w:r w:rsidRPr="001E72B3">
              <w:rPr>
                <w:rFonts w:ascii="Calibri" w:hAnsi="Calibri" w:cs="Calibri"/>
                <w:sz w:val="20"/>
                <w:szCs w:val="20"/>
              </w:rPr>
              <w:t>300</w:t>
            </w:r>
          </w:p>
        </w:tc>
        <w:tc>
          <w:tcPr>
            <w:tcW w:w="585" w:type="dxa"/>
            <w:tcBorders>
              <w:top w:val="nil"/>
              <w:bottom w:val="single" w:sz="2" w:space="0" w:color="000000"/>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.001</w:t>
            </w:r>
          </w:p>
        </w:tc>
        <w:tc>
          <w:tcPr>
            <w:tcW w:w="709" w:type="dxa"/>
            <w:tcBorders>
              <w:top w:val="nil"/>
              <w:bottom w:val="single" w:sz="2" w:space="0" w:color="000000"/>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.34</w:t>
            </w:r>
          </w:p>
        </w:tc>
        <w:tc>
          <w:tcPr>
            <w:tcW w:w="709" w:type="dxa"/>
            <w:tcBorders>
              <w:top w:val="nil"/>
              <w:bottom w:val="single" w:sz="2" w:space="0" w:color="000000"/>
            </w:tcBorders>
          </w:tcPr>
          <w:p w:rsidR="0043538F" w:rsidRPr="001E72B3" w:rsidRDefault="0043538F" w:rsidP="0043538F">
            <w:pPr>
              <w:tabs>
                <w:tab w:val="decimal" w:pos="152"/>
              </w:tabs>
              <w:spacing w:line="360" w:lineRule="auto"/>
              <w:rPr>
                <w:rFonts w:ascii="Calibri" w:hAnsi="Calibri" w:cs="Calibri"/>
                <w:sz w:val="20"/>
                <w:szCs w:val="20"/>
              </w:rPr>
            </w:pPr>
            <w:r w:rsidRPr="001E72B3">
              <w:rPr>
                <w:rFonts w:ascii="Calibri" w:hAnsi="Calibri" w:cs="Calibri"/>
                <w:sz w:val="20"/>
                <w:szCs w:val="20"/>
              </w:rPr>
              <w:t>.00</w:t>
            </w:r>
          </w:p>
        </w:tc>
        <w:tc>
          <w:tcPr>
            <w:tcW w:w="699" w:type="dxa"/>
            <w:tcBorders>
              <w:top w:val="nil"/>
              <w:bottom w:val="single" w:sz="2" w:space="0" w:color="000000"/>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.00</w:t>
            </w:r>
          </w:p>
        </w:tc>
        <w:tc>
          <w:tcPr>
            <w:tcW w:w="851" w:type="dxa"/>
            <w:tcBorders>
              <w:top w:val="nil"/>
              <w:bottom w:val="single" w:sz="2" w:space="0" w:color="000000"/>
            </w:tcBorders>
          </w:tcPr>
          <w:p w:rsidR="0043538F" w:rsidRPr="001E72B3" w:rsidRDefault="0043538F" w:rsidP="0043538F">
            <w:pPr>
              <w:tabs>
                <w:tab w:val="decimal" w:pos="268"/>
              </w:tabs>
              <w:spacing w:line="360" w:lineRule="auto"/>
              <w:jc w:val="center"/>
              <w:rPr>
                <w:rFonts w:ascii="Calibri" w:hAnsi="Calibri" w:cs="Calibri"/>
                <w:sz w:val="20"/>
                <w:szCs w:val="20"/>
              </w:rPr>
            </w:pPr>
            <w:r w:rsidRPr="001E72B3">
              <w:rPr>
                <w:rFonts w:ascii="Calibri" w:hAnsi="Calibri" w:cs="Calibri"/>
                <w:sz w:val="20"/>
                <w:szCs w:val="20"/>
              </w:rPr>
              <w:t>.19</w:t>
            </w:r>
          </w:p>
        </w:tc>
        <w:tc>
          <w:tcPr>
            <w:tcW w:w="992" w:type="dxa"/>
            <w:tcBorders>
              <w:top w:val="nil"/>
              <w:bottom w:val="single" w:sz="2" w:space="0" w:color="000000"/>
            </w:tcBorders>
          </w:tcPr>
          <w:p w:rsidR="0043538F" w:rsidRPr="001E72B3" w:rsidRDefault="0043538F" w:rsidP="0043538F">
            <w:pPr>
              <w:tabs>
                <w:tab w:val="decimal" w:pos="162"/>
              </w:tabs>
              <w:spacing w:line="360" w:lineRule="auto"/>
              <w:jc w:val="right"/>
              <w:rPr>
                <w:rFonts w:ascii="Calibri" w:hAnsi="Calibri" w:cs="Calibri"/>
                <w:sz w:val="20"/>
                <w:szCs w:val="20"/>
              </w:rPr>
            </w:pPr>
            <w:r w:rsidRPr="001E72B3">
              <w:rPr>
                <w:rFonts w:ascii="Calibri" w:hAnsi="Calibri" w:cs="Calibri"/>
                <w:sz w:val="20"/>
                <w:szCs w:val="20"/>
              </w:rPr>
              <w:t>34009.78</w:t>
            </w:r>
          </w:p>
        </w:tc>
      </w:tr>
    </w:tbl>
    <w:p w:rsidR="0043538F" w:rsidRPr="00980EED" w:rsidRDefault="0043538F" w:rsidP="0043538F">
      <w:pPr>
        <w:jc w:val="both"/>
        <w:rPr>
          <w:rFonts w:ascii="Calibri" w:hAnsi="Calibri" w:cs="Calibri"/>
          <w:color w:val="231F20"/>
          <w:sz w:val="20"/>
          <w:szCs w:val="20"/>
        </w:rPr>
      </w:pPr>
      <w:r w:rsidRPr="00980EED">
        <w:rPr>
          <w:rFonts w:ascii="Calibri" w:hAnsi="Calibri" w:cs="Calibri"/>
          <w:i/>
          <w:sz w:val="20"/>
          <w:szCs w:val="20"/>
        </w:rPr>
        <w:t>Note.</w:t>
      </w:r>
      <w:r w:rsidRPr="00980EED">
        <w:rPr>
          <w:rFonts w:ascii="Calibri" w:hAnsi="Calibri" w:cs="Calibri"/>
          <w:sz w:val="20"/>
          <w:szCs w:val="20"/>
        </w:rPr>
        <w:t xml:space="preserve"> </w:t>
      </w:r>
      <w:proofErr w:type="gramStart"/>
      <w:r w:rsidRPr="00980EED">
        <w:rPr>
          <w:rFonts w:ascii="Calibri" w:hAnsi="Calibri" w:cs="Calibri"/>
          <w:color w:val="231F20"/>
          <w:sz w:val="20"/>
          <w:szCs w:val="20"/>
        </w:rPr>
        <w:t>χ2</w:t>
      </w:r>
      <w:proofErr w:type="gramEnd"/>
      <w:r w:rsidRPr="00980EED">
        <w:rPr>
          <w:rFonts w:ascii="Calibri" w:hAnsi="Calibri" w:cs="Calibri"/>
          <w:color w:val="231F20"/>
          <w:sz w:val="20"/>
          <w:szCs w:val="20"/>
        </w:rPr>
        <w:t xml:space="preserve"> goodness-of-fit statistic; df = degrees of freedom; </w:t>
      </w:r>
      <w:r w:rsidRPr="00280087">
        <w:rPr>
          <w:rFonts w:ascii="Calibri" w:hAnsi="Calibri" w:cs="Calibri"/>
          <w:i/>
          <w:color w:val="231F20"/>
          <w:szCs w:val="22"/>
        </w:rPr>
        <w:t>p</w:t>
      </w:r>
      <w:r w:rsidRPr="00980EED">
        <w:rPr>
          <w:rFonts w:ascii="Calibri" w:hAnsi="Calibri" w:cs="Calibri"/>
          <w:color w:val="231F20"/>
          <w:sz w:val="20"/>
          <w:szCs w:val="20"/>
        </w:rPr>
        <w:t xml:space="preserve"> = probability level; </w:t>
      </w:r>
      <w:r w:rsidRPr="00980EED">
        <w:rPr>
          <w:rFonts w:ascii="Calibri" w:hAnsi="Calibri" w:cs="Calibri"/>
          <w:sz w:val="20"/>
          <w:szCs w:val="20"/>
        </w:rPr>
        <w:t xml:space="preserve">GFI = Goodness of Fit Index; CFI = Comparative Fit Index; NNFI = Non-Normed Fit Index; </w:t>
      </w:r>
      <w:r w:rsidRPr="00980EED">
        <w:rPr>
          <w:rFonts w:ascii="Calibri" w:hAnsi="Calibri" w:cs="Calibri"/>
          <w:color w:val="231F20"/>
          <w:sz w:val="20"/>
          <w:szCs w:val="20"/>
        </w:rPr>
        <w:t xml:space="preserve">RMSEA = Root Mean Square Error of Approximation; </w:t>
      </w:r>
      <w:r w:rsidRPr="00980EED">
        <w:rPr>
          <w:rFonts w:ascii="Calibri" w:hAnsi="Calibri" w:cs="Calibri"/>
          <w:sz w:val="20"/>
          <w:szCs w:val="20"/>
        </w:rPr>
        <w:t xml:space="preserve">Akaike Information Criterion (AIC). </w:t>
      </w:r>
      <w:r w:rsidRPr="00980EED">
        <w:rPr>
          <w:rFonts w:ascii="Calibri" w:hAnsi="Calibri" w:cs="Calibri"/>
          <w:color w:val="231F20"/>
          <w:sz w:val="20"/>
          <w:szCs w:val="20"/>
        </w:rPr>
        <w:t xml:space="preserve"> </w:t>
      </w:r>
    </w:p>
    <w:p w:rsidR="0043538F" w:rsidRPr="00545D1C" w:rsidRDefault="0043538F" w:rsidP="000E0752">
      <w:r w:rsidRPr="00545D1C">
        <w:t xml:space="preserve">Taking account of all the loadings on the factors as well as the structural relationships we found that when the paths were constrained the model fit the data quite well (M3). Although there was a significant deterioration in Chi-square, all of the other fit indices were identical, and the AIC </w:t>
      </w:r>
      <w:r w:rsidRPr="00545D1C">
        <w:lastRenderedPageBreak/>
        <w:t>improved. This indicates overall, that variations between the models are very small, and that the unconstrained model is not superior (Bakker, Demerouti, Taris, Schaufeli, &amp; Schreurs, 2003). Results indicate that the study model is a plausible account of the relationships among the varia</w:t>
      </w:r>
      <w:r w:rsidR="00FB6A71">
        <w:t>bles in the validation samples.</w:t>
      </w:r>
    </w:p>
    <w:p w:rsidR="0043538F" w:rsidRPr="005B0B90" w:rsidRDefault="0043538F" w:rsidP="000E0752">
      <w:r w:rsidRPr="005B0B90">
        <w:t>A final point to make is that the study model controls for covariates, and these are allowed to correlate with all of the constructs in the model. In many cases the relationships reduce the overall fit of the model. If these are removed the fit of the model is further improved, GFI and CFI &gt; .95, and the significance of RMSEA is PCLOSE &gt; .05, indicating the mo</w:t>
      </w:r>
      <w:r w:rsidR="00FB6A71">
        <w:t>del is a close fit to the data.</w:t>
      </w:r>
    </w:p>
    <w:p w:rsidR="00B045D8" w:rsidRPr="005F6E13" w:rsidRDefault="00B045D8" w:rsidP="00B045D8">
      <w:pPr>
        <w:autoSpaceDE w:val="0"/>
        <w:autoSpaceDN w:val="0"/>
        <w:adjustRightInd w:val="0"/>
        <w:spacing w:after="0" w:line="240" w:lineRule="auto"/>
        <w:jc w:val="both"/>
        <w:rPr>
          <w:rFonts w:ascii="Calibri" w:hAnsi="Calibri" w:cs="Calibri"/>
          <w:sz w:val="12"/>
          <w:szCs w:val="12"/>
        </w:rPr>
      </w:pPr>
    </w:p>
    <w:p w:rsidR="00B045D8" w:rsidRPr="00C65C6B" w:rsidRDefault="00B045D8" w:rsidP="00C65C6B">
      <w:pPr>
        <w:pStyle w:val="Heading1"/>
      </w:pPr>
      <w:bookmarkStart w:id="131" w:name="_Toc343502473"/>
      <w:r w:rsidRPr="00C65C6B">
        <w:lastRenderedPageBreak/>
        <w:t xml:space="preserve">Appendix </w:t>
      </w:r>
      <w:r w:rsidR="0043538F" w:rsidRPr="00C65C6B">
        <w:t>D</w:t>
      </w:r>
      <w:bookmarkEnd w:id="131"/>
    </w:p>
    <w:p w:rsidR="00B045D8" w:rsidRDefault="00B045D8" w:rsidP="00B045D8">
      <w:pPr>
        <w:pStyle w:val="Heading2"/>
        <w:spacing w:before="100" w:beforeAutospacing="1" w:after="100" w:afterAutospacing="1"/>
      </w:pPr>
      <w:bookmarkStart w:id="132" w:name="_Toc343502474"/>
      <w:r w:rsidRPr="00F24D5D">
        <w:t>Smaller versus larger states</w:t>
      </w:r>
      <w:bookmarkEnd w:id="132"/>
    </w:p>
    <w:tbl>
      <w:tblPr>
        <w:tblW w:w="10168" w:type="dxa"/>
        <w:jc w:val="center"/>
        <w:tblInd w:w="-557" w:type="dxa"/>
        <w:tblLayout w:type="fixed"/>
        <w:tblLook w:val="04A0" w:firstRow="1" w:lastRow="0" w:firstColumn="1" w:lastColumn="0" w:noHBand="0" w:noVBand="1"/>
      </w:tblPr>
      <w:tblGrid>
        <w:gridCol w:w="124"/>
        <w:gridCol w:w="2385"/>
        <w:gridCol w:w="941"/>
        <w:gridCol w:w="1038"/>
        <w:gridCol w:w="291"/>
        <w:gridCol w:w="75"/>
        <w:gridCol w:w="425"/>
        <w:gridCol w:w="496"/>
        <w:gridCol w:w="1129"/>
        <w:gridCol w:w="1184"/>
        <w:gridCol w:w="991"/>
        <w:gridCol w:w="783"/>
        <w:gridCol w:w="67"/>
        <w:gridCol w:w="172"/>
        <w:gridCol w:w="67"/>
      </w:tblGrid>
      <w:tr w:rsidR="00B045D8" w:rsidRPr="00BB7120" w:rsidTr="00110659">
        <w:trPr>
          <w:gridBefore w:val="1"/>
          <w:wBefore w:w="124" w:type="dxa"/>
          <w:trHeight w:val="547"/>
          <w:jc w:val="center"/>
        </w:trPr>
        <w:tc>
          <w:tcPr>
            <w:tcW w:w="10044" w:type="dxa"/>
            <w:gridSpan w:val="14"/>
            <w:vAlign w:val="center"/>
          </w:tcPr>
          <w:p w:rsidR="00B045D8" w:rsidRPr="002A79A9" w:rsidRDefault="00B045D8" w:rsidP="009A7A41">
            <w:pPr>
              <w:pStyle w:val="FigureCaption"/>
            </w:pPr>
            <w:r w:rsidRPr="002A79A9">
              <w:t xml:space="preserve">Table </w:t>
            </w:r>
            <w:r w:rsidR="00D1426B" w:rsidRPr="002A79A9">
              <w:t>8</w:t>
            </w:r>
            <w:r w:rsidRPr="002A79A9">
              <w:t>. Multivariate analysis of variance in both large and small states</w:t>
            </w:r>
          </w:p>
        </w:tc>
      </w:tr>
      <w:tr w:rsidR="00B045D8" w:rsidRPr="00B911A8" w:rsidTr="00110659">
        <w:trPr>
          <w:gridAfter w:val="1"/>
          <w:wAfter w:w="67" w:type="dxa"/>
          <w:trHeight w:val="547"/>
          <w:jc w:val="center"/>
        </w:trPr>
        <w:tc>
          <w:tcPr>
            <w:tcW w:w="2509" w:type="dxa"/>
            <w:gridSpan w:val="2"/>
            <w:vMerge w:val="restart"/>
            <w:tcBorders>
              <w:top w:val="single" w:sz="12" w:space="0" w:color="000000"/>
            </w:tcBorders>
            <w:vAlign w:val="center"/>
          </w:tcPr>
          <w:p w:rsidR="00B045D8" w:rsidRPr="00B911A8" w:rsidRDefault="00B045D8" w:rsidP="00110659">
            <w:pPr>
              <w:spacing w:after="0" w:line="240" w:lineRule="auto"/>
              <w:rPr>
                <w:rFonts w:ascii="Calibri" w:hAnsi="Calibri" w:cs="Calibri"/>
                <w:sz w:val="20"/>
                <w:szCs w:val="20"/>
              </w:rPr>
            </w:pPr>
          </w:p>
        </w:tc>
        <w:tc>
          <w:tcPr>
            <w:tcW w:w="2345" w:type="dxa"/>
            <w:gridSpan w:val="4"/>
            <w:tcBorders>
              <w:top w:val="single" w:sz="12" w:space="0" w:color="000000"/>
              <w:bottom w:val="single" w:sz="8" w:space="0" w:color="000000"/>
            </w:tcBorders>
            <w:vAlign w:val="center"/>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B911A8">
              <w:rPr>
                <w:rFonts w:ascii="Calibri" w:hAnsi="Calibri" w:cs="Calibri"/>
                <w:color w:val="000000"/>
                <w:sz w:val="20"/>
                <w:szCs w:val="20"/>
              </w:rPr>
              <w:t>Mean</w:t>
            </w:r>
          </w:p>
        </w:tc>
        <w:tc>
          <w:tcPr>
            <w:tcW w:w="425" w:type="dxa"/>
            <w:tcBorders>
              <w:top w:val="single" w:sz="12" w:space="0" w:color="000000"/>
              <w:bottom w:val="single" w:sz="8" w:space="0" w:color="000000"/>
            </w:tcBorders>
            <w:vAlign w:val="center"/>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p>
        </w:tc>
        <w:tc>
          <w:tcPr>
            <w:tcW w:w="1625" w:type="dxa"/>
            <w:gridSpan w:val="2"/>
            <w:tcBorders>
              <w:top w:val="single" w:sz="12" w:space="0" w:color="000000"/>
              <w:bottom w:val="single" w:sz="8" w:space="0" w:color="000000"/>
            </w:tcBorders>
            <w:shd w:val="clear" w:color="auto" w:fill="auto"/>
            <w:vAlign w:val="center"/>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B911A8">
              <w:rPr>
                <w:rFonts w:ascii="Calibri" w:hAnsi="Calibri" w:cs="Calibri"/>
                <w:color w:val="000000"/>
                <w:sz w:val="20"/>
                <w:szCs w:val="20"/>
              </w:rPr>
              <w:t>Std. Deviation</w:t>
            </w:r>
          </w:p>
        </w:tc>
        <w:tc>
          <w:tcPr>
            <w:tcW w:w="2958" w:type="dxa"/>
            <w:gridSpan w:val="3"/>
            <w:tcBorders>
              <w:top w:val="single" w:sz="12" w:space="0" w:color="000000"/>
            </w:tcBorders>
            <w:vAlign w:val="bottom"/>
          </w:tcPr>
          <w:p w:rsidR="00B045D8" w:rsidRPr="00B911A8" w:rsidRDefault="00B045D8" w:rsidP="00110659">
            <w:pPr>
              <w:tabs>
                <w:tab w:val="decimal" w:pos="318"/>
              </w:tabs>
              <w:autoSpaceDE w:val="0"/>
              <w:autoSpaceDN w:val="0"/>
              <w:adjustRightInd w:val="0"/>
              <w:spacing w:after="0" w:line="320" w:lineRule="atLeast"/>
              <w:ind w:left="60" w:right="60"/>
              <w:jc w:val="center"/>
              <w:rPr>
                <w:rFonts w:ascii="Calibri" w:hAnsi="Calibri" w:cs="Calibri"/>
                <w:color w:val="000000"/>
                <w:sz w:val="20"/>
                <w:szCs w:val="20"/>
              </w:rPr>
            </w:pPr>
          </w:p>
        </w:tc>
        <w:tc>
          <w:tcPr>
            <w:tcW w:w="239" w:type="dxa"/>
            <w:gridSpan w:val="2"/>
            <w:tcBorders>
              <w:top w:val="single" w:sz="12" w:space="0" w:color="000000"/>
            </w:tcBorders>
          </w:tcPr>
          <w:p w:rsidR="00B045D8" w:rsidRPr="00B911A8" w:rsidRDefault="00B045D8" w:rsidP="00110659">
            <w:pPr>
              <w:tabs>
                <w:tab w:val="decimal" w:pos="318"/>
              </w:tabs>
              <w:autoSpaceDE w:val="0"/>
              <w:autoSpaceDN w:val="0"/>
              <w:adjustRightInd w:val="0"/>
              <w:spacing w:after="0" w:line="320" w:lineRule="atLeast"/>
              <w:ind w:left="60" w:right="60"/>
              <w:jc w:val="center"/>
              <w:rPr>
                <w:rFonts w:ascii="Calibri" w:hAnsi="Calibri" w:cs="Calibri"/>
                <w:color w:val="000000"/>
                <w:sz w:val="20"/>
                <w:szCs w:val="20"/>
              </w:rPr>
            </w:pPr>
          </w:p>
        </w:tc>
      </w:tr>
      <w:tr w:rsidR="00B045D8" w:rsidRPr="00B911A8" w:rsidTr="00110659">
        <w:trPr>
          <w:trHeight w:val="820"/>
          <w:jc w:val="center"/>
        </w:trPr>
        <w:tc>
          <w:tcPr>
            <w:tcW w:w="2509" w:type="dxa"/>
            <w:gridSpan w:val="2"/>
            <w:vMerge/>
            <w:vAlign w:val="center"/>
            <w:hideMark/>
          </w:tcPr>
          <w:p w:rsidR="00B045D8" w:rsidRPr="00B911A8" w:rsidRDefault="00B045D8" w:rsidP="00110659">
            <w:pPr>
              <w:spacing w:after="0" w:line="240" w:lineRule="auto"/>
              <w:rPr>
                <w:rFonts w:ascii="Calibri" w:hAnsi="Calibri" w:cs="Calibri"/>
                <w:sz w:val="20"/>
                <w:szCs w:val="20"/>
              </w:rPr>
            </w:pPr>
          </w:p>
        </w:tc>
        <w:tc>
          <w:tcPr>
            <w:tcW w:w="941" w:type="dxa"/>
            <w:tcBorders>
              <w:top w:val="single" w:sz="8" w:space="0" w:color="000000"/>
              <w:bottom w:val="single" w:sz="8" w:space="0" w:color="000000"/>
            </w:tcBorders>
            <w:shd w:val="clear" w:color="auto" w:fill="auto"/>
            <w:vAlign w:val="bottom"/>
            <w:hideMark/>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B911A8">
              <w:rPr>
                <w:rFonts w:ascii="Calibri" w:hAnsi="Calibri" w:cs="Calibri"/>
                <w:color w:val="000000"/>
                <w:sz w:val="20"/>
                <w:szCs w:val="20"/>
              </w:rPr>
              <w:t>Large</w:t>
            </w:r>
          </w:p>
          <w:p w:rsidR="00B045D8" w:rsidRPr="00B911A8" w:rsidRDefault="00B045D8" w:rsidP="00110659">
            <w:pPr>
              <w:tabs>
                <w:tab w:val="decimal" w:pos="318"/>
              </w:tabs>
              <w:spacing w:after="0" w:line="240" w:lineRule="auto"/>
              <w:jc w:val="center"/>
              <w:rPr>
                <w:rFonts w:ascii="Calibri" w:hAnsi="Calibri" w:cs="Calibri"/>
                <w:color w:val="000000"/>
                <w:sz w:val="20"/>
                <w:szCs w:val="20"/>
              </w:rPr>
            </w:pPr>
          </w:p>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EF149C">
              <w:rPr>
                <w:rFonts w:ascii="Calibri" w:hAnsi="Calibri" w:cs="Calibri"/>
                <w:i/>
                <w:color w:val="000000"/>
                <w:sz w:val="20"/>
                <w:szCs w:val="20"/>
              </w:rPr>
              <w:t>N</w:t>
            </w:r>
            <w:r w:rsidRPr="00B911A8">
              <w:rPr>
                <w:rFonts w:ascii="Calibri" w:hAnsi="Calibri" w:cs="Calibri"/>
                <w:color w:val="000000"/>
                <w:sz w:val="20"/>
                <w:szCs w:val="20"/>
              </w:rPr>
              <w:t xml:space="preserve"> =2672</w:t>
            </w:r>
          </w:p>
        </w:tc>
        <w:tc>
          <w:tcPr>
            <w:tcW w:w="1038" w:type="dxa"/>
            <w:tcBorders>
              <w:top w:val="single" w:sz="8" w:space="0" w:color="000000"/>
              <w:bottom w:val="single" w:sz="8" w:space="0" w:color="000000"/>
            </w:tcBorders>
            <w:shd w:val="clear" w:color="auto" w:fill="auto"/>
            <w:vAlign w:val="bottom"/>
            <w:hideMark/>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B911A8">
              <w:rPr>
                <w:rFonts w:ascii="Calibri" w:hAnsi="Calibri" w:cs="Calibri"/>
                <w:color w:val="000000"/>
                <w:sz w:val="20"/>
                <w:szCs w:val="20"/>
              </w:rPr>
              <w:t>Small</w:t>
            </w:r>
          </w:p>
          <w:p w:rsidR="00B045D8" w:rsidRPr="00B911A8" w:rsidRDefault="00B045D8" w:rsidP="00110659">
            <w:pPr>
              <w:tabs>
                <w:tab w:val="decimal" w:pos="318"/>
              </w:tabs>
              <w:spacing w:after="0" w:line="240" w:lineRule="auto"/>
              <w:jc w:val="center"/>
              <w:rPr>
                <w:rFonts w:ascii="Calibri" w:hAnsi="Calibri" w:cs="Calibri"/>
                <w:color w:val="000000"/>
                <w:sz w:val="20"/>
                <w:szCs w:val="20"/>
              </w:rPr>
            </w:pPr>
          </w:p>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EF149C">
              <w:rPr>
                <w:rFonts w:ascii="Calibri" w:hAnsi="Calibri" w:cs="Calibri"/>
                <w:i/>
                <w:color w:val="000000"/>
                <w:sz w:val="20"/>
                <w:szCs w:val="20"/>
              </w:rPr>
              <w:t xml:space="preserve">N </w:t>
            </w:r>
            <w:r w:rsidRPr="00B911A8">
              <w:rPr>
                <w:rFonts w:ascii="Calibri" w:hAnsi="Calibri" w:cs="Calibri"/>
                <w:color w:val="000000"/>
                <w:sz w:val="20"/>
                <w:szCs w:val="20"/>
              </w:rPr>
              <w:t>= 841</w:t>
            </w:r>
          </w:p>
        </w:tc>
        <w:tc>
          <w:tcPr>
            <w:tcW w:w="291" w:type="dxa"/>
            <w:tcBorders>
              <w:bottom w:val="single" w:sz="8" w:space="0" w:color="000000"/>
            </w:tcBorders>
          </w:tcPr>
          <w:p w:rsidR="00B045D8" w:rsidRPr="00B911A8" w:rsidRDefault="00B045D8" w:rsidP="00110659">
            <w:pPr>
              <w:tabs>
                <w:tab w:val="decimal" w:pos="147"/>
              </w:tabs>
              <w:spacing w:after="0" w:line="240" w:lineRule="auto"/>
              <w:jc w:val="center"/>
              <w:rPr>
                <w:rFonts w:ascii="Calibri" w:hAnsi="Calibri" w:cs="Calibri"/>
                <w:color w:val="000000"/>
                <w:sz w:val="20"/>
                <w:szCs w:val="20"/>
              </w:rPr>
            </w:pPr>
          </w:p>
        </w:tc>
        <w:tc>
          <w:tcPr>
            <w:tcW w:w="996" w:type="dxa"/>
            <w:gridSpan w:val="3"/>
            <w:tcBorders>
              <w:bottom w:val="single" w:sz="8" w:space="0" w:color="000000"/>
            </w:tcBorders>
            <w:shd w:val="clear" w:color="auto" w:fill="auto"/>
            <w:vAlign w:val="bottom"/>
            <w:hideMark/>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B911A8">
              <w:rPr>
                <w:rFonts w:ascii="Calibri" w:hAnsi="Calibri" w:cs="Calibri"/>
                <w:color w:val="000000"/>
                <w:sz w:val="20"/>
                <w:szCs w:val="20"/>
              </w:rPr>
              <w:t>Large</w:t>
            </w:r>
          </w:p>
          <w:p w:rsidR="00B045D8" w:rsidRPr="00B911A8" w:rsidRDefault="00B045D8" w:rsidP="00110659">
            <w:pPr>
              <w:tabs>
                <w:tab w:val="decimal" w:pos="318"/>
              </w:tabs>
              <w:spacing w:after="0" w:line="240" w:lineRule="auto"/>
              <w:jc w:val="center"/>
              <w:rPr>
                <w:rFonts w:ascii="Calibri" w:hAnsi="Calibri" w:cs="Calibri"/>
                <w:color w:val="000000"/>
                <w:sz w:val="20"/>
                <w:szCs w:val="20"/>
              </w:rPr>
            </w:pPr>
          </w:p>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EF149C">
              <w:rPr>
                <w:rFonts w:ascii="Calibri" w:hAnsi="Calibri" w:cs="Calibri"/>
                <w:i/>
                <w:color w:val="000000"/>
                <w:sz w:val="20"/>
                <w:szCs w:val="20"/>
              </w:rPr>
              <w:t>N</w:t>
            </w:r>
            <w:r w:rsidRPr="00B911A8">
              <w:rPr>
                <w:rFonts w:ascii="Calibri" w:hAnsi="Calibri" w:cs="Calibri"/>
                <w:color w:val="000000"/>
                <w:sz w:val="20"/>
                <w:szCs w:val="20"/>
              </w:rPr>
              <w:t xml:space="preserve"> =2672</w:t>
            </w:r>
          </w:p>
        </w:tc>
        <w:tc>
          <w:tcPr>
            <w:tcW w:w="1129" w:type="dxa"/>
            <w:tcBorders>
              <w:bottom w:val="single" w:sz="8" w:space="0" w:color="000000"/>
            </w:tcBorders>
            <w:shd w:val="clear" w:color="auto" w:fill="auto"/>
            <w:vAlign w:val="bottom"/>
            <w:hideMark/>
          </w:tcPr>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B911A8">
              <w:rPr>
                <w:rFonts w:ascii="Calibri" w:hAnsi="Calibri" w:cs="Calibri"/>
                <w:color w:val="000000"/>
                <w:sz w:val="20"/>
                <w:szCs w:val="20"/>
              </w:rPr>
              <w:t>Small</w:t>
            </w:r>
          </w:p>
          <w:p w:rsidR="00B045D8" w:rsidRPr="00B911A8" w:rsidRDefault="00B045D8" w:rsidP="00110659">
            <w:pPr>
              <w:tabs>
                <w:tab w:val="decimal" w:pos="318"/>
              </w:tabs>
              <w:spacing w:after="0" w:line="240" w:lineRule="auto"/>
              <w:jc w:val="center"/>
              <w:rPr>
                <w:rFonts w:ascii="Calibri" w:hAnsi="Calibri" w:cs="Calibri"/>
                <w:color w:val="000000"/>
                <w:sz w:val="20"/>
                <w:szCs w:val="20"/>
              </w:rPr>
            </w:pPr>
          </w:p>
          <w:p w:rsidR="00B045D8" w:rsidRPr="00B911A8" w:rsidRDefault="00B045D8" w:rsidP="00110659">
            <w:pPr>
              <w:tabs>
                <w:tab w:val="decimal" w:pos="318"/>
              </w:tabs>
              <w:spacing w:after="0" w:line="240" w:lineRule="auto"/>
              <w:jc w:val="center"/>
              <w:rPr>
                <w:rFonts w:ascii="Calibri" w:hAnsi="Calibri" w:cs="Calibri"/>
                <w:color w:val="000000"/>
                <w:sz w:val="20"/>
                <w:szCs w:val="20"/>
              </w:rPr>
            </w:pPr>
            <w:r w:rsidRPr="00EF149C">
              <w:rPr>
                <w:rFonts w:ascii="Calibri" w:hAnsi="Calibri" w:cs="Calibri"/>
                <w:i/>
                <w:color w:val="000000"/>
                <w:sz w:val="20"/>
                <w:szCs w:val="20"/>
              </w:rPr>
              <w:t xml:space="preserve">N </w:t>
            </w:r>
            <w:r w:rsidRPr="00B911A8">
              <w:rPr>
                <w:rFonts w:ascii="Calibri" w:hAnsi="Calibri" w:cs="Calibri"/>
                <w:color w:val="000000"/>
                <w:sz w:val="20"/>
                <w:szCs w:val="20"/>
              </w:rPr>
              <w:t>= 841</w:t>
            </w:r>
          </w:p>
        </w:tc>
        <w:tc>
          <w:tcPr>
            <w:tcW w:w="1184" w:type="dxa"/>
            <w:tcBorders>
              <w:bottom w:val="single" w:sz="8" w:space="0" w:color="000000"/>
            </w:tcBorders>
            <w:vAlign w:val="center"/>
          </w:tcPr>
          <w:p w:rsidR="00B045D8" w:rsidRPr="00B911A8" w:rsidRDefault="00B045D8" w:rsidP="00110659">
            <w:pPr>
              <w:tabs>
                <w:tab w:val="decimal" w:pos="318"/>
              </w:tabs>
              <w:autoSpaceDE w:val="0"/>
              <w:autoSpaceDN w:val="0"/>
              <w:adjustRightInd w:val="0"/>
              <w:spacing w:after="0" w:line="320" w:lineRule="atLeast"/>
              <w:ind w:left="60" w:right="60"/>
              <w:jc w:val="center"/>
              <w:rPr>
                <w:rFonts w:ascii="Calibri" w:hAnsi="Calibri" w:cs="Calibri"/>
                <w:color w:val="000000"/>
                <w:sz w:val="20"/>
                <w:szCs w:val="20"/>
              </w:rPr>
            </w:pPr>
            <w:r w:rsidRPr="00B911A8">
              <w:rPr>
                <w:rFonts w:ascii="Calibri" w:hAnsi="Calibri" w:cs="Calibri"/>
                <w:color w:val="000000"/>
                <w:sz w:val="20"/>
                <w:szCs w:val="20"/>
              </w:rPr>
              <w:t xml:space="preserve">F </w:t>
            </w:r>
            <w:r w:rsidRPr="00B911A8">
              <w:rPr>
                <w:rFonts w:ascii="Calibri" w:hAnsi="Calibri" w:cs="Calibri"/>
                <w:color w:val="000000"/>
                <w:sz w:val="16"/>
                <w:szCs w:val="16"/>
              </w:rPr>
              <w:t>Corrected</w:t>
            </w:r>
          </w:p>
        </w:tc>
        <w:tc>
          <w:tcPr>
            <w:tcW w:w="991" w:type="dxa"/>
            <w:tcBorders>
              <w:bottom w:val="single" w:sz="8" w:space="0" w:color="000000"/>
            </w:tcBorders>
            <w:vAlign w:val="bottom"/>
          </w:tcPr>
          <w:p w:rsidR="00B045D8" w:rsidRPr="00B911A8" w:rsidRDefault="00B045D8" w:rsidP="00110659">
            <w:pPr>
              <w:tabs>
                <w:tab w:val="decimal" w:pos="318"/>
              </w:tabs>
              <w:autoSpaceDE w:val="0"/>
              <w:autoSpaceDN w:val="0"/>
              <w:adjustRightInd w:val="0"/>
              <w:spacing w:after="0" w:line="320" w:lineRule="atLeast"/>
              <w:ind w:left="-5" w:right="60"/>
              <w:jc w:val="center"/>
              <w:rPr>
                <w:rFonts w:ascii="Calibri" w:hAnsi="Calibri" w:cs="Calibri"/>
                <w:color w:val="000000"/>
                <w:sz w:val="20"/>
                <w:szCs w:val="20"/>
              </w:rPr>
            </w:pPr>
            <w:r w:rsidRPr="00B911A8">
              <w:rPr>
                <w:rFonts w:ascii="Calibri" w:hAnsi="Calibri" w:cs="Calibri"/>
                <w:color w:val="000000"/>
                <w:sz w:val="20"/>
                <w:szCs w:val="20"/>
              </w:rPr>
              <w:t>Partial Eta Squared</w:t>
            </w:r>
          </w:p>
        </w:tc>
        <w:tc>
          <w:tcPr>
            <w:tcW w:w="850" w:type="dxa"/>
            <w:gridSpan w:val="2"/>
            <w:tcBorders>
              <w:bottom w:val="single" w:sz="8" w:space="0" w:color="000000"/>
            </w:tcBorders>
            <w:vAlign w:val="bottom"/>
          </w:tcPr>
          <w:p w:rsidR="00B045D8" w:rsidRPr="00B911A8" w:rsidRDefault="00B045D8" w:rsidP="00110659">
            <w:pPr>
              <w:tabs>
                <w:tab w:val="decimal" w:pos="318"/>
              </w:tabs>
              <w:autoSpaceDE w:val="0"/>
              <w:autoSpaceDN w:val="0"/>
              <w:adjustRightInd w:val="0"/>
              <w:spacing w:after="0" w:line="320" w:lineRule="atLeast"/>
              <w:ind w:left="1" w:right="60"/>
              <w:jc w:val="center"/>
              <w:rPr>
                <w:rFonts w:ascii="Calibri" w:hAnsi="Calibri" w:cs="Calibri"/>
                <w:color w:val="000000"/>
                <w:sz w:val="20"/>
                <w:szCs w:val="20"/>
              </w:rPr>
            </w:pPr>
          </w:p>
          <w:p w:rsidR="00B045D8" w:rsidRPr="00B911A8" w:rsidRDefault="00B045D8" w:rsidP="00110659">
            <w:pPr>
              <w:tabs>
                <w:tab w:val="decimal" w:pos="318"/>
              </w:tabs>
              <w:autoSpaceDE w:val="0"/>
              <w:autoSpaceDN w:val="0"/>
              <w:adjustRightInd w:val="0"/>
              <w:spacing w:after="0" w:line="320" w:lineRule="atLeast"/>
              <w:ind w:left="1" w:right="60"/>
              <w:jc w:val="center"/>
              <w:rPr>
                <w:rFonts w:ascii="Calibri" w:hAnsi="Calibri" w:cs="Calibri"/>
                <w:color w:val="000000"/>
                <w:sz w:val="20"/>
                <w:szCs w:val="20"/>
              </w:rPr>
            </w:pPr>
            <w:r w:rsidRPr="00B911A8">
              <w:rPr>
                <w:rFonts w:ascii="Calibri" w:hAnsi="Calibri" w:cs="Calibri"/>
                <w:color w:val="000000"/>
                <w:sz w:val="20"/>
                <w:szCs w:val="20"/>
              </w:rPr>
              <w:t>Effect size</w:t>
            </w:r>
          </w:p>
        </w:tc>
        <w:tc>
          <w:tcPr>
            <w:tcW w:w="239" w:type="dxa"/>
            <w:gridSpan w:val="2"/>
            <w:tcBorders>
              <w:bottom w:val="single" w:sz="8" w:space="0" w:color="000000"/>
            </w:tcBorders>
          </w:tcPr>
          <w:p w:rsidR="00B045D8" w:rsidRPr="00B911A8" w:rsidRDefault="00B045D8" w:rsidP="00110659">
            <w:pPr>
              <w:tabs>
                <w:tab w:val="decimal" w:pos="318"/>
              </w:tabs>
              <w:autoSpaceDE w:val="0"/>
              <w:autoSpaceDN w:val="0"/>
              <w:adjustRightInd w:val="0"/>
              <w:spacing w:after="0" w:line="320" w:lineRule="atLeast"/>
              <w:ind w:left="1" w:right="60"/>
              <w:jc w:val="center"/>
              <w:rPr>
                <w:rFonts w:ascii="Calibri" w:hAnsi="Calibri" w:cs="Calibri"/>
                <w:color w:val="000000"/>
                <w:sz w:val="20"/>
                <w:szCs w:val="20"/>
              </w:rPr>
            </w:pPr>
          </w:p>
        </w:tc>
      </w:tr>
      <w:tr w:rsidR="00B045D8" w:rsidRPr="00B911A8" w:rsidTr="00110659">
        <w:trPr>
          <w:trHeight w:hRule="exact" w:val="284"/>
          <w:jc w:val="center"/>
        </w:trPr>
        <w:tc>
          <w:tcPr>
            <w:tcW w:w="2509" w:type="dxa"/>
            <w:gridSpan w:val="2"/>
            <w:tcBorders>
              <w:top w:val="nil"/>
              <w:bottom w:val="nil"/>
            </w:tcBorders>
            <w:shd w:val="clear" w:color="auto" w:fill="auto"/>
          </w:tcPr>
          <w:p w:rsidR="00B045D8" w:rsidRPr="00B911A8" w:rsidRDefault="00B045D8" w:rsidP="00110659">
            <w:pPr>
              <w:rPr>
                <w:rFonts w:ascii="Calibri" w:hAnsi="Calibri" w:cs="Calibri"/>
                <w:b/>
                <w:sz w:val="20"/>
                <w:szCs w:val="20"/>
              </w:rPr>
            </w:pPr>
            <w:r w:rsidRPr="00B911A8">
              <w:rPr>
                <w:rFonts w:ascii="Calibri" w:hAnsi="Calibri" w:cs="Calibri"/>
                <w:b/>
                <w:sz w:val="20"/>
                <w:szCs w:val="20"/>
              </w:rPr>
              <w:t>Psychosocial Safety Climate</w:t>
            </w:r>
            <w:r w:rsidRPr="002F43AC">
              <w:rPr>
                <w:rFonts w:ascii="Calibri" w:hAnsi="Calibri" w:cs="Calibri"/>
                <w:b/>
                <w:sz w:val="20"/>
                <w:szCs w:val="20"/>
              </w:rPr>
              <w:t>†</w:t>
            </w:r>
          </w:p>
        </w:tc>
        <w:tc>
          <w:tcPr>
            <w:tcW w:w="941" w:type="dxa"/>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353"/>
                <w:tab w:val="decimal" w:pos="467"/>
              </w:tabs>
              <w:jc w:val="both"/>
              <w:rPr>
                <w:rFonts w:ascii="Calibri" w:hAnsi="Calibri" w:cs="Calibri"/>
                <w:sz w:val="20"/>
                <w:szCs w:val="20"/>
              </w:rPr>
            </w:pPr>
          </w:p>
        </w:tc>
        <w:tc>
          <w:tcPr>
            <w:tcW w:w="991" w:type="dxa"/>
          </w:tcPr>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B911A8" w:rsidRDefault="00B045D8" w:rsidP="00110659">
            <w:pPr>
              <w:tabs>
                <w:tab w:val="decimal" w:pos="50"/>
              </w:tabs>
              <w:rPr>
                <w:rFonts w:ascii="Calibri" w:hAnsi="Calibri" w:cs="Calibri"/>
                <w:sz w:val="20"/>
                <w:szCs w:val="20"/>
              </w:rPr>
            </w:pPr>
          </w:p>
        </w:tc>
      </w:tr>
      <w:tr w:rsidR="00B045D8" w:rsidRPr="00B911A8" w:rsidTr="00110659">
        <w:trPr>
          <w:trHeight w:hRule="exact" w:val="445"/>
          <w:jc w:val="center"/>
        </w:trPr>
        <w:tc>
          <w:tcPr>
            <w:tcW w:w="2509" w:type="dxa"/>
            <w:gridSpan w:val="2"/>
            <w:tcBorders>
              <w:top w:val="nil"/>
              <w:bottom w:val="nil"/>
            </w:tcBorders>
            <w:shd w:val="clear" w:color="auto" w:fill="auto"/>
          </w:tcPr>
          <w:p w:rsidR="00B045D8" w:rsidRPr="00B911A8" w:rsidRDefault="00B045D8" w:rsidP="00110659">
            <w:pPr>
              <w:rPr>
                <w:rFonts w:ascii="Calibri" w:hAnsi="Calibri" w:cs="Calibri"/>
                <w:b/>
                <w:sz w:val="20"/>
                <w:szCs w:val="20"/>
              </w:rPr>
            </w:pPr>
            <w:r w:rsidRPr="00B911A8">
              <w:rPr>
                <w:rFonts w:ascii="Calibri" w:hAnsi="Calibri" w:cs="Calibri"/>
                <w:sz w:val="20"/>
                <w:szCs w:val="20"/>
              </w:rPr>
              <w:t>Psychosocial Safety Climate</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40.64</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39.34</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10.20</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10.74</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1.00</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.015</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B911A8" w:rsidRDefault="00B045D8" w:rsidP="00110659">
            <w:pPr>
              <w:tabs>
                <w:tab w:val="decimal" w:pos="50"/>
              </w:tabs>
              <w:rPr>
                <w:rFonts w:ascii="Calibri" w:hAnsi="Calibri" w:cs="Calibri"/>
                <w:sz w:val="20"/>
                <w:szCs w:val="20"/>
              </w:rPr>
            </w:pPr>
          </w:p>
        </w:tc>
      </w:tr>
      <w:tr w:rsidR="00B045D8" w:rsidRPr="00B911A8" w:rsidTr="00110659">
        <w:trPr>
          <w:trHeight w:hRule="exact" w:val="284"/>
          <w:jc w:val="center"/>
        </w:trPr>
        <w:tc>
          <w:tcPr>
            <w:tcW w:w="2509" w:type="dxa"/>
            <w:gridSpan w:val="2"/>
            <w:tcBorders>
              <w:top w:val="nil"/>
              <w:bottom w:val="nil"/>
            </w:tcBorders>
            <w:shd w:val="clear" w:color="auto" w:fill="auto"/>
          </w:tcPr>
          <w:p w:rsidR="00B045D8" w:rsidRPr="00B911A8" w:rsidRDefault="00B045D8" w:rsidP="00110659">
            <w:pPr>
              <w:rPr>
                <w:rFonts w:ascii="Calibri" w:hAnsi="Calibri" w:cs="Calibri"/>
                <w:b/>
                <w:sz w:val="20"/>
                <w:szCs w:val="20"/>
              </w:rPr>
            </w:pPr>
            <w:r w:rsidRPr="00B911A8">
              <w:rPr>
                <w:rFonts w:ascii="Calibri" w:hAnsi="Calibri" w:cs="Calibri"/>
                <w:b/>
                <w:sz w:val="20"/>
                <w:szCs w:val="20"/>
              </w:rPr>
              <w:t>Demands</w:t>
            </w:r>
          </w:p>
        </w:tc>
        <w:tc>
          <w:tcPr>
            <w:tcW w:w="941" w:type="dxa"/>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tcPr>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353"/>
                <w:tab w:val="decimal" w:pos="467"/>
              </w:tabs>
              <w:jc w:val="both"/>
              <w:rPr>
                <w:rFonts w:ascii="Calibri" w:hAnsi="Calibri" w:cs="Calibri"/>
                <w:sz w:val="20"/>
                <w:szCs w:val="20"/>
              </w:rPr>
            </w:pPr>
          </w:p>
        </w:tc>
        <w:tc>
          <w:tcPr>
            <w:tcW w:w="991" w:type="dxa"/>
          </w:tcPr>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B911A8" w:rsidRDefault="00B045D8" w:rsidP="00110659">
            <w:pPr>
              <w:tabs>
                <w:tab w:val="decimal" w:pos="50"/>
              </w:tabs>
              <w:rPr>
                <w:rFonts w:ascii="Calibri" w:hAnsi="Calibri" w:cs="Calibri"/>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Emotional Demands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10.36</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10.60</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2.41</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2.50</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.72</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.008</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Work pressure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30.88</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31.56</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5.41</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5.68</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1.10</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.027</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Physical Demands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10.32</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10.08</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2.81</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3.17</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1.42</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.014</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Work-Family Conflict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17.95</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18.43</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8.33</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8.51</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1.21</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.014</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Harassment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8.57</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8.86</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2.32</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2.51</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1.34</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.014</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Bullying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.46</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.83</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2.04</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3.00</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.55</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.002</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441"/>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Organisational Change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7.19</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7.57</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1.71</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1.79</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1.58*</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.014</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r w:rsidRPr="00B911A8">
              <w:rPr>
                <w:rFonts w:ascii="Calibri" w:hAnsi="Calibri" w:cs="Calibri"/>
                <w:sz w:val="20"/>
                <w:szCs w:val="20"/>
              </w:rPr>
              <w:t>small</w:t>
            </w: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tcPr>
          <w:p w:rsidR="00B045D8" w:rsidRPr="00B911A8" w:rsidRDefault="00B045D8" w:rsidP="00110659">
            <w:pPr>
              <w:rPr>
                <w:rFonts w:ascii="Calibri" w:hAnsi="Calibri" w:cs="Calibri"/>
                <w:b/>
                <w:sz w:val="20"/>
                <w:szCs w:val="20"/>
              </w:rPr>
            </w:pPr>
            <w:r w:rsidRPr="00B911A8">
              <w:rPr>
                <w:rFonts w:ascii="Calibri" w:hAnsi="Calibri" w:cs="Calibri"/>
                <w:b/>
                <w:sz w:val="20"/>
                <w:szCs w:val="20"/>
              </w:rPr>
              <w:t>Resources</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Rewards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11.51</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11.53</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1.68</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1.88</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1.29</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.014</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Organisational Justice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11.01</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10.95</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1.96</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1.97</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1.20</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.019</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Co-worker Social Support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9.73</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9.71</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1.31</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1.25</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1.68*</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.010</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r w:rsidRPr="00B911A8">
              <w:rPr>
                <w:rFonts w:ascii="Calibri" w:hAnsi="Calibri" w:cs="Calibri"/>
                <w:sz w:val="20"/>
                <w:szCs w:val="20"/>
              </w:rPr>
              <w:t>small</w:t>
            </w: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ind w:right="-131"/>
              <w:rPr>
                <w:rFonts w:ascii="Calibri" w:hAnsi="Calibri" w:cs="Calibri"/>
                <w:sz w:val="20"/>
                <w:szCs w:val="20"/>
              </w:rPr>
            </w:pPr>
            <w:r w:rsidRPr="00B911A8">
              <w:rPr>
                <w:rFonts w:ascii="Calibri" w:hAnsi="Calibri" w:cs="Calibri"/>
                <w:sz w:val="20"/>
                <w:szCs w:val="20"/>
              </w:rPr>
              <w:t xml:space="preserve">Supervisor Social Support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9.14</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9.09</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1.54</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1.62</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1.08*</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.008</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Decision Authority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34.87</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34.83</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6.29</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6.32</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.80</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.006</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Skill Discretion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34.58</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35.35</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5.09</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5.11</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1.79**</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.024</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r w:rsidRPr="00B911A8">
              <w:rPr>
                <w:rFonts w:ascii="Calibri" w:hAnsi="Calibri" w:cs="Calibri"/>
                <w:sz w:val="20"/>
                <w:szCs w:val="20"/>
              </w:rPr>
              <w:t>small</w:t>
            </w: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423"/>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Macro-Decision Latitude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7.61</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7.41</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1.64</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1.67</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.92</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.008</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95"/>
          <w:jc w:val="center"/>
        </w:trPr>
        <w:tc>
          <w:tcPr>
            <w:tcW w:w="2509" w:type="dxa"/>
            <w:gridSpan w:val="2"/>
            <w:tcBorders>
              <w:top w:val="nil"/>
              <w:bottom w:val="nil"/>
            </w:tcBorders>
            <w:shd w:val="clear" w:color="auto" w:fill="auto"/>
          </w:tcPr>
          <w:p w:rsidR="00B045D8" w:rsidRPr="00B911A8" w:rsidRDefault="00B045D8" w:rsidP="00110659">
            <w:pPr>
              <w:rPr>
                <w:rFonts w:ascii="Calibri" w:hAnsi="Calibri" w:cs="Calibri"/>
                <w:sz w:val="20"/>
                <w:szCs w:val="20"/>
              </w:rPr>
            </w:pPr>
            <w:r w:rsidRPr="00B911A8">
              <w:rPr>
                <w:rFonts w:ascii="Calibri" w:hAnsi="Calibri" w:cs="Calibri"/>
                <w:b/>
                <w:sz w:val="20"/>
                <w:szCs w:val="20"/>
              </w:rPr>
              <w:t>Outcomes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Depression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3.46</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3.62</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3.81</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4.04</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1.37</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.015</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Psychological Distress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1.46</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1.53</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.50</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.53</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1.41*</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.020</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r w:rsidRPr="00B911A8">
              <w:rPr>
                <w:rFonts w:ascii="Calibri" w:hAnsi="Calibri" w:cs="Calibri"/>
                <w:sz w:val="20"/>
                <w:szCs w:val="20"/>
              </w:rPr>
              <w:t>small</w:t>
            </w: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284"/>
          <w:jc w:val="center"/>
        </w:trPr>
        <w:tc>
          <w:tcPr>
            <w:tcW w:w="2509" w:type="dxa"/>
            <w:gridSpan w:val="2"/>
            <w:tcBorders>
              <w:top w:val="nil"/>
              <w:bottom w:val="nil"/>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Emotional Exhaustion </w:t>
            </w:r>
          </w:p>
        </w:tc>
        <w:tc>
          <w:tcPr>
            <w:tcW w:w="941"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15.15</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16.40</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nil"/>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7.73</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nil"/>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8.13</w:t>
            </w:r>
          </w:p>
          <w:p w:rsidR="00B045D8" w:rsidRPr="00B911A8" w:rsidRDefault="00B045D8" w:rsidP="00110659">
            <w:pPr>
              <w:tabs>
                <w:tab w:val="decimal" w:pos="467"/>
              </w:tabs>
              <w:jc w:val="both"/>
              <w:rPr>
                <w:rFonts w:ascii="Calibri" w:hAnsi="Calibri" w:cs="Calibri"/>
                <w:sz w:val="20"/>
                <w:szCs w:val="20"/>
              </w:rPr>
            </w:pPr>
          </w:p>
        </w:tc>
        <w:tc>
          <w:tcPr>
            <w:tcW w:w="1184"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1.63**</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.023</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vAlign w:val="center"/>
          </w:tcPr>
          <w:p w:rsidR="00B045D8" w:rsidRPr="00B911A8" w:rsidRDefault="00B045D8" w:rsidP="00110659">
            <w:pPr>
              <w:tabs>
                <w:tab w:val="decimal" w:pos="318"/>
              </w:tabs>
              <w:jc w:val="center"/>
              <w:rPr>
                <w:rFonts w:ascii="Calibri" w:hAnsi="Calibri" w:cs="Calibri"/>
                <w:sz w:val="20"/>
                <w:szCs w:val="20"/>
              </w:rPr>
            </w:pPr>
            <w:r w:rsidRPr="00B911A8">
              <w:rPr>
                <w:rFonts w:ascii="Calibri" w:hAnsi="Calibri" w:cs="Calibri"/>
                <w:sz w:val="20"/>
                <w:szCs w:val="20"/>
              </w:rPr>
              <w:t>small</w:t>
            </w:r>
          </w:p>
        </w:tc>
        <w:tc>
          <w:tcPr>
            <w:tcW w:w="239" w:type="dxa"/>
            <w:gridSpan w:val="2"/>
          </w:tcPr>
          <w:p w:rsidR="00B045D8" w:rsidRPr="00A17FF5" w:rsidRDefault="00B045D8" w:rsidP="00110659">
            <w:pPr>
              <w:tabs>
                <w:tab w:val="decimal" w:pos="50"/>
              </w:tabs>
              <w:rPr>
                <w:rFonts w:ascii="Calibri" w:hAnsi="Calibri" w:cs="Calibri"/>
                <w:color w:val="auto"/>
                <w:sz w:val="20"/>
                <w:szCs w:val="20"/>
              </w:rPr>
            </w:pPr>
          </w:p>
        </w:tc>
      </w:tr>
      <w:tr w:rsidR="00B045D8" w:rsidRPr="00A17FF5" w:rsidTr="00110659">
        <w:trPr>
          <w:trHeight w:hRule="exact" w:val="421"/>
          <w:jc w:val="center"/>
        </w:trPr>
        <w:tc>
          <w:tcPr>
            <w:tcW w:w="2509" w:type="dxa"/>
            <w:gridSpan w:val="2"/>
            <w:tcBorders>
              <w:top w:val="nil"/>
              <w:bottom w:val="single" w:sz="4" w:space="0" w:color="auto"/>
            </w:tcBorders>
            <w:shd w:val="clear" w:color="auto" w:fill="auto"/>
            <w:hideMark/>
          </w:tcPr>
          <w:p w:rsidR="00B045D8" w:rsidRPr="00B911A8" w:rsidRDefault="00B045D8" w:rsidP="00110659">
            <w:pPr>
              <w:rPr>
                <w:rFonts w:ascii="Calibri" w:hAnsi="Calibri" w:cs="Calibri"/>
                <w:sz w:val="20"/>
                <w:szCs w:val="20"/>
              </w:rPr>
            </w:pPr>
            <w:r w:rsidRPr="00B911A8">
              <w:rPr>
                <w:rFonts w:ascii="Calibri" w:hAnsi="Calibri" w:cs="Calibri"/>
                <w:sz w:val="20"/>
                <w:szCs w:val="20"/>
              </w:rPr>
              <w:t xml:space="preserve">Work Engagement </w:t>
            </w:r>
          </w:p>
        </w:tc>
        <w:tc>
          <w:tcPr>
            <w:tcW w:w="941" w:type="dxa"/>
            <w:tcBorders>
              <w:top w:val="nil"/>
              <w:bottom w:val="single" w:sz="4" w:space="0" w:color="auto"/>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50.99</w:t>
            </w:r>
          </w:p>
          <w:p w:rsidR="00B045D8" w:rsidRPr="00B911A8" w:rsidRDefault="00B045D8" w:rsidP="00110659">
            <w:pPr>
              <w:tabs>
                <w:tab w:val="decimal" w:pos="467"/>
              </w:tabs>
              <w:jc w:val="both"/>
              <w:rPr>
                <w:rFonts w:ascii="Calibri" w:hAnsi="Calibri" w:cs="Calibri"/>
                <w:sz w:val="20"/>
                <w:szCs w:val="20"/>
              </w:rPr>
            </w:pPr>
          </w:p>
        </w:tc>
        <w:tc>
          <w:tcPr>
            <w:tcW w:w="1038" w:type="dxa"/>
            <w:tcBorders>
              <w:top w:val="nil"/>
              <w:bottom w:val="single" w:sz="4" w:space="0" w:color="auto"/>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51.23</w:t>
            </w:r>
          </w:p>
          <w:p w:rsidR="00B045D8" w:rsidRPr="00B911A8" w:rsidRDefault="00B045D8" w:rsidP="00110659">
            <w:pPr>
              <w:tabs>
                <w:tab w:val="decimal" w:pos="467"/>
              </w:tabs>
              <w:jc w:val="both"/>
              <w:rPr>
                <w:rFonts w:ascii="Calibri" w:hAnsi="Calibri" w:cs="Calibri"/>
                <w:sz w:val="20"/>
                <w:szCs w:val="20"/>
              </w:rPr>
            </w:pPr>
          </w:p>
        </w:tc>
        <w:tc>
          <w:tcPr>
            <w:tcW w:w="291" w:type="dxa"/>
            <w:tcBorders>
              <w:top w:val="nil"/>
              <w:bottom w:val="single" w:sz="4" w:space="0" w:color="auto"/>
            </w:tcBorders>
            <w:vAlign w:val="center"/>
          </w:tcPr>
          <w:p w:rsidR="00B045D8" w:rsidRPr="00B911A8" w:rsidRDefault="00B045D8" w:rsidP="00110659">
            <w:pPr>
              <w:tabs>
                <w:tab w:val="decimal" w:pos="147"/>
                <w:tab w:val="decimal" w:pos="467"/>
              </w:tabs>
              <w:jc w:val="both"/>
              <w:rPr>
                <w:rFonts w:ascii="Calibri" w:hAnsi="Calibri" w:cs="Calibri"/>
                <w:sz w:val="20"/>
                <w:szCs w:val="20"/>
              </w:rPr>
            </w:pPr>
          </w:p>
        </w:tc>
        <w:tc>
          <w:tcPr>
            <w:tcW w:w="996" w:type="dxa"/>
            <w:gridSpan w:val="3"/>
            <w:tcBorders>
              <w:top w:val="nil"/>
              <w:bottom w:val="single" w:sz="4" w:space="0" w:color="auto"/>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9.75</w:t>
            </w:r>
          </w:p>
          <w:p w:rsidR="00B045D8" w:rsidRPr="00B911A8" w:rsidRDefault="00B045D8" w:rsidP="00110659">
            <w:pPr>
              <w:tabs>
                <w:tab w:val="decimal" w:pos="467"/>
              </w:tabs>
              <w:jc w:val="both"/>
              <w:rPr>
                <w:rFonts w:ascii="Calibri" w:hAnsi="Calibri" w:cs="Calibri"/>
                <w:sz w:val="20"/>
                <w:szCs w:val="20"/>
              </w:rPr>
            </w:pPr>
          </w:p>
        </w:tc>
        <w:tc>
          <w:tcPr>
            <w:tcW w:w="1129" w:type="dxa"/>
            <w:tcBorders>
              <w:top w:val="nil"/>
              <w:bottom w:val="single" w:sz="4" w:space="0" w:color="auto"/>
            </w:tcBorders>
            <w:shd w:val="clear" w:color="auto" w:fill="auto"/>
            <w:noWrap/>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9.42</w:t>
            </w:r>
          </w:p>
          <w:p w:rsidR="00B045D8" w:rsidRPr="00B911A8" w:rsidRDefault="00B045D8" w:rsidP="00110659">
            <w:pPr>
              <w:tabs>
                <w:tab w:val="decimal" w:pos="467"/>
              </w:tabs>
              <w:jc w:val="both"/>
              <w:rPr>
                <w:rFonts w:ascii="Calibri" w:hAnsi="Calibri" w:cs="Calibri"/>
                <w:sz w:val="20"/>
                <w:szCs w:val="20"/>
              </w:rPr>
            </w:pPr>
          </w:p>
        </w:tc>
        <w:tc>
          <w:tcPr>
            <w:tcW w:w="1184" w:type="dxa"/>
            <w:tcBorders>
              <w:bottom w:val="single" w:sz="4" w:space="0" w:color="auto"/>
            </w:tcBorders>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1.11</w:t>
            </w:r>
          </w:p>
          <w:p w:rsidR="00B045D8" w:rsidRPr="00B911A8" w:rsidRDefault="00B045D8" w:rsidP="00110659">
            <w:pPr>
              <w:tabs>
                <w:tab w:val="decimal" w:pos="353"/>
                <w:tab w:val="decimal" w:pos="467"/>
              </w:tabs>
              <w:jc w:val="both"/>
              <w:rPr>
                <w:rFonts w:ascii="Calibri" w:hAnsi="Calibri" w:cs="Calibri"/>
                <w:sz w:val="20"/>
                <w:szCs w:val="20"/>
              </w:rPr>
            </w:pPr>
          </w:p>
        </w:tc>
        <w:tc>
          <w:tcPr>
            <w:tcW w:w="991" w:type="dxa"/>
            <w:tcBorders>
              <w:bottom w:val="single" w:sz="4" w:space="0" w:color="auto"/>
            </w:tcBorders>
            <w:vAlign w:val="center"/>
          </w:tcPr>
          <w:p w:rsidR="00B045D8" w:rsidRPr="00B911A8" w:rsidRDefault="00B045D8" w:rsidP="00110659">
            <w:pPr>
              <w:tabs>
                <w:tab w:val="decimal" w:pos="467"/>
              </w:tabs>
              <w:jc w:val="both"/>
              <w:rPr>
                <w:rFonts w:ascii="Calibri" w:hAnsi="Calibri" w:cs="Calibri"/>
                <w:color w:val="000000"/>
                <w:sz w:val="18"/>
                <w:szCs w:val="18"/>
              </w:rPr>
            </w:pPr>
            <w:r w:rsidRPr="00B911A8">
              <w:rPr>
                <w:rFonts w:ascii="Calibri" w:hAnsi="Calibri" w:cs="Calibri"/>
                <w:color w:val="000000"/>
                <w:sz w:val="18"/>
                <w:szCs w:val="18"/>
              </w:rPr>
              <w:t>.035</w:t>
            </w:r>
          </w:p>
          <w:p w:rsidR="00B045D8" w:rsidRPr="00B911A8" w:rsidRDefault="00B045D8" w:rsidP="00110659">
            <w:pPr>
              <w:tabs>
                <w:tab w:val="decimal" w:pos="278"/>
                <w:tab w:val="decimal" w:pos="467"/>
              </w:tabs>
              <w:jc w:val="both"/>
              <w:rPr>
                <w:rFonts w:ascii="Calibri" w:hAnsi="Calibri" w:cs="Calibri"/>
                <w:sz w:val="20"/>
                <w:szCs w:val="20"/>
              </w:rPr>
            </w:pPr>
          </w:p>
        </w:tc>
        <w:tc>
          <w:tcPr>
            <w:tcW w:w="850" w:type="dxa"/>
            <w:gridSpan w:val="2"/>
            <w:tcBorders>
              <w:bottom w:val="single" w:sz="4" w:space="0" w:color="auto"/>
            </w:tcBorders>
            <w:vAlign w:val="center"/>
          </w:tcPr>
          <w:p w:rsidR="00B045D8" w:rsidRPr="00B911A8" w:rsidRDefault="00B045D8" w:rsidP="00110659">
            <w:pPr>
              <w:tabs>
                <w:tab w:val="decimal" w:pos="318"/>
              </w:tabs>
              <w:jc w:val="center"/>
              <w:rPr>
                <w:rFonts w:ascii="Calibri" w:hAnsi="Calibri" w:cs="Calibri"/>
                <w:sz w:val="20"/>
                <w:szCs w:val="20"/>
              </w:rPr>
            </w:pPr>
          </w:p>
        </w:tc>
        <w:tc>
          <w:tcPr>
            <w:tcW w:w="239" w:type="dxa"/>
            <w:gridSpan w:val="2"/>
            <w:tcBorders>
              <w:bottom w:val="single" w:sz="4" w:space="0" w:color="auto"/>
            </w:tcBorders>
          </w:tcPr>
          <w:p w:rsidR="00B045D8" w:rsidRPr="00A17FF5" w:rsidRDefault="00B045D8" w:rsidP="00110659">
            <w:pPr>
              <w:tabs>
                <w:tab w:val="decimal" w:pos="50"/>
              </w:tabs>
              <w:rPr>
                <w:rFonts w:ascii="Calibri" w:hAnsi="Calibri" w:cs="Calibri"/>
                <w:color w:val="auto"/>
                <w:sz w:val="20"/>
                <w:szCs w:val="20"/>
              </w:rPr>
            </w:pPr>
          </w:p>
        </w:tc>
      </w:tr>
    </w:tbl>
    <w:p w:rsidR="00B045D8" w:rsidRPr="002F43AC" w:rsidRDefault="00B045D8" w:rsidP="00B045D8">
      <w:pPr>
        <w:spacing w:after="0"/>
        <w:ind w:left="-284" w:right="-329"/>
        <w:rPr>
          <w:rFonts w:ascii="Calibri" w:hAnsi="Calibri" w:cs="Calibri"/>
          <w:color w:val="000000"/>
          <w:sz w:val="20"/>
          <w:szCs w:val="20"/>
        </w:rPr>
      </w:pPr>
      <w:r w:rsidRPr="002F43AC">
        <w:rPr>
          <w:rFonts w:ascii="Calibri" w:hAnsi="Calibri" w:cs="Calibri"/>
          <w:sz w:val="20"/>
          <w:szCs w:val="20"/>
        </w:rPr>
        <w:t xml:space="preserve">Note. </w:t>
      </w:r>
      <w:proofErr w:type="gramStart"/>
      <w:r w:rsidRPr="002F43AC">
        <w:rPr>
          <w:rFonts w:ascii="Calibri" w:hAnsi="Calibri" w:cs="Calibri"/>
          <w:sz w:val="20"/>
          <w:szCs w:val="20"/>
        </w:rPr>
        <w:t>Covariates, age, gender, income.</w:t>
      </w:r>
      <w:proofErr w:type="gramEnd"/>
      <w:r w:rsidRPr="002F43AC">
        <w:rPr>
          <w:rFonts w:ascii="Calibri" w:hAnsi="Calibri" w:cs="Calibri"/>
          <w:sz w:val="20"/>
          <w:szCs w:val="20"/>
        </w:rPr>
        <w:t xml:space="preserve">  † </w:t>
      </w:r>
      <w:proofErr w:type="gramStart"/>
      <w:r w:rsidRPr="002F43AC">
        <w:rPr>
          <w:rFonts w:ascii="Calibri" w:hAnsi="Calibri" w:cs="Calibri"/>
          <w:sz w:val="20"/>
          <w:szCs w:val="20"/>
        </w:rPr>
        <w:t>test</w:t>
      </w:r>
      <w:proofErr w:type="gramEnd"/>
      <w:r w:rsidRPr="002F43AC">
        <w:rPr>
          <w:rFonts w:ascii="Calibri" w:hAnsi="Calibri" w:cs="Calibri"/>
          <w:sz w:val="20"/>
          <w:szCs w:val="20"/>
        </w:rPr>
        <w:t xml:space="preserve"> failed to satisfy assumption of homogeneity of variance. </w:t>
      </w:r>
      <w:r w:rsidRPr="002F43AC">
        <w:rPr>
          <w:rFonts w:ascii="Calibri" w:eastAsia="Calibri" w:hAnsi="Calibri"/>
          <w:sz w:val="20"/>
          <w:szCs w:val="20"/>
          <w:lang w:eastAsia="en-US"/>
        </w:rPr>
        <w:t xml:space="preserve">* = </w:t>
      </w:r>
      <w:r w:rsidRPr="002F43AC">
        <w:rPr>
          <w:rFonts w:ascii="Calibri" w:eastAsia="Calibri" w:hAnsi="Calibri"/>
          <w:i/>
          <w:sz w:val="20"/>
          <w:szCs w:val="20"/>
          <w:lang w:eastAsia="en-US"/>
        </w:rPr>
        <w:t xml:space="preserve">p </w:t>
      </w:r>
      <w:r w:rsidRPr="002F43AC">
        <w:rPr>
          <w:rFonts w:ascii="Calibri" w:eastAsia="Calibri" w:hAnsi="Calibri"/>
          <w:sz w:val="20"/>
          <w:szCs w:val="20"/>
          <w:lang w:eastAsia="en-US"/>
        </w:rPr>
        <w:t xml:space="preserve">&lt; .05; </w:t>
      </w:r>
      <w:r>
        <w:rPr>
          <w:rFonts w:ascii="Calibri" w:eastAsia="Calibri" w:hAnsi="Calibri" w:cs="Calibri"/>
          <w:sz w:val="20"/>
          <w:szCs w:val="20"/>
          <w:lang w:eastAsia="en-US"/>
        </w:rPr>
        <w:t>**</w:t>
      </w:r>
      <w:r w:rsidRPr="002F43AC">
        <w:rPr>
          <w:rFonts w:ascii="Calibri" w:eastAsia="Calibri" w:hAnsi="Calibri" w:cs="Calibri"/>
          <w:sz w:val="20"/>
          <w:szCs w:val="20"/>
          <w:lang w:eastAsia="en-US"/>
        </w:rPr>
        <w:t xml:space="preserve">= </w:t>
      </w:r>
      <w:r w:rsidRPr="002F43AC">
        <w:rPr>
          <w:rFonts w:ascii="Calibri" w:eastAsia="Calibri" w:hAnsi="Calibri" w:cs="Calibri"/>
          <w:i/>
          <w:sz w:val="20"/>
          <w:szCs w:val="20"/>
          <w:lang w:eastAsia="en-US"/>
        </w:rPr>
        <w:t xml:space="preserve">p </w:t>
      </w:r>
      <w:r w:rsidRPr="002F43AC">
        <w:rPr>
          <w:rFonts w:ascii="Calibri" w:eastAsia="Calibri" w:hAnsi="Calibri" w:cs="Calibri"/>
          <w:sz w:val="20"/>
          <w:szCs w:val="20"/>
          <w:lang w:eastAsia="en-US"/>
        </w:rPr>
        <w:t>&lt; .01</w:t>
      </w:r>
      <w:r>
        <w:rPr>
          <w:rFonts w:ascii="Calibri" w:eastAsia="Calibri" w:hAnsi="Calibri" w:cs="Calibri"/>
          <w:sz w:val="20"/>
          <w:szCs w:val="20"/>
          <w:lang w:eastAsia="en-US"/>
        </w:rPr>
        <w:t>.</w:t>
      </w:r>
    </w:p>
    <w:p w:rsidR="00B045D8" w:rsidRDefault="00B045D8" w:rsidP="00FB6A71">
      <w:pPr>
        <w:spacing w:before="120"/>
        <w:rPr>
          <w:lang w:eastAsia="ja-JP"/>
        </w:rPr>
      </w:pPr>
      <w:r w:rsidRPr="00FB6A71">
        <w:t>To test differences between large (NSW, WA, and SA) and small states (T</w:t>
      </w:r>
      <w:r w:rsidR="00C320A3" w:rsidRPr="00FB6A71">
        <w:t>asmania</w:t>
      </w:r>
      <w:r w:rsidRPr="00FB6A71">
        <w:t>,</w:t>
      </w:r>
      <w:r w:rsidR="00C320A3" w:rsidRPr="00FB6A71">
        <w:t xml:space="preserve"> the</w:t>
      </w:r>
      <w:r w:rsidRPr="00FB6A71">
        <w:t xml:space="preserve"> ACT,</w:t>
      </w:r>
      <w:r w:rsidR="00C320A3" w:rsidRPr="00FB6A71">
        <w:t xml:space="preserve"> the</w:t>
      </w:r>
      <w:r w:rsidRPr="000E4FA8">
        <w:rPr>
          <w:lang w:eastAsia="ja-JP"/>
        </w:rPr>
        <w:t xml:space="preserve"> NT) we combined data for the large and small states. An ANCOVA run with the demand variables, showed that the underlying assumption of homogeneity of variance was met, </w:t>
      </w:r>
      <w:proofErr w:type="gramStart"/>
      <w:r w:rsidRPr="000E4FA8">
        <w:rPr>
          <w:i/>
          <w:iCs/>
          <w:lang w:eastAsia="ja-JP"/>
        </w:rPr>
        <w:t>F</w:t>
      </w:r>
      <w:r w:rsidRPr="000E4FA8">
        <w:rPr>
          <w:lang w:eastAsia="ja-JP"/>
        </w:rPr>
        <w:t>(</w:t>
      </w:r>
      <w:proofErr w:type="gramEnd"/>
      <w:r w:rsidRPr="000E4FA8">
        <w:rPr>
          <w:lang w:eastAsia="ja-JP"/>
        </w:rPr>
        <w:t>3</w:t>
      </w:r>
      <w:r w:rsidR="00B84BF2">
        <w:rPr>
          <w:lang w:eastAsia="ja-JP"/>
        </w:rPr>
        <w:t xml:space="preserve"> </w:t>
      </w:r>
      <w:r w:rsidRPr="000E4FA8">
        <w:rPr>
          <w:lang w:eastAsia="ja-JP"/>
        </w:rPr>
        <w:t xml:space="preserve">353, 159) = 1.009, </w:t>
      </w:r>
      <w:r w:rsidRPr="000E4FA8">
        <w:rPr>
          <w:i/>
          <w:iCs/>
          <w:lang w:eastAsia="ja-JP"/>
        </w:rPr>
        <w:t xml:space="preserve">p </w:t>
      </w:r>
      <w:r w:rsidRPr="000E4FA8">
        <w:rPr>
          <w:lang w:eastAsia="ja-JP"/>
        </w:rPr>
        <w:t xml:space="preserve">= .483. The same assumption was satisfied with the ANCOVA run for resource variables, evidenced by </w:t>
      </w:r>
      <w:proofErr w:type="gramStart"/>
      <w:r w:rsidRPr="000E4FA8">
        <w:rPr>
          <w:i/>
          <w:iCs/>
          <w:lang w:eastAsia="ja-JP"/>
        </w:rPr>
        <w:t>F</w:t>
      </w:r>
      <w:r w:rsidRPr="000E4FA8">
        <w:rPr>
          <w:lang w:eastAsia="ja-JP"/>
        </w:rPr>
        <w:t>(</w:t>
      </w:r>
      <w:proofErr w:type="gramEnd"/>
      <w:r w:rsidRPr="000E4FA8">
        <w:rPr>
          <w:lang w:eastAsia="ja-JP"/>
        </w:rPr>
        <w:t>2</w:t>
      </w:r>
      <w:r w:rsidR="00B84BF2">
        <w:rPr>
          <w:lang w:eastAsia="ja-JP"/>
        </w:rPr>
        <w:t xml:space="preserve"> </w:t>
      </w:r>
      <w:r w:rsidRPr="000E4FA8">
        <w:rPr>
          <w:lang w:eastAsia="ja-JP"/>
        </w:rPr>
        <w:t xml:space="preserve">963, 188) = 1.042, </w:t>
      </w:r>
      <w:r w:rsidRPr="000E4FA8">
        <w:rPr>
          <w:i/>
          <w:iCs/>
          <w:lang w:eastAsia="ja-JP"/>
        </w:rPr>
        <w:t xml:space="preserve">p </w:t>
      </w:r>
      <w:r w:rsidRPr="000E4FA8">
        <w:rPr>
          <w:lang w:eastAsia="ja-JP"/>
        </w:rPr>
        <w:t xml:space="preserve">= .364. However, the ANCOVA for the PSC variable did not meet the assumption of homogeneity of variance, </w:t>
      </w:r>
      <w:proofErr w:type="gramStart"/>
      <w:r w:rsidRPr="000E4FA8">
        <w:rPr>
          <w:i/>
          <w:iCs/>
          <w:lang w:eastAsia="ja-JP"/>
        </w:rPr>
        <w:t>F</w:t>
      </w:r>
      <w:r w:rsidRPr="000E4FA8">
        <w:rPr>
          <w:lang w:eastAsia="ja-JP"/>
        </w:rPr>
        <w:t>(</w:t>
      </w:r>
      <w:proofErr w:type="gramEnd"/>
      <w:r w:rsidRPr="000E4FA8">
        <w:rPr>
          <w:lang w:eastAsia="ja-JP"/>
        </w:rPr>
        <w:t>48, 3</w:t>
      </w:r>
      <w:r w:rsidR="00B84BF2">
        <w:rPr>
          <w:lang w:eastAsia="ja-JP"/>
        </w:rPr>
        <w:t xml:space="preserve"> </w:t>
      </w:r>
      <w:r w:rsidRPr="000E4FA8">
        <w:rPr>
          <w:lang w:eastAsia="ja-JP"/>
        </w:rPr>
        <w:t xml:space="preserve">103) = 3.723, </w:t>
      </w:r>
      <w:r w:rsidRPr="000E4FA8">
        <w:rPr>
          <w:i/>
          <w:iCs/>
          <w:lang w:eastAsia="ja-JP"/>
        </w:rPr>
        <w:t xml:space="preserve">p </w:t>
      </w:r>
      <w:r w:rsidRPr="000E4FA8">
        <w:rPr>
          <w:lang w:eastAsia="ja-JP"/>
        </w:rPr>
        <w:t xml:space="preserve">&lt; .001. The same is true for the ANCOVA on outcome variables, </w:t>
      </w:r>
      <w:proofErr w:type="gramStart"/>
      <w:r w:rsidRPr="000E4FA8">
        <w:rPr>
          <w:i/>
          <w:iCs/>
          <w:lang w:eastAsia="ja-JP"/>
        </w:rPr>
        <w:t>F</w:t>
      </w:r>
      <w:r w:rsidRPr="000E4FA8">
        <w:rPr>
          <w:lang w:eastAsia="ja-JP"/>
        </w:rPr>
        <w:t>(</w:t>
      </w:r>
      <w:proofErr w:type="gramEnd"/>
      <w:r w:rsidRPr="000E4FA8">
        <w:rPr>
          <w:lang w:eastAsia="ja-JP"/>
        </w:rPr>
        <w:t>3</w:t>
      </w:r>
      <w:r w:rsidR="00B84BF2">
        <w:rPr>
          <w:lang w:eastAsia="ja-JP"/>
        </w:rPr>
        <w:t xml:space="preserve"> </w:t>
      </w:r>
      <w:r w:rsidRPr="000E4FA8">
        <w:rPr>
          <w:lang w:eastAsia="ja-JP"/>
        </w:rPr>
        <w:t xml:space="preserve">122, 390) = 1.170, </w:t>
      </w:r>
      <w:r w:rsidRPr="000E4FA8">
        <w:rPr>
          <w:i/>
          <w:iCs/>
          <w:lang w:eastAsia="ja-JP"/>
        </w:rPr>
        <w:t xml:space="preserve">p </w:t>
      </w:r>
      <w:r w:rsidRPr="000E4FA8">
        <w:rPr>
          <w:lang w:eastAsia="ja-JP"/>
        </w:rPr>
        <w:t xml:space="preserve">= .022. These results means that the ratio of the variance between the two groups on these four outcome variables is likely to make ANCOVA an inappropriate test for differences, and the results are </w:t>
      </w:r>
      <w:r w:rsidR="00FB6A71">
        <w:rPr>
          <w:lang w:eastAsia="ja-JP"/>
        </w:rPr>
        <w:t>to be interpreted with caution.</w:t>
      </w:r>
    </w:p>
    <w:p w:rsidR="00B045D8" w:rsidRPr="000E4FA8" w:rsidRDefault="00B045D8" w:rsidP="000E0752">
      <w:pPr>
        <w:rPr>
          <w:lang w:eastAsia="ja-JP"/>
        </w:rPr>
      </w:pPr>
      <w:r w:rsidRPr="000E4FA8">
        <w:rPr>
          <w:lang w:eastAsia="ja-JP"/>
        </w:rPr>
        <w:lastRenderedPageBreak/>
        <w:t xml:space="preserve">Between these ANCOVA tests only two variables registered as having statistically significant differences between large and small states, but further analysis was required due to the caution with false positives when the assumption of homogeneity of variance is not met. Consequently, psychological distress and emotional exhaustion were each subjected to an unpaired samples </w:t>
      </w:r>
      <w:r w:rsidRPr="000E4FA8">
        <w:rPr>
          <w:i/>
          <w:lang w:eastAsia="ja-JP"/>
        </w:rPr>
        <w:t>t</w:t>
      </w:r>
      <w:r w:rsidRPr="000E4FA8">
        <w:rPr>
          <w:lang w:eastAsia="ja-JP"/>
        </w:rPr>
        <w:t xml:space="preserve">-test. The existence of significant differences with small effects was supported in both psychological distress, </w:t>
      </w:r>
      <w:proofErr w:type="gramStart"/>
      <w:r w:rsidRPr="000E4FA8">
        <w:rPr>
          <w:i/>
          <w:lang w:eastAsia="ja-JP"/>
        </w:rPr>
        <w:t>t</w:t>
      </w:r>
      <w:r w:rsidRPr="000E4FA8">
        <w:rPr>
          <w:lang w:eastAsia="ja-JP"/>
        </w:rPr>
        <w:t>(</w:t>
      </w:r>
      <w:proofErr w:type="gramEnd"/>
      <w:r w:rsidRPr="000E4FA8">
        <w:rPr>
          <w:lang w:eastAsia="ja-JP"/>
        </w:rPr>
        <w:t>3</w:t>
      </w:r>
      <w:r w:rsidR="00B84BF2">
        <w:rPr>
          <w:lang w:eastAsia="ja-JP"/>
        </w:rPr>
        <w:t xml:space="preserve"> </w:t>
      </w:r>
      <w:r w:rsidRPr="000E4FA8">
        <w:rPr>
          <w:lang w:eastAsia="ja-JP"/>
        </w:rPr>
        <w:t xml:space="preserve">511) = -3.23, </w:t>
      </w:r>
      <w:r w:rsidRPr="000E4FA8">
        <w:rPr>
          <w:i/>
          <w:lang w:eastAsia="ja-JP"/>
        </w:rPr>
        <w:t xml:space="preserve">p </w:t>
      </w:r>
      <w:r w:rsidRPr="000E4FA8">
        <w:rPr>
          <w:lang w:eastAsia="ja-JP"/>
        </w:rPr>
        <w:t xml:space="preserve">&lt;.01, and emotional exhaustion, </w:t>
      </w:r>
      <w:r w:rsidRPr="000E4FA8">
        <w:rPr>
          <w:i/>
          <w:lang w:eastAsia="ja-JP"/>
        </w:rPr>
        <w:t>t</w:t>
      </w:r>
      <w:r w:rsidRPr="000E4FA8">
        <w:rPr>
          <w:lang w:eastAsia="ja-JP"/>
        </w:rPr>
        <w:t>(3</w:t>
      </w:r>
      <w:r w:rsidR="00B84BF2">
        <w:rPr>
          <w:lang w:eastAsia="ja-JP"/>
        </w:rPr>
        <w:t xml:space="preserve"> </w:t>
      </w:r>
      <w:r w:rsidRPr="000E4FA8">
        <w:rPr>
          <w:lang w:eastAsia="ja-JP"/>
        </w:rPr>
        <w:t xml:space="preserve">511) = -4.02, </w:t>
      </w:r>
      <w:r w:rsidRPr="000E4FA8">
        <w:rPr>
          <w:i/>
          <w:lang w:eastAsia="ja-JP"/>
        </w:rPr>
        <w:t xml:space="preserve">p </w:t>
      </w:r>
      <w:r w:rsidRPr="000E4FA8">
        <w:rPr>
          <w:lang w:eastAsia="ja-JP"/>
        </w:rPr>
        <w:t>&lt;.001.</w:t>
      </w:r>
    </w:p>
    <w:p w:rsidR="00B045D8" w:rsidRPr="000E4FA8" w:rsidRDefault="00B045D8" w:rsidP="000E0752">
      <w:r w:rsidRPr="000E4FA8">
        <w:rPr>
          <w:lang w:eastAsia="ja-JP"/>
        </w:rPr>
        <w:t>Analyses indicate significant weak differences between the three large states (NSW, WA, and SA) in comparison with the three small states (T</w:t>
      </w:r>
      <w:r w:rsidR="00C320A3">
        <w:rPr>
          <w:lang w:eastAsia="ja-JP"/>
        </w:rPr>
        <w:t>asmania</w:t>
      </w:r>
      <w:r w:rsidRPr="000E4FA8">
        <w:rPr>
          <w:lang w:eastAsia="ja-JP"/>
        </w:rPr>
        <w:t xml:space="preserve">, </w:t>
      </w:r>
      <w:r w:rsidR="00C320A3">
        <w:rPr>
          <w:lang w:eastAsia="ja-JP"/>
        </w:rPr>
        <w:t>the</w:t>
      </w:r>
      <w:r w:rsidR="006021E8">
        <w:rPr>
          <w:lang w:eastAsia="ja-JP"/>
        </w:rPr>
        <w:t xml:space="preserve"> </w:t>
      </w:r>
      <w:r w:rsidRPr="000E4FA8">
        <w:rPr>
          <w:lang w:eastAsia="ja-JP"/>
        </w:rPr>
        <w:t xml:space="preserve">ACT, </w:t>
      </w:r>
      <w:r w:rsidR="00C320A3">
        <w:rPr>
          <w:lang w:eastAsia="ja-JP"/>
        </w:rPr>
        <w:t xml:space="preserve">the </w:t>
      </w:r>
      <w:r w:rsidRPr="000E4FA8">
        <w:rPr>
          <w:lang w:eastAsia="ja-JP"/>
        </w:rPr>
        <w:t xml:space="preserve">NT). Larger states represent better workplaces as they report less demands in the form of organisational change, more resources through co-worker support and less incidence of the psychological health outcomes emotional exhaustion and distress. On the other hand, the smaller states report greater skill discretion on the job. </w:t>
      </w:r>
      <w:r w:rsidRPr="000E4FA8">
        <w:t>Overall, significant (albeit small) differences were observed between groups indicating more stable workplaces with the support of co-workers in larger states, as well their workers reporting lower incidence</w:t>
      </w:r>
      <w:r w:rsidR="00FB6A71">
        <w:t>s of poor psychological health.</w:t>
      </w:r>
    </w:p>
    <w:sectPr w:rsidR="00B045D8" w:rsidRPr="000E4FA8" w:rsidSect="002F43AC">
      <w:pgSz w:w="11906" w:h="16838"/>
      <w:pgMar w:top="1135" w:right="849" w:bottom="1135"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09D1" w:rsidRDefault="006409D1" w:rsidP="0076164D">
      <w:pPr>
        <w:spacing w:after="0" w:line="240" w:lineRule="auto"/>
      </w:pPr>
      <w:r>
        <w:separator/>
      </w:r>
    </w:p>
  </w:endnote>
  <w:endnote w:type="continuationSeparator" w:id="0">
    <w:p w:rsidR="006409D1" w:rsidRDefault="006409D1" w:rsidP="00761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9D1" w:rsidRPr="00834360" w:rsidRDefault="006409D1">
    <w:pPr>
      <w:pStyle w:val="Footer"/>
      <w:jc w:val="right"/>
      <w:rPr>
        <w:rFonts w:ascii="Calibri" w:hAnsi="Calibri" w:cs="Calibri"/>
      </w:rPr>
    </w:pPr>
    <w:r w:rsidRPr="00834360">
      <w:rPr>
        <w:rFonts w:ascii="Calibri" w:hAnsi="Calibri" w:cs="Calibri"/>
      </w:rPr>
      <w:fldChar w:fldCharType="begin"/>
    </w:r>
    <w:r w:rsidRPr="00834360">
      <w:rPr>
        <w:rFonts w:ascii="Calibri" w:hAnsi="Calibri" w:cs="Calibri"/>
      </w:rPr>
      <w:instrText xml:space="preserve"> PAGE   \* MERGEFORMAT </w:instrText>
    </w:r>
    <w:r w:rsidRPr="00834360">
      <w:rPr>
        <w:rFonts w:ascii="Calibri" w:hAnsi="Calibri" w:cs="Calibri"/>
      </w:rPr>
      <w:fldChar w:fldCharType="separate"/>
    </w:r>
    <w:r w:rsidR="007513D9">
      <w:rPr>
        <w:rFonts w:ascii="Calibri" w:hAnsi="Calibri" w:cs="Calibri"/>
        <w:noProof/>
      </w:rPr>
      <w:t>95</w:t>
    </w:r>
    <w:r w:rsidRPr="00834360">
      <w:rPr>
        <w:rFonts w:ascii="Calibri" w:hAnsi="Calibri" w:cs="Calibri"/>
        <w:noProof/>
      </w:rPr>
      <w:fldChar w:fldCharType="end"/>
    </w:r>
  </w:p>
  <w:p w:rsidR="006409D1" w:rsidRDefault="006409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09D1" w:rsidRDefault="006409D1" w:rsidP="0076164D">
      <w:pPr>
        <w:spacing w:after="0" w:line="240" w:lineRule="auto"/>
      </w:pPr>
      <w:r>
        <w:separator/>
      </w:r>
    </w:p>
  </w:footnote>
  <w:footnote w:type="continuationSeparator" w:id="0">
    <w:p w:rsidR="006409D1" w:rsidRDefault="006409D1" w:rsidP="0076164D">
      <w:pPr>
        <w:spacing w:after="0" w:line="240" w:lineRule="auto"/>
      </w:pPr>
      <w:r>
        <w:continuationSeparator/>
      </w:r>
    </w:p>
  </w:footnote>
  <w:footnote w:id="1">
    <w:p w:rsidR="006409D1" w:rsidRPr="003006B2" w:rsidRDefault="006409D1">
      <w:pPr>
        <w:pStyle w:val="FootnoteText"/>
        <w:rPr>
          <w:sz w:val="16"/>
          <w:szCs w:val="16"/>
        </w:rPr>
      </w:pPr>
      <w:r w:rsidRPr="003006B2">
        <w:rPr>
          <w:rStyle w:val="FootnoteReference"/>
          <w:sz w:val="16"/>
          <w:szCs w:val="16"/>
        </w:rPr>
        <w:footnoteRef/>
      </w:r>
      <w:r w:rsidRPr="003006B2">
        <w:rPr>
          <w:sz w:val="16"/>
          <w:szCs w:val="16"/>
        </w:rPr>
        <w:t xml:space="preserve"> </w:t>
      </w:r>
      <w:r w:rsidRPr="003006B2">
        <w:rPr>
          <w:rFonts w:ascii="Calibri" w:hAnsi="Calibri" w:cs="Calibri"/>
          <w:sz w:val="16"/>
          <w:szCs w:val="16"/>
        </w:rPr>
        <w:t xml:space="preserve">PSC was assessed via interview with </w:t>
      </w:r>
      <w:r>
        <w:rPr>
          <w:rFonts w:ascii="Calibri" w:hAnsi="Calibri" w:cs="Calibri"/>
          <w:sz w:val="16"/>
          <w:szCs w:val="16"/>
        </w:rPr>
        <w:t xml:space="preserve">N = </w:t>
      </w:r>
      <w:r w:rsidRPr="003006B2">
        <w:rPr>
          <w:rFonts w:ascii="Calibri" w:hAnsi="Calibri" w:cs="Calibri"/>
          <w:sz w:val="16"/>
          <w:szCs w:val="16"/>
        </w:rPr>
        <w:t>28</w:t>
      </w:r>
      <w:r>
        <w:rPr>
          <w:rFonts w:ascii="Calibri" w:hAnsi="Calibri" w:cs="Calibri"/>
          <w:sz w:val="16"/>
          <w:szCs w:val="16"/>
        </w:rPr>
        <w:t xml:space="preserve"> </w:t>
      </w:r>
      <w:r w:rsidRPr="003006B2">
        <w:rPr>
          <w:rFonts w:ascii="Calibri" w:hAnsi="Calibri" w:cs="Calibri"/>
          <w:sz w:val="16"/>
          <w:szCs w:val="16"/>
        </w:rPr>
        <w:t>649 OHS managers</w:t>
      </w:r>
      <w:r>
        <w:rPr>
          <w:rFonts w:ascii="Calibri" w:hAnsi="Calibri" w:cs="Calibri"/>
          <w:sz w:val="16"/>
          <w:szCs w:val="16"/>
        </w:rPr>
        <w:t xml:space="preserve"> with the following questions</w:t>
      </w:r>
      <w:r w:rsidRPr="003006B2">
        <w:rPr>
          <w:rFonts w:ascii="Calibri" w:hAnsi="Calibri" w:cs="Calibri"/>
          <w:sz w:val="16"/>
          <w:szCs w:val="16"/>
        </w:rPr>
        <w:t>; Does your establishment have a procedure to deal with work-related stress, bullying or harassment, and work-related violence? Have employees been consulted regarding measures to deal with psychosocial risks? Are employees encouraged to participate actively in the implementation and evaluation of the measures</w:t>
      </w:r>
      <w:proofErr w:type="gramStart"/>
      <w:r>
        <w:rPr>
          <w:rFonts w:ascii="Calibri" w:hAnsi="Calibri" w:cs="Calibri"/>
          <w:sz w:val="16"/>
          <w:szCs w:val="16"/>
        </w:rPr>
        <w:t>?</w:t>
      </w:r>
      <w:r>
        <w:rPr>
          <w:rFonts w:ascii="Times New Roman" w:hAnsi="Times New Roman"/>
          <w:sz w:val="16"/>
          <w:szCs w:val="16"/>
        </w:rPr>
        <w:t>.</w:t>
      </w:r>
      <w:proofErr w:type="gramEnd"/>
      <w:r w:rsidRPr="003006B2">
        <w:rPr>
          <w:sz w:val="16"/>
          <w:szCs w:val="16"/>
        </w:rPr>
        <w:t xml:space="preserve"> </w:t>
      </w:r>
    </w:p>
  </w:footnote>
  <w:footnote w:id="2">
    <w:p w:rsidR="006409D1" w:rsidRPr="000E4FA8" w:rsidRDefault="006409D1" w:rsidP="00A66569">
      <w:pPr>
        <w:spacing w:before="100" w:beforeAutospacing="1" w:after="0"/>
        <w:jc w:val="both"/>
      </w:pPr>
      <w:r w:rsidRPr="000E4FA8">
        <w:rPr>
          <w:rStyle w:val="FootnoteReference"/>
          <w:sz w:val="16"/>
          <w:szCs w:val="16"/>
        </w:rPr>
        <w:footnoteRef/>
      </w:r>
      <w:r w:rsidRPr="000E4FA8">
        <w:rPr>
          <w:sz w:val="16"/>
          <w:szCs w:val="16"/>
        </w:rPr>
        <w:t xml:space="preserve"> </w:t>
      </w:r>
      <w:r w:rsidRPr="0080381E">
        <w:rPr>
          <w:rFonts w:ascii="Calibri" w:hAnsi="Calibri" w:cs="Calibri"/>
          <w:sz w:val="16"/>
          <w:szCs w:val="16"/>
        </w:rPr>
        <w:t>The NSW and WA</w:t>
      </w:r>
      <w:r>
        <w:rPr>
          <w:rFonts w:ascii="Calibri" w:hAnsi="Calibri" w:cs="Calibri"/>
          <w:sz w:val="16"/>
          <w:szCs w:val="16"/>
        </w:rPr>
        <w:t xml:space="preserve"> Time 2 </w:t>
      </w:r>
      <w:r w:rsidRPr="0080381E">
        <w:rPr>
          <w:rFonts w:ascii="Calibri" w:hAnsi="Calibri" w:cs="Calibri"/>
          <w:sz w:val="16"/>
          <w:szCs w:val="16"/>
        </w:rPr>
        <w:t xml:space="preserve">data used </w:t>
      </w:r>
      <w:r>
        <w:rPr>
          <w:rFonts w:ascii="Calibri" w:hAnsi="Calibri" w:cs="Calibri"/>
          <w:sz w:val="16"/>
          <w:szCs w:val="16"/>
        </w:rPr>
        <w:t xml:space="preserve">for cross-sectional analysis </w:t>
      </w:r>
      <w:r w:rsidRPr="0080381E">
        <w:rPr>
          <w:rFonts w:ascii="Calibri" w:hAnsi="Calibri" w:cs="Calibri"/>
          <w:sz w:val="16"/>
          <w:szCs w:val="16"/>
        </w:rPr>
        <w:t>in this report comes from a 2</w:t>
      </w:r>
      <w:r w:rsidRPr="0080381E">
        <w:rPr>
          <w:rFonts w:ascii="Calibri" w:hAnsi="Calibri" w:cs="Calibri"/>
          <w:sz w:val="16"/>
          <w:szCs w:val="16"/>
          <w:vertAlign w:val="superscript"/>
        </w:rPr>
        <w:t>nd</w:t>
      </w:r>
      <w:r w:rsidRPr="0080381E">
        <w:rPr>
          <w:rFonts w:ascii="Calibri" w:hAnsi="Calibri" w:cs="Calibri"/>
          <w:sz w:val="16"/>
          <w:szCs w:val="16"/>
        </w:rPr>
        <w:t xml:space="preserve"> wave of data collection that occurred in 2010</w:t>
      </w:r>
      <w:r>
        <w:rPr>
          <w:rFonts w:ascii="Calibri" w:hAnsi="Calibri" w:cs="Calibri"/>
          <w:sz w:val="16"/>
          <w:szCs w:val="16"/>
        </w:rPr>
        <w:t>, unless otherwise specified,</w:t>
      </w:r>
      <w:r w:rsidRPr="0080381E">
        <w:rPr>
          <w:rFonts w:ascii="Calibri" w:hAnsi="Calibri" w:cs="Calibri"/>
          <w:sz w:val="16"/>
          <w:szCs w:val="16"/>
        </w:rPr>
        <w:t xml:space="preserve"> which included only participants </w:t>
      </w:r>
      <w:r>
        <w:rPr>
          <w:rFonts w:ascii="Calibri" w:hAnsi="Calibri" w:cs="Calibri"/>
          <w:sz w:val="16"/>
          <w:szCs w:val="16"/>
        </w:rPr>
        <w:t xml:space="preserve">from the </w:t>
      </w:r>
      <w:r w:rsidRPr="0080381E">
        <w:rPr>
          <w:rFonts w:ascii="Calibri" w:hAnsi="Calibri" w:cs="Calibri"/>
          <w:sz w:val="16"/>
          <w:szCs w:val="16"/>
        </w:rPr>
        <w:t>original 2009 sample</w:t>
      </w:r>
      <w:r>
        <w:rPr>
          <w:rFonts w:ascii="Calibri" w:hAnsi="Calibri" w:cs="Calibri"/>
          <w:sz w:val="16"/>
          <w:szCs w:val="16"/>
        </w:rPr>
        <w:t xml:space="preserve"> that responded for a 2</w:t>
      </w:r>
      <w:r w:rsidRPr="00156806">
        <w:rPr>
          <w:rFonts w:ascii="Calibri" w:hAnsi="Calibri" w:cs="Calibri"/>
          <w:sz w:val="16"/>
          <w:szCs w:val="16"/>
          <w:vertAlign w:val="superscript"/>
        </w:rPr>
        <w:t>nd</w:t>
      </w:r>
      <w:r>
        <w:rPr>
          <w:rFonts w:ascii="Calibri" w:hAnsi="Calibri" w:cs="Calibri"/>
          <w:sz w:val="16"/>
          <w:szCs w:val="16"/>
        </w:rPr>
        <w:t xml:space="preserve"> time</w:t>
      </w:r>
      <w:r w:rsidRPr="0080381E">
        <w:rPr>
          <w:rFonts w:ascii="Calibri" w:hAnsi="Calibri" w:cs="Calibri"/>
          <w:sz w:val="16"/>
          <w:szCs w:val="16"/>
        </w:rPr>
        <w:t xml:space="preserve">.  The </w:t>
      </w:r>
      <w:r>
        <w:rPr>
          <w:rFonts w:ascii="Calibri" w:hAnsi="Calibri" w:cs="Calibri"/>
          <w:sz w:val="16"/>
          <w:szCs w:val="16"/>
        </w:rPr>
        <w:t xml:space="preserve">NSW and WA </w:t>
      </w:r>
      <w:r w:rsidRPr="0080381E">
        <w:rPr>
          <w:rFonts w:ascii="Calibri" w:hAnsi="Calibri" w:cs="Calibri"/>
          <w:sz w:val="16"/>
          <w:szCs w:val="16"/>
        </w:rPr>
        <w:t>2010 sample was chosen due to the timeframe of the 2</w:t>
      </w:r>
      <w:r w:rsidRPr="0080381E">
        <w:rPr>
          <w:rFonts w:ascii="Calibri" w:hAnsi="Calibri" w:cs="Calibri"/>
          <w:sz w:val="16"/>
          <w:szCs w:val="16"/>
          <w:vertAlign w:val="superscript"/>
        </w:rPr>
        <w:t>nd</w:t>
      </w:r>
      <w:r w:rsidRPr="0080381E">
        <w:rPr>
          <w:rFonts w:ascii="Calibri" w:hAnsi="Calibri" w:cs="Calibri"/>
          <w:sz w:val="16"/>
          <w:szCs w:val="16"/>
        </w:rPr>
        <w:t xml:space="preserve"> wave being closer to the date that data was collected from the other four states to reduce differences that could occur due to </w:t>
      </w:r>
      <w:r>
        <w:rPr>
          <w:rFonts w:ascii="Calibri" w:hAnsi="Calibri" w:cs="Calibri"/>
          <w:sz w:val="16"/>
          <w:szCs w:val="16"/>
        </w:rPr>
        <w:t>temporal</w:t>
      </w:r>
      <w:r w:rsidRPr="0080381E">
        <w:rPr>
          <w:rFonts w:ascii="Calibri" w:hAnsi="Calibri" w:cs="Calibri"/>
          <w:sz w:val="16"/>
          <w:szCs w:val="16"/>
        </w:rPr>
        <w:t xml:space="preserve"> factors such as the global financial crisis.</w:t>
      </w:r>
    </w:p>
  </w:footnote>
  <w:footnote w:id="3">
    <w:p w:rsidR="006409D1" w:rsidRPr="001C4488" w:rsidRDefault="006409D1">
      <w:pPr>
        <w:pStyle w:val="FootnoteText"/>
        <w:rPr>
          <w:rFonts w:ascii="Calibri" w:hAnsi="Calibri" w:cs="Calibri"/>
          <w:sz w:val="16"/>
          <w:szCs w:val="16"/>
        </w:rPr>
      </w:pPr>
      <w:r w:rsidRPr="001C4488">
        <w:rPr>
          <w:rStyle w:val="FootnoteReference"/>
          <w:rFonts w:ascii="Calibri" w:hAnsi="Calibri" w:cs="Calibri"/>
          <w:sz w:val="16"/>
          <w:szCs w:val="16"/>
        </w:rPr>
        <w:footnoteRef/>
      </w:r>
      <w:r w:rsidRPr="001C4488">
        <w:rPr>
          <w:rFonts w:ascii="Calibri" w:hAnsi="Calibri" w:cs="Calibri"/>
          <w:sz w:val="16"/>
          <w:szCs w:val="16"/>
        </w:rPr>
        <w:t xml:space="preserve"> The method here pertains to data collected from ACT, NT and TAS. A similar procedure was implemented for the other data collection phases. For further details contact the authors.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9D1" w:rsidRPr="00EF1C12" w:rsidRDefault="006409D1" w:rsidP="00EF1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A3A3588"/>
    <w:lvl w:ilvl="0">
      <w:start w:val="1"/>
      <w:numFmt w:val="decimal"/>
      <w:lvlText w:val="%1."/>
      <w:lvlJc w:val="left"/>
      <w:pPr>
        <w:tabs>
          <w:tab w:val="num" w:pos="1492"/>
        </w:tabs>
        <w:ind w:left="1492" w:hanging="360"/>
      </w:pPr>
    </w:lvl>
  </w:abstractNum>
  <w:abstractNum w:abstractNumId="1">
    <w:nsid w:val="FFFFFF7D"/>
    <w:multiLevelType w:val="singleLevel"/>
    <w:tmpl w:val="9300ECE2"/>
    <w:lvl w:ilvl="0">
      <w:start w:val="1"/>
      <w:numFmt w:val="decimal"/>
      <w:lvlText w:val="%1."/>
      <w:lvlJc w:val="left"/>
      <w:pPr>
        <w:tabs>
          <w:tab w:val="num" w:pos="1209"/>
        </w:tabs>
        <w:ind w:left="1209" w:hanging="360"/>
      </w:pPr>
    </w:lvl>
  </w:abstractNum>
  <w:abstractNum w:abstractNumId="2">
    <w:nsid w:val="FFFFFF7E"/>
    <w:multiLevelType w:val="singleLevel"/>
    <w:tmpl w:val="E2744164"/>
    <w:lvl w:ilvl="0">
      <w:start w:val="1"/>
      <w:numFmt w:val="decimal"/>
      <w:lvlText w:val="%1."/>
      <w:lvlJc w:val="left"/>
      <w:pPr>
        <w:tabs>
          <w:tab w:val="num" w:pos="926"/>
        </w:tabs>
        <w:ind w:left="926" w:hanging="360"/>
      </w:pPr>
    </w:lvl>
  </w:abstractNum>
  <w:abstractNum w:abstractNumId="3">
    <w:nsid w:val="FFFFFF7F"/>
    <w:multiLevelType w:val="singleLevel"/>
    <w:tmpl w:val="C8C4BD90"/>
    <w:lvl w:ilvl="0">
      <w:start w:val="1"/>
      <w:numFmt w:val="decimal"/>
      <w:lvlText w:val="%1."/>
      <w:lvlJc w:val="left"/>
      <w:pPr>
        <w:tabs>
          <w:tab w:val="num" w:pos="643"/>
        </w:tabs>
        <w:ind w:left="643" w:hanging="360"/>
      </w:pPr>
    </w:lvl>
  </w:abstractNum>
  <w:abstractNum w:abstractNumId="4">
    <w:nsid w:val="FFFFFF80"/>
    <w:multiLevelType w:val="singleLevel"/>
    <w:tmpl w:val="C8E69A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942A49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4F887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16615C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2464D74"/>
    <w:lvl w:ilvl="0">
      <w:start w:val="1"/>
      <w:numFmt w:val="decimal"/>
      <w:lvlText w:val="%1."/>
      <w:lvlJc w:val="left"/>
      <w:pPr>
        <w:tabs>
          <w:tab w:val="num" w:pos="360"/>
        </w:tabs>
        <w:ind w:left="360" w:hanging="360"/>
      </w:pPr>
    </w:lvl>
  </w:abstractNum>
  <w:abstractNum w:abstractNumId="9">
    <w:nsid w:val="FFFFFF89"/>
    <w:multiLevelType w:val="singleLevel"/>
    <w:tmpl w:val="132CEF9C"/>
    <w:lvl w:ilvl="0">
      <w:start w:val="1"/>
      <w:numFmt w:val="bullet"/>
      <w:lvlText w:val=""/>
      <w:lvlJc w:val="left"/>
      <w:pPr>
        <w:tabs>
          <w:tab w:val="num" w:pos="360"/>
        </w:tabs>
        <w:ind w:left="360" w:hanging="360"/>
      </w:pPr>
      <w:rPr>
        <w:rFonts w:ascii="Symbol" w:hAnsi="Symbol" w:hint="default"/>
      </w:rPr>
    </w:lvl>
  </w:abstractNum>
  <w:abstractNum w:abstractNumId="10">
    <w:nsid w:val="05DF6731"/>
    <w:multiLevelType w:val="hybridMultilevel"/>
    <w:tmpl w:val="0B260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174B49"/>
    <w:multiLevelType w:val="hybridMultilevel"/>
    <w:tmpl w:val="D53881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0C75FB2"/>
    <w:multiLevelType w:val="hybridMultilevel"/>
    <w:tmpl w:val="D3B20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2463C5"/>
    <w:multiLevelType w:val="hybridMultilevel"/>
    <w:tmpl w:val="B172F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F4E1EC2"/>
    <w:multiLevelType w:val="hybridMultilevel"/>
    <w:tmpl w:val="6DB6587E"/>
    <w:lvl w:ilvl="0" w:tplc="1B445E38">
      <w:numFmt w:val="bullet"/>
      <w:lvlText w:val=""/>
      <w:lvlJc w:val="left"/>
      <w:pPr>
        <w:ind w:left="780" w:hanging="42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8A4308"/>
    <w:multiLevelType w:val="hybridMultilevel"/>
    <w:tmpl w:val="97E6E43A"/>
    <w:lvl w:ilvl="0" w:tplc="0C090001">
      <w:start w:val="1"/>
      <w:numFmt w:val="bullet"/>
      <w:lvlText w:val=""/>
      <w:lvlJc w:val="left"/>
      <w:pPr>
        <w:ind w:left="714" w:hanging="360"/>
      </w:pPr>
      <w:rPr>
        <w:rFonts w:ascii="Symbol" w:hAnsi="Symbol" w:hint="default"/>
      </w:rPr>
    </w:lvl>
    <w:lvl w:ilvl="1" w:tplc="0C090003" w:tentative="1">
      <w:start w:val="1"/>
      <w:numFmt w:val="bullet"/>
      <w:lvlText w:val="o"/>
      <w:lvlJc w:val="left"/>
      <w:pPr>
        <w:ind w:left="1434" w:hanging="360"/>
      </w:pPr>
      <w:rPr>
        <w:rFonts w:ascii="Courier New" w:hAnsi="Courier New" w:cs="Courier New" w:hint="default"/>
      </w:rPr>
    </w:lvl>
    <w:lvl w:ilvl="2" w:tplc="0C090005" w:tentative="1">
      <w:start w:val="1"/>
      <w:numFmt w:val="bullet"/>
      <w:lvlText w:val=""/>
      <w:lvlJc w:val="left"/>
      <w:pPr>
        <w:ind w:left="2154" w:hanging="360"/>
      </w:pPr>
      <w:rPr>
        <w:rFonts w:ascii="Wingdings" w:hAnsi="Wingdings" w:hint="default"/>
      </w:rPr>
    </w:lvl>
    <w:lvl w:ilvl="3" w:tplc="0C090001" w:tentative="1">
      <w:start w:val="1"/>
      <w:numFmt w:val="bullet"/>
      <w:lvlText w:val=""/>
      <w:lvlJc w:val="left"/>
      <w:pPr>
        <w:ind w:left="2874" w:hanging="360"/>
      </w:pPr>
      <w:rPr>
        <w:rFonts w:ascii="Symbol" w:hAnsi="Symbol" w:hint="default"/>
      </w:rPr>
    </w:lvl>
    <w:lvl w:ilvl="4" w:tplc="0C090003" w:tentative="1">
      <w:start w:val="1"/>
      <w:numFmt w:val="bullet"/>
      <w:lvlText w:val="o"/>
      <w:lvlJc w:val="left"/>
      <w:pPr>
        <w:ind w:left="3594" w:hanging="360"/>
      </w:pPr>
      <w:rPr>
        <w:rFonts w:ascii="Courier New" w:hAnsi="Courier New" w:cs="Courier New" w:hint="default"/>
      </w:rPr>
    </w:lvl>
    <w:lvl w:ilvl="5" w:tplc="0C090005" w:tentative="1">
      <w:start w:val="1"/>
      <w:numFmt w:val="bullet"/>
      <w:lvlText w:val=""/>
      <w:lvlJc w:val="left"/>
      <w:pPr>
        <w:ind w:left="4314" w:hanging="360"/>
      </w:pPr>
      <w:rPr>
        <w:rFonts w:ascii="Wingdings" w:hAnsi="Wingdings" w:hint="default"/>
      </w:rPr>
    </w:lvl>
    <w:lvl w:ilvl="6" w:tplc="0C090001" w:tentative="1">
      <w:start w:val="1"/>
      <w:numFmt w:val="bullet"/>
      <w:lvlText w:val=""/>
      <w:lvlJc w:val="left"/>
      <w:pPr>
        <w:ind w:left="5034" w:hanging="360"/>
      </w:pPr>
      <w:rPr>
        <w:rFonts w:ascii="Symbol" w:hAnsi="Symbol" w:hint="default"/>
      </w:rPr>
    </w:lvl>
    <w:lvl w:ilvl="7" w:tplc="0C090003" w:tentative="1">
      <w:start w:val="1"/>
      <w:numFmt w:val="bullet"/>
      <w:lvlText w:val="o"/>
      <w:lvlJc w:val="left"/>
      <w:pPr>
        <w:ind w:left="5754" w:hanging="360"/>
      </w:pPr>
      <w:rPr>
        <w:rFonts w:ascii="Courier New" w:hAnsi="Courier New" w:cs="Courier New" w:hint="default"/>
      </w:rPr>
    </w:lvl>
    <w:lvl w:ilvl="8" w:tplc="0C090005" w:tentative="1">
      <w:start w:val="1"/>
      <w:numFmt w:val="bullet"/>
      <w:lvlText w:val=""/>
      <w:lvlJc w:val="left"/>
      <w:pPr>
        <w:ind w:left="6474" w:hanging="360"/>
      </w:pPr>
      <w:rPr>
        <w:rFonts w:ascii="Wingdings" w:hAnsi="Wingdings" w:hint="default"/>
      </w:rPr>
    </w:lvl>
  </w:abstractNum>
  <w:abstractNum w:abstractNumId="16">
    <w:nsid w:val="23AE13E4"/>
    <w:multiLevelType w:val="hybridMultilevel"/>
    <w:tmpl w:val="92F43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15614D"/>
    <w:multiLevelType w:val="hybridMultilevel"/>
    <w:tmpl w:val="1D689110"/>
    <w:lvl w:ilvl="0" w:tplc="0C090001">
      <w:start w:val="1"/>
      <w:numFmt w:val="bullet"/>
      <w:lvlText w:val=""/>
      <w:lvlJc w:val="left"/>
      <w:pPr>
        <w:tabs>
          <w:tab w:val="num" w:pos="1440"/>
        </w:tabs>
        <w:ind w:left="1440" w:hanging="360"/>
      </w:pPr>
      <w:rPr>
        <w:rFonts w:ascii="Symbol" w:hAnsi="Symbol" w:cs="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cs="Wingdings" w:hint="default"/>
      </w:rPr>
    </w:lvl>
    <w:lvl w:ilvl="3" w:tplc="0C090001">
      <w:start w:val="1"/>
      <w:numFmt w:val="bullet"/>
      <w:lvlText w:val=""/>
      <w:lvlJc w:val="left"/>
      <w:pPr>
        <w:tabs>
          <w:tab w:val="num" w:pos="3600"/>
        </w:tabs>
        <w:ind w:left="3600" w:hanging="360"/>
      </w:pPr>
      <w:rPr>
        <w:rFonts w:ascii="Symbol" w:hAnsi="Symbol" w:cs="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cs="Wingdings" w:hint="default"/>
      </w:rPr>
    </w:lvl>
    <w:lvl w:ilvl="6" w:tplc="0C090001">
      <w:start w:val="1"/>
      <w:numFmt w:val="bullet"/>
      <w:lvlText w:val=""/>
      <w:lvlJc w:val="left"/>
      <w:pPr>
        <w:tabs>
          <w:tab w:val="num" w:pos="5760"/>
        </w:tabs>
        <w:ind w:left="5760" w:hanging="360"/>
      </w:pPr>
      <w:rPr>
        <w:rFonts w:ascii="Symbol" w:hAnsi="Symbol" w:cs="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cs="Wingdings" w:hint="default"/>
      </w:rPr>
    </w:lvl>
  </w:abstractNum>
  <w:abstractNum w:abstractNumId="18">
    <w:nsid w:val="2C7A7AB3"/>
    <w:multiLevelType w:val="hybridMultilevel"/>
    <w:tmpl w:val="7C568BCE"/>
    <w:lvl w:ilvl="0" w:tplc="F21CE728">
      <w:start w:val="1"/>
      <w:numFmt w:val="bullet"/>
      <w:pStyle w:val="SWSA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5460B68"/>
    <w:multiLevelType w:val="hybridMultilevel"/>
    <w:tmpl w:val="99CA5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566DAB"/>
    <w:multiLevelType w:val="hybridMultilevel"/>
    <w:tmpl w:val="2758A3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nsid w:val="3FB30610"/>
    <w:multiLevelType w:val="hybridMultilevel"/>
    <w:tmpl w:val="89680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AD452B"/>
    <w:multiLevelType w:val="hybridMultilevel"/>
    <w:tmpl w:val="248443BA"/>
    <w:lvl w:ilvl="0" w:tplc="1B445E38">
      <w:numFmt w:val="bullet"/>
      <w:lvlText w:val=""/>
      <w:lvlJc w:val="left"/>
      <w:pPr>
        <w:ind w:left="780" w:hanging="42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CE1BB3"/>
    <w:multiLevelType w:val="hybridMultilevel"/>
    <w:tmpl w:val="9B9C22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E142D03"/>
    <w:multiLevelType w:val="hybridMultilevel"/>
    <w:tmpl w:val="63D663F4"/>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5">
    <w:nsid w:val="56F81F25"/>
    <w:multiLevelType w:val="hybridMultilevel"/>
    <w:tmpl w:val="1E9A5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6162900"/>
    <w:multiLevelType w:val="hybridMultilevel"/>
    <w:tmpl w:val="6312399C"/>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7">
    <w:nsid w:val="6D041436"/>
    <w:multiLevelType w:val="hybridMultilevel"/>
    <w:tmpl w:val="16C285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nsid w:val="71A6406A"/>
    <w:multiLevelType w:val="hybridMultilevel"/>
    <w:tmpl w:val="D632C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30E3CEE"/>
    <w:multiLevelType w:val="hybridMultilevel"/>
    <w:tmpl w:val="4A3A0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542767"/>
    <w:multiLevelType w:val="hybridMultilevel"/>
    <w:tmpl w:val="C43E2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A8B7342"/>
    <w:multiLevelType w:val="hybridMultilevel"/>
    <w:tmpl w:val="EB64E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CED5A3A"/>
    <w:multiLevelType w:val="hybridMultilevel"/>
    <w:tmpl w:val="612AF9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8"/>
  </w:num>
  <w:num w:numId="2">
    <w:abstractNumId w:val="15"/>
  </w:num>
  <w:num w:numId="3">
    <w:abstractNumId w:val="11"/>
  </w:num>
  <w:num w:numId="4">
    <w:abstractNumId w:val="13"/>
  </w:num>
  <w:num w:numId="5">
    <w:abstractNumId w:val="25"/>
  </w:num>
  <w:num w:numId="6">
    <w:abstractNumId w:val="31"/>
  </w:num>
  <w:num w:numId="7">
    <w:abstractNumId w:val="12"/>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7"/>
  </w:num>
  <w:num w:numId="11">
    <w:abstractNumId w:val="22"/>
  </w:num>
  <w:num w:numId="12">
    <w:abstractNumId w:val="14"/>
  </w:num>
  <w:num w:numId="13">
    <w:abstractNumId w:val="26"/>
  </w:num>
  <w:num w:numId="14">
    <w:abstractNumId w:val="29"/>
  </w:num>
  <w:num w:numId="15">
    <w:abstractNumId w:val="23"/>
  </w:num>
  <w:num w:numId="16">
    <w:abstractNumId w:val="21"/>
  </w:num>
  <w:num w:numId="17">
    <w:abstractNumId w:val="30"/>
  </w:num>
  <w:num w:numId="18">
    <w:abstractNumId w:val="16"/>
  </w:num>
  <w:num w:numId="19">
    <w:abstractNumId w:val="10"/>
  </w:num>
  <w:num w:numId="20">
    <w:abstractNumId w:val="28"/>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24"/>
  </w:num>
  <w:num w:numId="32">
    <w:abstractNumId w:val="20"/>
  </w:num>
  <w:num w:numId="33">
    <w:abstractNumId w:val="27"/>
  </w:num>
  <w:num w:numId="34">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270"/>
    <w:rsid w:val="0000128E"/>
    <w:rsid w:val="00003BA8"/>
    <w:rsid w:val="0001205D"/>
    <w:rsid w:val="00013215"/>
    <w:rsid w:val="0001624C"/>
    <w:rsid w:val="000166F3"/>
    <w:rsid w:val="00016B89"/>
    <w:rsid w:val="000261BD"/>
    <w:rsid w:val="00026C9D"/>
    <w:rsid w:val="00027463"/>
    <w:rsid w:val="000320CD"/>
    <w:rsid w:val="00032E3D"/>
    <w:rsid w:val="00033B49"/>
    <w:rsid w:val="0003550D"/>
    <w:rsid w:val="00036F7B"/>
    <w:rsid w:val="00040851"/>
    <w:rsid w:val="00040931"/>
    <w:rsid w:val="000417AF"/>
    <w:rsid w:val="000418FD"/>
    <w:rsid w:val="000425B3"/>
    <w:rsid w:val="000426AA"/>
    <w:rsid w:val="000430FA"/>
    <w:rsid w:val="0004604A"/>
    <w:rsid w:val="00047BAB"/>
    <w:rsid w:val="00050549"/>
    <w:rsid w:val="00052AD0"/>
    <w:rsid w:val="00053106"/>
    <w:rsid w:val="000541AE"/>
    <w:rsid w:val="000620F3"/>
    <w:rsid w:val="00064808"/>
    <w:rsid w:val="00066F2B"/>
    <w:rsid w:val="00067FF8"/>
    <w:rsid w:val="00071736"/>
    <w:rsid w:val="00071DB2"/>
    <w:rsid w:val="00076B2E"/>
    <w:rsid w:val="0008301D"/>
    <w:rsid w:val="00084228"/>
    <w:rsid w:val="0008591A"/>
    <w:rsid w:val="00085AE3"/>
    <w:rsid w:val="00087234"/>
    <w:rsid w:val="00090E5C"/>
    <w:rsid w:val="00094F11"/>
    <w:rsid w:val="000A109E"/>
    <w:rsid w:val="000A1DAC"/>
    <w:rsid w:val="000A397C"/>
    <w:rsid w:val="000A4ACB"/>
    <w:rsid w:val="000A602A"/>
    <w:rsid w:val="000A6722"/>
    <w:rsid w:val="000A70B5"/>
    <w:rsid w:val="000B043E"/>
    <w:rsid w:val="000B22E1"/>
    <w:rsid w:val="000B2B11"/>
    <w:rsid w:val="000B7B4A"/>
    <w:rsid w:val="000C29D3"/>
    <w:rsid w:val="000C515E"/>
    <w:rsid w:val="000C6BB6"/>
    <w:rsid w:val="000D2866"/>
    <w:rsid w:val="000D3247"/>
    <w:rsid w:val="000D38B5"/>
    <w:rsid w:val="000D3B57"/>
    <w:rsid w:val="000D6555"/>
    <w:rsid w:val="000D7A0B"/>
    <w:rsid w:val="000D7D00"/>
    <w:rsid w:val="000E0752"/>
    <w:rsid w:val="000E2FFA"/>
    <w:rsid w:val="000E3D23"/>
    <w:rsid w:val="000E4FA8"/>
    <w:rsid w:val="000F39CE"/>
    <w:rsid w:val="000F3BEF"/>
    <w:rsid w:val="000F5EE3"/>
    <w:rsid w:val="00110659"/>
    <w:rsid w:val="00115ACF"/>
    <w:rsid w:val="00116E7C"/>
    <w:rsid w:val="00117AF6"/>
    <w:rsid w:val="001208C2"/>
    <w:rsid w:val="00122EEE"/>
    <w:rsid w:val="0012325D"/>
    <w:rsid w:val="00131441"/>
    <w:rsid w:val="00131A3B"/>
    <w:rsid w:val="00131D8A"/>
    <w:rsid w:val="00132BF4"/>
    <w:rsid w:val="0013376C"/>
    <w:rsid w:val="0013587F"/>
    <w:rsid w:val="00140FF3"/>
    <w:rsid w:val="001432A5"/>
    <w:rsid w:val="00143530"/>
    <w:rsid w:val="00143ADF"/>
    <w:rsid w:val="001443AC"/>
    <w:rsid w:val="001508FB"/>
    <w:rsid w:val="0015338D"/>
    <w:rsid w:val="0015635A"/>
    <w:rsid w:val="00156806"/>
    <w:rsid w:val="0015680E"/>
    <w:rsid w:val="001579CD"/>
    <w:rsid w:val="00161C48"/>
    <w:rsid w:val="00165A02"/>
    <w:rsid w:val="00167AE3"/>
    <w:rsid w:val="00170256"/>
    <w:rsid w:val="00173808"/>
    <w:rsid w:val="001738C4"/>
    <w:rsid w:val="001742C9"/>
    <w:rsid w:val="00186610"/>
    <w:rsid w:val="00186C99"/>
    <w:rsid w:val="00187EBB"/>
    <w:rsid w:val="0019255B"/>
    <w:rsid w:val="00193408"/>
    <w:rsid w:val="001937E7"/>
    <w:rsid w:val="001973DE"/>
    <w:rsid w:val="00197571"/>
    <w:rsid w:val="001A08AD"/>
    <w:rsid w:val="001B08C3"/>
    <w:rsid w:val="001B1B08"/>
    <w:rsid w:val="001B399B"/>
    <w:rsid w:val="001B577D"/>
    <w:rsid w:val="001B63BA"/>
    <w:rsid w:val="001B661A"/>
    <w:rsid w:val="001C023B"/>
    <w:rsid w:val="001C248C"/>
    <w:rsid w:val="001C4488"/>
    <w:rsid w:val="001D046D"/>
    <w:rsid w:val="001D181F"/>
    <w:rsid w:val="001E6353"/>
    <w:rsid w:val="001E72B3"/>
    <w:rsid w:val="001E7927"/>
    <w:rsid w:val="001F2022"/>
    <w:rsid w:val="001F2B71"/>
    <w:rsid w:val="001F47BC"/>
    <w:rsid w:val="001F5BA5"/>
    <w:rsid w:val="00200AFD"/>
    <w:rsid w:val="0020595A"/>
    <w:rsid w:val="00207272"/>
    <w:rsid w:val="00207B5D"/>
    <w:rsid w:val="00210364"/>
    <w:rsid w:val="002115A3"/>
    <w:rsid w:val="00211800"/>
    <w:rsid w:val="002140DB"/>
    <w:rsid w:val="00214F9D"/>
    <w:rsid w:val="0022023A"/>
    <w:rsid w:val="00221442"/>
    <w:rsid w:val="00221840"/>
    <w:rsid w:val="00222C8A"/>
    <w:rsid w:val="002236EB"/>
    <w:rsid w:val="00225D4B"/>
    <w:rsid w:val="0023074F"/>
    <w:rsid w:val="002316F8"/>
    <w:rsid w:val="00232156"/>
    <w:rsid w:val="00233256"/>
    <w:rsid w:val="00233C3D"/>
    <w:rsid w:val="00234D7A"/>
    <w:rsid w:val="00237699"/>
    <w:rsid w:val="00237D5D"/>
    <w:rsid w:val="00241773"/>
    <w:rsid w:val="002435A3"/>
    <w:rsid w:val="0024388B"/>
    <w:rsid w:val="00243E26"/>
    <w:rsid w:val="0024617B"/>
    <w:rsid w:val="002524B4"/>
    <w:rsid w:val="00257B92"/>
    <w:rsid w:val="00264F49"/>
    <w:rsid w:val="00267911"/>
    <w:rsid w:val="00270A62"/>
    <w:rsid w:val="00280087"/>
    <w:rsid w:val="0028065F"/>
    <w:rsid w:val="002817CA"/>
    <w:rsid w:val="0029175B"/>
    <w:rsid w:val="00292080"/>
    <w:rsid w:val="002A240B"/>
    <w:rsid w:val="002A39B3"/>
    <w:rsid w:val="002A4B8F"/>
    <w:rsid w:val="002A6214"/>
    <w:rsid w:val="002A6A07"/>
    <w:rsid w:val="002A79A9"/>
    <w:rsid w:val="002B0972"/>
    <w:rsid w:val="002B2443"/>
    <w:rsid w:val="002B5830"/>
    <w:rsid w:val="002C0469"/>
    <w:rsid w:val="002C0AC8"/>
    <w:rsid w:val="002C0F41"/>
    <w:rsid w:val="002C1806"/>
    <w:rsid w:val="002C42D3"/>
    <w:rsid w:val="002E0600"/>
    <w:rsid w:val="002E26B1"/>
    <w:rsid w:val="002E2C2F"/>
    <w:rsid w:val="002E44BA"/>
    <w:rsid w:val="002E44C9"/>
    <w:rsid w:val="002E51A3"/>
    <w:rsid w:val="002E566B"/>
    <w:rsid w:val="002E7758"/>
    <w:rsid w:val="002F0186"/>
    <w:rsid w:val="002F09C8"/>
    <w:rsid w:val="002F0D70"/>
    <w:rsid w:val="002F1949"/>
    <w:rsid w:val="002F43AC"/>
    <w:rsid w:val="002F579F"/>
    <w:rsid w:val="002F596F"/>
    <w:rsid w:val="002F652E"/>
    <w:rsid w:val="002F6C68"/>
    <w:rsid w:val="00300121"/>
    <w:rsid w:val="003006B2"/>
    <w:rsid w:val="00301CB1"/>
    <w:rsid w:val="00303B50"/>
    <w:rsid w:val="00306C62"/>
    <w:rsid w:val="00306E4F"/>
    <w:rsid w:val="00313B8C"/>
    <w:rsid w:val="0031479E"/>
    <w:rsid w:val="00315A04"/>
    <w:rsid w:val="00315F11"/>
    <w:rsid w:val="00320BD3"/>
    <w:rsid w:val="00321E5F"/>
    <w:rsid w:val="003277DF"/>
    <w:rsid w:val="00330493"/>
    <w:rsid w:val="00332598"/>
    <w:rsid w:val="00333B91"/>
    <w:rsid w:val="00337385"/>
    <w:rsid w:val="00341FDD"/>
    <w:rsid w:val="00345CE7"/>
    <w:rsid w:val="003465FB"/>
    <w:rsid w:val="00347397"/>
    <w:rsid w:val="00347D03"/>
    <w:rsid w:val="00350355"/>
    <w:rsid w:val="003505C5"/>
    <w:rsid w:val="00352560"/>
    <w:rsid w:val="003526A7"/>
    <w:rsid w:val="00356905"/>
    <w:rsid w:val="0036175E"/>
    <w:rsid w:val="0036234E"/>
    <w:rsid w:val="003636C5"/>
    <w:rsid w:val="003708CF"/>
    <w:rsid w:val="00370C27"/>
    <w:rsid w:val="00373828"/>
    <w:rsid w:val="00375C41"/>
    <w:rsid w:val="003765E3"/>
    <w:rsid w:val="00381739"/>
    <w:rsid w:val="003846F5"/>
    <w:rsid w:val="0039343A"/>
    <w:rsid w:val="0039480C"/>
    <w:rsid w:val="00395A1C"/>
    <w:rsid w:val="00396A00"/>
    <w:rsid w:val="00396B11"/>
    <w:rsid w:val="003A307D"/>
    <w:rsid w:val="003A4479"/>
    <w:rsid w:val="003B0BE0"/>
    <w:rsid w:val="003B3B36"/>
    <w:rsid w:val="003B532E"/>
    <w:rsid w:val="003C1828"/>
    <w:rsid w:val="003C6089"/>
    <w:rsid w:val="003D0E74"/>
    <w:rsid w:val="003D1508"/>
    <w:rsid w:val="003E1218"/>
    <w:rsid w:val="003E3893"/>
    <w:rsid w:val="003E605D"/>
    <w:rsid w:val="003F18CA"/>
    <w:rsid w:val="003F3977"/>
    <w:rsid w:val="003F3E97"/>
    <w:rsid w:val="003F5349"/>
    <w:rsid w:val="003F5B05"/>
    <w:rsid w:val="003F6504"/>
    <w:rsid w:val="003F74A1"/>
    <w:rsid w:val="0040008A"/>
    <w:rsid w:val="00400AD1"/>
    <w:rsid w:val="00401438"/>
    <w:rsid w:val="00402AC4"/>
    <w:rsid w:val="00403D08"/>
    <w:rsid w:val="00405823"/>
    <w:rsid w:val="00414F87"/>
    <w:rsid w:val="00416E28"/>
    <w:rsid w:val="004218D4"/>
    <w:rsid w:val="00421DB2"/>
    <w:rsid w:val="00422413"/>
    <w:rsid w:val="00422714"/>
    <w:rsid w:val="00422876"/>
    <w:rsid w:val="00422E55"/>
    <w:rsid w:val="00422EAA"/>
    <w:rsid w:val="00424EB5"/>
    <w:rsid w:val="00431982"/>
    <w:rsid w:val="004338DE"/>
    <w:rsid w:val="0043538F"/>
    <w:rsid w:val="004365C3"/>
    <w:rsid w:val="00437685"/>
    <w:rsid w:val="00437DEC"/>
    <w:rsid w:val="00441014"/>
    <w:rsid w:val="004442E8"/>
    <w:rsid w:val="00445089"/>
    <w:rsid w:val="0044609A"/>
    <w:rsid w:val="0044667A"/>
    <w:rsid w:val="004510B8"/>
    <w:rsid w:val="00453A01"/>
    <w:rsid w:val="00455169"/>
    <w:rsid w:val="00456270"/>
    <w:rsid w:val="0045728B"/>
    <w:rsid w:val="00465742"/>
    <w:rsid w:val="004664CE"/>
    <w:rsid w:val="00467B1F"/>
    <w:rsid w:val="00473CEC"/>
    <w:rsid w:val="00477637"/>
    <w:rsid w:val="00480295"/>
    <w:rsid w:val="00482D3A"/>
    <w:rsid w:val="00487422"/>
    <w:rsid w:val="00491E50"/>
    <w:rsid w:val="00495A77"/>
    <w:rsid w:val="004A0483"/>
    <w:rsid w:val="004A0791"/>
    <w:rsid w:val="004A0D11"/>
    <w:rsid w:val="004A1293"/>
    <w:rsid w:val="004A1BDF"/>
    <w:rsid w:val="004A2943"/>
    <w:rsid w:val="004A6FEA"/>
    <w:rsid w:val="004B1585"/>
    <w:rsid w:val="004B18AE"/>
    <w:rsid w:val="004B4872"/>
    <w:rsid w:val="004B65F4"/>
    <w:rsid w:val="004C0216"/>
    <w:rsid w:val="004C05AB"/>
    <w:rsid w:val="004C1253"/>
    <w:rsid w:val="004C1D3F"/>
    <w:rsid w:val="004C23A8"/>
    <w:rsid w:val="004D0D85"/>
    <w:rsid w:val="004D27D1"/>
    <w:rsid w:val="004D30BD"/>
    <w:rsid w:val="004D6BEB"/>
    <w:rsid w:val="004E159D"/>
    <w:rsid w:val="004E33DD"/>
    <w:rsid w:val="004F46B9"/>
    <w:rsid w:val="004F4EF8"/>
    <w:rsid w:val="004F5D49"/>
    <w:rsid w:val="00510DD5"/>
    <w:rsid w:val="00512896"/>
    <w:rsid w:val="0051365C"/>
    <w:rsid w:val="005139FD"/>
    <w:rsid w:val="0051483E"/>
    <w:rsid w:val="0052001A"/>
    <w:rsid w:val="005209C1"/>
    <w:rsid w:val="00520A7D"/>
    <w:rsid w:val="00520F0E"/>
    <w:rsid w:val="005236A1"/>
    <w:rsid w:val="00524220"/>
    <w:rsid w:val="00525127"/>
    <w:rsid w:val="0054001F"/>
    <w:rsid w:val="00540875"/>
    <w:rsid w:val="00540975"/>
    <w:rsid w:val="00541926"/>
    <w:rsid w:val="00543711"/>
    <w:rsid w:val="00545D1C"/>
    <w:rsid w:val="00546F2B"/>
    <w:rsid w:val="00552F61"/>
    <w:rsid w:val="00553FF7"/>
    <w:rsid w:val="00554BCF"/>
    <w:rsid w:val="00556EE1"/>
    <w:rsid w:val="0056260E"/>
    <w:rsid w:val="005652FF"/>
    <w:rsid w:val="00566159"/>
    <w:rsid w:val="00570573"/>
    <w:rsid w:val="0057144E"/>
    <w:rsid w:val="0057345A"/>
    <w:rsid w:val="0057585C"/>
    <w:rsid w:val="00577FA0"/>
    <w:rsid w:val="00580CC2"/>
    <w:rsid w:val="005876C6"/>
    <w:rsid w:val="00592D85"/>
    <w:rsid w:val="005A4A67"/>
    <w:rsid w:val="005A4FB0"/>
    <w:rsid w:val="005A6068"/>
    <w:rsid w:val="005B07C5"/>
    <w:rsid w:val="005B0B90"/>
    <w:rsid w:val="005B14EA"/>
    <w:rsid w:val="005B19FB"/>
    <w:rsid w:val="005B4444"/>
    <w:rsid w:val="005B6C4A"/>
    <w:rsid w:val="005B7A45"/>
    <w:rsid w:val="005C75B5"/>
    <w:rsid w:val="005D1043"/>
    <w:rsid w:val="005D5CDC"/>
    <w:rsid w:val="005D624C"/>
    <w:rsid w:val="005E6339"/>
    <w:rsid w:val="005E6F4A"/>
    <w:rsid w:val="005E7A8D"/>
    <w:rsid w:val="005F10B6"/>
    <w:rsid w:val="005F1DE6"/>
    <w:rsid w:val="005F6E13"/>
    <w:rsid w:val="00600572"/>
    <w:rsid w:val="006021E8"/>
    <w:rsid w:val="00603F25"/>
    <w:rsid w:val="0061035F"/>
    <w:rsid w:val="00611178"/>
    <w:rsid w:val="00611614"/>
    <w:rsid w:val="00612B04"/>
    <w:rsid w:val="0062111B"/>
    <w:rsid w:val="006223E7"/>
    <w:rsid w:val="00623277"/>
    <w:rsid w:val="00626025"/>
    <w:rsid w:val="00626AF0"/>
    <w:rsid w:val="00626E9E"/>
    <w:rsid w:val="00630D96"/>
    <w:rsid w:val="006357CF"/>
    <w:rsid w:val="00640647"/>
    <w:rsid w:val="006409D1"/>
    <w:rsid w:val="00640F8F"/>
    <w:rsid w:val="00643E3F"/>
    <w:rsid w:val="0064550B"/>
    <w:rsid w:val="006466CB"/>
    <w:rsid w:val="00650965"/>
    <w:rsid w:val="00651592"/>
    <w:rsid w:val="0065272F"/>
    <w:rsid w:val="00661C85"/>
    <w:rsid w:val="00662908"/>
    <w:rsid w:val="006652BE"/>
    <w:rsid w:val="00673729"/>
    <w:rsid w:val="006760CB"/>
    <w:rsid w:val="00680677"/>
    <w:rsid w:val="00683BFB"/>
    <w:rsid w:val="00685CC1"/>
    <w:rsid w:val="00690245"/>
    <w:rsid w:val="00690C1E"/>
    <w:rsid w:val="00691F76"/>
    <w:rsid w:val="00692FB8"/>
    <w:rsid w:val="006A2C33"/>
    <w:rsid w:val="006A37D1"/>
    <w:rsid w:val="006A5A5C"/>
    <w:rsid w:val="006B252D"/>
    <w:rsid w:val="006B273A"/>
    <w:rsid w:val="006B2B94"/>
    <w:rsid w:val="006B40A1"/>
    <w:rsid w:val="006B496D"/>
    <w:rsid w:val="006B4A99"/>
    <w:rsid w:val="006B7C17"/>
    <w:rsid w:val="006C1846"/>
    <w:rsid w:val="006C3174"/>
    <w:rsid w:val="006C3954"/>
    <w:rsid w:val="006C4428"/>
    <w:rsid w:val="006C4E46"/>
    <w:rsid w:val="006C608B"/>
    <w:rsid w:val="006C6443"/>
    <w:rsid w:val="006D3305"/>
    <w:rsid w:val="006D40EF"/>
    <w:rsid w:val="006D529F"/>
    <w:rsid w:val="006D57C2"/>
    <w:rsid w:val="006D755D"/>
    <w:rsid w:val="006E478F"/>
    <w:rsid w:val="006E620A"/>
    <w:rsid w:val="006E752A"/>
    <w:rsid w:val="006F16F3"/>
    <w:rsid w:val="006F569B"/>
    <w:rsid w:val="006F610C"/>
    <w:rsid w:val="006F78AC"/>
    <w:rsid w:val="007003DD"/>
    <w:rsid w:val="007005BB"/>
    <w:rsid w:val="00701CDF"/>
    <w:rsid w:val="00701E24"/>
    <w:rsid w:val="00702D2E"/>
    <w:rsid w:val="00704DF9"/>
    <w:rsid w:val="007052C6"/>
    <w:rsid w:val="007054F5"/>
    <w:rsid w:val="007067CB"/>
    <w:rsid w:val="0070766D"/>
    <w:rsid w:val="007114D3"/>
    <w:rsid w:val="00712485"/>
    <w:rsid w:val="007132E2"/>
    <w:rsid w:val="007159DC"/>
    <w:rsid w:val="00721E87"/>
    <w:rsid w:val="00723A04"/>
    <w:rsid w:val="00723A1D"/>
    <w:rsid w:val="007249CD"/>
    <w:rsid w:val="007259B3"/>
    <w:rsid w:val="0072649E"/>
    <w:rsid w:val="00731EAF"/>
    <w:rsid w:val="007321BF"/>
    <w:rsid w:val="007338C6"/>
    <w:rsid w:val="0073403B"/>
    <w:rsid w:val="0073785B"/>
    <w:rsid w:val="00743CB4"/>
    <w:rsid w:val="00750F3B"/>
    <w:rsid w:val="0075124A"/>
    <w:rsid w:val="007513D9"/>
    <w:rsid w:val="00752416"/>
    <w:rsid w:val="00752F93"/>
    <w:rsid w:val="007566E0"/>
    <w:rsid w:val="0076164D"/>
    <w:rsid w:val="00761C13"/>
    <w:rsid w:val="00763193"/>
    <w:rsid w:val="00767BCD"/>
    <w:rsid w:val="007711B6"/>
    <w:rsid w:val="00773782"/>
    <w:rsid w:val="00774B51"/>
    <w:rsid w:val="0077624E"/>
    <w:rsid w:val="00776FE4"/>
    <w:rsid w:val="007771EA"/>
    <w:rsid w:val="00781820"/>
    <w:rsid w:val="0078212C"/>
    <w:rsid w:val="007861EA"/>
    <w:rsid w:val="00790709"/>
    <w:rsid w:val="007911C0"/>
    <w:rsid w:val="00795EBB"/>
    <w:rsid w:val="007A048A"/>
    <w:rsid w:val="007A3E7E"/>
    <w:rsid w:val="007A4863"/>
    <w:rsid w:val="007A4DC0"/>
    <w:rsid w:val="007A7AE3"/>
    <w:rsid w:val="007B3FF5"/>
    <w:rsid w:val="007B41E6"/>
    <w:rsid w:val="007B62CF"/>
    <w:rsid w:val="007C0C81"/>
    <w:rsid w:val="007C1CCA"/>
    <w:rsid w:val="007C442F"/>
    <w:rsid w:val="007D2546"/>
    <w:rsid w:val="007D72F1"/>
    <w:rsid w:val="007D75E4"/>
    <w:rsid w:val="007E16F7"/>
    <w:rsid w:val="007E199E"/>
    <w:rsid w:val="007E2AA1"/>
    <w:rsid w:val="007E3F2C"/>
    <w:rsid w:val="007E700B"/>
    <w:rsid w:val="007E7EB6"/>
    <w:rsid w:val="007F0528"/>
    <w:rsid w:val="007F18EE"/>
    <w:rsid w:val="007F78E7"/>
    <w:rsid w:val="007F7BB7"/>
    <w:rsid w:val="0080173D"/>
    <w:rsid w:val="00801FC0"/>
    <w:rsid w:val="0080381E"/>
    <w:rsid w:val="00805E89"/>
    <w:rsid w:val="00810640"/>
    <w:rsid w:val="00812460"/>
    <w:rsid w:val="00813BF5"/>
    <w:rsid w:val="008157D1"/>
    <w:rsid w:val="00816035"/>
    <w:rsid w:val="008231BD"/>
    <w:rsid w:val="008240CC"/>
    <w:rsid w:val="00832AE8"/>
    <w:rsid w:val="00834360"/>
    <w:rsid w:val="008400D1"/>
    <w:rsid w:val="00840F14"/>
    <w:rsid w:val="00841DDA"/>
    <w:rsid w:val="00843928"/>
    <w:rsid w:val="00845B37"/>
    <w:rsid w:val="008467AE"/>
    <w:rsid w:val="00847011"/>
    <w:rsid w:val="0084745D"/>
    <w:rsid w:val="008475B9"/>
    <w:rsid w:val="0085486C"/>
    <w:rsid w:val="00856B6A"/>
    <w:rsid w:val="00863561"/>
    <w:rsid w:val="008640B9"/>
    <w:rsid w:val="00866EC8"/>
    <w:rsid w:val="00870AF6"/>
    <w:rsid w:val="00870AFB"/>
    <w:rsid w:val="00871C5D"/>
    <w:rsid w:val="008731C2"/>
    <w:rsid w:val="00873903"/>
    <w:rsid w:val="00876A5D"/>
    <w:rsid w:val="008778BA"/>
    <w:rsid w:val="00877B99"/>
    <w:rsid w:val="00880D1E"/>
    <w:rsid w:val="008824B2"/>
    <w:rsid w:val="0088266D"/>
    <w:rsid w:val="00882DFD"/>
    <w:rsid w:val="00886ED1"/>
    <w:rsid w:val="00890AFE"/>
    <w:rsid w:val="00892A10"/>
    <w:rsid w:val="008947D1"/>
    <w:rsid w:val="008965A1"/>
    <w:rsid w:val="0089693E"/>
    <w:rsid w:val="00896D89"/>
    <w:rsid w:val="00896DFE"/>
    <w:rsid w:val="00897A0A"/>
    <w:rsid w:val="008A2C7D"/>
    <w:rsid w:val="008A6B6D"/>
    <w:rsid w:val="008A6CA6"/>
    <w:rsid w:val="008A6D33"/>
    <w:rsid w:val="008A785D"/>
    <w:rsid w:val="008B12B7"/>
    <w:rsid w:val="008B5ED6"/>
    <w:rsid w:val="008B6A8D"/>
    <w:rsid w:val="008C7214"/>
    <w:rsid w:val="008D1759"/>
    <w:rsid w:val="008D20AB"/>
    <w:rsid w:val="008D3B3A"/>
    <w:rsid w:val="008E3792"/>
    <w:rsid w:val="008E4AAF"/>
    <w:rsid w:val="008E4B52"/>
    <w:rsid w:val="008E5435"/>
    <w:rsid w:val="008E5A10"/>
    <w:rsid w:val="008E5A4C"/>
    <w:rsid w:val="008E6E6F"/>
    <w:rsid w:val="008F0F8E"/>
    <w:rsid w:val="008F1CB1"/>
    <w:rsid w:val="008F2553"/>
    <w:rsid w:val="008F2DD4"/>
    <w:rsid w:val="008F6FE3"/>
    <w:rsid w:val="008F7D2A"/>
    <w:rsid w:val="009005B5"/>
    <w:rsid w:val="0090084D"/>
    <w:rsid w:val="00902082"/>
    <w:rsid w:val="0090357D"/>
    <w:rsid w:val="00905BEE"/>
    <w:rsid w:val="00911C28"/>
    <w:rsid w:val="00914D4D"/>
    <w:rsid w:val="009158E8"/>
    <w:rsid w:val="009162FA"/>
    <w:rsid w:val="00917EEF"/>
    <w:rsid w:val="00922A1D"/>
    <w:rsid w:val="00922A6A"/>
    <w:rsid w:val="0092458F"/>
    <w:rsid w:val="00925171"/>
    <w:rsid w:val="009260EE"/>
    <w:rsid w:val="009279C2"/>
    <w:rsid w:val="009327EB"/>
    <w:rsid w:val="0093286B"/>
    <w:rsid w:val="00932D93"/>
    <w:rsid w:val="009350A8"/>
    <w:rsid w:val="00935B24"/>
    <w:rsid w:val="009523E5"/>
    <w:rsid w:val="009527F1"/>
    <w:rsid w:val="009536E0"/>
    <w:rsid w:val="00956700"/>
    <w:rsid w:val="00960272"/>
    <w:rsid w:val="00963237"/>
    <w:rsid w:val="00965DCB"/>
    <w:rsid w:val="00967C69"/>
    <w:rsid w:val="0097082C"/>
    <w:rsid w:val="009723DE"/>
    <w:rsid w:val="0097299B"/>
    <w:rsid w:val="009733EA"/>
    <w:rsid w:val="009736B6"/>
    <w:rsid w:val="00980EED"/>
    <w:rsid w:val="00981EB6"/>
    <w:rsid w:val="00986E8C"/>
    <w:rsid w:val="00990B0A"/>
    <w:rsid w:val="0099272D"/>
    <w:rsid w:val="00993288"/>
    <w:rsid w:val="00994717"/>
    <w:rsid w:val="00995BD7"/>
    <w:rsid w:val="009964AD"/>
    <w:rsid w:val="009A0172"/>
    <w:rsid w:val="009A185F"/>
    <w:rsid w:val="009A3D07"/>
    <w:rsid w:val="009A509F"/>
    <w:rsid w:val="009A674B"/>
    <w:rsid w:val="009A6955"/>
    <w:rsid w:val="009A7A41"/>
    <w:rsid w:val="009A7EEC"/>
    <w:rsid w:val="009B146F"/>
    <w:rsid w:val="009B5BE6"/>
    <w:rsid w:val="009B6B1F"/>
    <w:rsid w:val="009C0829"/>
    <w:rsid w:val="009C2776"/>
    <w:rsid w:val="009C535C"/>
    <w:rsid w:val="009C6204"/>
    <w:rsid w:val="009C7100"/>
    <w:rsid w:val="009C712C"/>
    <w:rsid w:val="009D1D06"/>
    <w:rsid w:val="009D2B27"/>
    <w:rsid w:val="009D5A2C"/>
    <w:rsid w:val="009E2F12"/>
    <w:rsid w:val="009E4FF9"/>
    <w:rsid w:val="009F099C"/>
    <w:rsid w:val="009F0E54"/>
    <w:rsid w:val="009F2F41"/>
    <w:rsid w:val="009F4694"/>
    <w:rsid w:val="00A019C9"/>
    <w:rsid w:val="00A02B53"/>
    <w:rsid w:val="00A119F5"/>
    <w:rsid w:val="00A13505"/>
    <w:rsid w:val="00A17FF5"/>
    <w:rsid w:val="00A20823"/>
    <w:rsid w:val="00A2092F"/>
    <w:rsid w:val="00A20ABA"/>
    <w:rsid w:val="00A20D68"/>
    <w:rsid w:val="00A24259"/>
    <w:rsid w:val="00A2583E"/>
    <w:rsid w:val="00A30EBE"/>
    <w:rsid w:val="00A314A6"/>
    <w:rsid w:val="00A32749"/>
    <w:rsid w:val="00A354E4"/>
    <w:rsid w:val="00A3720E"/>
    <w:rsid w:val="00A43CCB"/>
    <w:rsid w:val="00A45101"/>
    <w:rsid w:val="00A50C21"/>
    <w:rsid w:val="00A50EA7"/>
    <w:rsid w:val="00A51EA2"/>
    <w:rsid w:val="00A52762"/>
    <w:rsid w:val="00A53D79"/>
    <w:rsid w:val="00A55743"/>
    <w:rsid w:val="00A62430"/>
    <w:rsid w:val="00A66569"/>
    <w:rsid w:val="00A67832"/>
    <w:rsid w:val="00A77756"/>
    <w:rsid w:val="00A77DBC"/>
    <w:rsid w:val="00A828B8"/>
    <w:rsid w:val="00A845D3"/>
    <w:rsid w:val="00A85DA7"/>
    <w:rsid w:val="00A8632D"/>
    <w:rsid w:val="00A87569"/>
    <w:rsid w:val="00A90830"/>
    <w:rsid w:val="00A90B79"/>
    <w:rsid w:val="00A96C54"/>
    <w:rsid w:val="00A97EA2"/>
    <w:rsid w:val="00AA1DD4"/>
    <w:rsid w:val="00AA2CC6"/>
    <w:rsid w:val="00AA53A6"/>
    <w:rsid w:val="00AA591F"/>
    <w:rsid w:val="00AA5BCD"/>
    <w:rsid w:val="00AA68B5"/>
    <w:rsid w:val="00AB2A08"/>
    <w:rsid w:val="00AB33E2"/>
    <w:rsid w:val="00AB452D"/>
    <w:rsid w:val="00AB6BDF"/>
    <w:rsid w:val="00AC183E"/>
    <w:rsid w:val="00AC2EC1"/>
    <w:rsid w:val="00AC3857"/>
    <w:rsid w:val="00AC457A"/>
    <w:rsid w:val="00AD084C"/>
    <w:rsid w:val="00AE0115"/>
    <w:rsid w:val="00AE09FE"/>
    <w:rsid w:val="00AE1EF6"/>
    <w:rsid w:val="00AE4558"/>
    <w:rsid w:val="00AE518F"/>
    <w:rsid w:val="00AE59E0"/>
    <w:rsid w:val="00AF06A3"/>
    <w:rsid w:val="00AF0EB0"/>
    <w:rsid w:val="00AF1156"/>
    <w:rsid w:val="00AF4BFB"/>
    <w:rsid w:val="00B01C93"/>
    <w:rsid w:val="00B026F5"/>
    <w:rsid w:val="00B03855"/>
    <w:rsid w:val="00B03B27"/>
    <w:rsid w:val="00B045D8"/>
    <w:rsid w:val="00B11005"/>
    <w:rsid w:val="00B122FD"/>
    <w:rsid w:val="00B13071"/>
    <w:rsid w:val="00B13861"/>
    <w:rsid w:val="00B13A90"/>
    <w:rsid w:val="00B16105"/>
    <w:rsid w:val="00B20172"/>
    <w:rsid w:val="00B261B9"/>
    <w:rsid w:val="00B26879"/>
    <w:rsid w:val="00B32575"/>
    <w:rsid w:val="00B37E7E"/>
    <w:rsid w:val="00B43641"/>
    <w:rsid w:val="00B44E8A"/>
    <w:rsid w:val="00B452BB"/>
    <w:rsid w:val="00B459D1"/>
    <w:rsid w:val="00B4766A"/>
    <w:rsid w:val="00B479BE"/>
    <w:rsid w:val="00B5380F"/>
    <w:rsid w:val="00B548F5"/>
    <w:rsid w:val="00B670D8"/>
    <w:rsid w:val="00B827A5"/>
    <w:rsid w:val="00B84BF2"/>
    <w:rsid w:val="00B84DDF"/>
    <w:rsid w:val="00B84FCE"/>
    <w:rsid w:val="00B86415"/>
    <w:rsid w:val="00B921BD"/>
    <w:rsid w:val="00B92DBC"/>
    <w:rsid w:val="00B934B6"/>
    <w:rsid w:val="00B93EC5"/>
    <w:rsid w:val="00B95DA6"/>
    <w:rsid w:val="00BA5946"/>
    <w:rsid w:val="00BA59E4"/>
    <w:rsid w:val="00BA6A03"/>
    <w:rsid w:val="00BB0B0D"/>
    <w:rsid w:val="00BB34E5"/>
    <w:rsid w:val="00BB4938"/>
    <w:rsid w:val="00BB7120"/>
    <w:rsid w:val="00BC2327"/>
    <w:rsid w:val="00BC24CA"/>
    <w:rsid w:val="00BC3B86"/>
    <w:rsid w:val="00BC5158"/>
    <w:rsid w:val="00BC6117"/>
    <w:rsid w:val="00BC61A8"/>
    <w:rsid w:val="00BC77AC"/>
    <w:rsid w:val="00BD197F"/>
    <w:rsid w:val="00BD39C9"/>
    <w:rsid w:val="00BD3D5B"/>
    <w:rsid w:val="00BD68D9"/>
    <w:rsid w:val="00BE1274"/>
    <w:rsid w:val="00BE2A73"/>
    <w:rsid w:val="00BE62A5"/>
    <w:rsid w:val="00C03BF2"/>
    <w:rsid w:val="00C03DA5"/>
    <w:rsid w:val="00C05603"/>
    <w:rsid w:val="00C06504"/>
    <w:rsid w:val="00C108FB"/>
    <w:rsid w:val="00C13E10"/>
    <w:rsid w:val="00C14BDE"/>
    <w:rsid w:val="00C20E82"/>
    <w:rsid w:val="00C21348"/>
    <w:rsid w:val="00C22AF0"/>
    <w:rsid w:val="00C246FC"/>
    <w:rsid w:val="00C312ED"/>
    <w:rsid w:val="00C31CE0"/>
    <w:rsid w:val="00C320A3"/>
    <w:rsid w:val="00C330DF"/>
    <w:rsid w:val="00C34641"/>
    <w:rsid w:val="00C43447"/>
    <w:rsid w:val="00C438EC"/>
    <w:rsid w:val="00C51F70"/>
    <w:rsid w:val="00C523AD"/>
    <w:rsid w:val="00C56A84"/>
    <w:rsid w:val="00C57074"/>
    <w:rsid w:val="00C63BAC"/>
    <w:rsid w:val="00C64AA7"/>
    <w:rsid w:val="00C64BD0"/>
    <w:rsid w:val="00C65C6B"/>
    <w:rsid w:val="00C7051B"/>
    <w:rsid w:val="00C7075E"/>
    <w:rsid w:val="00C70C84"/>
    <w:rsid w:val="00C70FAE"/>
    <w:rsid w:val="00C731BA"/>
    <w:rsid w:val="00C761F3"/>
    <w:rsid w:val="00C84DF9"/>
    <w:rsid w:val="00C87922"/>
    <w:rsid w:val="00C91B61"/>
    <w:rsid w:val="00C9250F"/>
    <w:rsid w:val="00C96B9E"/>
    <w:rsid w:val="00CA4C20"/>
    <w:rsid w:val="00CA4E34"/>
    <w:rsid w:val="00CA56CA"/>
    <w:rsid w:val="00CA6F7C"/>
    <w:rsid w:val="00CA7444"/>
    <w:rsid w:val="00CB5FFB"/>
    <w:rsid w:val="00CB7E5F"/>
    <w:rsid w:val="00CC1162"/>
    <w:rsid w:val="00CC3D32"/>
    <w:rsid w:val="00CC3DB2"/>
    <w:rsid w:val="00CC5280"/>
    <w:rsid w:val="00CC5C7B"/>
    <w:rsid w:val="00CC723D"/>
    <w:rsid w:val="00CC72BE"/>
    <w:rsid w:val="00CD2ABC"/>
    <w:rsid w:val="00CD4F9F"/>
    <w:rsid w:val="00CD5444"/>
    <w:rsid w:val="00CE2B18"/>
    <w:rsid w:val="00CE5449"/>
    <w:rsid w:val="00CE6CF5"/>
    <w:rsid w:val="00CE79D6"/>
    <w:rsid w:val="00CF33DB"/>
    <w:rsid w:val="00CF35CE"/>
    <w:rsid w:val="00CF4470"/>
    <w:rsid w:val="00CF792E"/>
    <w:rsid w:val="00D01A5A"/>
    <w:rsid w:val="00D01F27"/>
    <w:rsid w:val="00D0593B"/>
    <w:rsid w:val="00D06555"/>
    <w:rsid w:val="00D06DCD"/>
    <w:rsid w:val="00D110AB"/>
    <w:rsid w:val="00D11ECE"/>
    <w:rsid w:val="00D1426B"/>
    <w:rsid w:val="00D16852"/>
    <w:rsid w:val="00D21C39"/>
    <w:rsid w:val="00D32848"/>
    <w:rsid w:val="00D36659"/>
    <w:rsid w:val="00D4263E"/>
    <w:rsid w:val="00D43249"/>
    <w:rsid w:val="00D51DB2"/>
    <w:rsid w:val="00D5242B"/>
    <w:rsid w:val="00D546B7"/>
    <w:rsid w:val="00D55B68"/>
    <w:rsid w:val="00D6029C"/>
    <w:rsid w:val="00D63E52"/>
    <w:rsid w:val="00D65268"/>
    <w:rsid w:val="00D72BE7"/>
    <w:rsid w:val="00D8293B"/>
    <w:rsid w:val="00D82F3E"/>
    <w:rsid w:val="00D83E14"/>
    <w:rsid w:val="00D923AB"/>
    <w:rsid w:val="00D966A9"/>
    <w:rsid w:val="00DA0545"/>
    <w:rsid w:val="00DA05A6"/>
    <w:rsid w:val="00DA0FF9"/>
    <w:rsid w:val="00DA1120"/>
    <w:rsid w:val="00DA14CE"/>
    <w:rsid w:val="00DA1E09"/>
    <w:rsid w:val="00DA2B94"/>
    <w:rsid w:val="00DA321E"/>
    <w:rsid w:val="00DA47B7"/>
    <w:rsid w:val="00DB1FD5"/>
    <w:rsid w:val="00DB2645"/>
    <w:rsid w:val="00DB2EC6"/>
    <w:rsid w:val="00DB3AF0"/>
    <w:rsid w:val="00DB57EC"/>
    <w:rsid w:val="00DB7FB4"/>
    <w:rsid w:val="00DC0D43"/>
    <w:rsid w:val="00DC16C0"/>
    <w:rsid w:val="00DC754F"/>
    <w:rsid w:val="00DC763F"/>
    <w:rsid w:val="00DD033A"/>
    <w:rsid w:val="00DD0A10"/>
    <w:rsid w:val="00DD6555"/>
    <w:rsid w:val="00DE13CB"/>
    <w:rsid w:val="00DE2060"/>
    <w:rsid w:val="00DE2A99"/>
    <w:rsid w:val="00DE33E8"/>
    <w:rsid w:val="00DE41C9"/>
    <w:rsid w:val="00DE7EF2"/>
    <w:rsid w:val="00DF784D"/>
    <w:rsid w:val="00E028B6"/>
    <w:rsid w:val="00E04D3B"/>
    <w:rsid w:val="00E059A8"/>
    <w:rsid w:val="00E136B8"/>
    <w:rsid w:val="00E17168"/>
    <w:rsid w:val="00E210BE"/>
    <w:rsid w:val="00E23A87"/>
    <w:rsid w:val="00E24871"/>
    <w:rsid w:val="00E3072A"/>
    <w:rsid w:val="00E31A89"/>
    <w:rsid w:val="00E31F8E"/>
    <w:rsid w:val="00E3233C"/>
    <w:rsid w:val="00E35EB9"/>
    <w:rsid w:val="00E376D1"/>
    <w:rsid w:val="00E4333A"/>
    <w:rsid w:val="00E452D1"/>
    <w:rsid w:val="00E459E0"/>
    <w:rsid w:val="00E47353"/>
    <w:rsid w:val="00E53656"/>
    <w:rsid w:val="00E53CBD"/>
    <w:rsid w:val="00E57979"/>
    <w:rsid w:val="00E57A49"/>
    <w:rsid w:val="00E61507"/>
    <w:rsid w:val="00E62DF8"/>
    <w:rsid w:val="00E634CA"/>
    <w:rsid w:val="00E64627"/>
    <w:rsid w:val="00E651B2"/>
    <w:rsid w:val="00E65C44"/>
    <w:rsid w:val="00E65D0B"/>
    <w:rsid w:val="00E66D36"/>
    <w:rsid w:val="00E671F9"/>
    <w:rsid w:val="00E700A7"/>
    <w:rsid w:val="00E71065"/>
    <w:rsid w:val="00E718F9"/>
    <w:rsid w:val="00E7400E"/>
    <w:rsid w:val="00E74404"/>
    <w:rsid w:val="00E7726E"/>
    <w:rsid w:val="00E833E0"/>
    <w:rsid w:val="00E841A9"/>
    <w:rsid w:val="00E9071D"/>
    <w:rsid w:val="00E95228"/>
    <w:rsid w:val="00E974D0"/>
    <w:rsid w:val="00EA31C3"/>
    <w:rsid w:val="00EA3B8C"/>
    <w:rsid w:val="00EA3F80"/>
    <w:rsid w:val="00EA4426"/>
    <w:rsid w:val="00EA7657"/>
    <w:rsid w:val="00EB05BD"/>
    <w:rsid w:val="00EB446C"/>
    <w:rsid w:val="00EB448C"/>
    <w:rsid w:val="00EB4A57"/>
    <w:rsid w:val="00EB66BC"/>
    <w:rsid w:val="00EB7F92"/>
    <w:rsid w:val="00EC065E"/>
    <w:rsid w:val="00EC3091"/>
    <w:rsid w:val="00EC4877"/>
    <w:rsid w:val="00EC579C"/>
    <w:rsid w:val="00ED3143"/>
    <w:rsid w:val="00ED3F3B"/>
    <w:rsid w:val="00ED56FF"/>
    <w:rsid w:val="00ED5BDB"/>
    <w:rsid w:val="00ED6709"/>
    <w:rsid w:val="00EE1287"/>
    <w:rsid w:val="00EE248F"/>
    <w:rsid w:val="00EE649A"/>
    <w:rsid w:val="00EE68DB"/>
    <w:rsid w:val="00EE68DC"/>
    <w:rsid w:val="00EE774C"/>
    <w:rsid w:val="00EF0253"/>
    <w:rsid w:val="00EF149C"/>
    <w:rsid w:val="00EF1C12"/>
    <w:rsid w:val="00EF2CE5"/>
    <w:rsid w:val="00EF34AA"/>
    <w:rsid w:val="00EF560F"/>
    <w:rsid w:val="00EF58AD"/>
    <w:rsid w:val="00F02E06"/>
    <w:rsid w:val="00F0634F"/>
    <w:rsid w:val="00F077CA"/>
    <w:rsid w:val="00F126AA"/>
    <w:rsid w:val="00F12E44"/>
    <w:rsid w:val="00F132DF"/>
    <w:rsid w:val="00F14470"/>
    <w:rsid w:val="00F16277"/>
    <w:rsid w:val="00F21884"/>
    <w:rsid w:val="00F24D5D"/>
    <w:rsid w:val="00F314AE"/>
    <w:rsid w:val="00F34DA3"/>
    <w:rsid w:val="00F34F4B"/>
    <w:rsid w:val="00F35B44"/>
    <w:rsid w:val="00F36638"/>
    <w:rsid w:val="00F4060B"/>
    <w:rsid w:val="00F4187D"/>
    <w:rsid w:val="00F42E97"/>
    <w:rsid w:val="00F430BE"/>
    <w:rsid w:val="00F44975"/>
    <w:rsid w:val="00F539BA"/>
    <w:rsid w:val="00F55488"/>
    <w:rsid w:val="00F60092"/>
    <w:rsid w:val="00F60846"/>
    <w:rsid w:val="00F61A9D"/>
    <w:rsid w:val="00F62BBA"/>
    <w:rsid w:val="00F64D60"/>
    <w:rsid w:val="00F65F9D"/>
    <w:rsid w:val="00F67919"/>
    <w:rsid w:val="00F710DB"/>
    <w:rsid w:val="00F7417E"/>
    <w:rsid w:val="00F75927"/>
    <w:rsid w:val="00F81D86"/>
    <w:rsid w:val="00F83666"/>
    <w:rsid w:val="00F83954"/>
    <w:rsid w:val="00F854B0"/>
    <w:rsid w:val="00F875EB"/>
    <w:rsid w:val="00F91104"/>
    <w:rsid w:val="00F94413"/>
    <w:rsid w:val="00F97AD8"/>
    <w:rsid w:val="00FA0702"/>
    <w:rsid w:val="00FA1505"/>
    <w:rsid w:val="00FA1565"/>
    <w:rsid w:val="00FA36D4"/>
    <w:rsid w:val="00FA3C3A"/>
    <w:rsid w:val="00FB0119"/>
    <w:rsid w:val="00FB1790"/>
    <w:rsid w:val="00FB17D0"/>
    <w:rsid w:val="00FB4000"/>
    <w:rsid w:val="00FB4270"/>
    <w:rsid w:val="00FB58BF"/>
    <w:rsid w:val="00FB6A71"/>
    <w:rsid w:val="00FC280C"/>
    <w:rsid w:val="00FC2FFF"/>
    <w:rsid w:val="00FC6089"/>
    <w:rsid w:val="00FD02E4"/>
    <w:rsid w:val="00FD084E"/>
    <w:rsid w:val="00FD163F"/>
    <w:rsid w:val="00FD62AB"/>
    <w:rsid w:val="00FD6C37"/>
    <w:rsid w:val="00FE40AF"/>
    <w:rsid w:val="00FE4558"/>
    <w:rsid w:val="00FE4AC7"/>
    <w:rsid w:val="00FE66CE"/>
    <w:rsid w:val="00FF25CA"/>
    <w:rsid w:val="00FF2C8F"/>
    <w:rsid w:val="00FF4D2B"/>
    <w:rsid w:val="00FF53B8"/>
    <w:rsid w:val="00FF6A64"/>
    <w:rsid w:val="00FF7A2E"/>
    <w:rsid w:val="00FF7DF0"/>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Cite" w:uiPriority="99"/>
    <w:lsdException w:name="Balloon Tex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261BD"/>
    <w:pPr>
      <w:spacing w:after="200" w:line="276" w:lineRule="auto"/>
    </w:pPr>
    <w:rPr>
      <w:rFonts w:ascii="Arial" w:eastAsia="Times New Roman" w:hAnsi="Arial"/>
      <w:color w:val="000000" w:themeColor="text1"/>
      <w:sz w:val="22"/>
      <w:szCs w:val="24"/>
    </w:rPr>
  </w:style>
  <w:style w:type="paragraph" w:styleId="Heading1">
    <w:name w:val="heading 1"/>
    <w:basedOn w:val="Normal"/>
    <w:next w:val="Normal"/>
    <w:link w:val="Heading1Char"/>
    <w:uiPriority w:val="9"/>
    <w:qFormat/>
    <w:rsid w:val="00422714"/>
    <w:pPr>
      <w:keepNext/>
      <w:keepLines/>
      <w:pageBreakBefore/>
      <w:spacing w:before="160" w:after="240"/>
      <w:outlineLvl w:val="0"/>
    </w:pPr>
    <w:rPr>
      <w:rFonts w:ascii="Arial Bold" w:hAnsi="Arial Bold"/>
      <w:b/>
      <w:bCs/>
      <w:color w:val="auto"/>
      <w:spacing w:val="40"/>
      <w:sz w:val="32"/>
      <w:szCs w:val="28"/>
    </w:rPr>
  </w:style>
  <w:style w:type="paragraph" w:styleId="Heading2">
    <w:name w:val="heading 2"/>
    <w:basedOn w:val="Normal"/>
    <w:next w:val="Normal"/>
    <w:link w:val="Heading2Char"/>
    <w:uiPriority w:val="99"/>
    <w:qFormat/>
    <w:rsid w:val="006C608B"/>
    <w:pPr>
      <w:keepNext/>
      <w:keepLines/>
      <w:spacing w:before="200"/>
      <w:outlineLvl w:val="1"/>
    </w:pPr>
    <w:rPr>
      <w:b/>
      <w:bCs/>
      <w:sz w:val="28"/>
      <w:szCs w:val="26"/>
    </w:rPr>
  </w:style>
  <w:style w:type="paragraph" w:styleId="Heading3">
    <w:name w:val="heading 3"/>
    <w:basedOn w:val="Normal"/>
    <w:next w:val="Normal"/>
    <w:link w:val="Heading3Char"/>
    <w:uiPriority w:val="99"/>
    <w:qFormat/>
    <w:rsid w:val="00033B49"/>
    <w:pPr>
      <w:autoSpaceDE w:val="0"/>
      <w:autoSpaceDN w:val="0"/>
      <w:adjustRightInd w:val="0"/>
      <w:spacing w:after="120" w:line="240" w:lineRule="auto"/>
      <w:outlineLvl w:val="2"/>
    </w:pPr>
    <w:rPr>
      <w:rFonts w:ascii="Arial Bold" w:eastAsia="Calibri" w:hAnsi="Arial Bold"/>
      <w:b/>
      <w:bCs/>
      <w:color w:val="000000"/>
      <w:sz w:val="24"/>
      <w:szCs w:val="26"/>
    </w:rPr>
  </w:style>
  <w:style w:type="paragraph" w:styleId="Heading4">
    <w:name w:val="heading 4"/>
    <w:basedOn w:val="Heading3"/>
    <w:next w:val="Normal"/>
    <w:link w:val="Heading4Char"/>
    <w:unhideWhenUsed/>
    <w:qFormat/>
    <w:rsid w:val="0023074F"/>
    <w:pPr>
      <w:keepNext/>
      <w:keepLines/>
      <w:spacing w:before="200"/>
      <w:outlineLvl w:val="3"/>
    </w:pPr>
    <w:rPr>
      <w:rFonts w:ascii="Arial" w:eastAsiaTheme="majorEastAsia" w:hAnsi="Arial" w:cstheme="majorBidi"/>
      <w:b w:val="0"/>
      <w:bCs w:val="0"/>
      <w:iCs/>
      <w:color w:val="auto"/>
      <w:sz w:val="22"/>
    </w:rPr>
  </w:style>
  <w:style w:type="paragraph" w:styleId="Heading7">
    <w:name w:val="heading 7"/>
    <w:basedOn w:val="Normal"/>
    <w:next w:val="Normal"/>
    <w:link w:val="Heading7Char"/>
    <w:semiHidden/>
    <w:unhideWhenUsed/>
    <w:qFormat/>
    <w:rsid w:val="00F0634F"/>
    <w:pPr>
      <w:spacing w:before="240" w:after="60"/>
      <w:outlineLvl w:val="6"/>
    </w:pPr>
    <w:rPr>
      <w:rFonts w:ascii="Calibri" w:eastAsia="MS Mincho" w:hAnsi="Calibri"/>
      <w:sz w:val="24"/>
    </w:rPr>
  </w:style>
  <w:style w:type="paragraph" w:styleId="Heading8">
    <w:name w:val="heading 8"/>
    <w:basedOn w:val="Normal"/>
    <w:next w:val="Normal"/>
    <w:link w:val="Heading8Char"/>
    <w:semiHidden/>
    <w:unhideWhenUsed/>
    <w:qFormat/>
    <w:rsid w:val="00F0634F"/>
    <w:pPr>
      <w:spacing w:before="240" w:after="60"/>
      <w:outlineLvl w:val="7"/>
    </w:pPr>
    <w:rPr>
      <w:rFonts w:ascii="Calibri" w:eastAsia="MS Mincho"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270"/>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456270"/>
    <w:rPr>
      <w:rFonts w:ascii="Tahoma" w:hAnsi="Tahoma" w:cs="Tahoma"/>
      <w:sz w:val="16"/>
      <w:szCs w:val="16"/>
    </w:rPr>
  </w:style>
  <w:style w:type="character" w:styleId="Hyperlink">
    <w:name w:val="Hyperlink"/>
    <w:uiPriority w:val="99"/>
    <w:rsid w:val="00CE6635"/>
    <w:rPr>
      <w:rFonts w:ascii="Arial" w:hAnsi="Arial"/>
      <w:color w:val="2D2D8A"/>
      <w:sz w:val="22"/>
      <w:szCs w:val="22"/>
      <w:u w:val="single"/>
    </w:rPr>
  </w:style>
  <w:style w:type="character" w:customStyle="1" w:styleId="TenderCoverDetails">
    <w:name w:val="Tender Cover Details"/>
    <w:rsid w:val="00456270"/>
    <w:rPr>
      <w:rFonts w:ascii="Arial" w:hAnsi="Arial"/>
      <w:b/>
      <w:bCs/>
      <w:sz w:val="36"/>
    </w:rPr>
  </w:style>
  <w:style w:type="character" w:customStyle="1" w:styleId="Heading1Char">
    <w:name w:val="Heading 1 Char"/>
    <w:link w:val="Heading1"/>
    <w:uiPriority w:val="9"/>
    <w:rsid w:val="00422714"/>
    <w:rPr>
      <w:rFonts w:ascii="Arial Bold" w:eastAsia="Times New Roman" w:hAnsi="Arial Bold"/>
      <w:b/>
      <w:bCs/>
      <w:spacing w:val="40"/>
      <w:sz w:val="32"/>
      <w:szCs w:val="28"/>
    </w:rPr>
  </w:style>
  <w:style w:type="paragraph" w:styleId="Header">
    <w:name w:val="header"/>
    <w:basedOn w:val="Normal"/>
    <w:link w:val="HeaderChar"/>
    <w:uiPriority w:val="99"/>
    <w:unhideWhenUsed/>
    <w:rsid w:val="001159F1"/>
    <w:pPr>
      <w:tabs>
        <w:tab w:val="center" w:pos="4513"/>
        <w:tab w:val="right" w:pos="9026"/>
      </w:tabs>
    </w:pPr>
    <w:rPr>
      <w:sz w:val="20"/>
    </w:rPr>
  </w:style>
  <w:style w:type="character" w:customStyle="1" w:styleId="HeaderChar">
    <w:name w:val="Header Char"/>
    <w:link w:val="Header"/>
    <w:uiPriority w:val="99"/>
    <w:rsid w:val="001159F1"/>
    <w:rPr>
      <w:rFonts w:ascii="Arial" w:eastAsia="Times New Roman" w:hAnsi="Arial" w:cs="Times New Roman"/>
      <w:szCs w:val="24"/>
      <w:lang w:eastAsia="en-AU"/>
    </w:rPr>
  </w:style>
  <w:style w:type="paragraph" w:styleId="Footer">
    <w:name w:val="footer"/>
    <w:basedOn w:val="Normal"/>
    <w:link w:val="FooterChar"/>
    <w:uiPriority w:val="99"/>
    <w:unhideWhenUsed/>
    <w:rsid w:val="001159F1"/>
    <w:pPr>
      <w:tabs>
        <w:tab w:val="center" w:pos="4513"/>
        <w:tab w:val="right" w:pos="9026"/>
      </w:tabs>
    </w:pPr>
    <w:rPr>
      <w:sz w:val="20"/>
    </w:rPr>
  </w:style>
  <w:style w:type="character" w:customStyle="1" w:styleId="FooterChar">
    <w:name w:val="Footer Char"/>
    <w:link w:val="Footer"/>
    <w:uiPriority w:val="99"/>
    <w:rsid w:val="001159F1"/>
    <w:rPr>
      <w:rFonts w:ascii="Arial" w:eastAsia="Times New Roman" w:hAnsi="Arial" w:cs="Times New Roman"/>
      <w:szCs w:val="24"/>
      <w:lang w:eastAsia="en-AU"/>
    </w:rPr>
  </w:style>
  <w:style w:type="character" w:customStyle="1" w:styleId="Heading2Char">
    <w:name w:val="Heading 2 Char"/>
    <w:link w:val="Heading2"/>
    <w:uiPriority w:val="99"/>
    <w:rsid w:val="006C608B"/>
    <w:rPr>
      <w:rFonts w:ascii="Arial" w:eastAsia="Times New Roman" w:hAnsi="Arial"/>
      <w:b/>
      <w:bCs/>
      <w:sz w:val="28"/>
      <w:szCs w:val="26"/>
    </w:rPr>
  </w:style>
  <w:style w:type="paragraph" w:customStyle="1" w:styleId="TOCHeading1">
    <w:name w:val="TOC Heading1"/>
    <w:basedOn w:val="Heading1"/>
    <w:next w:val="Normal"/>
    <w:uiPriority w:val="39"/>
    <w:semiHidden/>
    <w:unhideWhenUsed/>
    <w:qFormat/>
    <w:rsid w:val="00AF2139"/>
    <w:pPr>
      <w:spacing w:after="0"/>
      <w:outlineLvl w:val="9"/>
    </w:pPr>
    <w:rPr>
      <w:rFonts w:ascii="Cambria" w:hAnsi="Cambria"/>
      <w:color w:val="71BEC4"/>
      <w:spacing w:val="0"/>
      <w:sz w:val="28"/>
      <w:lang w:val="en-US" w:eastAsia="ja-JP"/>
    </w:rPr>
  </w:style>
  <w:style w:type="paragraph" w:styleId="TOC1">
    <w:name w:val="toc 1"/>
    <w:basedOn w:val="Normal"/>
    <w:next w:val="Normal"/>
    <w:autoRedefine/>
    <w:uiPriority w:val="39"/>
    <w:unhideWhenUsed/>
    <w:rsid w:val="00990B0A"/>
    <w:pPr>
      <w:tabs>
        <w:tab w:val="right" w:leader="dot" w:pos="9016"/>
      </w:tabs>
      <w:spacing w:before="60" w:after="0"/>
    </w:pPr>
    <w:rPr>
      <w:rFonts w:cs="Arial"/>
      <w:noProof/>
      <w:color w:val="000000"/>
    </w:rPr>
  </w:style>
  <w:style w:type="paragraph" w:customStyle="1" w:styleId="MediumGrid22">
    <w:name w:val="Medium Grid 22"/>
    <w:basedOn w:val="Normal"/>
    <w:uiPriority w:val="1"/>
    <w:qFormat/>
    <w:rsid w:val="00AC08D9"/>
    <w:pPr>
      <w:spacing w:after="0" w:line="240" w:lineRule="auto"/>
    </w:pPr>
    <w:rPr>
      <w:rFonts w:ascii="Calibri" w:eastAsia="Calibri" w:hAnsi="Calibri" w:cs="Calibri"/>
      <w:szCs w:val="22"/>
      <w:lang w:eastAsia="en-US"/>
    </w:rPr>
  </w:style>
  <w:style w:type="paragraph" w:customStyle="1" w:styleId="APA">
    <w:name w:val="APA"/>
    <w:basedOn w:val="Normal"/>
    <w:uiPriority w:val="99"/>
    <w:rsid w:val="00AC08D9"/>
    <w:pPr>
      <w:spacing w:after="0" w:line="480" w:lineRule="auto"/>
      <w:ind w:firstLine="709"/>
    </w:pPr>
    <w:rPr>
      <w:rFonts w:ascii="Times New Roman" w:eastAsia="Arial Unicode MS" w:hAnsi="Times New Roman"/>
      <w:sz w:val="24"/>
      <w:lang w:val="en-US"/>
    </w:rPr>
  </w:style>
  <w:style w:type="character" w:customStyle="1" w:styleId="citationarticleauthors">
    <w:name w:val="citationarticleauthors"/>
    <w:rsid w:val="00AC08D9"/>
  </w:style>
  <w:style w:type="character" w:customStyle="1" w:styleId="citationarticleyear">
    <w:name w:val="citationarticleyear"/>
    <w:rsid w:val="00AC08D9"/>
  </w:style>
  <w:style w:type="character" w:customStyle="1" w:styleId="citationarticletitle">
    <w:name w:val="citationarticletitle"/>
    <w:rsid w:val="00AC08D9"/>
  </w:style>
  <w:style w:type="character" w:customStyle="1" w:styleId="citationjournaltitle">
    <w:name w:val="citationjournaltitle"/>
    <w:rsid w:val="00AC08D9"/>
  </w:style>
  <w:style w:type="character" w:customStyle="1" w:styleId="citationjournalvolumeandpart">
    <w:name w:val="citationjournalvolumeandpart"/>
    <w:rsid w:val="00AC08D9"/>
  </w:style>
  <w:style w:type="character" w:customStyle="1" w:styleId="citationjournalpages">
    <w:name w:val="citationjournalpages"/>
    <w:rsid w:val="00AC08D9"/>
  </w:style>
  <w:style w:type="character" w:styleId="HTMLCite">
    <w:name w:val="HTML Cite"/>
    <w:uiPriority w:val="99"/>
    <w:semiHidden/>
    <w:unhideWhenUsed/>
    <w:rsid w:val="00AC08D9"/>
    <w:rPr>
      <w:i/>
      <w:iCs/>
    </w:rPr>
  </w:style>
  <w:style w:type="character" w:customStyle="1" w:styleId="slug-pub-date">
    <w:name w:val="slug-pub-date"/>
    <w:rsid w:val="00AC08D9"/>
  </w:style>
  <w:style w:type="character" w:customStyle="1" w:styleId="slug-vol">
    <w:name w:val="slug-vol"/>
    <w:rsid w:val="00AC08D9"/>
  </w:style>
  <w:style w:type="character" w:customStyle="1" w:styleId="slug-issue">
    <w:name w:val="slug-issue"/>
    <w:rsid w:val="00AC08D9"/>
  </w:style>
  <w:style w:type="character" w:customStyle="1" w:styleId="slug-pages">
    <w:name w:val="slug-pages"/>
    <w:rsid w:val="00AC08D9"/>
  </w:style>
  <w:style w:type="character" w:customStyle="1" w:styleId="citation-abbreviation">
    <w:name w:val="citation-abbreviation"/>
    <w:rsid w:val="00AC08D9"/>
  </w:style>
  <w:style w:type="character" w:customStyle="1" w:styleId="citation-publication-date">
    <w:name w:val="citation-publication-date"/>
    <w:rsid w:val="00AC08D9"/>
  </w:style>
  <w:style w:type="character" w:customStyle="1" w:styleId="citation-volume">
    <w:name w:val="citation-volume"/>
    <w:rsid w:val="00AC08D9"/>
  </w:style>
  <w:style w:type="character" w:customStyle="1" w:styleId="citation-issue">
    <w:name w:val="citation-issue"/>
    <w:rsid w:val="00AC08D9"/>
  </w:style>
  <w:style w:type="character" w:customStyle="1" w:styleId="citation-flpages">
    <w:name w:val="citation-flpages"/>
    <w:rsid w:val="00AC08D9"/>
  </w:style>
  <w:style w:type="paragraph" w:styleId="NormalWeb">
    <w:name w:val="Normal (Web)"/>
    <w:basedOn w:val="Normal"/>
    <w:uiPriority w:val="99"/>
    <w:unhideWhenUsed/>
    <w:rsid w:val="00AC08D9"/>
    <w:pPr>
      <w:spacing w:after="0" w:line="240" w:lineRule="auto"/>
    </w:pPr>
    <w:rPr>
      <w:rFonts w:ascii="Times New Roman" w:eastAsia="Calibri" w:hAnsi="Times New Roman"/>
      <w:sz w:val="24"/>
    </w:rPr>
  </w:style>
  <w:style w:type="character" w:styleId="Emphasis">
    <w:name w:val="Emphasis"/>
    <w:uiPriority w:val="20"/>
    <w:qFormat/>
    <w:rsid w:val="00AC08D9"/>
    <w:rPr>
      <w:i/>
      <w:iCs/>
    </w:rPr>
  </w:style>
  <w:style w:type="paragraph" w:styleId="TOC2">
    <w:name w:val="toc 2"/>
    <w:basedOn w:val="Normal"/>
    <w:next w:val="Normal"/>
    <w:autoRedefine/>
    <w:uiPriority w:val="39"/>
    <w:unhideWhenUsed/>
    <w:rsid w:val="00AC08D9"/>
    <w:pPr>
      <w:spacing w:after="100"/>
      <w:ind w:left="220"/>
    </w:pPr>
  </w:style>
  <w:style w:type="paragraph" w:customStyle="1" w:styleId="SWSATitle">
    <w:name w:val="SWSA Title"/>
    <w:basedOn w:val="Heading1"/>
    <w:qFormat/>
    <w:rsid w:val="00023C4B"/>
  </w:style>
  <w:style w:type="paragraph" w:customStyle="1" w:styleId="SWSAHeading">
    <w:name w:val="SWSA Heading"/>
    <w:basedOn w:val="Heading2"/>
    <w:qFormat/>
    <w:rsid w:val="00023C4B"/>
  </w:style>
  <w:style w:type="paragraph" w:customStyle="1" w:styleId="SWSABody">
    <w:name w:val="SWSA Body"/>
    <w:basedOn w:val="Normal"/>
    <w:qFormat/>
    <w:rsid w:val="00023C4B"/>
    <w:pPr>
      <w:spacing w:after="120" w:line="240" w:lineRule="auto"/>
      <w:jc w:val="both"/>
    </w:pPr>
    <w:rPr>
      <w:rFonts w:ascii="Calibri" w:hAnsi="Calibri" w:cs="Calibri"/>
    </w:rPr>
  </w:style>
  <w:style w:type="paragraph" w:customStyle="1" w:styleId="SWSABullet">
    <w:name w:val="SWSA Bullet"/>
    <w:basedOn w:val="SWSABody"/>
    <w:qFormat/>
    <w:rsid w:val="00023C4B"/>
    <w:pPr>
      <w:numPr>
        <w:numId w:val="1"/>
      </w:numPr>
    </w:pPr>
    <w:rPr>
      <w:rFonts w:eastAsia="Calibri"/>
      <w:lang w:val="en-US" w:eastAsia="en-US"/>
    </w:rPr>
  </w:style>
  <w:style w:type="character" w:styleId="CommentReference">
    <w:name w:val="annotation reference"/>
    <w:uiPriority w:val="99"/>
    <w:rsid w:val="00A34EF6"/>
    <w:rPr>
      <w:sz w:val="18"/>
      <w:szCs w:val="18"/>
    </w:rPr>
  </w:style>
  <w:style w:type="paragraph" w:styleId="CommentText">
    <w:name w:val="annotation text"/>
    <w:basedOn w:val="Normal"/>
    <w:link w:val="CommentTextChar"/>
    <w:uiPriority w:val="99"/>
    <w:rsid w:val="00A34EF6"/>
    <w:rPr>
      <w:sz w:val="24"/>
    </w:rPr>
  </w:style>
  <w:style w:type="character" w:customStyle="1" w:styleId="CommentTextChar">
    <w:name w:val="Comment Text Char"/>
    <w:link w:val="CommentText"/>
    <w:uiPriority w:val="99"/>
    <w:rsid w:val="00A34EF6"/>
    <w:rPr>
      <w:rFonts w:ascii="Arial" w:eastAsia="Times New Roman" w:hAnsi="Arial"/>
      <w:sz w:val="24"/>
      <w:szCs w:val="24"/>
      <w:lang w:eastAsia="en-AU"/>
    </w:rPr>
  </w:style>
  <w:style w:type="paragraph" w:styleId="CommentSubject">
    <w:name w:val="annotation subject"/>
    <w:basedOn w:val="CommentText"/>
    <w:next w:val="CommentText"/>
    <w:link w:val="CommentSubjectChar"/>
    <w:rsid w:val="00A34EF6"/>
    <w:rPr>
      <w:b/>
      <w:bCs/>
    </w:rPr>
  </w:style>
  <w:style w:type="character" w:customStyle="1" w:styleId="CommentSubjectChar">
    <w:name w:val="Comment Subject Char"/>
    <w:link w:val="CommentSubject"/>
    <w:rsid w:val="00A34EF6"/>
    <w:rPr>
      <w:rFonts w:ascii="Arial" w:eastAsia="Times New Roman" w:hAnsi="Arial"/>
      <w:b/>
      <w:bCs/>
      <w:sz w:val="24"/>
      <w:szCs w:val="24"/>
      <w:lang w:eastAsia="en-AU"/>
    </w:rPr>
  </w:style>
  <w:style w:type="paragraph" w:styleId="ListParagraph">
    <w:name w:val="List Paragraph"/>
    <w:basedOn w:val="Normal"/>
    <w:uiPriority w:val="34"/>
    <w:qFormat/>
    <w:rsid w:val="009C712C"/>
    <w:pPr>
      <w:ind w:left="720"/>
      <w:contextualSpacing/>
    </w:pPr>
    <w:rPr>
      <w:rFonts w:ascii="Calibri" w:eastAsia="Calibri" w:hAnsi="Calibri"/>
      <w:szCs w:val="22"/>
      <w:lang w:eastAsia="en-US"/>
    </w:rPr>
  </w:style>
  <w:style w:type="character" w:styleId="IntenseEmphasis">
    <w:name w:val="Intense Emphasis"/>
    <w:qFormat/>
    <w:rsid w:val="006C608B"/>
    <w:rPr>
      <w:b/>
      <w:bCs/>
      <w:i/>
      <w:iCs/>
      <w:color w:val="auto"/>
    </w:rPr>
  </w:style>
  <w:style w:type="character" w:styleId="FollowedHyperlink">
    <w:name w:val="FollowedHyperlink"/>
    <w:rsid w:val="00C64BD0"/>
    <w:rPr>
      <w:color w:val="800080"/>
      <w:u w:val="single"/>
    </w:rPr>
  </w:style>
  <w:style w:type="paragraph" w:customStyle="1" w:styleId="authors">
    <w:name w:val="authors"/>
    <w:basedOn w:val="Normal"/>
    <w:rsid w:val="00603F25"/>
    <w:pPr>
      <w:spacing w:before="100" w:beforeAutospacing="1" w:after="100" w:afterAutospacing="1" w:line="240" w:lineRule="auto"/>
    </w:pPr>
    <w:rPr>
      <w:rFonts w:ascii="Times New Roman" w:hAnsi="Times New Roman"/>
      <w:sz w:val="24"/>
    </w:rPr>
  </w:style>
  <w:style w:type="paragraph" w:customStyle="1" w:styleId="body-paragraph">
    <w:name w:val="body-paragraph"/>
    <w:basedOn w:val="Normal"/>
    <w:rsid w:val="00306C62"/>
    <w:pPr>
      <w:spacing w:before="100" w:beforeAutospacing="1" w:after="100" w:afterAutospacing="1" w:line="240" w:lineRule="auto"/>
    </w:pPr>
    <w:rPr>
      <w:rFonts w:ascii="Times New Roman" w:hAnsi="Times New Roman"/>
      <w:sz w:val="24"/>
    </w:rPr>
  </w:style>
  <w:style w:type="paragraph" w:styleId="Revision">
    <w:name w:val="Revision"/>
    <w:hidden/>
    <w:rsid w:val="00CC3DB2"/>
    <w:rPr>
      <w:rFonts w:ascii="Arial" w:eastAsia="Times New Roman" w:hAnsi="Arial"/>
      <w:sz w:val="22"/>
      <w:szCs w:val="24"/>
    </w:rPr>
  </w:style>
  <w:style w:type="paragraph" w:customStyle="1" w:styleId="Default">
    <w:name w:val="Default"/>
    <w:rsid w:val="00482D3A"/>
    <w:pPr>
      <w:autoSpaceDE w:val="0"/>
      <w:autoSpaceDN w:val="0"/>
      <w:adjustRightInd w:val="0"/>
    </w:pPr>
    <w:rPr>
      <w:rFonts w:eastAsia="Times New Roman" w:cs="Calibri"/>
      <w:noProof/>
      <w:color w:val="000000"/>
      <w:sz w:val="24"/>
      <w:szCs w:val="24"/>
      <w:lang w:eastAsia="en-US"/>
    </w:rPr>
  </w:style>
  <w:style w:type="character" w:customStyle="1" w:styleId="APAtextChar">
    <w:name w:val="APA text Char"/>
    <w:rsid w:val="00301CB1"/>
    <w:rPr>
      <w:sz w:val="24"/>
      <w:szCs w:val="24"/>
      <w:lang w:val="en-US" w:eastAsia="en-US" w:bidi="ar-SA"/>
    </w:rPr>
  </w:style>
  <w:style w:type="character" w:styleId="Strong">
    <w:name w:val="Strong"/>
    <w:qFormat/>
    <w:rsid w:val="00B93EC5"/>
    <w:rPr>
      <w:b/>
      <w:bCs/>
    </w:rPr>
  </w:style>
  <w:style w:type="character" w:customStyle="1" w:styleId="Heading3Char">
    <w:name w:val="Heading 3 Char"/>
    <w:link w:val="Heading3"/>
    <w:uiPriority w:val="99"/>
    <w:rsid w:val="00033B49"/>
    <w:rPr>
      <w:rFonts w:ascii="Arial Bold" w:hAnsi="Arial Bold"/>
      <w:b/>
      <w:bCs/>
      <w:color w:val="000000"/>
      <w:sz w:val="24"/>
      <w:szCs w:val="26"/>
    </w:rPr>
  </w:style>
  <w:style w:type="numbering" w:customStyle="1" w:styleId="NoList1">
    <w:name w:val="No List1"/>
    <w:next w:val="NoList"/>
    <w:uiPriority w:val="99"/>
    <w:semiHidden/>
    <w:unhideWhenUsed/>
    <w:rsid w:val="008A2C7D"/>
  </w:style>
  <w:style w:type="paragraph" w:styleId="FootnoteText">
    <w:name w:val="footnote text"/>
    <w:basedOn w:val="Normal"/>
    <w:link w:val="FootnoteTextChar"/>
    <w:rsid w:val="0070766D"/>
    <w:rPr>
      <w:sz w:val="20"/>
      <w:szCs w:val="20"/>
    </w:rPr>
  </w:style>
  <w:style w:type="character" w:customStyle="1" w:styleId="FootnoteTextChar">
    <w:name w:val="Footnote Text Char"/>
    <w:link w:val="FootnoteText"/>
    <w:rsid w:val="0070766D"/>
    <w:rPr>
      <w:rFonts w:ascii="Arial" w:eastAsia="Times New Roman" w:hAnsi="Arial"/>
    </w:rPr>
  </w:style>
  <w:style w:type="character" w:styleId="FootnoteReference">
    <w:name w:val="footnote reference"/>
    <w:rsid w:val="0070766D"/>
    <w:rPr>
      <w:vertAlign w:val="superscript"/>
    </w:rPr>
  </w:style>
  <w:style w:type="character" w:customStyle="1" w:styleId="ARCtextChar">
    <w:name w:val="ARC text Char"/>
    <w:link w:val="ARCtext"/>
    <w:uiPriority w:val="99"/>
    <w:locked/>
    <w:rsid w:val="00E671F9"/>
    <w:rPr>
      <w:rFonts w:ascii="Arial" w:hAnsi="Arial" w:cs="Arial"/>
      <w:sz w:val="24"/>
      <w:lang w:eastAsia="en-US"/>
    </w:rPr>
  </w:style>
  <w:style w:type="paragraph" w:customStyle="1" w:styleId="ARCtext">
    <w:name w:val="ARC text"/>
    <w:basedOn w:val="Normal"/>
    <w:link w:val="ARCtextChar"/>
    <w:uiPriority w:val="99"/>
    <w:rsid w:val="00E671F9"/>
    <w:pPr>
      <w:spacing w:after="0" w:line="240" w:lineRule="auto"/>
      <w:ind w:right="-1" w:firstLine="540"/>
    </w:pPr>
    <w:rPr>
      <w:rFonts w:eastAsia="Calibri"/>
      <w:sz w:val="24"/>
      <w:szCs w:val="20"/>
      <w:lang w:eastAsia="en-US"/>
    </w:rPr>
  </w:style>
  <w:style w:type="numbering" w:customStyle="1" w:styleId="NoList2">
    <w:name w:val="No List2"/>
    <w:next w:val="NoList"/>
    <w:uiPriority w:val="99"/>
    <w:semiHidden/>
    <w:unhideWhenUsed/>
    <w:rsid w:val="008D1759"/>
  </w:style>
  <w:style w:type="paragraph" w:styleId="BodyText">
    <w:name w:val="Body Text"/>
    <w:aliases w:val="Body Text Char2,Body Text Char1 Char,Body Text Char2 Char Char,Body Text Char1 Char Char Char,Body Text Char2 Char Char Char Char,Body Text Char1 Char Char Char Char Char1,Body Text Char2 Char Char Char Char Char Char,Body Text Char Char1 Char"/>
    <w:basedOn w:val="Normal"/>
    <w:link w:val="BodyTextChar"/>
    <w:rsid w:val="008D1759"/>
    <w:pPr>
      <w:tabs>
        <w:tab w:val="right" w:pos="8640"/>
      </w:tabs>
      <w:spacing w:after="280" w:line="360" w:lineRule="auto"/>
      <w:jc w:val="both"/>
    </w:pPr>
    <w:rPr>
      <w:rFonts w:ascii="Times New Roman" w:hAnsi="Times New Roman"/>
      <w:spacing w:val="-2"/>
      <w:sz w:val="24"/>
      <w:szCs w:val="20"/>
      <w:lang w:eastAsia="en-US"/>
    </w:rPr>
  </w:style>
  <w:style w:type="character" w:customStyle="1" w:styleId="BodyTextChar">
    <w:name w:val="Body Text Char"/>
    <w:aliases w:val="Body Text Char2 Char,Body Text Char1 Char Char,Body Text Char2 Char Char Char,Body Text Char1 Char Char Char Char,Body Text Char2 Char Char Char Char Char,Body Text Char1 Char Char Char Char Char1 Char,Body Text Char Char1 Char Char"/>
    <w:link w:val="BodyText"/>
    <w:rsid w:val="008D1759"/>
    <w:rPr>
      <w:rFonts w:ascii="Times New Roman" w:eastAsia="Times New Roman" w:hAnsi="Times New Roman"/>
      <w:spacing w:val="-2"/>
      <w:sz w:val="24"/>
      <w:lang w:eastAsia="en-US"/>
    </w:rPr>
  </w:style>
  <w:style w:type="paragraph" w:customStyle="1" w:styleId="bodytext0">
    <w:name w:val="bodytext"/>
    <w:basedOn w:val="Normal"/>
    <w:rsid w:val="00356905"/>
    <w:pPr>
      <w:spacing w:before="120" w:after="120" w:line="240" w:lineRule="auto"/>
      <w:textAlignment w:val="baseline"/>
    </w:pPr>
    <w:rPr>
      <w:rFonts w:ascii="Tahoma" w:hAnsi="Tahoma" w:cs="Tahoma"/>
      <w:color w:val="000000"/>
      <w:sz w:val="20"/>
      <w:szCs w:val="20"/>
    </w:rPr>
  </w:style>
  <w:style w:type="character" w:customStyle="1" w:styleId="font-variable-name1">
    <w:name w:val="font-variable-name1"/>
    <w:rsid w:val="00356905"/>
    <w:rPr>
      <w:rFonts w:ascii="Verdana" w:hAnsi="Verdana" w:hint="default"/>
      <w:b/>
      <w:bCs/>
      <w:vanish w:val="0"/>
      <w:webHidden w:val="0"/>
      <w:color w:val="000000"/>
      <w:sz w:val="20"/>
      <w:szCs w:val="20"/>
      <w:vertAlign w:val="baseline"/>
      <w:specVanish w:val="0"/>
    </w:rPr>
  </w:style>
  <w:style w:type="character" w:customStyle="1" w:styleId="ft">
    <w:name w:val="ft"/>
    <w:rsid w:val="009E2F12"/>
  </w:style>
  <w:style w:type="paragraph" w:customStyle="1" w:styleId="MediumGrid21">
    <w:name w:val="Medium Grid 21"/>
    <w:basedOn w:val="Normal"/>
    <w:uiPriority w:val="1"/>
    <w:qFormat/>
    <w:rsid w:val="009E2F12"/>
    <w:pPr>
      <w:spacing w:after="0" w:line="240" w:lineRule="auto"/>
    </w:pPr>
    <w:rPr>
      <w:rFonts w:ascii="Calibri" w:eastAsia="Calibri" w:hAnsi="Calibri" w:cs="Calibri"/>
      <w:szCs w:val="22"/>
      <w:lang w:eastAsia="en-US"/>
    </w:rPr>
  </w:style>
  <w:style w:type="paragraph" w:customStyle="1" w:styleId="APArefs">
    <w:name w:val="APA refs"/>
    <w:rsid w:val="009E2F12"/>
    <w:pPr>
      <w:spacing w:line="480" w:lineRule="auto"/>
      <w:ind w:left="720" w:hanging="720"/>
    </w:pPr>
    <w:rPr>
      <w:rFonts w:ascii="Times New Roman" w:eastAsia="Times New Roman" w:hAnsi="Times New Roman"/>
      <w:sz w:val="24"/>
      <w:lang w:eastAsia="en-US"/>
    </w:rPr>
  </w:style>
  <w:style w:type="character" w:customStyle="1" w:styleId="citation">
    <w:name w:val="citation"/>
    <w:rsid w:val="009E2F12"/>
  </w:style>
  <w:style w:type="character" w:customStyle="1" w:styleId="ref-journal">
    <w:name w:val="ref-journal"/>
    <w:rsid w:val="009E2F12"/>
  </w:style>
  <w:style w:type="paragraph" w:styleId="PlainText">
    <w:name w:val="Plain Text"/>
    <w:basedOn w:val="Normal"/>
    <w:link w:val="PlainTextChar"/>
    <w:uiPriority w:val="99"/>
    <w:unhideWhenUsed/>
    <w:rsid w:val="000541AE"/>
    <w:pPr>
      <w:spacing w:after="0" w:line="240" w:lineRule="auto"/>
    </w:pPr>
    <w:rPr>
      <w:rFonts w:ascii="Calibri" w:eastAsia="Calibri" w:hAnsi="Calibri"/>
      <w:szCs w:val="21"/>
      <w:lang w:eastAsia="en-US"/>
    </w:rPr>
  </w:style>
  <w:style w:type="character" w:customStyle="1" w:styleId="PlainTextChar">
    <w:name w:val="Plain Text Char"/>
    <w:link w:val="PlainText"/>
    <w:uiPriority w:val="99"/>
    <w:rsid w:val="000541AE"/>
    <w:rPr>
      <w:sz w:val="22"/>
      <w:szCs w:val="21"/>
      <w:lang w:eastAsia="en-US"/>
    </w:rPr>
  </w:style>
  <w:style w:type="character" w:customStyle="1" w:styleId="Heading7Char">
    <w:name w:val="Heading 7 Char"/>
    <w:link w:val="Heading7"/>
    <w:rsid w:val="00F0634F"/>
    <w:rPr>
      <w:rFonts w:ascii="Calibri" w:eastAsia="MS Mincho" w:hAnsi="Calibri" w:cs="Times New Roman"/>
      <w:sz w:val="24"/>
      <w:szCs w:val="24"/>
      <w:lang w:eastAsia="en-AU"/>
    </w:rPr>
  </w:style>
  <w:style w:type="character" w:customStyle="1" w:styleId="Heading8Char">
    <w:name w:val="Heading 8 Char"/>
    <w:link w:val="Heading8"/>
    <w:semiHidden/>
    <w:rsid w:val="00F0634F"/>
    <w:rPr>
      <w:rFonts w:ascii="Calibri" w:eastAsia="MS Mincho" w:hAnsi="Calibri" w:cs="Times New Roman"/>
      <w:i/>
      <w:iCs/>
      <w:sz w:val="24"/>
      <w:szCs w:val="24"/>
      <w:lang w:eastAsia="en-AU"/>
    </w:rPr>
  </w:style>
  <w:style w:type="paragraph" w:styleId="Caption">
    <w:name w:val="caption"/>
    <w:basedOn w:val="Normal"/>
    <w:next w:val="Normal"/>
    <w:link w:val="CaptionChar"/>
    <w:qFormat/>
    <w:rsid w:val="00F0634F"/>
    <w:pPr>
      <w:spacing w:before="120" w:after="120" w:line="360" w:lineRule="atLeast"/>
      <w:jc w:val="both"/>
    </w:pPr>
    <w:rPr>
      <w:rFonts w:ascii="Times New Roman" w:eastAsia="Batang" w:hAnsi="Times New Roman"/>
      <w:b/>
      <w:bCs/>
      <w:sz w:val="24"/>
    </w:rPr>
  </w:style>
  <w:style w:type="character" w:customStyle="1" w:styleId="CaptionChar">
    <w:name w:val="Caption Char"/>
    <w:link w:val="Caption"/>
    <w:locked/>
    <w:rsid w:val="00F0634F"/>
    <w:rPr>
      <w:rFonts w:ascii="Times New Roman" w:eastAsia="Batang" w:hAnsi="Times New Roman"/>
      <w:b/>
      <w:bCs/>
      <w:sz w:val="24"/>
      <w:szCs w:val="24"/>
      <w:lang w:eastAsia="en-AU"/>
    </w:rPr>
  </w:style>
  <w:style w:type="paragraph" w:customStyle="1" w:styleId="StyleBodyTextLinespacingAtleast18pt">
    <w:name w:val="Style Body Text + Line spacing:  At least 18 pt"/>
    <w:basedOn w:val="BodyText"/>
    <w:rsid w:val="00F0634F"/>
    <w:pPr>
      <w:tabs>
        <w:tab w:val="clear" w:pos="8640"/>
      </w:tabs>
      <w:spacing w:after="0" w:line="360" w:lineRule="atLeast"/>
    </w:pPr>
    <w:rPr>
      <w:rFonts w:ascii="Arial" w:hAnsi="Arial"/>
      <w:spacing w:val="0"/>
      <w:sz w:val="20"/>
    </w:rPr>
  </w:style>
  <w:style w:type="paragraph" w:styleId="DocumentMap">
    <w:name w:val="Document Map"/>
    <w:basedOn w:val="Normal"/>
    <w:link w:val="DocumentMapChar"/>
    <w:rsid w:val="00E376D1"/>
    <w:rPr>
      <w:rFonts w:ascii="Tahoma" w:hAnsi="Tahoma"/>
      <w:sz w:val="16"/>
      <w:szCs w:val="16"/>
    </w:rPr>
  </w:style>
  <w:style w:type="character" w:customStyle="1" w:styleId="DocumentMapChar">
    <w:name w:val="Document Map Char"/>
    <w:link w:val="DocumentMap"/>
    <w:rsid w:val="00E376D1"/>
    <w:rPr>
      <w:rFonts w:ascii="Tahoma" w:eastAsia="Times New Roman" w:hAnsi="Tahoma" w:cs="Tahoma"/>
      <w:sz w:val="16"/>
      <w:szCs w:val="16"/>
    </w:rPr>
  </w:style>
  <w:style w:type="table" w:styleId="TableGrid">
    <w:name w:val="Table Grid"/>
    <w:basedOn w:val="TableNormal"/>
    <w:uiPriority w:val="59"/>
    <w:rsid w:val="009F46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F46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53C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51F7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18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D18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E6F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rsid w:val="00C20E82"/>
  </w:style>
  <w:style w:type="character" w:customStyle="1" w:styleId="spelle">
    <w:name w:val="spelle"/>
    <w:rsid w:val="00C20E82"/>
  </w:style>
  <w:style w:type="paragraph" w:styleId="Title">
    <w:name w:val="Title"/>
    <w:basedOn w:val="Normal"/>
    <w:next w:val="Normal"/>
    <w:link w:val="TitleChar"/>
    <w:qFormat/>
    <w:rsid w:val="00767BCD"/>
    <w:pPr>
      <w:pBdr>
        <w:bottom w:val="single" w:sz="8" w:space="4" w:color="4F81BD" w:themeColor="accent1"/>
      </w:pBdr>
      <w:spacing w:before="1560" w:after="3000" w:line="240" w:lineRule="auto"/>
      <w:jc w:val="center"/>
    </w:pPr>
    <w:rPr>
      <w:rFonts w:eastAsiaTheme="majorEastAsia" w:cs="Arial"/>
      <w:b/>
      <w:bCs/>
      <w:color w:val="auto"/>
      <w:spacing w:val="5"/>
      <w:kern w:val="28"/>
      <w:sz w:val="52"/>
      <w:szCs w:val="52"/>
    </w:rPr>
  </w:style>
  <w:style w:type="character" w:customStyle="1" w:styleId="TitleChar">
    <w:name w:val="Title Char"/>
    <w:basedOn w:val="DefaultParagraphFont"/>
    <w:link w:val="Title"/>
    <w:rsid w:val="00767BCD"/>
    <w:rPr>
      <w:rFonts w:ascii="Arial" w:eastAsiaTheme="majorEastAsia" w:hAnsi="Arial" w:cs="Arial"/>
      <w:b/>
      <w:bCs/>
      <w:spacing w:val="5"/>
      <w:kern w:val="28"/>
      <w:sz w:val="52"/>
      <w:szCs w:val="52"/>
    </w:rPr>
  </w:style>
  <w:style w:type="paragraph" w:customStyle="1" w:styleId="FigureCaption">
    <w:name w:val="Figure: Caption"/>
    <w:basedOn w:val="Normal"/>
    <w:next w:val="Normal"/>
    <w:qFormat/>
    <w:rsid w:val="006466CB"/>
    <w:pPr>
      <w:spacing w:before="120" w:after="120"/>
    </w:pPr>
    <w:rPr>
      <w:rFonts w:ascii="Arial Bold" w:hAnsi="Arial Bold"/>
      <w:b/>
      <w:sz w:val="20"/>
    </w:rPr>
  </w:style>
  <w:style w:type="character" w:customStyle="1" w:styleId="Heading4Char">
    <w:name w:val="Heading 4 Char"/>
    <w:basedOn w:val="DefaultParagraphFont"/>
    <w:link w:val="Heading4"/>
    <w:rsid w:val="0023074F"/>
    <w:rPr>
      <w:rFonts w:ascii="Arial" w:eastAsiaTheme="majorEastAsia" w:hAnsi="Arial" w:cstheme="majorBidi"/>
      <w:iCs/>
      <w:sz w:val="22"/>
      <w:szCs w:val="26"/>
    </w:rPr>
  </w:style>
  <w:style w:type="paragraph" w:styleId="NoSpacing">
    <w:name w:val="No Spacing"/>
    <w:link w:val="NoSpacingChar"/>
    <w:uiPriority w:val="1"/>
    <w:qFormat/>
    <w:rsid w:val="00FA150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A1505"/>
    <w:rPr>
      <w:rFonts w:asciiTheme="minorHAnsi" w:eastAsiaTheme="minorEastAsia" w:hAnsiTheme="minorHAnsi" w:cstheme="minorBidi"/>
      <w:sz w:val="22"/>
      <w:szCs w:val="22"/>
      <w:lang w:val="en-US" w:eastAsia="ja-JP"/>
    </w:rPr>
  </w:style>
  <w:style w:type="paragraph" w:styleId="Quote">
    <w:name w:val="Quote"/>
    <w:basedOn w:val="Normal"/>
    <w:next w:val="Normal"/>
    <w:link w:val="QuoteChar"/>
    <w:qFormat/>
    <w:rsid w:val="00AB452D"/>
    <w:pPr>
      <w:ind w:left="567"/>
    </w:pPr>
    <w:rPr>
      <w:i/>
      <w:iCs/>
    </w:rPr>
  </w:style>
  <w:style w:type="character" w:customStyle="1" w:styleId="QuoteChar">
    <w:name w:val="Quote Char"/>
    <w:basedOn w:val="DefaultParagraphFont"/>
    <w:link w:val="Quote"/>
    <w:rsid w:val="00AB452D"/>
    <w:rPr>
      <w:rFonts w:ascii="Arial" w:eastAsia="Times New Roman" w:hAnsi="Arial"/>
      <w:i/>
      <w:iCs/>
      <w:color w:val="000000" w:themeColor="text1"/>
      <w:sz w:val="22"/>
      <w:szCs w:val="24"/>
    </w:rPr>
  </w:style>
  <w:style w:type="paragraph" w:styleId="TOC3">
    <w:name w:val="toc 3"/>
    <w:basedOn w:val="Normal"/>
    <w:next w:val="Normal"/>
    <w:autoRedefine/>
    <w:uiPriority w:val="39"/>
    <w:rsid w:val="005876C6"/>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9"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HTML Cite" w:uiPriority="99"/>
    <w:lsdException w:name="Balloon Text" w:uiPriority="99"/>
    <w:lsdException w:name="Table Grid" w:uiPriority="59"/>
    <w:lsdException w:name="No Spacing" w:uiPriority="1"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0261BD"/>
    <w:pPr>
      <w:spacing w:after="200" w:line="276" w:lineRule="auto"/>
    </w:pPr>
    <w:rPr>
      <w:rFonts w:ascii="Arial" w:eastAsia="Times New Roman" w:hAnsi="Arial"/>
      <w:color w:val="000000" w:themeColor="text1"/>
      <w:sz w:val="22"/>
      <w:szCs w:val="24"/>
    </w:rPr>
  </w:style>
  <w:style w:type="paragraph" w:styleId="Heading1">
    <w:name w:val="heading 1"/>
    <w:basedOn w:val="Normal"/>
    <w:next w:val="Normal"/>
    <w:link w:val="Heading1Char"/>
    <w:uiPriority w:val="9"/>
    <w:qFormat/>
    <w:rsid w:val="00422714"/>
    <w:pPr>
      <w:keepNext/>
      <w:keepLines/>
      <w:pageBreakBefore/>
      <w:spacing w:before="160" w:after="240"/>
      <w:outlineLvl w:val="0"/>
    </w:pPr>
    <w:rPr>
      <w:rFonts w:ascii="Arial Bold" w:hAnsi="Arial Bold"/>
      <w:b/>
      <w:bCs/>
      <w:color w:val="auto"/>
      <w:spacing w:val="40"/>
      <w:sz w:val="32"/>
      <w:szCs w:val="28"/>
    </w:rPr>
  </w:style>
  <w:style w:type="paragraph" w:styleId="Heading2">
    <w:name w:val="heading 2"/>
    <w:basedOn w:val="Normal"/>
    <w:next w:val="Normal"/>
    <w:link w:val="Heading2Char"/>
    <w:uiPriority w:val="99"/>
    <w:qFormat/>
    <w:rsid w:val="006C608B"/>
    <w:pPr>
      <w:keepNext/>
      <w:keepLines/>
      <w:spacing w:before="200"/>
      <w:outlineLvl w:val="1"/>
    </w:pPr>
    <w:rPr>
      <w:b/>
      <w:bCs/>
      <w:sz w:val="28"/>
      <w:szCs w:val="26"/>
    </w:rPr>
  </w:style>
  <w:style w:type="paragraph" w:styleId="Heading3">
    <w:name w:val="heading 3"/>
    <w:basedOn w:val="Normal"/>
    <w:next w:val="Normal"/>
    <w:link w:val="Heading3Char"/>
    <w:uiPriority w:val="99"/>
    <w:qFormat/>
    <w:rsid w:val="00033B49"/>
    <w:pPr>
      <w:autoSpaceDE w:val="0"/>
      <w:autoSpaceDN w:val="0"/>
      <w:adjustRightInd w:val="0"/>
      <w:spacing w:after="120" w:line="240" w:lineRule="auto"/>
      <w:outlineLvl w:val="2"/>
    </w:pPr>
    <w:rPr>
      <w:rFonts w:ascii="Arial Bold" w:eastAsia="Calibri" w:hAnsi="Arial Bold"/>
      <w:b/>
      <w:bCs/>
      <w:color w:val="000000"/>
      <w:sz w:val="24"/>
      <w:szCs w:val="26"/>
    </w:rPr>
  </w:style>
  <w:style w:type="paragraph" w:styleId="Heading4">
    <w:name w:val="heading 4"/>
    <w:basedOn w:val="Heading3"/>
    <w:next w:val="Normal"/>
    <w:link w:val="Heading4Char"/>
    <w:unhideWhenUsed/>
    <w:qFormat/>
    <w:rsid w:val="0023074F"/>
    <w:pPr>
      <w:keepNext/>
      <w:keepLines/>
      <w:spacing w:before="200"/>
      <w:outlineLvl w:val="3"/>
    </w:pPr>
    <w:rPr>
      <w:rFonts w:ascii="Arial" w:eastAsiaTheme="majorEastAsia" w:hAnsi="Arial" w:cstheme="majorBidi"/>
      <w:b w:val="0"/>
      <w:bCs w:val="0"/>
      <w:iCs/>
      <w:color w:val="auto"/>
      <w:sz w:val="22"/>
    </w:rPr>
  </w:style>
  <w:style w:type="paragraph" w:styleId="Heading7">
    <w:name w:val="heading 7"/>
    <w:basedOn w:val="Normal"/>
    <w:next w:val="Normal"/>
    <w:link w:val="Heading7Char"/>
    <w:semiHidden/>
    <w:unhideWhenUsed/>
    <w:qFormat/>
    <w:rsid w:val="00F0634F"/>
    <w:pPr>
      <w:spacing w:before="240" w:after="60"/>
      <w:outlineLvl w:val="6"/>
    </w:pPr>
    <w:rPr>
      <w:rFonts w:ascii="Calibri" w:eastAsia="MS Mincho" w:hAnsi="Calibri"/>
      <w:sz w:val="24"/>
    </w:rPr>
  </w:style>
  <w:style w:type="paragraph" w:styleId="Heading8">
    <w:name w:val="heading 8"/>
    <w:basedOn w:val="Normal"/>
    <w:next w:val="Normal"/>
    <w:link w:val="Heading8Char"/>
    <w:semiHidden/>
    <w:unhideWhenUsed/>
    <w:qFormat/>
    <w:rsid w:val="00F0634F"/>
    <w:pPr>
      <w:spacing w:before="240" w:after="60"/>
      <w:outlineLvl w:val="7"/>
    </w:pPr>
    <w:rPr>
      <w:rFonts w:ascii="Calibri" w:eastAsia="MS Mincho" w:hAnsi="Calibr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6270"/>
    <w:pPr>
      <w:spacing w:after="0" w:line="240" w:lineRule="auto"/>
    </w:pPr>
    <w:rPr>
      <w:rFonts w:ascii="Tahoma" w:eastAsia="Calibri" w:hAnsi="Tahoma"/>
      <w:sz w:val="16"/>
      <w:szCs w:val="16"/>
    </w:rPr>
  </w:style>
  <w:style w:type="character" w:customStyle="1" w:styleId="BalloonTextChar">
    <w:name w:val="Balloon Text Char"/>
    <w:link w:val="BalloonText"/>
    <w:uiPriority w:val="99"/>
    <w:semiHidden/>
    <w:rsid w:val="00456270"/>
    <w:rPr>
      <w:rFonts w:ascii="Tahoma" w:hAnsi="Tahoma" w:cs="Tahoma"/>
      <w:sz w:val="16"/>
      <w:szCs w:val="16"/>
    </w:rPr>
  </w:style>
  <w:style w:type="character" w:styleId="Hyperlink">
    <w:name w:val="Hyperlink"/>
    <w:uiPriority w:val="99"/>
    <w:rsid w:val="00CE6635"/>
    <w:rPr>
      <w:rFonts w:ascii="Arial" w:hAnsi="Arial"/>
      <w:color w:val="2D2D8A"/>
      <w:sz w:val="22"/>
      <w:szCs w:val="22"/>
      <w:u w:val="single"/>
    </w:rPr>
  </w:style>
  <w:style w:type="character" w:customStyle="1" w:styleId="TenderCoverDetails">
    <w:name w:val="Tender Cover Details"/>
    <w:rsid w:val="00456270"/>
    <w:rPr>
      <w:rFonts w:ascii="Arial" w:hAnsi="Arial"/>
      <w:b/>
      <w:bCs/>
      <w:sz w:val="36"/>
    </w:rPr>
  </w:style>
  <w:style w:type="character" w:customStyle="1" w:styleId="Heading1Char">
    <w:name w:val="Heading 1 Char"/>
    <w:link w:val="Heading1"/>
    <w:uiPriority w:val="9"/>
    <w:rsid w:val="00422714"/>
    <w:rPr>
      <w:rFonts w:ascii="Arial Bold" w:eastAsia="Times New Roman" w:hAnsi="Arial Bold"/>
      <w:b/>
      <w:bCs/>
      <w:spacing w:val="40"/>
      <w:sz w:val="32"/>
      <w:szCs w:val="28"/>
    </w:rPr>
  </w:style>
  <w:style w:type="paragraph" w:styleId="Header">
    <w:name w:val="header"/>
    <w:basedOn w:val="Normal"/>
    <w:link w:val="HeaderChar"/>
    <w:uiPriority w:val="99"/>
    <w:unhideWhenUsed/>
    <w:rsid w:val="001159F1"/>
    <w:pPr>
      <w:tabs>
        <w:tab w:val="center" w:pos="4513"/>
        <w:tab w:val="right" w:pos="9026"/>
      </w:tabs>
    </w:pPr>
    <w:rPr>
      <w:sz w:val="20"/>
    </w:rPr>
  </w:style>
  <w:style w:type="character" w:customStyle="1" w:styleId="HeaderChar">
    <w:name w:val="Header Char"/>
    <w:link w:val="Header"/>
    <w:uiPriority w:val="99"/>
    <w:rsid w:val="001159F1"/>
    <w:rPr>
      <w:rFonts w:ascii="Arial" w:eastAsia="Times New Roman" w:hAnsi="Arial" w:cs="Times New Roman"/>
      <w:szCs w:val="24"/>
      <w:lang w:eastAsia="en-AU"/>
    </w:rPr>
  </w:style>
  <w:style w:type="paragraph" w:styleId="Footer">
    <w:name w:val="footer"/>
    <w:basedOn w:val="Normal"/>
    <w:link w:val="FooterChar"/>
    <w:uiPriority w:val="99"/>
    <w:unhideWhenUsed/>
    <w:rsid w:val="001159F1"/>
    <w:pPr>
      <w:tabs>
        <w:tab w:val="center" w:pos="4513"/>
        <w:tab w:val="right" w:pos="9026"/>
      </w:tabs>
    </w:pPr>
    <w:rPr>
      <w:sz w:val="20"/>
    </w:rPr>
  </w:style>
  <w:style w:type="character" w:customStyle="1" w:styleId="FooterChar">
    <w:name w:val="Footer Char"/>
    <w:link w:val="Footer"/>
    <w:uiPriority w:val="99"/>
    <w:rsid w:val="001159F1"/>
    <w:rPr>
      <w:rFonts w:ascii="Arial" w:eastAsia="Times New Roman" w:hAnsi="Arial" w:cs="Times New Roman"/>
      <w:szCs w:val="24"/>
      <w:lang w:eastAsia="en-AU"/>
    </w:rPr>
  </w:style>
  <w:style w:type="character" w:customStyle="1" w:styleId="Heading2Char">
    <w:name w:val="Heading 2 Char"/>
    <w:link w:val="Heading2"/>
    <w:uiPriority w:val="99"/>
    <w:rsid w:val="006C608B"/>
    <w:rPr>
      <w:rFonts w:ascii="Arial" w:eastAsia="Times New Roman" w:hAnsi="Arial"/>
      <w:b/>
      <w:bCs/>
      <w:sz w:val="28"/>
      <w:szCs w:val="26"/>
    </w:rPr>
  </w:style>
  <w:style w:type="paragraph" w:customStyle="1" w:styleId="TOCHeading1">
    <w:name w:val="TOC Heading1"/>
    <w:basedOn w:val="Heading1"/>
    <w:next w:val="Normal"/>
    <w:uiPriority w:val="39"/>
    <w:semiHidden/>
    <w:unhideWhenUsed/>
    <w:qFormat/>
    <w:rsid w:val="00AF2139"/>
    <w:pPr>
      <w:spacing w:after="0"/>
      <w:outlineLvl w:val="9"/>
    </w:pPr>
    <w:rPr>
      <w:rFonts w:ascii="Cambria" w:hAnsi="Cambria"/>
      <w:color w:val="71BEC4"/>
      <w:spacing w:val="0"/>
      <w:sz w:val="28"/>
      <w:lang w:val="en-US" w:eastAsia="ja-JP"/>
    </w:rPr>
  </w:style>
  <w:style w:type="paragraph" w:styleId="TOC1">
    <w:name w:val="toc 1"/>
    <w:basedOn w:val="Normal"/>
    <w:next w:val="Normal"/>
    <w:autoRedefine/>
    <w:uiPriority w:val="39"/>
    <w:unhideWhenUsed/>
    <w:rsid w:val="00990B0A"/>
    <w:pPr>
      <w:tabs>
        <w:tab w:val="right" w:leader="dot" w:pos="9016"/>
      </w:tabs>
      <w:spacing w:before="60" w:after="0"/>
    </w:pPr>
    <w:rPr>
      <w:rFonts w:cs="Arial"/>
      <w:noProof/>
      <w:color w:val="000000"/>
    </w:rPr>
  </w:style>
  <w:style w:type="paragraph" w:customStyle="1" w:styleId="MediumGrid22">
    <w:name w:val="Medium Grid 22"/>
    <w:basedOn w:val="Normal"/>
    <w:uiPriority w:val="1"/>
    <w:qFormat/>
    <w:rsid w:val="00AC08D9"/>
    <w:pPr>
      <w:spacing w:after="0" w:line="240" w:lineRule="auto"/>
    </w:pPr>
    <w:rPr>
      <w:rFonts w:ascii="Calibri" w:eastAsia="Calibri" w:hAnsi="Calibri" w:cs="Calibri"/>
      <w:szCs w:val="22"/>
      <w:lang w:eastAsia="en-US"/>
    </w:rPr>
  </w:style>
  <w:style w:type="paragraph" w:customStyle="1" w:styleId="APA">
    <w:name w:val="APA"/>
    <w:basedOn w:val="Normal"/>
    <w:uiPriority w:val="99"/>
    <w:rsid w:val="00AC08D9"/>
    <w:pPr>
      <w:spacing w:after="0" w:line="480" w:lineRule="auto"/>
      <w:ind w:firstLine="709"/>
    </w:pPr>
    <w:rPr>
      <w:rFonts w:ascii="Times New Roman" w:eastAsia="Arial Unicode MS" w:hAnsi="Times New Roman"/>
      <w:sz w:val="24"/>
      <w:lang w:val="en-US"/>
    </w:rPr>
  </w:style>
  <w:style w:type="character" w:customStyle="1" w:styleId="citationarticleauthors">
    <w:name w:val="citationarticleauthors"/>
    <w:rsid w:val="00AC08D9"/>
  </w:style>
  <w:style w:type="character" w:customStyle="1" w:styleId="citationarticleyear">
    <w:name w:val="citationarticleyear"/>
    <w:rsid w:val="00AC08D9"/>
  </w:style>
  <w:style w:type="character" w:customStyle="1" w:styleId="citationarticletitle">
    <w:name w:val="citationarticletitle"/>
    <w:rsid w:val="00AC08D9"/>
  </w:style>
  <w:style w:type="character" w:customStyle="1" w:styleId="citationjournaltitle">
    <w:name w:val="citationjournaltitle"/>
    <w:rsid w:val="00AC08D9"/>
  </w:style>
  <w:style w:type="character" w:customStyle="1" w:styleId="citationjournalvolumeandpart">
    <w:name w:val="citationjournalvolumeandpart"/>
    <w:rsid w:val="00AC08D9"/>
  </w:style>
  <w:style w:type="character" w:customStyle="1" w:styleId="citationjournalpages">
    <w:name w:val="citationjournalpages"/>
    <w:rsid w:val="00AC08D9"/>
  </w:style>
  <w:style w:type="character" w:styleId="HTMLCite">
    <w:name w:val="HTML Cite"/>
    <w:uiPriority w:val="99"/>
    <w:semiHidden/>
    <w:unhideWhenUsed/>
    <w:rsid w:val="00AC08D9"/>
    <w:rPr>
      <w:i/>
      <w:iCs/>
    </w:rPr>
  </w:style>
  <w:style w:type="character" w:customStyle="1" w:styleId="slug-pub-date">
    <w:name w:val="slug-pub-date"/>
    <w:rsid w:val="00AC08D9"/>
  </w:style>
  <w:style w:type="character" w:customStyle="1" w:styleId="slug-vol">
    <w:name w:val="slug-vol"/>
    <w:rsid w:val="00AC08D9"/>
  </w:style>
  <w:style w:type="character" w:customStyle="1" w:styleId="slug-issue">
    <w:name w:val="slug-issue"/>
    <w:rsid w:val="00AC08D9"/>
  </w:style>
  <w:style w:type="character" w:customStyle="1" w:styleId="slug-pages">
    <w:name w:val="slug-pages"/>
    <w:rsid w:val="00AC08D9"/>
  </w:style>
  <w:style w:type="character" w:customStyle="1" w:styleId="citation-abbreviation">
    <w:name w:val="citation-abbreviation"/>
    <w:rsid w:val="00AC08D9"/>
  </w:style>
  <w:style w:type="character" w:customStyle="1" w:styleId="citation-publication-date">
    <w:name w:val="citation-publication-date"/>
    <w:rsid w:val="00AC08D9"/>
  </w:style>
  <w:style w:type="character" w:customStyle="1" w:styleId="citation-volume">
    <w:name w:val="citation-volume"/>
    <w:rsid w:val="00AC08D9"/>
  </w:style>
  <w:style w:type="character" w:customStyle="1" w:styleId="citation-issue">
    <w:name w:val="citation-issue"/>
    <w:rsid w:val="00AC08D9"/>
  </w:style>
  <w:style w:type="character" w:customStyle="1" w:styleId="citation-flpages">
    <w:name w:val="citation-flpages"/>
    <w:rsid w:val="00AC08D9"/>
  </w:style>
  <w:style w:type="paragraph" w:styleId="NormalWeb">
    <w:name w:val="Normal (Web)"/>
    <w:basedOn w:val="Normal"/>
    <w:uiPriority w:val="99"/>
    <w:unhideWhenUsed/>
    <w:rsid w:val="00AC08D9"/>
    <w:pPr>
      <w:spacing w:after="0" w:line="240" w:lineRule="auto"/>
    </w:pPr>
    <w:rPr>
      <w:rFonts w:ascii="Times New Roman" w:eastAsia="Calibri" w:hAnsi="Times New Roman"/>
      <w:sz w:val="24"/>
    </w:rPr>
  </w:style>
  <w:style w:type="character" w:styleId="Emphasis">
    <w:name w:val="Emphasis"/>
    <w:uiPriority w:val="20"/>
    <w:qFormat/>
    <w:rsid w:val="00AC08D9"/>
    <w:rPr>
      <w:i/>
      <w:iCs/>
    </w:rPr>
  </w:style>
  <w:style w:type="paragraph" w:styleId="TOC2">
    <w:name w:val="toc 2"/>
    <w:basedOn w:val="Normal"/>
    <w:next w:val="Normal"/>
    <w:autoRedefine/>
    <w:uiPriority w:val="39"/>
    <w:unhideWhenUsed/>
    <w:rsid w:val="00AC08D9"/>
    <w:pPr>
      <w:spacing w:after="100"/>
      <w:ind w:left="220"/>
    </w:pPr>
  </w:style>
  <w:style w:type="paragraph" w:customStyle="1" w:styleId="SWSATitle">
    <w:name w:val="SWSA Title"/>
    <w:basedOn w:val="Heading1"/>
    <w:qFormat/>
    <w:rsid w:val="00023C4B"/>
  </w:style>
  <w:style w:type="paragraph" w:customStyle="1" w:styleId="SWSAHeading">
    <w:name w:val="SWSA Heading"/>
    <w:basedOn w:val="Heading2"/>
    <w:qFormat/>
    <w:rsid w:val="00023C4B"/>
  </w:style>
  <w:style w:type="paragraph" w:customStyle="1" w:styleId="SWSABody">
    <w:name w:val="SWSA Body"/>
    <w:basedOn w:val="Normal"/>
    <w:qFormat/>
    <w:rsid w:val="00023C4B"/>
    <w:pPr>
      <w:spacing w:after="120" w:line="240" w:lineRule="auto"/>
      <w:jc w:val="both"/>
    </w:pPr>
    <w:rPr>
      <w:rFonts w:ascii="Calibri" w:hAnsi="Calibri" w:cs="Calibri"/>
    </w:rPr>
  </w:style>
  <w:style w:type="paragraph" w:customStyle="1" w:styleId="SWSABullet">
    <w:name w:val="SWSA Bullet"/>
    <w:basedOn w:val="SWSABody"/>
    <w:qFormat/>
    <w:rsid w:val="00023C4B"/>
    <w:pPr>
      <w:numPr>
        <w:numId w:val="1"/>
      </w:numPr>
    </w:pPr>
    <w:rPr>
      <w:rFonts w:eastAsia="Calibri"/>
      <w:lang w:val="en-US" w:eastAsia="en-US"/>
    </w:rPr>
  </w:style>
  <w:style w:type="character" w:styleId="CommentReference">
    <w:name w:val="annotation reference"/>
    <w:uiPriority w:val="99"/>
    <w:rsid w:val="00A34EF6"/>
    <w:rPr>
      <w:sz w:val="18"/>
      <w:szCs w:val="18"/>
    </w:rPr>
  </w:style>
  <w:style w:type="paragraph" w:styleId="CommentText">
    <w:name w:val="annotation text"/>
    <w:basedOn w:val="Normal"/>
    <w:link w:val="CommentTextChar"/>
    <w:uiPriority w:val="99"/>
    <w:rsid w:val="00A34EF6"/>
    <w:rPr>
      <w:sz w:val="24"/>
    </w:rPr>
  </w:style>
  <w:style w:type="character" w:customStyle="1" w:styleId="CommentTextChar">
    <w:name w:val="Comment Text Char"/>
    <w:link w:val="CommentText"/>
    <w:uiPriority w:val="99"/>
    <w:rsid w:val="00A34EF6"/>
    <w:rPr>
      <w:rFonts w:ascii="Arial" w:eastAsia="Times New Roman" w:hAnsi="Arial"/>
      <w:sz w:val="24"/>
      <w:szCs w:val="24"/>
      <w:lang w:eastAsia="en-AU"/>
    </w:rPr>
  </w:style>
  <w:style w:type="paragraph" w:styleId="CommentSubject">
    <w:name w:val="annotation subject"/>
    <w:basedOn w:val="CommentText"/>
    <w:next w:val="CommentText"/>
    <w:link w:val="CommentSubjectChar"/>
    <w:rsid w:val="00A34EF6"/>
    <w:rPr>
      <w:b/>
      <w:bCs/>
    </w:rPr>
  </w:style>
  <w:style w:type="character" w:customStyle="1" w:styleId="CommentSubjectChar">
    <w:name w:val="Comment Subject Char"/>
    <w:link w:val="CommentSubject"/>
    <w:rsid w:val="00A34EF6"/>
    <w:rPr>
      <w:rFonts w:ascii="Arial" w:eastAsia="Times New Roman" w:hAnsi="Arial"/>
      <w:b/>
      <w:bCs/>
      <w:sz w:val="24"/>
      <w:szCs w:val="24"/>
      <w:lang w:eastAsia="en-AU"/>
    </w:rPr>
  </w:style>
  <w:style w:type="paragraph" w:styleId="ListParagraph">
    <w:name w:val="List Paragraph"/>
    <w:basedOn w:val="Normal"/>
    <w:uiPriority w:val="34"/>
    <w:qFormat/>
    <w:rsid w:val="009C712C"/>
    <w:pPr>
      <w:ind w:left="720"/>
      <w:contextualSpacing/>
    </w:pPr>
    <w:rPr>
      <w:rFonts w:ascii="Calibri" w:eastAsia="Calibri" w:hAnsi="Calibri"/>
      <w:szCs w:val="22"/>
      <w:lang w:eastAsia="en-US"/>
    </w:rPr>
  </w:style>
  <w:style w:type="character" w:styleId="IntenseEmphasis">
    <w:name w:val="Intense Emphasis"/>
    <w:qFormat/>
    <w:rsid w:val="006C608B"/>
    <w:rPr>
      <w:b/>
      <w:bCs/>
      <w:i/>
      <w:iCs/>
      <w:color w:val="auto"/>
    </w:rPr>
  </w:style>
  <w:style w:type="character" w:styleId="FollowedHyperlink">
    <w:name w:val="FollowedHyperlink"/>
    <w:rsid w:val="00C64BD0"/>
    <w:rPr>
      <w:color w:val="800080"/>
      <w:u w:val="single"/>
    </w:rPr>
  </w:style>
  <w:style w:type="paragraph" w:customStyle="1" w:styleId="authors">
    <w:name w:val="authors"/>
    <w:basedOn w:val="Normal"/>
    <w:rsid w:val="00603F25"/>
    <w:pPr>
      <w:spacing w:before="100" w:beforeAutospacing="1" w:after="100" w:afterAutospacing="1" w:line="240" w:lineRule="auto"/>
    </w:pPr>
    <w:rPr>
      <w:rFonts w:ascii="Times New Roman" w:hAnsi="Times New Roman"/>
      <w:sz w:val="24"/>
    </w:rPr>
  </w:style>
  <w:style w:type="paragraph" w:customStyle="1" w:styleId="body-paragraph">
    <w:name w:val="body-paragraph"/>
    <w:basedOn w:val="Normal"/>
    <w:rsid w:val="00306C62"/>
    <w:pPr>
      <w:spacing w:before="100" w:beforeAutospacing="1" w:after="100" w:afterAutospacing="1" w:line="240" w:lineRule="auto"/>
    </w:pPr>
    <w:rPr>
      <w:rFonts w:ascii="Times New Roman" w:hAnsi="Times New Roman"/>
      <w:sz w:val="24"/>
    </w:rPr>
  </w:style>
  <w:style w:type="paragraph" w:styleId="Revision">
    <w:name w:val="Revision"/>
    <w:hidden/>
    <w:rsid w:val="00CC3DB2"/>
    <w:rPr>
      <w:rFonts w:ascii="Arial" w:eastAsia="Times New Roman" w:hAnsi="Arial"/>
      <w:sz w:val="22"/>
      <w:szCs w:val="24"/>
    </w:rPr>
  </w:style>
  <w:style w:type="paragraph" w:customStyle="1" w:styleId="Default">
    <w:name w:val="Default"/>
    <w:rsid w:val="00482D3A"/>
    <w:pPr>
      <w:autoSpaceDE w:val="0"/>
      <w:autoSpaceDN w:val="0"/>
      <w:adjustRightInd w:val="0"/>
    </w:pPr>
    <w:rPr>
      <w:rFonts w:eastAsia="Times New Roman" w:cs="Calibri"/>
      <w:noProof/>
      <w:color w:val="000000"/>
      <w:sz w:val="24"/>
      <w:szCs w:val="24"/>
      <w:lang w:eastAsia="en-US"/>
    </w:rPr>
  </w:style>
  <w:style w:type="character" w:customStyle="1" w:styleId="APAtextChar">
    <w:name w:val="APA text Char"/>
    <w:rsid w:val="00301CB1"/>
    <w:rPr>
      <w:sz w:val="24"/>
      <w:szCs w:val="24"/>
      <w:lang w:val="en-US" w:eastAsia="en-US" w:bidi="ar-SA"/>
    </w:rPr>
  </w:style>
  <w:style w:type="character" w:styleId="Strong">
    <w:name w:val="Strong"/>
    <w:qFormat/>
    <w:rsid w:val="00B93EC5"/>
    <w:rPr>
      <w:b/>
      <w:bCs/>
    </w:rPr>
  </w:style>
  <w:style w:type="character" w:customStyle="1" w:styleId="Heading3Char">
    <w:name w:val="Heading 3 Char"/>
    <w:link w:val="Heading3"/>
    <w:uiPriority w:val="99"/>
    <w:rsid w:val="00033B49"/>
    <w:rPr>
      <w:rFonts w:ascii="Arial Bold" w:hAnsi="Arial Bold"/>
      <w:b/>
      <w:bCs/>
      <w:color w:val="000000"/>
      <w:sz w:val="24"/>
      <w:szCs w:val="26"/>
    </w:rPr>
  </w:style>
  <w:style w:type="numbering" w:customStyle="1" w:styleId="NoList1">
    <w:name w:val="No List1"/>
    <w:next w:val="NoList"/>
    <w:uiPriority w:val="99"/>
    <w:semiHidden/>
    <w:unhideWhenUsed/>
    <w:rsid w:val="008A2C7D"/>
  </w:style>
  <w:style w:type="paragraph" w:styleId="FootnoteText">
    <w:name w:val="footnote text"/>
    <w:basedOn w:val="Normal"/>
    <w:link w:val="FootnoteTextChar"/>
    <w:rsid w:val="0070766D"/>
    <w:rPr>
      <w:sz w:val="20"/>
      <w:szCs w:val="20"/>
    </w:rPr>
  </w:style>
  <w:style w:type="character" w:customStyle="1" w:styleId="FootnoteTextChar">
    <w:name w:val="Footnote Text Char"/>
    <w:link w:val="FootnoteText"/>
    <w:rsid w:val="0070766D"/>
    <w:rPr>
      <w:rFonts w:ascii="Arial" w:eastAsia="Times New Roman" w:hAnsi="Arial"/>
    </w:rPr>
  </w:style>
  <w:style w:type="character" w:styleId="FootnoteReference">
    <w:name w:val="footnote reference"/>
    <w:rsid w:val="0070766D"/>
    <w:rPr>
      <w:vertAlign w:val="superscript"/>
    </w:rPr>
  </w:style>
  <w:style w:type="character" w:customStyle="1" w:styleId="ARCtextChar">
    <w:name w:val="ARC text Char"/>
    <w:link w:val="ARCtext"/>
    <w:uiPriority w:val="99"/>
    <w:locked/>
    <w:rsid w:val="00E671F9"/>
    <w:rPr>
      <w:rFonts w:ascii="Arial" w:hAnsi="Arial" w:cs="Arial"/>
      <w:sz w:val="24"/>
      <w:lang w:eastAsia="en-US"/>
    </w:rPr>
  </w:style>
  <w:style w:type="paragraph" w:customStyle="1" w:styleId="ARCtext">
    <w:name w:val="ARC text"/>
    <w:basedOn w:val="Normal"/>
    <w:link w:val="ARCtextChar"/>
    <w:uiPriority w:val="99"/>
    <w:rsid w:val="00E671F9"/>
    <w:pPr>
      <w:spacing w:after="0" w:line="240" w:lineRule="auto"/>
      <w:ind w:right="-1" w:firstLine="540"/>
    </w:pPr>
    <w:rPr>
      <w:rFonts w:eastAsia="Calibri"/>
      <w:sz w:val="24"/>
      <w:szCs w:val="20"/>
      <w:lang w:eastAsia="en-US"/>
    </w:rPr>
  </w:style>
  <w:style w:type="numbering" w:customStyle="1" w:styleId="NoList2">
    <w:name w:val="No List2"/>
    <w:next w:val="NoList"/>
    <w:uiPriority w:val="99"/>
    <w:semiHidden/>
    <w:unhideWhenUsed/>
    <w:rsid w:val="008D1759"/>
  </w:style>
  <w:style w:type="paragraph" w:styleId="BodyText">
    <w:name w:val="Body Text"/>
    <w:aliases w:val="Body Text Char2,Body Text Char1 Char,Body Text Char2 Char Char,Body Text Char1 Char Char Char,Body Text Char2 Char Char Char Char,Body Text Char1 Char Char Char Char Char1,Body Text Char2 Char Char Char Char Char Char,Body Text Char Char1 Char"/>
    <w:basedOn w:val="Normal"/>
    <w:link w:val="BodyTextChar"/>
    <w:rsid w:val="008D1759"/>
    <w:pPr>
      <w:tabs>
        <w:tab w:val="right" w:pos="8640"/>
      </w:tabs>
      <w:spacing w:after="280" w:line="360" w:lineRule="auto"/>
      <w:jc w:val="both"/>
    </w:pPr>
    <w:rPr>
      <w:rFonts w:ascii="Times New Roman" w:hAnsi="Times New Roman"/>
      <w:spacing w:val="-2"/>
      <w:sz w:val="24"/>
      <w:szCs w:val="20"/>
      <w:lang w:eastAsia="en-US"/>
    </w:rPr>
  </w:style>
  <w:style w:type="character" w:customStyle="1" w:styleId="BodyTextChar">
    <w:name w:val="Body Text Char"/>
    <w:aliases w:val="Body Text Char2 Char,Body Text Char1 Char Char,Body Text Char2 Char Char Char,Body Text Char1 Char Char Char Char,Body Text Char2 Char Char Char Char Char,Body Text Char1 Char Char Char Char Char1 Char,Body Text Char Char1 Char Char"/>
    <w:link w:val="BodyText"/>
    <w:rsid w:val="008D1759"/>
    <w:rPr>
      <w:rFonts w:ascii="Times New Roman" w:eastAsia="Times New Roman" w:hAnsi="Times New Roman"/>
      <w:spacing w:val="-2"/>
      <w:sz w:val="24"/>
      <w:lang w:eastAsia="en-US"/>
    </w:rPr>
  </w:style>
  <w:style w:type="paragraph" w:customStyle="1" w:styleId="bodytext0">
    <w:name w:val="bodytext"/>
    <w:basedOn w:val="Normal"/>
    <w:rsid w:val="00356905"/>
    <w:pPr>
      <w:spacing w:before="120" w:after="120" w:line="240" w:lineRule="auto"/>
      <w:textAlignment w:val="baseline"/>
    </w:pPr>
    <w:rPr>
      <w:rFonts w:ascii="Tahoma" w:hAnsi="Tahoma" w:cs="Tahoma"/>
      <w:color w:val="000000"/>
      <w:sz w:val="20"/>
      <w:szCs w:val="20"/>
    </w:rPr>
  </w:style>
  <w:style w:type="character" w:customStyle="1" w:styleId="font-variable-name1">
    <w:name w:val="font-variable-name1"/>
    <w:rsid w:val="00356905"/>
    <w:rPr>
      <w:rFonts w:ascii="Verdana" w:hAnsi="Verdana" w:hint="default"/>
      <w:b/>
      <w:bCs/>
      <w:vanish w:val="0"/>
      <w:webHidden w:val="0"/>
      <w:color w:val="000000"/>
      <w:sz w:val="20"/>
      <w:szCs w:val="20"/>
      <w:vertAlign w:val="baseline"/>
      <w:specVanish w:val="0"/>
    </w:rPr>
  </w:style>
  <w:style w:type="character" w:customStyle="1" w:styleId="ft">
    <w:name w:val="ft"/>
    <w:rsid w:val="009E2F12"/>
  </w:style>
  <w:style w:type="paragraph" w:customStyle="1" w:styleId="MediumGrid21">
    <w:name w:val="Medium Grid 21"/>
    <w:basedOn w:val="Normal"/>
    <w:uiPriority w:val="1"/>
    <w:qFormat/>
    <w:rsid w:val="009E2F12"/>
    <w:pPr>
      <w:spacing w:after="0" w:line="240" w:lineRule="auto"/>
    </w:pPr>
    <w:rPr>
      <w:rFonts w:ascii="Calibri" w:eastAsia="Calibri" w:hAnsi="Calibri" w:cs="Calibri"/>
      <w:szCs w:val="22"/>
      <w:lang w:eastAsia="en-US"/>
    </w:rPr>
  </w:style>
  <w:style w:type="paragraph" w:customStyle="1" w:styleId="APArefs">
    <w:name w:val="APA refs"/>
    <w:rsid w:val="009E2F12"/>
    <w:pPr>
      <w:spacing w:line="480" w:lineRule="auto"/>
      <w:ind w:left="720" w:hanging="720"/>
    </w:pPr>
    <w:rPr>
      <w:rFonts w:ascii="Times New Roman" w:eastAsia="Times New Roman" w:hAnsi="Times New Roman"/>
      <w:sz w:val="24"/>
      <w:lang w:eastAsia="en-US"/>
    </w:rPr>
  </w:style>
  <w:style w:type="character" w:customStyle="1" w:styleId="citation">
    <w:name w:val="citation"/>
    <w:rsid w:val="009E2F12"/>
  </w:style>
  <w:style w:type="character" w:customStyle="1" w:styleId="ref-journal">
    <w:name w:val="ref-journal"/>
    <w:rsid w:val="009E2F12"/>
  </w:style>
  <w:style w:type="paragraph" w:styleId="PlainText">
    <w:name w:val="Plain Text"/>
    <w:basedOn w:val="Normal"/>
    <w:link w:val="PlainTextChar"/>
    <w:uiPriority w:val="99"/>
    <w:unhideWhenUsed/>
    <w:rsid w:val="000541AE"/>
    <w:pPr>
      <w:spacing w:after="0" w:line="240" w:lineRule="auto"/>
    </w:pPr>
    <w:rPr>
      <w:rFonts w:ascii="Calibri" w:eastAsia="Calibri" w:hAnsi="Calibri"/>
      <w:szCs w:val="21"/>
      <w:lang w:eastAsia="en-US"/>
    </w:rPr>
  </w:style>
  <w:style w:type="character" w:customStyle="1" w:styleId="PlainTextChar">
    <w:name w:val="Plain Text Char"/>
    <w:link w:val="PlainText"/>
    <w:uiPriority w:val="99"/>
    <w:rsid w:val="000541AE"/>
    <w:rPr>
      <w:sz w:val="22"/>
      <w:szCs w:val="21"/>
      <w:lang w:eastAsia="en-US"/>
    </w:rPr>
  </w:style>
  <w:style w:type="character" w:customStyle="1" w:styleId="Heading7Char">
    <w:name w:val="Heading 7 Char"/>
    <w:link w:val="Heading7"/>
    <w:rsid w:val="00F0634F"/>
    <w:rPr>
      <w:rFonts w:ascii="Calibri" w:eastAsia="MS Mincho" w:hAnsi="Calibri" w:cs="Times New Roman"/>
      <w:sz w:val="24"/>
      <w:szCs w:val="24"/>
      <w:lang w:eastAsia="en-AU"/>
    </w:rPr>
  </w:style>
  <w:style w:type="character" w:customStyle="1" w:styleId="Heading8Char">
    <w:name w:val="Heading 8 Char"/>
    <w:link w:val="Heading8"/>
    <w:semiHidden/>
    <w:rsid w:val="00F0634F"/>
    <w:rPr>
      <w:rFonts w:ascii="Calibri" w:eastAsia="MS Mincho" w:hAnsi="Calibri" w:cs="Times New Roman"/>
      <w:i/>
      <w:iCs/>
      <w:sz w:val="24"/>
      <w:szCs w:val="24"/>
      <w:lang w:eastAsia="en-AU"/>
    </w:rPr>
  </w:style>
  <w:style w:type="paragraph" w:styleId="Caption">
    <w:name w:val="caption"/>
    <w:basedOn w:val="Normal"/>
    <w:next w:val="Normal"/>
    <w:link w:val="CaptionChar"/>
    <w:qFormat/>
    <w:rsid w:val="00F0634F"/>
    <w:pPr>
      <w:spacing w:before="120" w:after="120" w:line="360" w:lineRule="atLeast"/>
      <w:jc w:val="both"/>
    </w:pPr>
    <w:rPr>
      <w:rFonts w:ascii="Times New Roman" w:eastAsia="Batang" w:hAnsi="Times New Roman"/>
      <w:b/>
      <w:bCs/>
      <w:sz w:val="24"/>
    </w:rPr>
  </w:style>
  <w:style w:type="character" w:customStyle="1" w:styleId="CaptionChar">
    <w:name w:val="Caption Char"/>
    <w:link w:val="Caption"/>
    <w:locked/>
    <w:rsid w:val="00F0634F"/>
    <w:rPr>
      <w:rFonts w:ascii="Times New Roman" w:eastAsia="Batang" w:hAnsi="Times New Roman"/>
      <w:b/>
      <w:bCs/>
      <w:sz w:val="24"/>
      <w:szCs w:val="24"/>
      <w:lang w:eastAsia="en-AU"/>
    </w:rPr>
  </w:style>
  <w:style w:type="paragraph" w:customStyle="1" w:styleId="StyleBodyTextLinespacingAtleast18pt">
    <w:name w:val="Style Body Text + Line spacing:  At least 18 pt"/>
    <w:basedOn w:val="BodyText"/>
    <w:rsid w:val="00F0634F"/>
    <w:pPr>
      <w:tabs>
        <w:tab w:val="clear" w:pos="8640"/>
      </w:tabs>
      <w:spacing w:after="0" w:line="360" w:lineRule="atLeast"/>
    </w:pPr>
    <w:rPr>
      <w:rFonts w:ascii="Arial" w:hAnsi="Arial"/>
      <w:spacing w:val="0"/>
      <w:sz w:val="20"/>
    </w:rPr>
  </w:style>
  <w:style w:type="paragraph" w:styleId="DocumentMap">
    <w:name w:val="Document Map"/>
    <w:basedOn w:val="Normal"/>
    <w:link w:val="DocumentMapChar"/>
    <w:rsid w:val="00E376D1"/>
    <w:rPr>
      <w:rFonts w:ascii="Tahoma" w:hAnsi="Tahoma"/>
      <w:sz w:val="16"/>
      <w:szCs w:val="16"/>
    </w:rPr>
  </w:style>
  <w:style w:type="character" w:customStyle="1" w:styleId="DocumentMapChar">
    <w:name w:val="Document Map Char"/>
    <w:link w:val="DocumentMap"/>
    <w:rsid w:val="00E376D1"/>
    <w:rPr>
      <w:rFonts w:ascii="Tahoma" w:eastAsia="Times New Roman" w:hAnsi="Tahoma" w:cs="Tahoma"/>
      <w:sz w:val="16"/>
      <w:szCs w:val="16"/>
    </w:rPr>
  </w:style>
  <w:style w:type="table" w:styleId="TableGrid">
    <w:name w:val="Table Grid"/>
    <w:basedOn w:val="TableNormal"/>
    <w:uiPriority w:val="59"/>
    <w:rsid w:val="009F46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F469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53CB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C51F7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1D18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D18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5E6F4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rame">
    <w:name w:val="grame"/>
    <w:rsid w:val="00C20E82"/>
  </w:style>
  <w:style w:type="character" w:customStyle="1" w:styleId="spelle">
    <w:name w:val="spelle"/>
    <w:rsid w:val="00C20E82"/>
  </w:style>
  <w:style w:type="paragraph" w:styleId="Title">
    <w:name w:val="Title"/>
    <w:basedOn w:val="Normal"/>
    <w:next w:val="Normal"/>
    <w:link w:val="TitleChar"/>
    <w:qFormat/>
    <w:rsid w:val="00767BCD"/>
    <w:pPr>
      <w:pBdr>
        <w:bottom w:val="single" w:sz="8" w:space="4" w:color="4F81BD" w:themeColor="accent1"/>
      </w:pBdr>
      <w:spacing w:before="1560" w:after="3000" w:line="240" w:lineRule="auto"/>
      <w:jc w:val="center"/>
    </w:pPr>
    <w:rPr>
      <w:rFonts w:eastAsiaTheme="majorEastAsia" w:cs="Arial"/>
      <w:b/>
      <w:bCs/>
      <w:color w:val="auto"/>
      <w:spacing w:val="5"/>
      <w:kern w:val="28"/>
      <w:sz w:val="52"/>
      <w:szCs w:val="52"/>
    </w:rPr>
  </w:style>
  <w:style w:type="character" w:customStyle="1" w:styleId="TitleChar">
    <w:name w:val="Title Char"/>
    <w:basedOn w:val="DefaultParagraphFont"/>
    <w:link w:val="Title"/>
    <w:rsid w:val="00767BCD"/>
    <w:rPr>
      <w:rFonts w:ascii="Arial" w:eastAsiaTheme="majorEastAsia" w:hAnsi="Arial" w:cs="Arial"/>
      <w:b/>
      <w:bCs/>
      <w:spacing w:val="5"/>
      <w:kern w:val="28"/>
      <w:sz w:val="52"/>
      <w:szCs w:val="52"/>
    </w:rPr>
  </w:style>
  <w:style w:type="paragraph" w:customStyle="1" w:styleId="FigureCaption">
    <w:name w:val="Figure: Caption"/>
    <w:basedOn w:val="Normal"/>
    <w:next w:val="Normal"/>
    <w:qFormat/>
    <w:rsid w:val="006466CB"/>
    <w:pPr>
      <w:spacing w:before="120" w:after="120"/>
    </w:pPr>
    <w:rPr>
      <w:rFonts w:ascii="Arial Bold" w:hAnsi="Arial Bold"/>
      <w:b/>
      <w:sz w:val="20"/>
    </w:rPr>
  </w:style>
  <w:style w:type="character" w:customStyle="1" w:styleId="Heading4Char">
    <w:name w:val="Heading 4 Char"/>
    <w:basedOn w:val="DefaultParagraphFont"/>
    <w:link w:val="Heading4"/>
    <w:rsid w:val="0023074F"/>
    <w:rPr>
      <w:rFonts w:ascii="Arial" w:eastAsiaTheme="majorEastAsia" w:hAnsi="Arial" w:cstheme="majorBidi"/>
      <w:iCs/>
      <w:sz w:val="22"/>
      <w:szCs w:val="26"/>
    </w:rPr>
  </w:style>
  <w:style w:type="paragraph" w:styleId="NoSpacing">
    <w:name w:val="No Spacing"/>
    <w:link w:val="NoSpacingChar"/>
    <w:uiPriority w:val="1"/>
    <w:qFormat/>
    <w:rsid w:val="00FA150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A1505"/>
    <w:rPr>
      <w:rFonts w:asciiTheme="minorHAnsi" w:eastAsiaTheme="minorEastAsia" w:hAnsiTheme="minorHAnsi" w:cstheme="minorBidi"/>
      <w:sz w:val="22"/>
      <w:szCs w:val="22"/>
      <w:lang w:val="en-US" w:eastAsia="ja-JP"/>
    </w:rPr>
  </w:style>
  <w:style w:type="paragraph" w:styleId="Quote">
    <w:name w:val="Quote"/>
    <w:basedOn w:val="Normal"/>
    <w:next w:val="Normal"/>
    <w:link w:val="QuoteChar"/>
    <w:qFormat/>
    <w:rsid w:val="00AB452D"/>
    <w:pPr>
      <w:ind w:left="567"/>
    </w:pPr>
    <w:rPr>
      <w:i/>
      <w:iCs/>
    </w:rPr>
  </w:style>
  <w:style w:type="character" w:customStyle="1" w:styleId="QuoteChar">
    <w:name w:val="Quote Char"/>
    <w:basedOn w:val="DefaultParagraphFont"/>
    <w:link w:val="Quote"/>
    <w:rsid w:val="00AB452D"/>
    <w:rPr>
      <w:rFonts w:ascii="Arial" w:eastAsia="Times New Roman" w:hAnsi="Arial"/>
      <w:i/>
      <w:iCs/>
      <w:color w:val="000000" w:themeColor="text1"/>
      <w:sz w:val="22"/>
      <w:szCs w:val="24"/>
    </w:rPr>
  </w:style>
  <w:style w:type="paragraph" w:styleId="TOC3">
    <w:name w:val="toc 3"/>
    <w:basedOn w:val="Normal"/>
    <w:next w:val="Normal"/>
    <w:autoRedefine/>
    <w:uiPriority w:val="39"/>
    <w:rsid w:val="005876C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05029">
      <w:bodyDiv w:val="1"/>
      <w:marLeft w:val="0"/>
      <w:marRight w:val="0"/>
      <w:marTop w:val="0"/>
      <w:marBottom w:val="0"/>
      <w:divBdr>
        <w:top w:val="none" w:sz="0" w:space="0" w:color="auto"/>
        <w:left w:val="none" w:sz="0" w:space="0" w:color="auto"/>
        <w:bottom w:val="none" w:sz="0" w:space="0" w:color="auto"/>
        <w:right w:val="none" w:sz="0" w:space="0" w:color="auto"/>
      </w:divBdr>
    </w:div>
    <w:div w:id="249772993">
      <w:bodyDiv w:val="1"/>
      <w:marLeft w:val="0"/>
      <w:marRight w:val="0"/>
      <w:marTop w:val="0"/>
      <w:marBottom w:val="0"/>
      <w:divBdr>
        <w:top w:val="none" w:sz="0" w:space="0" w:color="auto"/>
        <w:left w:val="none" w:sz="0" w:space="0" w:color="auto"/>
        <w:bottom w:val="none" w:sz="0" w:space="0" w:color="auto"/>
        <w:right w:val="none" w:sz="0" w:space="0" w:color="auto"/>
      </w:divBdr>
    </w:div>
    <w:div w:id="291442714">
      <w:bodyDiv w:val="1"/>
      <w:marLeft w:val="0"/>
      <w:marRight w:val="0"/>
      <w:marTop w:val="0"/>
      <w:marBottom w:val="0"/>
      <w:divBdr>
        <w:top w:val="none" w:sz="0" w:space="0" w:color="auto"/>
        <w:left w:val="none" w:sz="0" w:space="0" w:color="auto"/>
        <w:bottom w:val="none" w:sz="0" w:space="0" w:color="auto"/>
        <w:right w:val="none" w:sz="0" w:space="0" w:color="auto"/>
      </w:divBdr>
    </w:div>
    <w:div w:id="429859151">
      <w:bodyDiv w:val="1"/>
      <w:marLeft w:val="0"/>
      <w:marRight w:val="0"/>
      <w:marTop w:val="0"/>
      <w:marBottom w:val="0"/>
      <w:divBdr>
        <w:top w:val="none" w:sz="0" w:space="0" w:color="auto"/>
        <w:left w:val="none" w:sz="0" w:space="0" w:color="auto"/>
        <w:bottom w:val="none" w:sz="0" w:space="0" w:color="auto"/>
        <w:right w:val="none" w:sz="0" w:space="0" w:color="auto"/>
      </w:divBdr>
    </w:div>
    <w:div w:id="434404845">
      <w:bodyDiv w:val="1"/>
      <w:marLeft w:val="0"/>
      <w:marRight w:val="0"/>
      <w:marTop w:val="0"/>
      <w:marBottom w:val="0"/>
      <w:divBdr>
        <w:top w:val="none" w:sz="0" w:space="0" w:color="auto"/>
        <w:left w:val="none" w:sz="0" w:space="0" w:color="auto"/>
        <w:bottom w:val="none" w:sz="0" w:space="0" w:color="auto"/>
        <w:right w:val="none" w:sz="0" w:space="0" w:color="auto"/>
      </w:divBdr>
    </w:div>
    <w:div w:id="461506389">
      <w:bodyDiv w:val="1"/>
      <w:marLeft w:val="0"/>
      <w:marRight w:val="0"/>
      <w:marTop w:val="0"/>
      <w:marBottom w:val="0"/>
      <w:divBdr>
        <w:top w:val="none" w:sz="0" w:space="0" w:color="auto"/>
        <w:left w:val="none" w:sz="0" w:space="0" w:color="auto"/>
        <w:bottom w:val="none" w:sz="0" w:space="0" w:color="auto"/>
        <w:right w:val="none" w:sz="0" w:space="0" w:color="auto"/>
      </w:divBdr>
    </w:div>
    <w:div w:id="497115924">
      <w:bodyDiv w:val="1"/>
      <w:marLeft w:val="0"/>
      <w:marRight w:val="0"/>
      <w:marTop w:val="0"/>
      <w:marBottom w:val="0"/>
      <w:divBdr>
        <w:top w:val="none" w:sz="0" w:space="0" w:color="auto"/>
        <w:left w:val="none" w:sz="0" w:space="0" w:color="auto"/>
        <w:bottom w:val="none" w:sz="0" w:space="0" w:color="auto"/>
        <w:right w:val="none" w:sz="0" w:space="0" w:color="auto"/>
      </w:divBdr>
    </w:div>
    <w:div w:id="529341347">
      <w:bodyDiv w:val="1"/>
      <w:marLeft w:val="0"/>
      <w:marRight w:val="0"/>
      <w:marTop w:val="0"/>
      <w:marBottom w:val="0"/>
      <w:divBdr>
        <w:top w:val="none" w:sz="0" w:space="0" w:color="auto"/>
        <w:left w:val="none" w:sz="0" w:space="0" w:color="auto"/>
        <w:bottom w:val="none" w:sz="0" w:space="0" w:color="auto"/>
        <w:right w:val="none" w:sz="0" w:space="0" w:color="auto"/>
      </w:divBdr>
    </w:div>
    <w:div w:id="552548890">
      <w:bodyDiv w:val="1"/>
      <w:marLeft w:val="0"/>
      <w:marRight w:val="0"/>
      <w:marTop w:val="0"/>
      <w:marBottom w:val="0"/>
      <w:divBdr>
        <w:top w:val="none" w:sz="0" w:space="0" w:color="auto"/>
        <w:left w:val="none" w:sz="0" w:space="0" w:color="auto"/>
        <w:bottom w:val="none" w:sz="0" w:space="0" w:color="auto"/>
        <w:right w:val="none" w:sz="0" w:space="0" w:color="auto"/>
      </w:divBdr>
    </w:div>
    <w:div w:id="558633722">
      <w:bodyDiv w:val="1"/>
      <w:marLeft w:val="0"/>
      <w:marRight w:val="0"/>
      <w:marTop w:val="0"/>
      <w:marBottom w:val="0"/>
      <w:divBdr>
        <w:top w:val="none" w:sz="0" w:space="0" w:color="auto"/>
        <w:left w:val="none" w:sz="0" w:space="0" w:color="auto"/>
        <w:bottom w:val="none" w:sz="0" w:space="0" w:color="auto"/>
        <w:right w:val="none" w:sz="0" w:space="0" w:color="auto"/>
      </w:divBdr>
    </w:div>
    <w:div w:id="592053190">
      <w:bodyDiv w:val="1"/>
      <w:marLeft w:val="0"/>
      <w:marRight w:val="0"/>
      <w:marTop w:val="0"/>
      <w:marBottom w:val="0"/>
      <w:divBdr>
        <w:top w:val="none" w:sz="0" w:space="0" w:color="auto"/>
        <w:left w:val="none" w:sz="0" w:space="0" w:color="auto"/>
        <w:bottom w:val="none" w:sz="0" w:space="0" w:color="auto"/>
        <w:right w:val="none" w:sz="0" w:space="0" w:color="auto"/>
      </w:divBdr>
    </w:div>
    <w:div w:id="705834075">
      <w:bodyDiv w:val="1"/>
      <w:marLeft w:val="0"/>
      <w:marRight w:val="0"/>
      <w:marTop w:val="0"/>
      <w:marBottom w:val="0"/>
      <w:divBdr>
        <w:top w:val="none" w:sz="0" w:space="0" w:color="auto"/>
        <w:left w:val="none" w:sz="0" w:space="0" w:color="auto"/>
        <w:bottom w:val="none" w:sz="0" w:space="0" w:color="auto"/>
        <w:right w:val="none" w:sz="0" w:space="0" w:color="auto"/>
      </w:divBdr>
    </w:div>
    <w:div w:id="882667415">
      <w:bodyDiv w:val="1"/>
      <w:marLeft w:val="0"/>
      <w:marRight w:val="0"/>
      <w:marTop w:val="0"/>
      <w:marBottom w:val="0"/>
      <w:divBdr>
        <w:top w:val="none" w:sz="0" w:space="0" w:color="auto"/>
        <w:left w:val="none" w:sz="0" w:space="0" w:color="auto"/>
        <w:bottom w:val="none" w:sz="0" w:space="0" w:color="auto"/>
        <w:right w:val="none" w:sz="0" w:space="0" w:color="auto"/>
      </w:divBdr>
    </w:div>
    <w:div w:id="904560540">
      <w:bodyDiv w:val="1"/>
      <w:marLeft w:val="0"/>
      <w:marRight w:val="0"/>
      <w:marTop w:val="0"/>
      <w:marBottom w:val="0"/>
      <w:divBdr>
        <w:top w:val="none" w:sz="0" w:space="0" w:color="auto"/>
        <w:left w:val="none" w:sz="0" w:space="0" w:color="auto"/>
        <w:bottom w:val="none" w:sz="0" w:space="0" w:color="auto"/>
        <w:right w:val="none" w:sz="0" w:space="0" w:color="auto"/>
      </w:divBdr>
    </w:div>
    <w:div w:id="1153571659">
      <w:bodyDiv w:val="1"/>
      <w:marLeft w:val="0"/>
      <w:marRight w:val="0"/>
      <w:marTop w:val="0"/>
      <w:marBottom w:val="0"/>
      <w:divBdr>
        <w:top w:val="none" w:sz="0" w:space="0" w:color="auto"/>
        <w:left w:val="none" w:sz="0" w:space="0" w:color="auto"/>
        <w:bottom w:val="none" w:sz="0" w:space="0" w:color="auto"/>
        <w:right w:val="none" w:sz="0" w:space="0" w:color="auto"/>
      </w:divBdr>
    </w:div>
    <w:div w:id="1229073535">
      <w:bodyDiv w:val="1"/>
      <w:marLeft w:val="0"/>
      <w:marRight w:val="0"/>
      <w:marTop w:val="0"/>
      <w:marBottom w:val="0"/>
      <w:divBdr>
        <w:top w:val="none" w:sz="0" w:space="0" w:color="auto"/>
        <w:left w:val="none" w:sz="0" w:space="0" w:color="auto"/>
        <w:bottom w:val="none" w:sz="0" w:space="0" w:color="auto"/>
        <w:right w:val="none" w:sz="0" w:space="0" w:color="auto"/>
      </w:divBdr>
    </w:div>
    <w:div w:id="1257321235">
      <w:bodyDiv w:val="1"/>
      <w:marLeft w:val="0"/>
      <w:marRight w:val="0"/>
      <w:marTop w:val="0"/>
      <w:marBottom w:val="0"/>
      <w:divBdr>
        <w:top w:val="none" w:sz="0" w:space="0" w:color="auto"/>
        <w:left w:val="none" w:sz="0" w:space="0" w:color="auto"/>
        <w:bottom w:val="none" w:sz="0" w:space="0" w:color="auto"/>
        <w:right w:val="none" w:sz="0" w:space="0" w:color="auto"/>
      </w:divBdr>
    </w:div>
    <w:div w:id="1258057022">
      <w:bodyDiv w:val="1"/>
      <w:marLeft w:val="0"/>
      <w:marRight w:val="0"/>
      <w:marTop w:val="0"/>
      <w:marBottom w:val="0"/>
      <w:divBdr>
        <w:top w:val="none" w:sz="0" w:space="0" w:color="auto"/>
        <w:left w:val="none" w:sz="0" w:space="0" w:color="auto"/>
        <w:bottom w:val="none" w:sz="0" w:space="0" w:color="auto"/>
        <w:right w:val="none" w:sz="0" w:space="0" w:color="auto"/>
      </w:divBdr>
    </w:div>
    <w:div w:id="1413118566">
      <w:bodyDiv w:val="1"/>
      <w:marLeft w:val="0"/>
      <w:marRight w:val="0"/>
      <w:marTop w:val="0"/>
      <w:marBottom w:val="0"/>
      <w:divBdr>
        <w:top w:val="none" w:sz="0" w:space="0" w:color="auto"/>
        <w:left w:val="none" w:sz="0" w:space="0" w:color="auto"/>
        <w:bottom w:val="none" w:sz="0" w:space="0" w:color="auto"/>
        <w:right w:val="none" w:sz="0" w:space="0" w:color="auto"/>
      </w:divBdr>
    </w:div>
    <w:div w:id="1419910082">
      <w:bodyDiv w:val="1"/>
      <w:marLeft w:val="0"/>
      <w:marRight w:val="0"/>
      <w:marTop w:val="0"/>
      <w:marBottom w:val="0"/>
      <w:divBdr>
        <w:top w:val="none" w:sz="0" w:space="0" w:color="auto"/>
        <w:left w:val="none" w:sz="0" w:space="0" w:color="auto"/>
        <w:bottom w:val="none" w:sz="0" w:space="0" w:color="auto"/>
        <w:right w:val="none" w:sz="0" w:space="0" w:color="auto"/>
      </w:divBdr>
    </w:div>
    <w:div w:id="1532959609">
      <w:bodyDiv w:val="1"/>
      <w:marLeft w:val="0"/>
      <w:marRight w:val="0"/>
      <w:marTop w:val="0"/>
      <w:marBottom w:val="0"/>
      <w:divBdr>
        <w:top w:val="none" w:sz="0" w:space="0" w:color="auto"/>
        <w:left w:val="none" w:sz="0" w:space="0" w:color="auto"/>
        <w:bottom w:val="none" w:sz="0" w:space="0" w:color="auto"/>
        <w:right w:val="none" w:sz="0" w:space="0" w:color="auto"/>
      </w:divBdr>
    </w:div>
    <w:div w:id="1584611107">
      <w:bodyDiv w:val="1"/>
      <w:marLeft w:val="0"/>
      <w:marRight w:val="0"/>
      <w:marTop w:val="0"/>
      <w:marBottom w:val="0"/>
      <w:divBdr>
        <w:top w:val="none" w:sz="0" w:space="0" w:color="auto"/>
        <w:left w:val="none" w:sz="0" w:space="0" w:color="auto"/>
        <w:bottom w:val="none" w:sz="0" w:space="0" w:color="auto"/>
        <w:right w:val="none" w:sz="0" w:space="0" w:color="auto"/>
      </w:divBdr>
    </w:div>
    <w:div w:id="1603680685">
      <w:bodyDiv w:val="1"/>
      <w:marLeft w:val="0"/>
      <w:marRight w:val="0"/>
      <w:marTop w:val="0"/>
      <w:marBottom w:val="0"/>
      <w:divBdr>
        <w:top w:val="none" w:sz="0" w:space="0" w:color="auto"/>
        <w:left w:val="none" w:sz="0" w:space="0" w:color="auto"/>
        <w:bottom w:val="none" w:sz="0" w:space="0" w:color="auto"/>
        <w:right w:val="none" w:sz="0" w:space="0" w:color="auto"/>
      </w:divBdr>
    </w:div>
    <w:div w:id="1629971110">
      <w:bodyDiv w:val="1"/>
      <w:marLeft w:val="0"/>
      <w:marRight w:val="0"/>
      <w:marTop w:val="0"/>
      <w:marBottom w:val="0"/>
      <w:divBdr>
        <w:top w:val="none" w:sz="0" w:space="0" w:color="auto"/>
        <w:left w:val="none" w:sz="0" w:space="0" w:color="auto"/>
        <w:bottom w:val="none" w:sz="0" w:space="0" w:color="auto"/>
        <w:right w:val="none" w:sz="0" w:space="0" w:color="auto"/>
      </w:divBdr>
    </w:div>
    <w:div w:id="1656252264">
      <w:bodyDiv w:val="1"/>
      <w:marLeft w:val="0"/>
      <w:marRight w:val="0"/>
      <w:marTop w:val="0"/>
      <w:marBottom w:val="0"/>
      <w:divBdr>
        <w:top w:val="none" w:sz="0" w:space="0" w:color="auto"/>
        <w:left w:val="none" w:sz="0" w:space="0" w:color="auto"/>
        <w:bottom w:val="none" w:sz="0" w:space="0" w:color="auto"/>
        <w:right w:val="none" w:sz="0" w:space="0" w:color="auto"/>
      </w:divBdr>
    </w:div>
    <w:div w:id="1800756272">
      <w:bodyDiv w:val="1"/>
      <w:marLeft w:val="0"/>
      <w:marRight w:val="0"/>
      <w:marTop w:val="0"/>
      <w:marBottom w:val="0"/>
      <w:divBdr>
        <w:top w:val="none" w:sz="0" w:space="0" w:color="auto"/>
        <w:left w:val="none" w:sz="0" w:space="0" w:color="auto"/>
        <w:bottom w:val="none" w:sz="0" w:space="0" w:color="auto"/>
        <w:right w:val="none" w:sz="0" w:space="0" w:color="auto"/>
      </w:divBdr>
    </w:div>
    <w:div w:id="1847137441">
      <w:bodyDiv w:val="1"/>
      <w:marLeft w:val="0"/>
      <w:marRight w:val="0"/>
      <w:marTop w:val="0"/>
      <w:marBottom w:val="0"/>
      <w:divBdr>
        <w:top w:val="none" w:sz="0" w:space="0" w:color="auto"/>
        <w:left w:val="none" w:sz="0" w:space="0" w:color="auto"/>
        <w:bottom w:val="none" w:sz="0" w:space="0" w:color="auto"/>
        <w:right w:val="none" w:sz="0" w:space="0" w:color="auto"/>
      </w:divBdr>
    </w:div>
    <w:div w:id="1895578755">
      <w:bodyDiv w:val="1"/>
      <w:marLeft w:val="0"/>
      <w:marRight w:val="0"/>
      <w:marTop w:val="0"/>
      <w:marBottom w:val="0"/>
      <w:divBdr>
        <w:top w:val="none" w:sz="0" w:space="0" w:color="auto"/>
        <w:left w:val="none" w:sz="0" w:space="0" w:color="auto"/>
        <w:bottom w:val="none" w:sz="0" w:space="0" w:color="auto"/>
        <w:right w:val="none" w:sz="0" w:space="0" w:color="auto"/>
      </w:divBdr>
    </w:div>
    <w:div w:id="1968968054">
      <w:bodyDiv w:val="1"/>
      <w:marLeft w:val="0"/>
      <w:marRight w:val="0"/>
      <w:marTop w:val="0"/>
      <w:marBottom w:val="0"/>
      <w:divBdr>
        <w:top w:val="none" w:sz="0" w:space="0" w:color="auto"/>
        <w:left w:val="none" w:sz="0" w:space="0" w:color="auto"/>
        <w:bottom w:val="none" w:sz="0" w:space="0" w:color="auto"/>
        <w:right w:val="none" w:sz="0" w:space="0" w:color="auto"/>
      </w:divBdr>
    </w:div>
    <w:div w:id="2002731914">
      <w:bodyDiv w:val="1"/>
      <w:marLeft w:val="0"/>
      <w:marRight w:val="0"/>
      <w:marTop w:val="0"/>
      <w:marBottom w:val="0"/>
      <w:divBdr>
        <w:top w:val="none" w:sz="0" w:space="0" w:color="auto"/>
        <w:left w:val="none" w:sz="0" w:space="0" w:color="auto"/>
        <w:bottom w:val="none" w:sz="0" w:space="0" w:color="auto"/>
        <w:right w:val="none" w:sz="0" w:space="0" w:color="auto"/>
      </w:divBdr>
    </w:div>
    <w:div w:id="2024475901">
      <w:bodyDiv w:val="1"/>
      <w:marLeft w:val="0"/>
      <w:marRight w:val="0"/>
      <w:marTop w:val="0"/>
      <w:marBottom w:val="0"/>
      <w:divBdr>
        <w:top w:val="none" w:sz="0" w:space="0" w:color="auto"/>
        <w:left w:val="none" w:sz="0" w:space="0" w:color="auto"/>
        <w:bottom w:val="none" w:sz="0" w:space="0" w:color="auto"/>
        <w:right w:val="none" w:sz="0" w:space="0" w:color="auto"/>
      </w:divBdr>
    </w:div>
    <w:div w:id="2050956561">
      <w:bodyDiv w:val="1"/>
      <w:marLeft w:val="0"/>
      <w:marRight w:val="0"/>
      <w:marTop w:val="0"/>
      <w:marBottom w:val="0"/>
      <w:divBdr>
        <w:top w:val="none" w:sz="0" w:space="0" w:color="auto"/>
        <w:left w:val="none" w:sz="0" w:space="0" w:color="auto"/>
        <w:bottom w:val="none" w:sz="0" w:space="0" w:color="auto"/>
        <w:right w:val="none" w:sz="0" w:space="0" w:color="auto"/>
      </w:divBdr>
    </w:div>
    <w:div w:id="2054226331">
      <w:bodyDiv w:val="1"/>
      <w:marLeft w:val="0"/>
      <w:marRight w:val="0"/>
      <w:marTop w:val="0"/>
      <w:marBottom w:val="0"/>
      <w:divBdr>
        <w:top w:val="none" w:sz="0" w:space="0" w:color="auto"/>
        <w:left w:val="none" w:sz="0" w:space="0" w:color="auto"/>
        <w:bottom w:val="none" w:sz="0" w:space="0" w:color="auto"/>
        <w:right w:val="none" w:sz="0" w:space="0" w:color="auto"/>
      </w:divBdr>
    </w:div>
    <w:div w:id="210757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osha.europa.eu/en/publications/reports/TE-81-08-478-EN-C_OSH_in_figures_stress_at_work" TargetMode="External"/><Relationship Id="rId21" Type="http://schemas.openxmlformats.org/officeDocument/2006/relationships/image" Target="media/image10.png"/><Relationship Id="rId34" Type="http://schemas.openxmlformats.org/officeDocument/2006/relationships/hyperlink" Target="http://www.abs.gov.au/ausstats/abs@.nsf/Lookup/1301.0Main+Features462012" TargetMode="External"/><Relationship Id="rId42" Type="http://schemas.openxmlformats.org/officeDocument/2006/relationships/hyperlink" Target="http://www.tno.nl/downloads/TNO-KvL_NEA_Brochure_2007_Eng.pdf"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abcdiamond.com/australia/australian-median-wag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hyperlink" Target="http://www.abs.gov.au/AUSSTATS/abs@.nsf/allprimarymainfeatures/85DB64AE72291A6ACA25777C00172E0F?opendocument" TargetMode="External"/><Relationship Id="rId37" Type="http://schemas.openxmlformats.org/officeDocument/2006/relationships/hyperlink" Target="http://www.abs.gov.au/ausstats/abs@.nsf/2f762f95845417aeca25706c00834efa/7cd8aebba7225c4eca25697e0018faf3!OpenDocument" TargetMode="External"/><Relationship Id="rId40" Type="http://schemas.openxmlformats.org/officeDocument/2006/relationships/hyperlink" Target="http://www.jcqcenter.org/" TargetMode="External"/><Relationship Id="rId45"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pc.gov.au/projects/study/regulationbenchmarking/ohs/report" TargetMode="Externa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hyperlink" Target="http://www.abs.gov.au/AUSSTATS/abs@.nsf/allprimarymainfeatures/4D418C2BAE75A796CA25796C0014351E?opendocument"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www.ausstats.abs.gov.au/Ausstats/subscriber.nsf/0/ED7010B1774DA4D4CA2578800019CAFB/$File/63590_november%202010.pdf" TargetMode="External"/><Relationship Id="rId35" Type="http://schemas.openxmlformats.org/officeDocument/2006/relationships/hyperlink" Target="http://www.abs.gov.au/ausstats/abs@.nsf/Lookup/6105.0Chapter29July%202011"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copyrightrequests@safeworkaustralia.gov.au"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www.abs.gov.au/ausstats/abs@.nsf/mf/6306.0/" TargetMode="External"/><Relationship Id="rId38" Type="http://schemas.openxmlformats.org/officeDocument/2006/relationships/hyperlink" Target="http://www.innovation.gov.au/SmallBusiness/KeyFacts/Documents/SmallBusinessPublication.pdf" TargetMode="External"/><Relationship Id="rId46" Type="http://schemas.openxmlformats.org/officeDocument/2006/relationships/customXml" Target="../customXml/item3.xml"/><Relationship Id="rId20" Type="http://schemas.openxmlformats.org/officeDocument/2006/relationships/image" Target="media/image9.png"/><Relationship Id="rId41" Type="http://schemas.openxmlformats.org/officeDocument/2006/relationships/hyperlink" Target="http://safeworkaustralia.gov.au/AboutSafeWorkAustralia/WhatWeDo/Publications/Documents/661/Compendium%202009_10%20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SP.Publications.Document" ma:contentTypeID="0x010100A3147459CEFB4138ACF45C1B93E95121001AC9209C673FD1488F9C0FD06E69F9BE" ma:contentTypeVersion="2" ma:contentTypeDescription="" ma:contentTypeScope="" ma:versionID="fe9dee28fb54ce06478c702ac7ad6af8">
  <xsd:schema xmlns:xsd="http://www.w3.org/2001/XMLSchema" xmlns:xs="http://www.w3.org/2001/XMLSchema" xmlns:p="http://schemas.microsoft.com/office/2006/metadata/properties" xmlns:ns1="http://schemas.microsoft.com/sharepoint/v3/fields" targetNamespace="http://schemas.microsoft.com/office/2006/metadata/properties" ma:root="true" ma:fieldsID="fa9bcd44d86d477eeb58161562f8ff1c" ns1:_="">
    <xsd:import namespace="http://schemas.microsoft.com/sharepoint/v3/fields"/>
    <xsd:element name="properties">
      <xsd:complexType>
        <xsd:sequence>
          <xsd:element name="documentManagement">
            <xsd:complexType>
              <xsd:all>
                <xsd:element ref="ns1:ParentFolderID" minOccurs="0"/>
                <xsd:element ref="ns1:PublicationIdentifi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ParentFolderID" ma:index="0" nillable="true" ma:displayName="Parent Folder ID" ma:internalName="ParentFolderID">
      <xsd:simpleType>
        <xsd:restriction base="dms:Text"/>
      </xsd:simpleType>
    </xsd:element>
    <xsd:element name="PublicationIdentifier" ma:index="1" nillable="true" ma:displayName="Publication Identifier" ma:internalName="PublicationIdentifi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cationIdentifier xmlns="http://schemas.microsoft.com/sharepoint/v3/fields">978 0 642 78608 1</PublicationIdentifier>
    <ParentFolderID xmlns="http://schemas.microsoft.com/sharepoint/v3/fields">748</ParentFolderID>
  </documentManagement>
</p:properties>
</file>

<file path=customXml/itemProps1.xml><?xml version="1.0" encoding="utf-8"?>
<ds:datastoreItem xmlns:ds="http://schemas.openxmlformats.org/officeDocument/2006/customXml" ds:itemID="{397A8CA0-CF01-49E4-954E-9F2A82C00165}"/>
</file>

<file path=customXml/itemProps2.xml><?xml version="1.0" encoding="utf-8"?>
<ds:datastoreItem xmlns:ds="http://schemas.openxmlformats.org/officeDocument/2006/customXml" ds:itemID="{4B7DEE7A-38DE-4B3F-BBD5-27E3FEDB0F27}"/>
</file>

<file path=customXml/itemProps3.xml><?xml version="1.0" encoding="utf-8"?>
<ds:datastoreItem xmlns:ds="http://schemas.openxmlformats.org/officeDocument/2006/customXml" ds:itemID="{BE1A9421-7EA5-4E6D-9A0B-46BBA843497E}"/>
</file>

<file path=docProps/app.xml><?xml version="1.0" encoding="utf-8"?>
<Properties xmlns="http://schemas.openxmlformats.org/officeDocument/2006/extended-properties" xmlns:vt="http://schemas.openxmlformats.org/officeDocument/2006/docPropsVTypes">
  <Template>D28EA945.dotm</Template>
  <TotalTime>185</TotalTime>
  <Pages>96</Pages>
  <Words>34064</Words>
  <Characters>194168</Characters>
  <Application>Microsoft Office Word</Application>
  <DocSecurity>0</DocSecurity>
  <Lines>1618</Lines>
  <Paragraphs>455</Paragraphs>
  <ScaleCrop>false</ScaleCrop>
  <HeadingPairs>
    <vt:vector size="2" baseType="variant">
      <vt:variant>
        <vt:lpstr>Title</vt:lpstr>
      </vt:variant>
      <vt:variant>
        <vt:i4>1</vt:i4>
      </vt:variant>
    </vt:vector>
  </HeadingPairs>
  <TitlesOfParts>
    <vt:vector size="1" baseType="lpstr">
      <vt:lpstr/>
    </vt:vector>
  </TitlesOfParts>
  <Company>University of South Australia</Company>
  <LinksUpToDate>false</LinksUpToDate>
  <CharactersWithSpaces>227777</CharactersWithSpaces>
  <SharedDoc>false</SharedDoc>
  <HLinks>
    <vt:vector size="258" baseType="variant">
      <vt:variant>
        <vt:i4>8126527</vt:i4>
      </vt:variant>
      <vt:variant>
        <vt:i4>231</vt:i4>
      </vt:variant>
      <vt:variant>
        <vt:i4>0</vt:i4>
      </vt:variant>
      <vt:variant>
        <vt:i4>5</vt:i4>
      </vt:variant>
      <vt:variant>
        <vt:lpwstr>http://www.tno.nl/downloads/TNO-KvL_NEA_Brochure_2007_Eng.pdf</vt:lpwstr>
      </vt:variant>
      <vt:variant>
        <vt:lpwstr/>
      </vt:variant>
      <vt:variant>
        <vt:i4>4128878</vt:i4>
      </vt:variant>
      <vt:variant>
        <vt:i4>228</vt:i4>
      </vt:variant>
      <vt:variant>
        <vt:i4>0</vt:i4>
      </vt:variant>
      <vt:variant>
        <vt:i4>5</vt:i4>
      </vt:variant>
      <vt:variant>
        <vt:lpwstr>http://www.safeworkaustralia.gov.au/sites/SWA/AboutSafeWorkAustralia/WhatWeDo/Publications/Documents/135/TransportFactSheet2009-10.pdf</vt:lpwstr>
      </vt:variant>
      <vt:variant>
        <vt:lpwstr/>
      </vt:variant>
      <vt:variant>
        <vt:i4>65661</vt:i4>
      </vt:variant>
      <vt:variant>
        <vt:i4>225</vt:i4>
      </vt:variant>
      <vt:variant>
        <vt:i4>0</vt:i4>
      </vt:variant>
      <vt:variant>
        <vt:i4>5</vt:i4>
      </vt:variant>
      <vt:variant>
        <vt:lpwstr>http://safeworkaustralia.gov.au/AboutSafeWorkAustralia/WhatWeDo/Publications/Documents/661/Compendium 2009_10 report.pdf</vt:lpwstr>
      </vt:variant>
      <vt:variant>
        <vt:lpwstr/>
      </vt:variant>
      <vt:variant>
        <vt:i4>8126518</vt:i4>
      </vt:variant>
      <vt:variant>
        <vt:i4>222</vt:i4>
      </vt:variant>
      <vt:variant>
        <vt:i4>0</vt:i4>
      </vt:variant>
      <vt:variant>
        <vt:i4>5</vt:i4>
      </vt:variant>
      <vt:variant>
        <vt:lpwstr>http://stats.oecd.org/Index.aspx?DataSetCode=ANHRS</vt:lpwstr>
      </vt:variant>
      <vt:variant>
        <vt:lpwstr/>
      </vt:variant>
      <vt:variant>
        <vt:i4>5963783</vt:i4>
      </vt:variant>
      <vt:variant>
        <vt:i4>219</vt:i4>
      </vt:variant>
      <vt:variant>
        <vt:i4>0</vt:i4>
      </vt:variant>
      <vt:variant>
        <vt:i4>5</vt:i4>
      </vt:variant>
      <vt:variant>
        <vt:lpwstr>http://www.jcqcenter.org/</vt:lpwstr>
      </vt:variant>
      <vt:variant>
        <vt:lpwstr/>
      </vt:variant>
      <vt:variant>
        <vt:i4>7536698</vt:i4>
      </vt:variant>
      <vt:variant>
        <vt:i4>216</vt:i4>
      </vt:variant>
      <vt:variant>
        <vt:i4>0</vt:i4>
      </vt:variant>
      <vt:variant>
        <vt:i4>5</vt:i4>
      </vt:variant>
      <vt:variant>
        <vt:lpwstr>http://osha.europa.eu/en/publications/reports/TE-81-08-478-EN-C_OSH_in_figures_stress_at_work</vt:lpwstr>
      </vt:variant>
      <vt:variant>
        <vt:lpwstr/>
      </vt:variant>
      <vt:variant>
        <vt:i4>2359370</vt:i4>
      </vt:variant>
      <vt:variant>
        <vt:i4>213</vt:i4>
      </vt:variant>
      <vt:variant>
        <vt:i4>0</vt:i4>
      </vt:variant>
      <vt:variant>
        <vt:i4>5</vt:i4>
      </vt:variant>
      <vt:variant>
        <vt:lpwstr>http://www.abs.gov.au/ausstats/abs@.nsf/2f762f95845417aeca25706c00834efa/7cd8aebba7225c4eca25697e0018faf3!OpenDocument</vt:lpwstr>
      </vt:variant>
      <vt:variant>
        <vt:lpwstr/>
      </vt:variant>
      <vt:variant>
        <vt:i4>5373979</vt:i4>
      </vt:variant>
      <vt:variant>
        <vt:i4>210</vt:i4>
      </vt:variant>
      <vt:variant>
        <vt:i4>0</vt:i4>
      </vt:variant>
      <vt:variant>
        <vt:i4>5</vt:i4>
      </vt:variant>
      <vt:variant>
        <vt:lpwstr>http://www.pc.gov.au/projects/study/regulationbenchmarking/ohs/report</vt:lpwstr>
      </vt:variant>
      <vt:variant>
        <vt:lpwstr/>
      </vt:variant>
      <vt:variant>
        <vt:i4>3997715</vt:i4>
      </vt:variant>
      <vt:variant>
        <vt:i4>207</vt:i4>
      </vt:variant>
      <vt:variant>
        <vt:i4>0</vt:i4>
      </vt:variant>
      <vt:variant>
        <vt:i4>5</vt:i4>
      </vt:variant>
      <vt:variant>
        <vt:lpwstr>http://www.abs.gov.au/AUSSTATS/abs@.nsf/Lookup/1301.0Chapter15042009%E2%80%9310</vt:lpwstr>
      </vt:variant>
      <vt:variant>
        <vt:lpwstr/>
      </vt:variant>
      <vt:variant>
        <vt:i4>7340059</vt:i4>
      </vt:variant>
      <vt:variant>
        <vt:i4>204</vt:i4>
      </vt:variant>
      <vt:variant>
        <vt:i4>0</vt:i4>
      </vt:variant>
      <vt:variant>
        <vt:i4>5</vt:i4>
      </vt:variant>
      <vt:variant>
        <vt:lpwstr>http://www.abs.gov.au/AUSSTATS/abs@.nsf/DetailsPage/4326.02007</vt:lpwstr>
      </vt:variant>
      <vt:variant>
        <vt:lpwstr/>
      </vt:variant>
      <vt:variant>
        <vt:i4>2949229</vt:i4>
      </vt:variant>
      <vt:variant>
        <vt:i4>201</vt:i4>
      </vt:variant>
      <vt:variant>
        <vt:i4>0</vt:i4>
      </vt:variant>
      <vt:variant>
        <vt:i4>5</vt:i4>
      </vt:variant>
      <vt:variant>
        <vt:lpwstr>http://www.abcdiamond.com/australia/australian-median-wage</vt:lpwstr>
      </vt:variant>
      <vt:variant>
        <vt:lpwstr/>
      </vt:variant>
      <vt:variant>
        <vt:i4>4390923</vt:i4>
      </vt:variant>
      <vt:variant>
        <vt:i4>194</vt:i4>
      </vt:variant>
      <vt:variant>
        <vt:i4>0</vt:i4>
      </vt:variant>
      <vt:variant>
        <vt:i4>5</vt:i4>
      </vt:variant>
      <vt:variant>
        <vt:lpwstr/>
      </vt:variant>
      <vt:variant>
        <vt:lpwstr>_ENREF_29</vt:lpwstr>
      </vt:variant>
      <vt:variant>
        <vt:i4>1572920</vt:i4>
      </vt:variant>
      <vt:variant>
        <vt:i4>185</vt:i4>
      </vt:variant>
      <vt:variant>
        <vt:i4>0</vt:i4>
      </vt:variant>
      <vt:variant>
        <vt:i4>5</vt:i4>
      </vt:variant>
      <vt:variant>
        <vt:lpwstr/>
      </vt:variant>
      <vt:variant>
        <vt:lpwstr>_Toc335386692</vt:lpwstr>
      </vt:variant>
      <vt:variant>
        <vt:i4>1572920</vt:i4>
      </vt:variant>
      <vt:variant>
        <vt:i4>179</vt:i4>
      </vt:variant>
      <vt:variant>
        <vt:i4>0</vt:i4>
      </vt:variant>
      <vt:variant>
        <vt:i4>5</vt:i4>
      </vt:variant>
      <vt:variant>
        <vt:lpwstr/>
      </vt:variant>
      <vt:variant>
        <vt:lpwstr>_Toc335386691</vt:lpwstr>
      </vt:variant>
      <vt:variant>
        <vt:i4>1572920</vt:i4>
      </vt:variant>
      <vt:variant>
        <vt:i4>173</vt:i4>
      </vt:variant>
      <vt:variant>
        <vt:i4>0</vt:i4>
      </vt:variant>
      <vt:variant>
        <vt:i4>5</vt:i4>
      </vt:variant>
      <vt:variant>
        <vt:lpwstr/>
      </vt:variant>
      <vt:variant>
        <vt:lpwstr>_Toc335386690</vt:lpwstr>
      </vt:variant>
      <vt:variant>
        <vt:i4>1638456</vt:i4>
      </vt:variant>
      <vt:variant>
        <vt:i4>167</vt:i4>
      </vt:variant>
      <vt:variant>
        <vt:i4>0</vt:i4>
      </vt:variant>
      <vt:variant>
        <vt:i4>5</vt:i4>
      </vt:variant>
      <vt:variant>
        <vt:lpwstr/>
      </vt:variant>
      <vt:variant>
        <vt:lpwstr>_Toc335386689</vt:lpwstr>
      </vt:variant>
      <vt:variant>
        <vt:i4>1638456</vt:i4>
      </vt:variant>
      <vt:variant>
        <vt:i4>161</vt:i4>
      </vt:variant>
      <vt:variant>
        <vt:i4>0</vt:i4>
      </vt:variant>
      <vt:variant>
        <vt:i4>5</vt:i4>
      </vt:variant>
      <vt:variant>
        <vt:lpwstr/>
      </vt:variant>
      <vt:variant>
        <vt:lpwstr>_Toc335386688</vt:lpwstr>
      </vt:variant>
      <vt:variant>
        <vt:i4>1638456</vt:i4>
      </vt:variant>
      <vt:variant>
        <vt:i4>155</vt:i4>
      </vt:variant>
      <vt:variant>
        <vt:i4>0</vt:i4>
      </vt:variant>
      <vt:variant>
        <vt:i4>5</vt:i4>
      </vt:variant>
      <vt:variant>
        <vt:lpwstr/>
      </vt:variant>
      <vt:variant>
        <vt:lpwstr>_Toc335386687</vt:lpwstr>
      </vt:variant>
      <vt:variant>
        <vt:i4>1638456</vt:i4>
      </vt:variant>
      <vt:variant>
        <vt:i4>149</vt:i4>
      </vt:variant>
      <vt:variant>
        <vt:i4>0</vt:i4>
      </vt:variant>
      <vt:variant>
        <vt:i4>5</vt:i4>
      </vt:variant>
      <vt:variant>
        <vt:lpwstr/>
      </vt:variant>
      <vt:variant>
        <vt:lpwstr>_Toc335386686</vt:lpwstr>
      </vt:variant>
      <vt:variant>
        <vt:i4>1638456</vt:i4>
      </vt:variant>
      <vt:variant>
        <vt:i4>143</vt:i4>
      </vt:variant>
      <vt:variant>
        <vt:i4>0</vt:i4>
      </vt:variant>
      <vt:variant>
        <vt:i4>5</vt:i4>
      </vt:variant>
      <vt:variant>
        <vt:lpwstr/>
      </vt:variant>
      <vt:variant>
        <vt:lpwstr>_Toc335386685</vt:lpwstr>
      </vt:variant>
      <vt:variant>
        <vt:i4>1638456</vt:i4>
      </vt:variant>
      <vt:variant>
        <vt:i4>137</vt:i4>
      </vt:variant>
      <vt:variant>
        <vt:i4>0</vt:i4>
      </vt:variant>
      <vt:variant>
        <vt:i4>5</vt:i4>
      </vt:variant>
      <vt:variant>
        <vt:lpwstr/>
      </vt:variant>
      <vt:variant>
        <vt:lpwstr>_Toc335386684</vt:lpwstr>
      </vt:variant>
      <vt:variant>
        <vt:i4>1638456</vt:i4>
      </vt:variant>
      <vt:variant>
        <vt:i4>131</vt:i4>
      </vt:variant>
      <vt:variant>
        <vt:i4>0</vt:i4>
      </vt:variant>
      <vt:variant>
        <vt:i4>5</vt:i4>
      </vt:variant>
      <vt:variant>
        <vt:lpwstr/>
      </vt:variant>
      <vt:variant>
        <vt:lpwstr>_Toc335386683</vt:lpwstr>
      </vt:variant>
      <vt:variant>
        <vt:i4>1638456</vt:i4>
      </vt:variant>
      <vt:variant>
        <vt:i4>125</vt:i4>
      </vt:variant>
      <vt:variant>
        <vt:i4>0</vt:i4>
      </vt:variant>
      <vt:variant>
        <vt:i4>5</vt:i4>
      </vt:variant>
      <vt:variant>
        <vt:lpwstr/>
      </vt:variant>
      <vt:variant>
        <vt:lpwstr>_Toc335386682</vt:lpwstr>
      </vt:variant>
      <vt:variant>
        <vt:i4>1638456</vt:i4>
      </vt:variant>
      <vt:variant>
        <vt:i4>119</vt:i4>
      </vt:variant>
      <vt:variant>
        <vt:i4>0</vt:i4>
      </vt:variant>
      <vt:variant>
        <vt:i4>5</vt:i4>
      </vt:variant>
      <vt:variant>
        <vt:lpwstr/>
      </vt:variant>
      <vt:variant>
        <vt:lpwstr>_Toc335386681</vt:lpwstr>
      </vt:variant>
      <vt:variant>
        <vt:i4>1638456</vt:i4>
      </vt:variant>
      <vt:variant>
        <vt:i4>113</vt:i4>
      </vt:variant>
      <vt:variant>
        <vt:i4>0</vt:i4>
      </vt:variant>
      <vt:variant>
        <vt:i4>5</vt:i4>
      </vt:variant>
      <vt:variant>
        <vt:lpwstr/>
      </vt:variant>
      <vt:variant>
        <vt:lpwstr>_Toc335386680</vt:lpwstr>
      </vt:variant>
      <vt:variant>
        <vt:i4>1441848</vt:i4>
      </vt:variant>
      <vt:variant>
        <vt:i4>107</vt:i4>
      </vt:variant>
      <vt:variant>
        <vt:i4>0</vt:i4>
      </vt:variant>
      <vt:variant>
        <vt:i4>5</vt:i4>
      </vt:variant>
      <vt:variant>
        <vt:lpwstr/>
      </vt:variant>
      <vt:variant>
        <vt:lpwstr>_Toc335386679</vt:lpwstr>
      </vt:variant>
      <vt:variant>
        <vt:i4>1441848</vt:i4>
      </vt:variant>
      <vt:variant>
        <vt:i4>101</vt:i4>
      </vt:variant>
      <vt:variant>
        <vt:i4>0</vt:i4>
      </vt:variant>
      <vt:variant>
        <vt:i4>5</vt:i4>
      </vt:variant>
      <vt:variant>
        <vt:lpwstr/>
      </vt:variant>
      <vt:variant>
        <vt:lpwstr>_Toc335386678</vt:lpwstr>
      </vt:variant>
      <vt:variant>
        <vt:i4>1441848</vt:i4>
      </vt:variant>
      <vt:variant>
        <vt:i4>95</vt:i4>
      </vt:variant>
      <vt:variant>
        <vt:i4>0</vt:i4>
      </vt:variant>
      <vt:variant>
        <vt:i4>5</vt:i4>
      </vt:variant>
      <vt:variant>
        <vt:lpwstr/>
      </vt:variant>
      <vt:variant>
        <vt:lpwstr>_Toc335386677</vt:lpwstr>
      </vt:variant>
      <vt:variant>
        <vt:i4>1441848</vt:i4>
      </vt:variant>
      <vt:variant>
        <vt:i4>89</vt:i4>
      </vt:variant>
      <vt:variant>
        <vt:i4>0</vt:i4>
      </vt:variant>
      <vt:variant>
        <vt:i4>5</vt:i4>
      </vt:variant>
      <vt:variant>
        <vt:lpwstr/>
      </vt:variant>
      <vt:variant>
        <vt:lpwstr>_Toc335386676</vt:lpwstr>
      </vt:variant>
      <vt:variant>
        <vt:i4>1441848</vt:i4>
      </vt:variant>
      <vt:variant>
        <vt:i4>83</vt:i4>
      </vt:variant>
      <vt:variant>
        <vt:i4>0</vt:i4>
      </vt:variant>
      <vt:variant>
        <vt:i4>5</vt:i4>
      </vt:variant>
      <vt:variant>
        <vt:lpwstr/>
      </vt:variant>
      <vt:variant>
        <vt:lpwstr>_Toc335386675</vt:lpwstr>
      </vt:variant>
      <vt:variant>
        <vt:i4>1441848</vt:i4>
      </vt:variant>
      <vt:variant>
        <vt:i4>77</vt:i4>
      </vt:variant>
      <vt:variant>
        <vt:i4>0</vt:i4>
      </vt:variant>
      <vt:variant>
        <vt:i4>5</vt:i4>
      </vt:variant>
      <vt:variant>
        <vt:lpwstr/>
      </vt:variant>
      <vt:variant>
        <vt:lpwstr>_Toc335386674</vt:lpwstr>
      </vt:variant>
      <vt:variant>
        <vt:i4>1441848</vt:i4>
      </vt:variant>
      <vt:variant>
        <vt:i4>71</vt:i4>
      </vt:variant>
      <vt:variant>
        <vt:i4>0</vt:i4>
      </vt:variant>
      <vt:variant>
        <vt:i4>5</vt:i4>
      </vt:variant>
      <vt:variant>
        <vt:lpwstr/>
      </vt:variant>
      <vt:variant>
        <vt:lpwstr>_Toc335386673</vt:lpwstr>
      </vt:variant>
      <vt:variant>
        <vt:i4>1441848</vt:i4>
      </vt:variant>
      <vt:variant>
        <vt:i4>65</vt:i4>
      </vt:variant>
      <vt:variant>
        <vt:i4>0</vt:i4>
      </vt:variant>
      <vt:variant>
        <vt:i4>5</vt:i4>
      </vt:variant>
      <vt:variant>
        <vt:lpwstr/>
      </vt:variant>
      <vt:variant>
        <vt:lpwstr>_Toc335386672</vt:lpwstr>
      </vt:variant>
      <vt:variant>
        <vt:i4>1441848</vt:i4>
      </vt:variant>
      <vt:variant>
        <vt:i4>59</vt:i4>
      </vt:variant>
      <vt:variant>
        <vt:i4>0</vt:i4>
      </vt:variant>
      <vt:variant>
        <vt:i4>5</vt:i4>
      </vt:variant>
      <vt:variant>
        <vt:lpwstr/>
      </vt:variant>
      <vt:variant>
        <vt:lpwstr>_Toc335386671</vt:lpwstr>
      </vt:variant>
      <vt:variant>
        <vt:i4>1441848</vt:i4>
      </vt:variant>
      <vt:variant>
        <vt:i4>53</vt:i4>
      </vt:variant>
      <vt:variant>
        <vt:i4>0</vt:i4>
      </vt:variant>
      <vt:variant>
        <vt:i4>5</vt:i4>
      </vt:variant>
      <vt:variant>
        <vt:lpwstr/>
      </vt:variant>
      <vt:variant>
        <vt:lpwstr>_Toc335386670</vt:lpwstr>
      </vt:variant>
      <vt:variant>
        <vt:i4>1507384</vt:i4>
      </vt:variant>
      <vt:variant>
        <vt:i4>47</vt:i4>
      </vt:variant>
      <vt:variant>
        <vt:i4>0</vt:i4>
      </vt:variant>
      <vt:variant>
        <vt:i4>5</vt:i4>
      </vt:variant>
      <vt:variant>
        <vt:lpwstr/>
      </vt:variant>
      <vt:variant>
        <vt:lpwstr>_Toc335386667</vt:lpwstr>
      </vt:variant>
      <vt:variant>
        <vt:i4>1507384</vt:i4>
      </vt:variant>
      <vt:variant>
        <vt:i4>41</vt:i4>
      </vt:variant>
      <vt:variant>
        <vt:i4>0</vt:i4>
      </vt:variant>
      <vt:variant>
        <vt:i4>5</vt:i4>
      </vt:variant>
      <vt:variant>
        <vt:lpwstr/>
      </vt:variant>
      <vt:variant>
        <vt:lpwstr>_Toc335386666</vt:lpwstr>
      </vt:variant>
      <vt:variant>
        <vt:i4>1507384</vt:i4>
      </vt:variant>
      <vt:variant>
        <vt:i4>35</vt:i4>
      </vt:variant>
      <vt:variant>
        <vt:i4>0</vt:i4>
      </vt:variant>
      <vt:variant>
        <vt:i4>5</vt:i4>
      </vt:variant>
      <vt:variant>
        <vt:lpwstr/>
      </vt:variant>
      <vt:variant>
        <vt:lpwstr>_Toc335386665</vt:lpwstr>
      </vt:variant>
      <vt:variant>
        <vt:i4>1507384</vt:i4>
      </vt:variant>
      <vt:variant>
        <vt:i4>29</vt:i4>
      </vt:variant>
      <vt:variant>
        <vt:i4>0</vt:i4>
      </vt:variant>
      <vt:variant>
        <vt:i4>5</vt:i4>
      </vt:variant>
      <vt:variant>
        <vt:lpwstr/>
      </vt:variant>
      <vt:variant>
        <vt:lpwstr>_Toc335386664</vt:lpwstr>
      </vt:variant>
      <vt:variant>
        <vt:i4>1507384</vt:i4>
      </vt:variant>
      <vt:variant>
        <vt:i4>23</vt:i4>
      </vt:variant>
      <vt:variant>
        <vt:i4>0</vt:i4>
      </vt:variant>
      <vt:variant>
        <vt:i4>5</vt:i4>
      </vt:variant>
      <vt:variant>
        <vt:lpwstr/>
      </vt:variant>
      <vt:variant>
        <vt:lpwstr>_Toc335386663</vt:lpwstr>
      </vt:variant>
      <vt:variant>
        <vt:i4>1507384</vt:i4>
      </vt:variant>
      <vt:variant>
        <vt:i4>17</vt:i4>
      </vt:variant>
      <vt:variant>
        <vt:i4>0</vt:i4>
      </vt:variant>
      <vt:variant>
        <vt:i4>5</vt:i4>
      </vt:variant>
      <vt:variant>
        <vt:lpwstr/>
      </vt:variant>
      <vt:variant>
        <vt:lpwstr>_Toc335386662</vt:lpwstr>
      </vt:variant>
      <vt:variant>
        <vt:i4>1507384</vt:i4>
      </vt:variant>
      <vt:variant>
        <vt:i4>11</vt:i4>
      </vt:variant>
      <vt:variant>
        <vt:i4>0</vt:i4>
      </vt:variant>
      <vt:variant>
        <vt:i4>5</vt:i4>
      </vt:variant>
      <vt:variant>
        <vt:lpwstr/>
      </vt:variant>
      <vt:variant>
        <vt:lpwstr>_Toc335386661</vt:lpwstr>
      </vt:variant>
      <vt:variant>
        <vt:i4>1507384</vt:i4>
      </vt:variant>
      <vt:variant>
        <vt:i4>5</vt:i4>
      </vt:variant>
      <vt:variant>
        <vt:i4>0</vt:i4>
      </vt:variant>
      <vt:variant>
        <vt:i4>5</vt:i4>
      </vt:variant>
      <vt:variant>
        <vt:lpwstr/>
      </vt:variant>
      <vt:variant>
        <vt:lpwstr>_Toc335386660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Australian Workplace Barometer: Report on psychosocial safety climate and worker health in Australia</dc:title>
  <dc:creator>austincr</dc:creator>
  <cp:lastModifiedBy>Dianna Smith</cp:lastModifiedBy>
  <cp:revision>14</cp:revision>
  <cp:lastPrinted>2012-11-28T01:53:00Z</cp:lastPrinted>
  <dcterms:created xsi:type="dcterms:W3CDTF">2012-12-16T22:02:00Z</dcterms:created>
  <dcterms:modified xsi:type="dcterms:W3CDTF">2012-12-17T01:28:00Z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0x010100A3147459CEFB4138ACF45C1B93E95121001AC9209C673FD1488F9C0FD06E69F9BE</vt:lpwstr>
  </property>
</Properties>
</file>