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2A" w:rsidRPr="005E6422" w:rsidRDefault="00B76C4E" w:rsidP="00C23D2A">
      <w:pPr>
        <w:spacing w:before="3600" w:after="7200"/>
        <w:jc w:val="center"/>
        <w:rPr>
          <w:b/>
          <w:sz w:val="40"/>
          <w:szCs w:val="40"/>
        </w:rPr>
      </w:pPr>
      <w:r>
        <w:rPr>
          <w:b/>
          <w:sz w:val="40"/>
          <w:szCs w:val="40"/>
        </w:rPr>
        <w:t xml:space="preserve">Statistics on </w:t>
      </w:r>
      <w:r w:rsidR="00A51C4C">
        <w:rPr>
          <w:b/>
          <w:sz w:val="40"/>
          <w:szCs w:val="40"/>
        </w:rPr>
        <w:t>Work-Related Musculoskeletal Disorders</w:t>
      </w:r>
    </w:p>
    <w:p w:rsidR="00C23D2A" w:rsidRPr="005E6422" w:rsidRDefault="00C23D2A" w:rsidP="00C23D2A">
      <w:pPr>
        <w:spacing w:after="240"/>
        <w:jc w:val="center"/>
        <w:rPr>
          <w:b/>
          <w:sz w:val="28"/>
          <w:szCs w:val="28"/>
        </w:rPr>
      </w:pPr>
      <w:r w:rsidRPr="005E6422">
        <w:rPr>
          <w:b/>
          <w:sz w:val="28"/>
          <w:szCs w:val="28"/>
        </w:rPr>
        <w:t>2016</w:t>
      </w:r>
    </w:p>
    <w:p w:rsidR="00C23D2A" w:rsidRPr="005E6422" w:rsidRDefault="00C23D2A" w:rsidP="00C23D2A">
      <w:pPr>
        <w:jc w:val="center"/>
        <w:rPr>
          <w:b/>
          <w:sz w:val="40"/>
          <w:szCs w:val="40"/>
        </w:rPr>
      </w:pPr>
      <w:r w:rsidRPr="005E6422">
        <w:rPr>
          <w:noProof/>
        </w:rPr>
        <w:drawing>
          <wp:inline distT="0" distB="0" distL="0" distR="0" wp14:anchorId="5DA15CC4" wp14:editId="1270AF63">
            <wp:extent cx="2071999" cy="432000"/>
            <wp:effectExtent l="0" t="0" r="5080" b="6350"/>
            <wp:docPr id="26" name="Picture 2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9"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r w:rsidRPr="005E6422">
        <w:rPr>
          <w:b/>
          <w:sz w:val="40"/>
          <w:szCs w:val="40"/>
        </w:rPr>
        <w:br w:type="page"/>
      </w:r>
    </w:p>
    <w:p w:rsidR="00A51C4C" w:rsidRPr="005E6422" w:rsidRDefault="00A51C4C" w:rsidP="00A51C4C">
      <w:pPr>
        <w:rPr>
          <w:b/>
        </w:rPr>
      </w:pPr>
      <w:r w:rsidRPr="005E6422">
        <w:rPr>
          <w:b/>
        </w:rPr>
        <w:lastRenderedPageBreak/>
        <w:t>Creative Commons</w:t>
      </w:r>
    </w:p>
    <w:p w:rsidR="00A51C4C" w:rsidRPr="005E6422" w:rsidRDefault="00A51C4C" w:rsidP="00A51C4C">
      <w:pPr>
        <w:rPr>
          <w:b/>
        </w:rPr>
      </w:pPr>
      <w:r w:rsidRPr="005E6422">
        <w:rPr>
          <w:noProof/>
          <w:color w:val="000000" w:themeColor="text1"/>
          <w:sz w:val="19"/>
          <w:szCs w:val="19"/>
        </w:rPr>
        <w:drawing>
          <wp:inline distT="0" distB="0" distL="0" distR="0" wp14:anchorId="65E68D4F" wp14:editId="58C80B54">
            <wp:extent cx="1524000" cy="530370"/>
            <wp:effectExtent l="0" t="0" r="0" b="0"/>
            <wp:docPr id="7" name="Picture 4"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inline>
        </w:drawing>
      </w:r>
    </w:p>
    <w:p w:rsidR="005B6BF8" w:rsidRPr="005B6BF8" w:rsidRDefault="005B6BF8" w:rsidP="005B6BF8">
      <w:pPr>
        <w:suppressAutoHyphens/>
        <w:autoSpaceDE w:val="0"/>
        <w:autoSpaceDN w:val="0"/>
        <w:adjustRightInd w:val="0"/>
        <w:spacing w:before="57" w:after="57" w:line="288" w:lineRule="auto"/>
        <w:textAlignment w:val="center"/>
        <w:rPr>
          <w:rFonts w:eastAsiaTheme="minorHAnsi"/>
          <w:color w:val="000000"/>
          <w:kern w:val="0"/>
          <w:szCs w:val="20"/>
          <w:lang w:val="en-GB" w:eastAsia="en-US"/>
        </w:rPr>
      </w:pPr>
      <w:r w:rsidRPr="005B6BF8">
        <w:rPr>
          <w:rFonts w:eastAsiaTheme="minorHAnsi"/>
          <w:color w:val="000000"/>
          <w:kern w:val="0"/>
          <w:szCs w:val="20"/>
          <w:lang w:val="en-GB" w:eastAsia="en-US"/>
        </w:rPr>
        <w:t>ISBN</w:t>
      </w:r>
      <w:r>
        <w:rPr>
          <w:rFonts w:eastAsiaTheme="minorHAnsi"/>
          <w:color w:val="000000"/>
          <w:kern w:val="0"/>
          <w:szCs w:val="20"/>
          <w:lang w:val="en-GB" w:eastAsia="en-US"/>
        </w:rPr>
        <w:t>: 978-1-76028-825-9 (online pdf</w:t>
      </w:r>
      <w:proofErr w:type="gramStart"/>
      <w:r>
        <w:rPr>
          <w:rFonts w:eastAsiaTheme="minorHAnsi"/>
          <w:color w:val="000000"/>
          <w:kern w:val="0"/>
          <w:szCs w:val="20"/>
          <w:lang w:val="en-GB" w:eastAsia="en-US"/>
        </w:rPr>
        <w:t>)</w:t>
      </w:r>
      <w:proofErr w:type="gramEnd"/>
      <w:r w:rsidRPr="005B6BF8">
        <w:rPr>
          <w:rFonts w:eastAsiaTheme="minorHAnsi"/>
          <w:color w:val="000000"/>
          <w:kern w:val="0"/>
          <w:szCs w:val="20"/>
          <w:lang w:val="en-GB" w:eastAsia="en-US"/>
        </w:rPr>
        <w:br/>
        <w:t xml:space="preserve">ISBN: 978-1-76028-826-6 (online </w:t>
      </w:r>
      <w:proofErr w:type="spellStart"/>
      <w:r w:rsidRPr="005B6BF8">
        <w:rPr>
          <w:rFonts w:eastAsiaTheme="minorHAnsi"/>
          <w:color w:val="000000"/>
          <w:kern w:val="0"/>
          <w:szCs w:val="20"/>
          <w:lang w:val="en-GB" w:eastAsia="en-US"/>
        </w:rPr>
        <w:t>docx</w:t>
      </w:r>
      <w:proofErr w:type="spellEnd"/>
      <w:r w:rsidRPr="005B6BF8">
        <w:rPr>
          <w:rFonts w:eastAsiaTheme="minorHAnsi"/>
          <w:color w:val="000000"/>
          <w:kern w:val="0"/>
          <w:szCs w:val="20"/>
          <w:lang w:val="en-GB" w:eastAsia="en-US"/>
        </w:rPr>
        <w:t>)</w:t>
      </w:r>
    </w:p>
    <w:p w:rsidR="00A51C4C" w:rsidRPr="005E6422" w:rsidRDefault="00A51C4C" w:rsidP="00A51C4C">
      <w:r w:rsidRPr="005E6422">
        <w:t xml:space="preserve">With the exception of the Safe Work Australia logo, this report is licensed by Safe Work Australia under a Creative Commons 3.0 Australia Licence. To view a copy of this licence, visit </w:t>
      </w:r>
      <w:hyperlink r:id="rId11" w:history="1">
        <w:r w:rsidRPr="005E6422">
          <w:rPr>
            <w:rStyle w:val="Hyperlink"/>
          </w:rPr>
          <w:t>http://creativecommons.org/licenses/by/3.0/au/deed.en</w:t>
        </w:r>
      </w:hyperlink>
    </w:p>
    <w:p w:rsidR="00A51C4C" w:rsidRPr="005E6422" w:rsidRDefault="00A51C4C" w:rsidP="00A51C4C">
      <w:r w:rsidRPr="005E6422">
        <w:t>In essence, you are free to copy, communicate and adapt the work, as long as you attribute the work to Safe Work Australia and abid</w:t>
      </w:r>
      <w:r>
        <w:t>e by the other licensing terms.</w:t>
      </w:r>
    </w:p>
    <w:p w:rsidR="00A51C4C" w:rsidRPr="005E6422" w:rsidRDefault="00A51C4C" w:rsidP="00A51C4C">
      <w:r w:rsidRPr="005E6422">
        <w:t>Enquiries regarding the licence and any use of the report are welcome at:</w:t>
      </w:r>
    </w:p>
    <w:p w:rsidR="00A51C4C" w:rsidRPr="005E6422" w:rsidRDefault="00A51C4C" w:rsidP="00A51C4C">
      <w:pPr>
        <w:spacing w:after="0"/>
      </w:pPr>
      <w:r w:rsidRPr="005E6422">
        <w:t>Copyright Officer</w:t>
      </w:r>
    </w:p>
    <w:p w:rsidR="00A51C4C" w:rsidRPr="005E6422" w:rsidRDefault="00A51C4C" w:rsidP="00A51C4C">
      <w:pPr>
        <w:spacing w:after="0"/>
      </w:pPr>
      <w:r w:rsidRPr="005E6422">
        <w:t>Safe Work Australia</w:t>
      </w:r>
    </w:p>
    <w:p w:rsidR="00A51C4C" w:rsidRPr="005E6422" w:rsidRDefault="00A51C4C" w:rsidP="00A51C4C">
      <w:pPr>
        <w:spacing w:after="0"/>
      </w:pPr>
      <w:r w:rsidRPr="005E6422">
        <w:t>GPO Box 641 Canberra ACT 2601</w:t>
      </w:r>
    </w:p>
    <w:p w:rsidR="00A51C4C" w:rsidRPr="005E6422" w:rsidRDefault="00A51C4C" w:rsidP="00A51C4C">
      <w:pPr>
        <w:spacing w:after="0"/>
      </w:pPr>
      <w:r w:rsidRPr="005E6422">
        <w:t xml:space="preserve">Email: </w:t>
      </w:r>
      <w:hyperlink r:id="rId12" w:history="1">
        <w:r w:rsidRPr="005E6422">
          <w:rPr>
            <w:rStyle w:val="Hyperlink"/>
          </w:rPr>
          <w:t>copyrightrequests@swa.gov.au</w:t>
        </w:r>
      </w:hyperlink>
    </w:p>
    <w:p w:rsidR="00A51C4C" w:rsidRPr="005E6422" w:rsidRDefault="00A51C4C" w:rsidP="00A51C4C">
      <w:pPr>
        <w:rPr>
          <w:b/>
        </w:rPr>
      </w:pPr>
    </w:p>
    <w:p w:rsidR="00A51C4C" w:rsidRPr="005E6422" w:rsidRDefault="00A51C4C" w:rsidP="00A51C4C">
      <w:pPr>
        <w:rPr>
          <w:b/>
        </w:rPr>
      </w:pPr>
      <w:r w:rsidRPr="005E6422">
        <w:rPr>
          <w:b/>
        </w:rPr>
        <w:t>Disclaimer</w:t>
      </w:r>
    </w:p>
    <w:p w:rsidR="00A51C4C" w:rsidRPr="005E6422" w:rsidRDefault="00A51C4C" w:rsidP="00A51C4C">
      <w:r w:rsidRPr="005E6422">
        <w:t xml:space="preserve">The information provided in this document can only assist you in the most general way. This document does not replace any statutory requirements under any relevant </w:t>
      </w:r>
      <w:r>
        <w:t>jurisdictional</w:t>
      </w:r>
      <w:r w:rsidRPr="005E6422">
        <w:t xml:space="preserve"> legislation. Safe Work Australia accepts no liability arising from the use of or reliance on the material contained on this document, which is provided on the basis that Safe Work Australia is not thereby engaged in rendering professional advice. Before relying on the material, users should carefully make their own assessment as to its accuracy, currency, completeness and relevance for their purposes, and should obtain any appropriate professional advice relevant to their particular circumstances. To the extent that the material in this document includes views or recommendations of third parties, such views or recommendations do not necessarily reflect the views of Safe Work Australia nor do they indicate a commitment to a particular course of action.</w:t>
      </w:r>
    </w:p>
    <w:p w:rsidR="00204381" w:rsidRPr="007A3514" w:rsidRDefault="00204381" w:rsidP="00A51C4C">
      <w:r>
        <w:br w:type="page"/>
      </w:r>
    </w:p>
    <w:bookmarkStart w:id="0" w:name="_Toc445363794" w:displacedByCustomXml="next"/>
    <w:bookmarkStart w:id="1" w:name="_Toc445362466" w:displacedByCustomXml="next"/>
    <w:bookmarkStart w:id="2" w:name="_Toc444869327" w:displacedByCustomXml="next"/>
    <w:bookmarkStart w:id="3" w:name="_Toc444869244" w:displacedByCustomXml="next"/>
    <w:bookmarkStart w:id="4" w:name="_Toc444869192" w:displacedByCustomXml="next"/>
    <w:bookmarkStart w:id="5" w:name="_Toc444680008" w:displacedByCustomXml="next"/>
    <w:bookmarkStart w:id="6" w:name="_Toc442351429" w:displacedByCustomXml="next"/>
    <w:bookmarkStart w:id="7" w:name="_Toc442340097" w:displacedByCustomXml="next"/>
    <w:sdt>
      <w:sdtPr>
        <w:id w:val="-136180422"/>
        <w:docPartObj>
          <w:docPartGallery w:val="Table of Contents"/>
          <w:docPartUnique/>
        </w:docPartObj>
      </w:sdtPr>
      <w:sdtEndPr>
        <w:rPr>
          <w:b/>
          <w:bCs/>
          <w:noProof/>
        </w:rPr>
      </w:sdtEndPr>
      <w:sdtContent>
        <w:bookmarkStart w:id="8" w:name="_Toc450126608" w:displacedByCustomXml="prev"/>
        <w:p w:rsidR="008F1ED4" w:rsidRPr="005213F2" w:rsidRDefault="00D96A76" w:rsidP="00D96A76">
          <w:pPr>
            <w:rPr>
              <w:noProof/>
            </w:rPr>
          </w:pPr>
          <w:r w:rsidRPr="00D96A76">
            <w:rPr>
              <w:rStyle w:val="Heading1Char"/>
            </w:rPr>
            <w:t>Contents</w:t>
          </w:r>
          <w:bookmarkEnd w:id="8"/>
          <w:r>
            <w:t xml:space="preserve"> </w:t>
          </w:r>
          <w:r w:rsidRPr="005213F2">
            <w:fldChar w:fldCharType="begin"/>
          </w:r>
          <w:r w:rsidRPr="005213F2">
            <w:instrText xml:space="preserve"> TOC \o "1-3" \h \z \u </w:instrText>
          </w:r>
          <w:r w:rsidRPr="005213F2">
            <w:fldChar w:fldCharType="separate"/>
          </w:r>
        </w:p>
        <w:p w:rsidR="008F1ED4" w:rsidRPr="005213F2" w:rsidRDefault="00F004BF" w:rsidP="005213F2">
          <w:pPr>
            <w:pStyle w:val="TOC1"/>
            <w:rPr>
              <w:rFonts w:asciiTheme="minorHAnsi" w:eastAsiaTheme="minorEastAsia" w:hAnsiTheme="minorHAnsi" w:cstheme="minorBidi"/>
              <w:kern w:val="0"/>
              <w:sz w:val="22"/>
            </w:rPr>
          </w:pPr>
          <w:hyperlink w:anchor="_Toc450826573" w:history="1">
            <w:r w:rsidR="008F1ED4" w:rsidRPr="005213F2">
              <w:rPr>
                <w:rStyle w:val="Hyperlink"/>
              </w:rPr>
              <w:t>Introduction</w:t>
            </w:r>
            <w:r w:rsidR="008F1ED4" w:rsidRPr="005213F2">
              <w:rPr>
                <w:webHidden/>
              </w:rPr>
              <w:tab/>
            </w:r>
            <w:r w:rsidR="008F1ED4" w:rsidRPr="005213F2">
              <w:rPr>
                <w:webHidden/>
              </w:rPr>
              <w:fldChar w:fldCharType="begin"/>
            </w:r>
            <w:r w:rsidR="008F1ED4" w:rsidRPr="005213F2">
              <w:rPr>
                <w:webHidden/>
              </w:rPr>
              <w:instrText xml:space="preserve"> PAGEREF _Toc450826573 \h </w:instrText>
            </w:r>
            <w:r w:rsidR="008F1ED4" w:rsidRPr="005213F2">
              <w:rPr>
                <w:webHidden/>
              </w:rPr>
            </w:r>
            <w:r w:rsidR="008F1ED4" w:rsidRPr="005213F2">
              <w:rPr>
                <w:webHidden/>
              </w:rPr>
              <w:fldChar w:fldCharType="separate"/>
            </w:r>
            <w:r>
              <w:rPr>
                <w:webHidden/>
              </w:rPr>
              <w:t>4</w:t>
            </w:r>
            <w:r w:rsidR="008F1ED4" w:rsidRPr="005213F2">
              <w:rPr>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74" w:history="1">
            <w:r w:rsidR="008F1ED4" w:rsidRPr="005213F2">
              <w:rPr>
                <w:rStyle w:val="Hyperlink"/>
                <w:noProof/>
              </w:rPr>
              <w:t>Source of data</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_Toc450826574 \h </w:instrText>
            </w:r>
            <w:r w:rsidR="008F1ED4" w:rsidRPr="005213F2">
              <w:rPr>
                <w:noProof/>
                <w:webHidden/>
              </w:rPr>
            </w:r>
            <w:r w:rsidR="008F1ED4" w:rsidRPr="005213F2">
              <w:rPr>
                <w:noProof/>
                <w:webHidden/>
              </w:rPr>
              <w:fldChar w:fldCharType="separate"/>
            </w:r>
            <w:r>
              <w:rPr>
                <w:noProof/>
                <w:webHidden/>
              </w:rPr>
              <w:t>4</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75" w:history="1">
            <w:r w:rsidR="008F1ED4" w:rsidRPr="005213F2">
              <w:rPr>
                <w:rStyle w:val="Hyperlink"/>
                <w:noProof/>
              </w:rPr>
              <w:t>Scope of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_Toc450826575 \h </w:instrText>
            </w:r>
            <w:r w:rsidR="008F1ED4" w:rsidRPr="005213F2">
              <w:rPr>
                <w:noProof/>
                <w:webHidden/>
              </w:rPr>
            </w:r>
            <w:r w:rsidR="008F1ED4" w:rsidRPr="005213F2">
              <w:rPr>
                <w:noProof/>
                <w:webHidden/>
              </w:rPr>
              <w:fldChar w:fldCharType="separate"/>
            </w:r>
            <w:r>
              <w:rPr>
                <w:noProof/>
                <w:webHidden/>
              </w:rPr>
              <w:t>4</w:t>
            </w:r>
            <w:r w:rsidR="008F1ED4" w:rsidRPr="005213F2">
              <w:rPr>
                <w:noProof/>
                <w:webHidden/>
              </w:rPr>
              <w:fldChar w:fldCharType="end"/>
            </w:r>
          </w:hyperlink>
        </w:p>
        <w:p w:rsidR="008F1ED4" w:rsidRPr="005213F2" w:rsidRDefault="00F004BF" w:rsidP="005213F2">
          <w:pPr>
            <w:pStyle w:val="TOC1"/>
            <w:rPr>
              <w:rFonts w:asciiTheme="minorHAnsi" w:eastAsiaTheme="minorEastAsia" w:hAnsiTheme="minorHAnsi" w:cstheme="minorBidi"/>
              <w:kern w:val="0"/>
              <w:sz w:val="22"/>
            </w:rPr>
          </w:pPr>
          <w:hyperlink w:anchor="_Toc450826576" w:history="1">
            <w:r w:rsidR="008F1ED4" w:rsidRPr="005213F2">
              <w:rPr>
                <w:rStyle w:val="Hyperlink"/>
              </w:rPr>
              <w:t>Workers’ compensation data</w:t>
            </w:r>
            <w:r w:rsidR="008F1ED4" w:rsidRPr="005213F2">
              <w:rPr>
                <w:webHidden/>
              </w:rPr>
              <w:tab/>
            </w:r>
            <w:r w:rsidR="008F1ED4" w:rsidRPr="005213F2">
              <w:rPr>
                <w:webHidden/>
              </w:rPr>
              <w:fldChar w:fldCharType="begin"/>
            </w:r>
            <w:r w:rsidR="008F1ED4" w:rsidRPr="005213F2">
              <w:rPr>
                <w:webHidden/>
              </w:rPr>
              <w:instrText xml:space="preserve"> PAGEREF _Toc450826576 \h </w:instrText>
            </w:r>
            <w:r w:rsidR="008F1ED4" w:rsidRPr="005213F2">
              <w:rPr>
                <w:webHidden/>
              </w:rPr>
            </w:r>
            <w:r w:rsidR="008F1ED4" w:rsidRPr="005213F2">
              <w:rPr>
                <w:webHidden/>
              </w:rPr>
              <w:fldChar w:fldCharType="separate"/>
            </w:r>
            <w:r>
              <w:rPr>
                <w:webHidden/>
              </w:rPr>
              <w:t>5</w:t>
            </w:r>
            <w:r w:rsidR="008F1ED4" w:rsidRPr="005213F2">
              <w:rPr>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77" w:history="1">
            <w:r w:rsidR="008F1ED4" w:rsidRPr="005213F2">
              <w:rPr>
                <w:rStyle w:val="Hyperlink"/>
                <w:noProof/>
              </w:rPr>
              <w:t>Types of work-related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_Toc450826577 \h </w:instrText>
            </w:r>
            <w:r w:rsidR="008F1ED4" w:rsidRPr="005213F2">
              <w:rPr>
                <w:noProof/>
                <w:webHidden/>
              </w:rPr>
            </w:r>
            <w:r w:rsidR="008F1ED4" w:rsidRPr="005213F2">
              <w:rPr>
                <w:noProof/>
                <w:webHidden/>
              </w:rPr>
              <w:fldChar w:fldCharType="separate"/>
            </w:r>
            <w:r>
              <w:rPr>
                <w:noProof/>
                <w:webHidden/>
              </w:rPr>
              <w:t>5</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78" w:history="1">
            <w:r w:rsidR="008F1ED4" w:rsidRPr="005213F2">
              <w:rPr>
                <w:rStyle w:val="Hyperlink"/>
                <w:noProof/>
              </w:rPr>
              <w:t>Magnitude of MSDs over time</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_Toc450826578 \h </w:instrText>
            </w:r>
            <w:r w:rsidR="008F1ED4" w:rsidRPr="005213F2">
              <w:rPr>
                <w:noProof/>
                <w:webHidden/>
              </w:rPr>
            </w:r>
            <w:r w:rsidR="008F1ED4" w:rsidRPr="005213F2">
              <w:rPr>
                <w:noProof/>
                <w:webHidden/>
              </w:rPr>
              <w:fldChar w:fldCharType="separate"/>
            </w:r>
            <w:r>
              <w:rPr>
                <w:noProof/>
                <w:webHidden/>
              </w:rPr>
              <w:t>5</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79" w:history="1">
            <w:r w:rsidR="008F1ED4" w:rsidRPr="005213F2">
              <w:rPr>
                <w:rStyle w:val="Hyperlink"/>
                <w:noProof/>
              </w:rPr>
              <w:t>Trends in frequency rates of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_Toc450826579 \h </w:instrText>
            </w:r>
            <w:r w:rsidR="008F1ED4" w:rsidRPr="005213F2">
              <w:rPr>
                <w:noProof/>
                <w:webHidden/>
              </w:rPr>
            </w:r>
            <w:r w:rsidR="008F1ED4" w:rsidRPr="005213F2">
              <w:rPr>
                <w:noProof/>
                <w:webHidden/>
              </w:rPr>
              <w:fldChar w:fldCharType="separate"/>
            </w:r>
            <w:r>
              <w:rPr>
                <w:noProof/>
                <w:webHidden/>
              </w:rPr>
              <w:t>6</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0" w:history="1">
            <w:r w:rsidR="008F1ED4" w:rsidRPr="005213F2">
              <w:rPr>
                <w:rStyle w:val="Hyperlink"/>
                <w:noProof/>
              </w:rPr>
              <w:t>Trends in time lost from work and amounts of compensation</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_Toc450826580 \h </w:instrText>
            </w:r>
            <w:r w:rsidR="008F1ED4" w:rsidRPr="005213F2">
              <w:rPr>
                <w:noProof/>
                <w:webHidden/>
              </w:rPr>
            </w:r>
            <w:r w:rsidR="008F1ED4" w:rsidRPr="005213F2">
              <w:rPr>
                <w:noProof/>
                <w:webHidden/>
              </w:rPr>
              <w:fldChar w:fldCharType="separate"/>
            </w:r>
            <w:r>
              <w:rPr>
                <w:noProof/>
                <w:webHidden/>
              </w:rPr>
              <w:t>6</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1" w:history="1">
            <w:r w:rsidR="008F1ED4" w:rsidRPr="005213F2">
              <w:rPr>
                <w:rStyle w:val="Hyperlink"/>
                <w:noProof/>
              </w:rPr>
              <w:t>Sex and age group</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_Toc450826581 \h </w:instrText>
            </w:r>
            <w:r w:rsidR="008F1ED4" w:rsidRPr="005213F2">
              <w:rPr>
                <w:noProof/>
                <w:webHidden/>
              </w:rPr>
            </w:r>
            <w:r w:rsidR="008F1ED4" w:rsidRPr="005213F2">
              <w:rPr>
                <w:noProof/>
                <w:webHidden/>
              </w:rPr>
              <w:fldChar w:fldCharType="separate"/>
            </w:r>
            <w:r>
              <w:rPr>
                <w:noProof/>
                <w:webHidden/>
              </w:rPr>
              <w:t>7</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2" w:history="1">
            <w:r w:rsidR="008F1ED4" w:rsidRPr="005213F2">
              <w:rPr>
                <w:rStyle w:val="Hyperlink"/>
                <w:noProof/>
              </w:rPr>
              <w:t>Occupation</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_Toc450826582 \h </w:instrText>
            </w:r>
            <w:r w:rsidR="008F1ED4" w:rsidRPr="005213F2">
              <w:rPr>
                <w:noProof/>
                <w:webHidden/>
              </w:rPr>
            </w:r>
            <w:r w:rsidR="008F1ED4" w:rsidRPr="005213F2">
              <w:rPr>
                <w:noProof/>
                <w:webHidden/>
              </w:rPr>
              <w:fldChar w:fldCharType="separate"/>
            </w:r>
            <w:r>
              <w:rPr>
                <w:noProof/>
                <w:webHidden/>
              </w:rPr>
              <w:t>7</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3" w:history="1">
            <w:r w:rsidR="008F1ED4" w:rsidRPr="005213F2">
              <w:rPr>
                <w:rStyle w:val="Hyperlink"/>
                <w:noProof/>
              </w:rPr>
              <w:t>Occupation and breakdown agency of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_Toc450826583 \h </w:instrText>
            </w:r>
            <w:r w:rsidR="008F1ED4" w:rsidRPr="005213F2">
              <w:rPr>
                <w:noProof/>
                <w:webHidden/>
              </w:rPr>
            </w:r>
            <w:r w:rsidR="008F1ED4" w:rsidRPr="005213F2">
              <w:rPr>
                <w:noProof/>
                <w:webHidden/>
              </w:rPr>
              <w:fldChar w:fldCharType="separate"/>
            </w:r>
            <w:r>
              <w:rPr>
                <w:noProof/>
                <w:webHidden/>
              </w:rPr>
              <w:t>8</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4" w:history="1">
            <w:r w:rsidR="008F1ED4" w:rsidRPr="005213F2">
              <w:rPr>
                <w:rStyle w:val="Hyperlink"/>
                <w:noProof/>
              </w:rPr>
              <w:t>Occupation and mechanism of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_Toc450826584 \h </w:instrText>
            </w:r>
            <w:r w:rsidR="008F1ED4" w:rsidRPr="005213F2">
              <w:rPr>
                <w:noProof/>
                <w:webHidden/>
              </w:rPr>
            </w:r>
            <w:r w:rsidR="008F1ED4" w:rsidRPr="005213F2">
              <w:rPr>
                <w:noProof/>
                <w:webHidden/>
              </w:rPr>
              <w:fldChar w:fldCharType="separate"/>
            </w:r>
            <w:r>
              <w:rPr>
                <w:noProof/>
                <w:webHidden/>
              </w:rPr>
              <w:t>9</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5" w:history="1">
            <w:r w:rsidR="008F1ED4" w:rsidRPr="005213F2">
              <w:rPr>
                <w:rStyle w:val="Hyperlink"/>
                <w:noProof/>
              </w:rPr>
              <w:t>Industry</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_Toc450826585 \h </w:instrText>
            </w:r>
            <w:r w:rsidR="008F1ED4" w:rsidRPr="005213F2">
              <w:rPr>
                <w:noProof/>
                <w:webHidden/>
              </w:rPr>
            </w:r>
            <w:r w:rsidR="008F1ED4" w:rsidRPr="005213F2">
              <w:rPr>
                <w:noProof/>
                <w:webHidden/>
              </w:rPr>
              <w:fldChar w:fldCharType="separate"/>
            </w:r>
            <w:r>
              <w:rPr>
                <w:noProof/>
                <w:webHidden/>
              </w:rPr>
              <w:t>9</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6" w:history="1">
            <w:r w:rsidR="008F1ED4" w:rsidRPr="005213F2">
              <w:rPr>
                <w:rStyle w:val="Hyperlink"/>
                <w:noProof/>
              </w:rPr>
              <w:t>Bodily location of MSDs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_Toc450826586 \h </w:instrText>
            </w:r>
            <w:r w:rsidR="008F1ED4" w:rsidRPr="005213F2">
              <w:rPr>
                <w:noProof/>
                <w:webHidden/>
              </w:rPr>
            </w:r>
            <w:r w:rsidR="008F1ED4" w:rsidRPr="005213F2">
              <w:rPr>
                <w:noProof/>
                <w:webHidden/>
              </w:rPr>
              <w:fldChar w:fldCharType="separate"/>
            </w:r>
            <w:r>
              <w:rPr>
                <w:noProof/>
                <w:webHidden/>
              </w:rPr>
              <w:t>11</w:t>
            </w:r>
            <w:r w:rsidR="008F1ED4" w:rsidRPr="005213F2">
              <w:rPr>
                <w:noProof/>
                <w:webHidden/>
              </w:rPr>
              <w:fldChar w:fldCharType="end"/>
            </w:r>
          </w:hyperlink>
        </w:p>
        <w:p w:rsidR="008F1ED4" w:rsidRPr="005213F2" w:rsidRDefault="00F004BF" w:rsidP="005213F2">
          <w:pPr>
            <w:pStyle w:val="TOC1"/>
            <w:rPr>
              <w:rFonts w:asciiTheme="minorHAnsi" w:eastAsiaTheme="minorEastAsia" w:hAnsiTheme="minorHAnsi" w:cstheme="minorBidi"/>
              <w:kern w:val="0"/>
              <w:sz w:val="22"/>
            </w:rPr>
          </w:pPr>
          <w:hyperlink w:anchor="_Toc450826587" w:history="1">
            <w:r w:rsidR="008F1ED4" w:rsidRPr="005213F2">
              <w:rPr>
                <w:rStyle w:val="Hyperlink"/>
              </w:rPr>
              <w:t>Further information</w:t>
            </w:r>
            <w:r w:rsidR="008F1ED4" w:rsidRPr="005213F2">
              <w:rPr>
                <w:webHidden/>
              </w:rPr>
              <w:tab/>
            </w:r>
            <w:r w:rsidR="008F1ED4" w:rsidRPr="005213F2">
              <w:rPr>
                <w:webHidden/>
              </w:rPr>
              <w:fldChar w:fldCharType="begin"/>
            </w:r>
            <w:r w:rsidR="008F1ED4" w:rsidRPr="005213F2">
              <w:rPr>
                <w:webHidden/>
              </w:rPr>
              <w:instrText xml:space="preserve"> PAGEREF _Toc450826587 \h </w:instrText>
            </w:r>
            <w:r w:rsidR="008F1ED4" w:rsidRPr="005213F2">
              <w:rPr>
                <w:webHidden/>
              </w:rPr>
            </w:r>
            <w:r w:rsidR="008F1ED4" w:rsidRPr="005213F2">
              <w:rPr>
                <w:webHidden/>
              </w:rPr>
              <w:fldChar w:fldCharType="separate"/>
            </w:r>
            <w:r>
              <w:rPr>
                <w:webHidden/>
              </w:rPr>
              <w:t>12</w:t>
            </w:r>
            <w:r w:rsidR="008F1ED4" w:rsidRPr="005213F2">
              <w:rPr>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8" w:history="1">
            <w:r w:rsidR="008F1ED4" w:rsidRPr="005213F2">
              <w:rPr>
                <w:rStyle w:val="Hyperlink"/>
                <w:noProof/>
              </w:rPr>
              <w:t>Explanatory notes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_Toc450826588 \h </w:instrText>
            </w:r>
            <w:r w:rsidR="008F1ED4" w:rsidRPr="005213F2">
              <w:rPr>
                <w:noProof/>
                <w:webHidden/>
              </w:rPr>
            </w:r>
            <w:r w:rsidR="008F1ED4" w:rsidRPr="005213F2">
              <w:rPr>
                <w:noProof/>
                <w:webHidden/>
              </w:rPr>
              <w:fldChar w:fldCharType="separate"/>
            </w:r>
            <w:r>
              <w:rPr>
                <w:noProof/>
                <w:webHidden/>
              </w:rPr>
              <w:t>12</w:t>
            </w:r>
            <w:r w:rsidR="008F1ED4" w:rsidRPr="005213F2">
              <w:rPr>
                <w:noProof/>
                <w:webHidden/>
              </w:rPr>
              <w:fldChar w:fldCharType="end"/>
            </w:r>
          </w:hyperlink>
        </w:p>
        <w:p w:rsidR="008F1ED4" w:rsidRPr="005213F2" w:rsidRDefault="00F004BF">
          <w:pPr>
            <w:pStyle w:val="TOC2"/>
            <w:tabs>
              <w:tab w:val="right" w:leader="dot" w:pos="9742"/>
            </w:tabs>
            <w:rPr>
              <w:rFonts w:asciiTheme="minorHAnsi" w:eastAsiaTheme="minorEastAsia" w:hAnsiTheme="minorHAnsi" w:cstheme="minorBidi"/>
              <w:noProof/>
              <w:kern w:val="0"/>
              <w:sz w:val="22"/>
            </w:rPr>
          </w:pPr>
          <w:hyperlink w:anchor="_Toc450826589" w:history="1">
            <w:r w:rsidR="008F1ED4" w:rsidRPr="005213F2">
              <w:rPr>
                <w:rStyle w:val="Hyperlink"/>
                <w:noProof/>
              </w:rPr>
              <w:t>References</w:t>
            </w:r>
            <w:r w:rsidR="008F1ED4" w:rsidRPr="005213F2">
              <w:rPr>
                <w:noProof/>
                <w:webHidden/>
              </w:rPr>
              <w:tab/>
            </w:r>
            <w:r w:rsidR="008F1ED4" w:rsidRPr="005213F2">
              <w:rPr>
                <w:noProof/>
                <w:webHidden/>
              </w:rPr>
              <w:fldChar w:fldCharType="begin"/>
            </w:r>
            <w:r w:rsidR="008F1ED4" w:rsidRPr="005213F2">
              <w:rPr>
                <w:noProof/>
                <w:webHidden/>
              </w:rPr>
              <w:instrText xml:space="preserve"> PAGEREF _Toc450826589 \h </w:instrText>
            </w:r>
            <w:r w:rsidR="008F1ED4" w:rsidRPr="005213F2">
              <w:rPr>
                <w:noProof/>
                <w:webHidden/>
              </w:rPr>
            </w:r>
            <w:r w:rsidR="008F1ED4" w:rsidRPr="005213F2">
              <w:rPr>
                <w:noProof/>
                <w:webHidden/>
              </w:rPr>
              <w:fldChar w:fldCharType="separate"/>
            </w:r>
            <w:r>
              <w:rPr>
                <w:noProof/>
                <w:webHidden/>
              </w:rPr>
              <w:t>12</w:t>
            </w:r>
            <w:r w:rsidR="008F1ED4" w:rsidRPr="005213F2">
              <w:rPr>
                <w:noProof/>
                <w:webHidden/>
              </w:rPr>
              <w:fldChar w:fldCharType="end"/>
            </w:r>
          </w:hyperlink>
        </w:p>
        <w:p w:rsidR="00A51C4C" w:rsidRDefault="00D96A76" w:rsidP="00A51C4C">
          <w:r w:rsidRPr="005213F2">
            <w:rPr>
              <w:bCs/>
              <w:noProof/>
            </w:rPr>
            <w:fldChar w:fldCharType="end"/>
          </w:r>
        </w:p>
      </w:sdtContent>
    </w:sdt>
    <w:p w:rsidR="00A51C4C" w:rsidRDefault="00A51C4C">
      <w:r>
        <w:br w:type="page"/>
      </w:r>
    </w:p>
    <w:p w:rsidR="00B76C4E" w:rsidRDefault="00B76C4E" w:rsidP="00B76C4E">
      <w:pPr>
        <w:pStyle w:val="Heading1"/>
      </w:pPr>
      <w:bookmarkStart w:id="9" w:name="_Toc450826573"/>
      <w:bookmarkStart w:id="10" w:name="_Toc445363840"/>
      <w:bookmarkEnd w:id="7"/>
      <w:bookmarkEnd w:id="6"/>
      <w:bookmarkEnd w:id="5"/>
      <w:bookmarkEnd w:id="4"/>
      <w:bookmarkEnd w:id="3"/>
      <w:bookmarkEnd w:id="2"/>
      <w:bookmarkEnd w:id="1"/>
      <w:bookmarkEnd w:id="0"/>
      <w:r>
        <w:lastRenderedPageBreak/>
        <w:t>Introduction</w:t>
      </w:r>
      <w:bookmarkEnd w:id="9"/>
    </w:p>
    <w:p w:rsidR="00486050" w:rsidRDefault="00E41980" w:rsidP="00486050">
      <w:pPr>
        <w:pStyle w:val="TextBody"/>
        <w:rPr>
          <w:color w:val="auto"/>
        </w:rPr>
      </w:pPr>
      <w:r>
        <w:t xml:space="preserve">Musculoskeletal disorders (MSDs) are a range of conditions that affect joints (arthropathies), spinal vertebrae and intervertebral discs (dorsopathies), the synovium, muscles, tendons and related tissues, soft tissues, and connective tissues. MSDs were identified </w:t>
      </w:r>
      <w:r>
        <w:rPr>
          <w:color w:val="auto"/>
        </w:rPr>
        <w:t xml:space="preserve">as </w:t>
      </w:r>
      <w:r w:rsidRPr="00421991">
        <w:rPr>
          <w:color w:val="auto"/>
        </w:rPr>
        <w:t xml:space="preserve">priority </w:t>
      </w:r>
      <w:r w:rsidR="00CD7DA9">
        <w:rPr>
          <w:color w:val="auto"/>
        </w:rPr>
        <w:t>disorder</w:t>
      </w:r>
      <w:r w:rsidR="00486050">
        <w:rPr>
          <w:color w:val="auto"/>
        </w:rPr>
        <w:t>s</w:t>
      </w:r>
      <w:r>
        <w:rPr>
          <w:color w:val="auto"/>
        </w:rPr>
        <w:t xml:space="preserve"> </w:t>
      </w:r>
      <w:r w:rsidRPr="00421991">
        <w:rPr>
          <w:color w:val="auto"/>
        </w:rPr>
        <w:t>in the Australian Work Health and Safety Strategy 2012</w:t>
      </w:r>
      <w:r w:rsidR="001712EA">
        <w:rPr>
          <w:color w:val="auto"/>
        </w:rPr>
        <w:t xml:space="preserve">–2022 (the Australian Strategy), </w:t>
      </w:r>
      <w:r w:rsidRPr="00421991">
        <w:rPr>
          <w:color w:val="auto"/>
        </w:rPr>
        <w:t xml:space="preserve">which was developed through consultation with governments, industry, unions and the public. </w:t>
      </w:r>
      <w:r w:rsidR="00486050">
        <w:rPr>
          <w:color w:val="auto"/>
        </w:rPr>
        <w:t>Priority disorders were</w:t>
      </w:r>
      <w:r w:rsidR="00486050" w:rsidRPr="00486050">
        <w:rPr>
          <w:color w:val="auto"/>
        </w:rPr>
        <w:t xml:space="preserve"> based on the severity of consequences for workers, the number of w</w:t>
      </w:r>
      <w:r w:rsidR="00486050">
        <w:rPr>
          <w:color w:val="auto"/>
        </w:rPr>
        <w:t>orkers estimated to be affected</w:t>
      </w:r>
      <w:r w:rsidR="00486050" w:rsidRPr="00486050">
        <w:rPr>
          <w:color w:val="auto"/>
        </w:rPr>
        <w:t xml:space="preserve"> </w:t>
      </w:r>
      <w:r w:rsidR="00486050">
        <w:rPr>
          <w:color w:val="auto"/>
        </w:rPr>
        <w:t>or</w:t>
      </w:r>
      <w:r w:rsidR="00486050" w:rsidRPr="00486050">
        <w:rPr>
          <w:color w:val="auto"/>
        </w:rPr>
        <w:t xml:space="preserve"> the existence of known prevention options. The other </w:t>
      </w:r>
      <w:r w:rsidR="00486050">
        <w:rPr>
          <w:color w:val="auto"/>
        </w:rPr>
        <w:t xml:space="preserve">priority disorders in the Australian Strategy are </w:t>
      </w:r>
      <w:r w:rsidR="00486050" w:rsidRPr="00486050">
        <w:rPr>
          <w:color w:val="auto"/>
        </w:rPr>
        <w:t>mental disorders, cancers (including skin cancer), asthma, contact dermatitis and noise-induced hearing loss.</w:t>
      </w:r>
    </w:p>
    <w:p w:rsidR="00B76C4E" w:rsidRDefault="00E41980" w:rsidP="00B621AE">
      <w:pPr>
        <w:pStyle w:val="TextBody"/>
      </w:pPr>
      <w:r w:rsidRPr="00421991">
        <w:rPr>
          <w:color w:val="auto"/>
        </w:rPr>
        <w:t xml:space="preserve">The aim of the Australian Strategy is to focus attention on </w:t>
      </w:r>
      <w:r w:rsidR="00486050">
        <w:rPr>
          <w:color w:val="auto"/>
        </w:rPr>
        <w:t>priority areas</w:t>
      </w:r>
      <w:r w:rsidRPr="00421991">
        <w:rPr>
          <w:color w:val="auto"/>
        </w:rPr>
        <w:t xml:space="preserve"> so that causes of workplace injuries, diseases and fatalities can be identified and minimised through appropriate prevention strategies.</w:t>
      </w:r>
      <w:r w:rsidR="00B621AE">
        <w:rPr>
          <w:color w:val="auto"/>
        </w:rPr>
        <w:t xml:space="preserve"> </w:t>
      </w:r>
      <w:r w:rsidR="00D1129F">
        <w:t xml:space="preserve">The statistics in this report highlight the characteristics of </w:t>
      </w:r>
      <w:r w:rsidR="00B621AE">
        <w:t>work-related MSDs</w:t>
      </w:r>
      <w:r w:rsidR="00D1129F">
        <w:t xml:space="preserve">, including their causes and </w:t>
      </w:r>
      <w:r w:rsidR="002D0B7D">
        <w:t xml:space="preserve">the </w:t>
      </w:r>
      <w:r w:rsidR="00D1129F">
        <w:t xml:space="preserve">groups of workers </w:t>
      </w:r>
      <w:r w:rsidR="00B80546">
        <w:t>who</w:t>
      </w:r>
      <w:r w:rsidR="00D1129F">
        <w:t xml:space="preserve"> are at </w:t>
      </w:r>
      <w:r w:rsidR="00A96C03">
        <w:t>elevated</w:t>
      </w:r>
      <w:r w:rsidR="00D1129F">
        <w:t xml:space="preserve"> risk of </w:t>
      </w:r>
      <w:r w:rsidR="00000F4F">
        <w:t>MSDs</w:t>
      </w:r>
      <w:r w:rsidR="00250235">
        <w:t>.</w:t>
      </w:r>
      <w:bookmarkStart w:id="11" w:name="_GoBack"/>
      <w:bookmarkEnd w:id="11"/>
    </w:p>
    <w:p w:rsidR="00B76C4E" w:rsidRDefault="003E6465" w:rsidP="005C7336">
      <w:pPr>
        <w:pStyle w:val="Heading2"/>
      </w:pPr>
      <w:bookmarkStart w:id="12" w:name="_Toc450826574"/>
      <w:r>
        <w:t>Source</w:t>
      </w:r>
      <w:r w:rsidR="00B76C4E">
        <w:t xml:space="preserve"> of data</w:t>
      </w:r>
      <w:bookmarkEnd w:id="12"/>
    </w:p>
    <w:p w:rsidR="00EC2FFB" w:rsidRDefault="00EC2FFB" w:rsidP="00EC2FFB">
      <w:r>
        <w:t xml:space="preserve">The statistics in this report come from Safe Work Australia’s </w:t>
      </w:r>
      <w:r w:rsidRPr="000A2D9A">
        <w:t xml:space="preserve">National Data Set for Compensation-Based Statistics </w:t>
      </w:r>
      <w:r>
        <w:t xml:space="preserve">(NDS). The NDS is a collection of </w:t>
      </w:r>
      <w:r w:rsidRPr="005E6422">
        <w:t>workers’ compensation statistics</w:t>
      </w:r>
      <w:r>
        <w:t xml:space="preserve"> from </w:t>
      </w:r>
      <w:r w:rsidRPr="005E6422">
        <w:t xml:space="preserve">each </w:t>
      </w:r>
      <w:r>
        <w:t xml:space="preserve">Australian jurisdiction. </w:t>
      </w:r>
      <w:r w:rsidR="00A959C1">
        <w:t xml:space="preserve">The primary </w:t>
      </w:r>
      <w:r w:rsidR="00142B08">
        <w:t>strength</w:t>
      </w:r>
      <w:r w:rsidR="00A959C1">
        <w:t xml:space="preserve"> of NDS data is that all cases are work-related and the information that is recorded allows detailed analyses to be undertaken on the circumstances surrounding work-related injuries and diseases. </w:t>
      </w:r>
      <w:r w:rsidR="00A959C1" w:rsidRPr="00A959C1">
        <w:t>The data also provide a measurable means of comparing the risks faced by different groups of employees and assessing changes in risks over time.</w:t>
      </w:r>
      <w:r w:rsidR="00142B08">
        <w:t xml:space="preserve"> </w:t>
      </w:r>
      <w:r w:rsidR="002277DC">
        <w:t>Below are the primary limitations of the NDS data in this report:</w:t>
      </w:r>
    </w:p>
    <w:p w:rsidR="00EC2FFB" w:rsidRDefault="00EC2FFB" w:rsidP="00EC2FFB">
      <w:pPr>
        <w:numPr>
          <w:ilvl w:val="0"/>
          <w:numId w:val="14"/>
        </w:numPr>
      </w:pPr>
      <w:r>
        <w:t xml:space="preserve">Only serious claims are presented. </w:t>
      </w:r>
      <w:r w:rsidRPr="005E6422">
        <w:t>A serious claim is an accepted workers’ compensation claim that involves one or more weeks away from work and excludes all fatalities, and all injuries experienced while travelling to or from work or while on a break away from the workplace.</w:t>
      </w:r>
    </w:p>
    <w:p w:rsidR="00D37987" w:rsidRDefault="00D37987" w:rsidP="00EC2FFB">
      <w:pPr>
        <w:numPr>
          <w:ilvl w:val="0"/>
          <w:numId w:val="14"/>
        </w:numPr>
      </w:pPr>
      <w:r w:rsidRPr="00767566">
        <w:t>Work-related injuries and diseases of self-employed workers are under-represented because workers’ compensation schemes do not generally cover self-employed workers. Around 10</w:t>
      </w:r>
      <w:r>
        <w:t xml:space="preserve"> per cent</w:t>
      </w:r>
      <w:r w:rsidRPr="00767566">
        <w:t xml:space="preserve"> of Australian workers are self-employed.</w:t>
      </w:r>
    </w:p>
    <w:p w:rsidR="00EC2FFB" w:rsidRPr="005E6422" w:rsidRDefault="00EC2FFB" w:rsidP="00EC2FFB">
      <w:pPr>
        <w:numPr>
          <w:ilvl w:val="0"/>
          <w:numId w:val="14"/>
        </w:numPr>
      </w:pPr>
      <w:r>
        <w:t xml:space="preserve">Some </w:t>
      </w:r>
      <w:r w:rsidR="00EC6EDC">
        <w:t>workers</w:t>
      </w:r>
      <w:r>
        <w:t xml:space="preserve"> who are eligible for workers’ compensation do not lodge a claim after a work-related injury or disease.</w:t>
      </w:r>
    </w:p>
    <w:p w:rsidR="00EC2FFB" w:rsidRPr="005E6422" w:rsidRDefault="00EC2FFB" w:rsidP="00EC2FFB">
      <w:pPr>
        <w:numPr>
          <w:ilvl w:val="0"/>
          <w:numId w:val="14"/>
        </w:numPr>
      </w:pPr>
      <w:r w:rsidRPr="005E6422">
        <w:t>Diseases are under-represented because many diseases result from long-term exposure to agen</w:t>
      </w:r>
      <w:r>
        <w:t xml:space="preserve">ts or have long latency periods and this </w:t>
      </w:r>
      <w:r w:rsidRPr="005E6422">
        <w:t>makes the link between the work-related disease and the workplace difficult to establish.</w:t>
      </w:r>
    </w:p>
    <w:p w:rsidR="0088504B" w:rsidRDefault="001B0B55" w:rsidP="0088504B">
      <w:bookmarkStart w:id="13" w:name="_Toc450826575"/>
      <w:r w:rsidRPr="001B0B55">
        <w:t>NDS data for 2013–14 are preliminary (denoted by 'p' in tables and figures) and are subject to revision.</w:t>
      </w:r>
    </w:p>
    <w:p w:rsidR="00B76C4E" w:rsidRDefault="001625E2" w:rsidP="005C7336">
      <w:pPr>
        <w:pStyle w:val="Heading2"/>
      </w:pPr>
      <w:r>
        <w:t>Scope of MSDs</w:t>
      </w:r>
      <w:bookmarkEnd w:id="13"/>
    </w:p>
    <w:p w:rsidR="001625E2" w:rsidRDefault="001625E2">
      <w:r>
        <w:t>In the</w:t>
      </w:r>
      <w:r w:rsidR="00B14934">
        <w:t xml:space="preserve"> NDS, information regarding </w:t>
      </w:r>
      <w:r>
        <w:t xml:space="preserve">the injury or diseases is coded using the </w:t>
      </w:r>
      <w:r w:rsidR="00A959C1">
        <w:t xml:space="preserve">third edition of the </w:t>
      </w:r>
      <w:r w:rsidRPr="00421991">
        <w:t>Type of Occurrence Classification System</w:t>
      </w:r>
      <w:r w:rsidR="00A959C1">
        <w:t xml:space="preserve"> </w:t>
      </w:r>
      <w:r>
        <w:t xml:space="preserve">(TOOCS). </w:t>
      </w:r>
      <w:r w:rsidR="00305DEF">
        <w:t xml:space="preserve">Cases of MSDs were identified using the TOOCS </w:t>
      </w:r>
      <w:r w:rsidR="00BC1193">
        <w:t xml:space="preserve">codes that are used to record </w:t>
      </w:r>
      <w:r w:rsidR="00305DEF">
        <w:t xml:space="preserve">the nature of </w:t>
      </w:r>
      <w:r w:rsidR="00A06406">
        <w:t>a</w:t>
      </w:r>
      <w:r w:rsidR="000A68A1">
        <w:t>n employee’s</w:t>
      </w:r>
      <w:r w:rsidR="00305DEF">
        <w:t xml:space="preserve"> injury or disease. </w:t>
      </w:r>
      <w:r w:rsidR="00093D36">
        <w:t>The table below s</w:t>
      </w:r>
      <w:r w:rsidR="00A06406">
        <w:t xml:space="preserve">hows the </w:t>
      </w:r>
      <w:r w:rsidR="000B2296">
        <w:t>injuries and diseases that comprise MSDs.</w:t>
      </w:r>
    </w:p>
    <w:p w:rsidR="00142B08" w:rsidRDefault="00142B08" w:rsidP="00142B08">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1</w:t>
      </w:r>
      <w:r w:rsidR="00F004BF">
        <w:rPr>
          <w:noProof/>
        </w:rPr>
        <w:fldChar w:fldCharType="end"/>
      </w:r>
      <w:r>
        <w:t xml:space="preserve">: </w:t>
      </w:r>
      <w:r w:rsidR="00DB274E">
        <w:t>I</w:t>
      </w:r>
      <w:r>
        <w:t xml:space="preserve">njuries and diseases </w:t>
      </w:r>
      <w:r w:rsidR="00DB274E">
        <w:t xml:space="preserve">in the TOOCS </w:t>
      </w:r>
      <w:r>
        <w:t>that comprise MSDs</w:t>
      </w:r>
    </w:p>
    <w:tbl>
      <w:tblPr>
        <w:tblStyle w:val="TableGrid"/>
        <w:tblW w:w="9860" w:type="dxa"/>
        <w:tblInd w:w="108" w:type="dxa"/>
        <w:tblLook w:val="04A0" w:firstRow="1" w:lastRow="0" w:firstColumn="1" w:lastColumn="0" w:noHBand="0" w:noVBand="1"/>
        <w:tblCaption w:val="Table 1"/>
      </w:tblPr>
      <w:tblGrid>
        <w:gridCol w:w="4678"/>
        <w:gridCol w:w="5182"/>
      </w:tblGrid>
      <w:tr w:rsidR="00A959C1" w:rsidRPr="000B2296" w:rsidTr="003E7F10">
        <w:trPr>
          <w:trHeight w:val="255"/>
          <w:tblHeader/>
        </w:trPr>
        <w:tc>
          <w:tcPr>
            <w:cnfStyle w:val="001000000000" w:firstRow="0" w:lastRow="0" w:firstColumn="1" w:lastColumn="0" w:oddVBand="0" w:evenVBand="0" w:oddHBand="0" w:evenHBand="0" w:firstRowFirstColumn="0" w:firstRowLastColumn="0" w:lastRowFirstColumn="0" w:lastRowLastColumn="0"/>
            <w:tcW w:w="4678" w:type="dxa"/>
            <w:noWrap/>
          </w:tcPr>
          <w:p w:rsidR="00A959C1" w:rsidRPr="000B2296" w:rsidRDefault="00A959C1" w:rsidP="00BC1193">
            <w:pPr>
              <w:rPr>
                <w:rFonts w:eastAsia="Times New Roman"/>
                <w:b/>
                <w:bCs/>
                <w:color w:val="000000"/>
                <w:szCs w:val="20"/>
              </w:rPr>
            </w:pPr>
            <w:r>
              <w:rPr>
                <w:rFonts w:eastAsia="Times New Roman"/>
                <w:b/>
                <w:bCs/>
                <w:color w:val="000000"/>
                <w:szCs w:val="20"/>
              </w:rPr>
              <w:t>N</w:t>
            </w:r>
            <w:r w:rsidR="00BC1193">
              <w:rPr>
                <w:rFonts w:eastAsia="Times New Roman"/>
                <w:b/>
                <w:bCs/>
                <w:color w:val="000000"/>
                <w:szCs w:val="20"/>
              </w:rPr>
              <w:t>ature of injury or disease</w:t>
            </w:r>
          </w:p>
        </w:tc>
        <w:tc>
          <w:tcPr>
            <w:tcW w:w="5182" w:type="dxa"/>
            <w:noWrap/>
          </w:tcPr>
          <w:p w:rsidR="00A959C1" w:rsidRPr="00A959C1" w:rsidRDefault="00A959C1" w:rsidP="00142B08">
            <w:pPr>
              <w:jc w:val="left"/>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A959C1">
              <w:rPr>
                <w:rFonts w:eastAsia="Times New Roman"/>
                <w:b/>
                <w:color w:val="000000"/>
                <w:szCs w:val="20"/>
              </w:rPr>
              <w:t>Included conditions</w:t>
            </w:r>
          </w:p>
        </w:tc>
      </w:tr>
      <w:tr w:rsidR="000B2296"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val="restart"/>
            <w:noWrap/>
            <w:hideMark/>
          </w:tcPr>
          <w:p w:rsidR="000B2296" w:rsidRPr="000B2296" w:rsidRDefault="00A959C1" w:rsidP="00A959C1">
            <w:pPr>
              <w:rPr>
                <w:rFonts w:eastAsia="Times New Roman"/>
                <w:bCs/>
                <w:color w:val="000000"/>
                <w:szCs w:val="20"/>
              </w:rPr>
            </w:pPr>
            <w:r w:rsidRPr="006218BD">
              <w:rPr>
                <w:rFonts w:eastAsia="Times New Roman"/>
                <w:bCs/>
                <w:color w:val="000000"/>
                <w:szCs w:val="20"/>
              </w:rPr>
              <w:t xml:space="preserve">Traumatic joint/ligament and muscle/tendon injury </w:t>
            </w:r>
            <w:r w:rsidR="000B2296" w:rsidRPr="000B2296">
              <w:rPr>
                <w:rFonts w:eastAsia="Times New Roman"/>
                <w:bCs/>
                <w:color w:val="000000"/>
                <w:szCs w:val="20"/>
              </w:rPr>
              <w:t>(referred to as "MSD injuries" in this report)</w:t>
            </w: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Residual soft tissue disorders due to trauma</w:t>
            </w:r>
          </w:p>
        </w:tc>
      </w:tr>
      <w:tr w:rsidR="006218BD"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hideMark/>
          </w:tcPr>
          <w:p w:rsidR="000B2296" w:rsidRPr="000B2296" w:rsidRDefault="000B2296" w:rsidP="00A959C1">
            <w:pPr>
              <w:rPr>
                <w:rFonts w:eastAsia="Times New Roman"/>
                <w:bCs/>
                <w:color w:val="000000"/>
                <w:szCs w:val="20"/>
              </w:rPr>
            </w:pP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Trauma to joints and ligaments</w:t>
            </w:r>
          </w:p>
        </w:tc>
      </w:tr>
      <w:tr w:rsidR="006218BD"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hideMark/>
          </w:tcPr>
          <w:p w:rsidR="000B2296" w:rsidRPr="000B2296" w:rsidRDefault="000B2296" w:rsidP="00A959C1">
            <w:pPr>
              <w:rPr>
                <w:rFonts w:eastAsia="Times New Roman"/>
                <w:bCs/>
                <w:color w:val="000000"/>
                <w:szCs w:val="20"/>
              </w:rPr>
            </w:pP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Trauma to muscles and tendons</w:t>
            </w:r>
          </w:p>
        </w:tc>
      </w:tr>
      <w:tr w:rsidR="000B2296"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val="restart"/>
            <w:noWrap/>
            <w:hideMark/>
          </w:tcPr>
          <w:p w:rsidR="000B2296" w:rsidRPr="000B2296" w:rsidRDefault="00A959C1" w:rsidP="00A959C1">
            <w:pPr>
              <w:rPr>
                <w:rFonts w:eastAsia="Times New Roman"/>
                <w:bCs/>
                <w:color w:val="000000"/>
                <w:szCs w:val="20"/>
              </w:rPr>
            </w:pPr>
            <w:r w:rsidRPr="006218BD">
              <w:rPr>
                <w:rFonts w:eastAsia="Times New Roman"/>
                <w:bCs/>
                <w:color w:val="000000"/>
                <w:szCs w:val="20"/>
              </w:rPr>
              <w:t xml:space="preserve">Musculoskeletal and connective tissue diseases </w:t>
            </w:r>
            <w:r w:rsidR="000B2296" w:rsidRPr="000B2296">
              <w:rPr>
                <w:rFonts w:eastAsia="Times New Roman"/>
                <w:bCs/>
                <w:color w:val="000000"/>
                <w:szCs w:val="20"/>
              </w:rPr>
              <w:t>(referred to as "MSD diseases" in this report)</w:t>
            </w: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Diseases involving the synovium and related tissue</w:t>
            </w:r>
          </w:p>
        </w:tc>
      </w:tr>
      <w:tr w:rsidR="006218BD"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hideMark/>
          </w:tcPr>
          <w:p w:rsidR="000B2296" w:rsidRPr="000B2296" w:rsidRDefault="000B2296" w:rsidP="00A959C1">
            <w:pPr>
              <w:rPr>
                <w:rFonts w:eastAsia="Times New Roman"/>
                <w:b/>
                <w:bCs/>
                <w:color w:val="000000"/>
                <w:szCs w:val="20"/>
              </w:rPr>
            </w:pP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Diseases of the muscle, tendon and related tissue</w:t>
            </w:r>
          </w:p>
        </w:tc>
      </w:tr>
      <w:tr w:rsidR="006218BD"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hideMark/>
          </w:tcPr>
          <w:p w:rsidR="000B2296" w:rsidRPr="000B2296" w:rsidRDefault="000B2296" w:rsidP="00A959C1">
            <w:pPr>
              <w:rPr>
                <w:rFonts w:eastAsia="Times New Roman"/>
                <w:b/>
                <w:bCs/>
                <w:color w:val="000000"/>
                <w:szCs w:val="20"/>
              </w:rPr>
            </w:pP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Joint diseases (arthropathies) and other articular cartilage diseases</w:t>
            </w:r>
          </w:p>
        </w:tc>
      </w:tr>
      <w:tr w:rsidR="006218BD" w:rsidRPr="000B2296" w:rsidTr="006218BD">
        <w:trPr>
          <w:trHeight w:val="255"/>
        </w:trPr>
        <w:tc>
          <w:tcPr>
            <w:cnfStyle w:val="001000000000" w:firstRow="0" w:lastRow="0" w:firstColumn="1" w:lastColumn="0" w:oddVBand="0" w:evenVBand="0" w:oddHBand="0" w:evenHBand="0" w:firstRowFirstColumn="0" w:firstRowLastColumn="0" w:lastRowFirstColumn="0" w:lastRowLastColumn="0"/>
            <w:tcW w:w="4678" w:type="dxa"/>
            <w:vMerge/>
            <w:hideMark/>
          </w:tcPr>
          <w:p w:rsidR="000B2296" w:rsidRPr="000B2296" w:rsidRDefault="000B2296" w:rsidP="00A959C1">
            <w:pPr>
              <w:rPr>
                <w:rFonts w:eastAsia="Times New Roman"/>
                <w:b/>
                <w:bCs/>
                <w:color w:val="000000"/>
                <w:szCs w:val="20"/>
              </w:rPr>
            </w:pPr>
          </w:p>
        </w:tc>
        <w:tc>
          <w:tcPr>
            <w:tcW w:w="5182" w:type="dxa"/>
            <w:noWrap/>
            <w:hideMark/>
          </w:tcPr>
          <w:p w:rsidR="000B2296" w:rsidRPr="000B2296" w:rsidRDefault="00A959C1" w:rsidP="00A959C1">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0B2296">
              <w:rPr>
                <w:rFonts w:eastAsia="Times New Roman"/>
                <w:color w:val="000000"/>
                <w:szCs w:val="20"/>
              </w:rPr>
              <w:t>Spinal vertebrae and intervertebral disc diseases</w:t>
            </w:r>
            <w:r w:rsidR="00CA728C">
              <w:rPr>
                <w:rFonts w:eastAsia="Times New Roman"/>
                <w:color w:val="000000"/>
                <w:szCs w:val="20"/>
              </w:rPr>
              <w:t xml:space="preserve"> (</w:t>
            </w:r>
            <w:r w:rsidRPr="000B2296">
              <w:rPr>
                <w:rFonts w:eastAsia="Times New Roman"/>
                <w:color w:val="000000"/>
                <w:szCs w:val="20"/>
              </w:rPr>
              <w:t>dorsopathies</w:t>
            </w:r>
            <w:r w:rsidR="00CA728C">
              <w:rPr>
                <w:rFonts w:eastAsia="Times New Roman"/>
                <w:color w:val="000000"/>
                <w:szCs w:val="20"/>
              </w:rPr>
              <w:t>)</w:t>
            </w:r>
          </w:p>
        </w:tc>
      </w:tr>
    </w:tbl>
    <w:p w:rsidR="00142B08" w:rsidRDefault="00142B08" w:rsidP="00142B08"/>
    <w:p w:rsidR="004C1B7B" w:rsidRDefault="004C1B7B" w:rsidP="004C1B7B">
      <w:pPr>
        <w:pStyle w:val="Heading1"/>
      </w:pPr>
      <w:bookmarkStart w:id="14" w:name="_Toc450826576"/>
      <w:r>
        <w:lastRenderedPageBreak/>
        <w:t>Workers’ compensation data</w:t>
      </w:r>
      <w:bookmarkEnd w:id="14"/>
    </w:p>
    <w:p w:rsidR="004C1B7B" w:rsidRDefault="001712EA" w:rsidP="005C7336">
      <w:pPr>
        <w:pStyle w:val="Heading2"/>
      </w:pPr>
      <w:bookmarkStart w:id="15" w:name="_Toc450826577"/>
      <w:r>
        <w:t>T</w:t>
      </w:r>
      <w:r w:rsidR="00EE50BD">
        <w:t xml:space="preserve">ypes </w:t>
      </w:r>
      <w:r w:rsidR="002877F6">
        <w:t>of work-</w:t>
      </w:r>
      <w:r w:rsidR="00B76C4E">
        <w:t xml:space="preserve">related </w:t>
      </w:r>
      <w:r w:rsidR="00480243">
        <w:t>MSDs</w:t>
      </w:r>
      <w:bookmarkEnd w:id="15"/>
    </w:p>
    <w:p w:rsidR="001712EA" w:rsidRDefault="0011277A">
      <w:r>
        <w:t xml:space="preserve">Over the five-year period between 2009–10 and 2013–14, </w:t>
      </w:r>
      <w:r w:rsidR="0019633C">
        <w:t xml:space="preserve">there were </w:t>
      </w:r>
      <w:r w:rsidR="0008246D">
        <w:t>360 180</w:t>
      </w:r>
      <w:r w:rsidR="0019633C">
        <w:t xml:space="preserve"> </w:t>
      </w:r>
      <w:r w:rsidR="00051D3C">
        <w:t>serious MSD claims</w:t>
      </w:r>
      <w:r w:rsidR="005B5966">
        <w:t>,</w:t>
      </w:r>
      <w:r>
        <w:t xml:space="preserve"> </w:t>
      </w:r>
      <w:r w:rsidR="005B5966">
        <w:t xml:space="preserve">which equates to 60 per cent of </w:t>
      </w:r>
      <w:r w:rsidR="00051D3C">
        <w:t xml:space="preserve">all </w:t>
      </w:r>
      <w:r w:rsidR="005B5966">
        <w:t>serious claims for the period</w:t>
      </w:r>
      <w:r>
        <w:t>.</w:t>
      </w:r>
      <w:r w:rsidR="005B5966">
        <w:t xml:space="preserve"> </w:t>
      </w:r>
      <w:r w:rsidR="00E43F05">
        <w:t>I</w:t>
      </w:r>
      <w:r w:rsidR="004E5B89">
        <w:t>njuries accounted for 76</w:t>
      </w:r>
      <w:r w:rsidR="00B42675">
        <w:t xml:space="preserve"> per cent of MSD claims, while dise</w:t>
      </w:r>
      <w:r w:rsidR="004E5B89">
        <w:t>ases accounted for 24</w:t>
      </w:r>
      <w:r w:rsidR="00F961AF">
        <w:t xml:space="preserve"> per cent.</w:t>
      </w:r>
      <w:r w:rsidR="002673C2">
        <w:t xml:space="preserve"> Common types of </w:t>
      </w:r>
      <w:r w:rsidR="00E43F05">
        <w:t xml:space="preserve">MSD </w:t>
      </w:r>
      <w:r w:rsidR="002673C2">
        <w:t>injuries were soft tissue disorders (29 per cent), trauma to muscles or tendons (21 per cent), and trauma to joints</w:t>
      </w:r>
      <w:r w:rsidR="00267DAD">
        <w:t xml:space="preserve"> or ligaments (14 per cent).</w:t>
      </w:r>
    </w:p>
    <w:p w:rsidR="00B42675" w:rsidRDefault="00F961AF" w:rsidP="00F961AF">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2</w:t>
      </w:r>
      <w:r w:rsidR="00F004BF">
        <w:rPr>
          <w:noProof/>
        </w:rPr>
        <w:fldChar w:fldCharType="end"/>
      </w:r>
      <w:r>
        <w:t xml:space="preserve">: </w:t>
      </w:r>
      <w:r w:rsidR="00051D3C">
        <w:t>Serious MSD claims</w:t>
      </w:r>
      <w:r>
        <w:t xml:space="preserve"> by nature of injury or disease, 2009–10 to 2013–14</w:t>
      </w:r>
      <w:r w:rsidR="001B0B55">
        <w:t>p</w:t>
      </w:r>
      <w:r>
        <w:t xml:space="preserve"> combined</w:t>
      </w:r>
    </w:p>
    <w:tbl>
      <w:tblPr>
        <w:tblStyle w:val="TableGrid"/>
        <w:tblW w:w="8950" w:type="dxa"/>
        <w:tblInd w:w="108" w:type="dxa"/>
        <w:tblLook w:val="04A0" w:firstRow="1" w:lastRow="0" w:firstColumn="1" w:lastColumn="0" w:noHBand="0" w:noVBand="1"/>
        <w:tblCaption w:val="Table 2"/>
      </w:tblPr>
      <w:tblGrid>
        <w:gridCol w:w="6237"/>
        <w:gridCol w:w="1418"/>
        <w:gridCol w:w="1295"/>
      </w:tblGrid>
      <w:tr w:rsidR="00D60891" w:rsidRPr="00D60891" w:rsidTr="00437749">
        <w:trPr>
          <w:trHeight w:val="255"/>
          <w:tblHeader/>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b/>
                <w:bCs/>
                <w:color w:val="000000"/>
                <w:szCs w:val="20"/>
              </w:rPr>
            </w:pPr>
            <w:r w:rsidRPr="00D60891">
              <w:rPr>
                <w:rFonts w:eastAsia="Times New Roman"/>
                <w:b/>
                <w:bCs/>
                <w:color w:val="000000"/>
                <w:szCs w:val="20"/>
              </w:rPr>
              <w:t xml:space="preserve">Nature of </w:t>
            </w:r>
            <w:r>
              <w:rPr>
                <w:rFonts w:eastAsia="Times New Roman"/>
                <w:b/>
                <w:bCs/>
                <w:color w:val="000000"/>
                <w:szCs w:val="20"/>
              </w:rPr>
              <w:t>MSD</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Number</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Percentage</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8950" w:type="dxa"/>
            <w:gridSpan w:val="3"/>
            <w:shd w:val="clear" w:color="auto" w:fill="D9D9D9" w:themeFill="background1" w:themeFillShade="D9"/>
            <w:noWrap/>
            <w:hideMark/>
          </w:tcPr>
          <w:p w:rsidR="00D60891" w:rsidRPr="00D60891" w:rsidRDefault="005604D1" w:rsidP="002673C2">
            <w:pPr>
              <w:rPr>
                <w:rFonts w:eastAsia="Times New Roman"/>
                <w:b/>
                <w:bCs/>
                <w:color w:val="000000"/>
                <w:szCs w:val="20"/>
              </w:rPr>
            </w:pPr>
            <w:r>
              <w:rPr>
                <w:rFonts w:eastAsia="Times New Roman"/>
                <w:b/>
                <w:bCs/>
                <w:color w:val="000000"/>
                <w:szCs w:val="20"/>
              </w:rPr>
              <w:t>MSD injuries</w:t>
            </w:r>
          </w:p>
        </w:tc>
      </w:tr>
      <w:tr w:rsidR="00D60891" w:rsidRPr="00D60891" w:rsidTr="002673C2">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2673C2">
            <w:pPr>
              <w:rPr>
                <w:rFonts w:eastAsia="Times New Roman"/>
                <w:color w:val="000000"/>
                <w:szCs w:val="20"/>
              </w:rPr>
            </w:pPr>
            <w:r w:rsidRPr="00D60891">
              <w:rPr>
                <w:rFonts w:eastAsia="Times New Roman"/>
                <w:color w:val="000000"/>
                <w:szCs w:val="20"/>
              </w:rPr>
              <w:t>Soft tissue disorders due to trauma or unknown mechanisms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102 850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28.6%</w:t>
            </w:r>
          </w:p>
        </w:tc>
      </w:tr>
      <w:tr w:rsidR="001712EA" w:rsidRPr="00D60891" w:rsidTr="002673C2">
        <w:trPr>
          <w:trHeight w:val="255"/>
        </w:trPr>
        <w:tc>
          <w:tcPr>
            <w:cnfStyle w:val="001000000000" w:firstRow="0" w:lastRow="0" w:firstColumn="1" w:lastColumn="0" w:oddVBand="0" w:evenVBand="0" w:oddHBand="0" w:evenHBand="0" w:firstRowFirstColumn="0" w:firstRowLastColumn="0" w:lastRowFirstColumn="0" w:lastRowLastColumn="0"/>
            <w:tcW w:w="6237" w:type="dxa"/>
            <w:noWrap/>
          </w:tcPr>
          <w:p w:rsidR="001712EA" w:rsidRDefault="001712EA" w:rsidP="002673C2">
            <w:pPr>
              <w:rPr>
                <w:rFonts w:cs="Arial"/>
                <w:color w:val="000000"/>
                <w:szCs w:val="20"/>
              </w:rPr>
            </w:pPr>
            <w:r>
              <w:rPr>
                <w:rFonts w:cs="Arial"/>
                <w:color w:val="000000"/>
                <w:szCs w:val="20"/>
              </w:rPr>
              <w:t>Trauma to muscles and tendons</w:t>
            </w:r>
          </w:p>
        </w:tc>
        <w:tc>
          <w:tcPr>
            <w:tcW w:w="1418"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74 170</w:t>
            </w:r>
          </w:p>
        </w:tc>
        <w:tc>
          <w:tcPr>
            <w:tcW w:w="1295"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20.6%</w:t>
            </w:r>
          </w:p>
        </w:tc>
      </w:tr>
      <w:tr w:rsidR="001712EA" w:rsidRPr="00D60891" w:rsidTr="002673C2">
        <w:trPr>
          <w:trHeight w:val="255"/>
        </w:trPr>
        <w:tc>
          <w:tcPr>
            <w:cnfStyle w:val="001000000000" w:firstRow="0" w:lastRow="0" w:firstColumn="1" w:lastColumn="0" w:oddVBand="0" w:evenVBand="0" w:oddHBand="0" w:evenHBand="0" w:firstRowFirstColumn="0" w:firstRowLastColumn="0" w:lastRowFirstColumn="0" w:lastRowLastColumn="0"/>
            <w:tcW w:w="6237" w:type="dxa"/>
            <w:noWrap/>
          </w:tcPr>
          <w:p w:rsidR="001712EA" w:rsidRDefault="001712EA" w:rsidP="002673C2">
            <w:pPr>
              <w:rPr>
                <w:rFonts w:cs="Arial"/>
                <w:color w:val="000000"/>
                <w:szCs w:val="20"/>
              </w:rPr>
            </w:pPr>
            <w:r>
              <w:rPr>
                <w:rFonts w:cs="Arial"/>
                <w:color w:val="000000"/>
                <w:szCs w:val="20"/>
              </w:rPr>
              <w:t>Trauma to joints and ligaments</w:t>
            </w:r>
          </w:p>
        </w:tc>
        <w:tc>
          <w:tcPr>
            <w:tcW w:w="1418"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50 770</w:t>
            </w:r>
          </w:p>
        </w:tc>
        <w:tc>
          <w:tcPr>
            <w:tcW w:w="1295"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14.1%</w:t>
            </w:r>
          </w:p>
        </w:tc>
      </w:tr>
      <w:tr w:rsidR="001712EA" w:rsidRPr="00D60891" w:rsidTr="002673C2">
        <w:trPr>
          <w:trHeight w:val="255"/>
        </w:trPr>
        <w:tc>
          <w:tcPr>
            <w:cnfStyle w:val="001000000000" w:firstRow="0" w:lastRow="0" w:firstColumn="1" w:lastColumn="0" w:oddVBand="0" w:evenVBand="0" w:oddHBand="0" w:evenHBand="0" w:firstRowFirstColumn="0" w:firstRowLastColumn="0" w:lastRowFirstColumn="0" w:lastRowLastColumn="0"/>
            <w:tcW w:w="6237" w:type="dxa"/>
            <w:noWrap/>
          </w:tcPr>
          <w:p w:rsidR="001712EA" w:rsidRDefault="001712EA" w:rsidP="002673C2">
            <w:pPr>
              <w:rPr>
                <w:rFonts w:cs="Arial"/>
                <w:color w:val="000000"/>
                <w:szCs w:val="20"/>
              </w:rPr>
            </w:pPr>
            <w:r>
              <w:rPr>
                <w:rFonts w:cs="Arial"/>
                <w:color w:val="000000"/>
                <w:szCs w:val="20"/>
              </w:rPr>
              <w:t>Trauma to muscles</w:t>
            </w:r>
          </w:p>
        </w:tc>
        <w:tc>
          <w:tcPr>
            <w:tcW w:w="1418"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24 685</w:t>
            </w:r>
          </w:p>
        </w:tc>
        <w:tc>
          <w:tcPr>
            <w:tcW w:w="1295" w:type="dxa"/>
            <w:noWrap/>
          </w:tcPr>
          <w:p w:rsidR="001712EA" w:rsidRDefault="001712EA" w:rsidP="002673C2">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6.9%</w:t>
            </w:r>
          </w:p>
        </w:tc>
      </w:tr>
      <w:tr w:rsidR="00D60891" w:rsidRPr="00D60891" w:rsidTr="002673C2">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2673C2">
            <w:pPr>
              <w:rPr>
                <w:rFonts w:eastAsia="Times New Roman"/>
                <w:color w:val="000000"/>
                <w:szCs w:val="20"/>
              </w:rPr>
            </w:pPr>
            <w:r w:rsidRPr="00D60891">
              <w:rPr>
                <w:rFonts w:eastAsia="Times New Roman"/>
                <w:color w:val="000000"/>
                <w:szCs w:val="20"/>
              </w:rPr>
              <w:t>Dislocation</w:t>
            </w:r>
          </w:p>
        </w:tc>
        <w:tc>
          <w:tcPr>
            <w:tcW w:w="1418" w:type="dxa"/>
            <w:noWrap/>
            <w:hideMark/>
          </w:tcPr>
          <w:p w:rsidR="00D60891" w:rsidRPr="00D60891" w:rsidRDefault="00D60891" w:rsidP="002673C2">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9 335</w:t>
            </w:r>
          </w:p>
        </w:tc>
        <w:tc>
          <w:tcPr>
            <w:tcW w:w="1295" w:type="dxa"/>
            <w:noWrap/>
            <w:hideMark/>
          </w:tcPr>
          <w:p w:rsidR="00D60891" w:rsidRPr="00D60891" w:rsidRDefault="00D60891" w:rsidP="002673C2">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2.6%</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2673C2" w:rsidP="005604D1">
            <w:pPr>
              <w:rPr>
                <w:rFonts w:eastAsia="Times New Roman"/>
                <w:b/>
                <w:bCs/>
                <w:color w:val="000000"/>
                <w:szCs w:val="20"/>
              </w:rPr>
            </w:pPr>
            <w:r>
              <w:rPr>
                <w:rFonts w:eastAsia="Times New Roman"/>
                <w:b/>
                <w:bCs/>
                <w:color w:val="000000"/>
                <w:szCs w:val="20"/>
              </w:rPr>
              <w:t xml:space="preserve">Total: </w:t>
            </w:r>
            <w:r w:rsidR="005604D1">
              <w:rPr>
                <w:rFonts w:eastAsia="Times New Roman"/>
                <w:b/>
                <w:bCs/>
                <w:color w:val="000000"/>
                <w:szCs w:val="20"/>
              </w:rPr>
              <w:t>MSD</w:t>
            </w:r>
            <w:r>
              <w:rPr>
                <w:rFonts w:eastAsia="Times New Roman"/>
                <w:b/>
                <w:bCs/>
                <w:color w:val="000000"/>
                <w:szCs w:val="20"/>
              </w:rPr>
              <w:t xml:space="preserve"> injuries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272 840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75.8%</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8950" w:type="dxa"/>
            <w:gridSpan w:val="3"/>
            <w:shd w:val="clear" w:color="auto" w:fill="D9D9D9" w:themeFill="background1" w:themeFillShade="D9"/>
            <w:noWrap/>
            <w:hideMark/>
          </w:tcPr>
          <w:p w:rsidR="00D60891" w:rsidRPr="00D60891" w:rsidRDefault="005604D1" w:rsidP="00D60891">
            <w:pPr>
              <w:rPr>
                <w:rFonts w:eastAsia="Times New Roman"/>
                <w:b/>
                <w:bCs/>
                <w:color w:val="000000"/>
                <w:szCs w:val="20"/>
              </w:rPr>
            </w:pPr>
            <w:r>
              <w:rPr>
                <w:rFonts w:eastAsia="Times New Roman"/>
                <w:b/>
                <w:bCs/>
                <w:color w:val="000000"/>
                <w:szCs w:val="20"/>
              </w:rPr>
              <w:t>MSD diseases</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Back pain, lumbago, and sciatica</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23 065</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6.4%</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Tendinitis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11 810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3.3%</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Disc displacement, prolapse, degeneration or hernia</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11 140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3.1%</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2673C2" w:rsidP="00D60891">
            <w:pPr>
              <w:rPr>
                <w:rFonts w:eastAsia="Times New Roman"/>
                <w:color w:val="000000"/>
                <w:szCs w:val="20"/>
              </w:rPr>
            </w:pPr>
            <w:r>
              <w:rPr>
                <w:rFonts w:eastAsia="Times New Roman"/>
                <w:color w:val="000000"/>
                <w:szCs w:val="20"/>
              </w:rPr>
              <w:t xml:space="preserve">Muscle or </w:t>
            </w:r>
            <w:r w:rsidR="00D60891" w:rsidRPr="00D60891">
              <w:rPr>
                <w:rFonts w:eastAsia="Times New Roman"/>
                <w:color w:val="000000"/>
                <w:szCs w:val="20"/>
              </w:rPr>
              <w:t>tendon strain (non-traumatic)</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10 680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3.0%</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Occupational overuse syndrome</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4 700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1.3%</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Bursitis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4 465</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1.2%</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D60891">
            <w:pPr>
              <w:rPr>
                <w:rFonts w:eastAsia="Times New Roman"/>
                <w:color w:val="000000"/>
                <w:szCs w:val="20"/>
              </w:rPr>
            </w:pPr>
            <w:r w:rsidRPr="00D60891">
              <w:rPr>
                <w:rFonts w:eastAsia="Times New Roman"/>
                <w:color w:val="000000"/>
                <w:szCs w:val="20"/>
              </w:rPr>
              <w:t>Epicondylitis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3 765</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60891">
              <w:rPr>
                <w:rFonts w:eastAsia="Times New Roman"/>
                <w:color w:val="000000"/>
                <w:szCs w:val="20"/>
              </w:rPr>
              <w:t>1.0%</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5604D1">
            <w:pPr>
              <w:rPr>
                <w:rFonts w:eastAsia="Times New Roman"/>
                <w:b/>
                <w:bCs/>
                <w:color w:val="000000"/>
                <w:szCs w:val="20"/>
              </w:rPr>
            </w:pPr>
            <w:r w:rsidRPr="00D60891">
              <w:rPr>
                <w:rFonts w:eastAsia="Times New Roman"/>
                <w:b/>
                <w:bCs/>
                <w:color w:val="000000"/>
                <w:szCs w:val="20"/>
              </w:rPr>
              <w:t xml:space="preserve">Total: </w:t>
            </w:r>
            <w:r w:rsidR="005604D1">
              <w:rPr>
                <w:rFonts w:eastAsia="Times New Roman"/>
                <w:b/>
                <w:bCs/>
                <w:color w:val="000000"/>
                <w:szCs w:val="20"/>
              </w:rPr>
              <w:t>MSD diseases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87 340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24.2%</w:t>
            </w:r>
          </w:p>
        </w:tc>
      </w:tr>
      <w:tr w:rsidR="00D60891" w:rsidRPr="00D60891" w:rsidTr="00D60891">
        <w:trPr>
          <w:trHeight w:val="255"/>
        </w:trPr>
        <w:tc>
          <w:tcPr>
            <w:cnfStyle w:val="001000000000" w:firstRow="0" w:lastRow="0" w:firstColumn="1" w:lastColumn="0" w:oddVBand="0" w:evenVBand="0" w:oddHBand="0" w:evenHBand="0" w:firstRowFirstColumn="0" w:firstRowLastColumn="0" w:lastRowFirstColumn="0" w:lastRowLastColumn="0"/>
            <w:tcW w:w="6237" w:type="dxa"/>
            <w:noWrap/>
            <w:hideMark/>
          </w:tcPr>
          <w:p w:rsidR="00D60891" w:rsidRPr="00D60891" w:rsidRDefault="00D60891" w:rsidP="005604D1">
            <w:pPr>
              <w:rPr>
                <w:rFonts w:eastAsia="Times New Roman"/>
                <w:b/>
                <w:bCs/>
                <w:color w:val="000000"/>
                <w:szCs w:val="20"/>
              </w:rPr>
            </w:pPr>
            <w:r>
              <w:rPr>
                <w:rFonts w:eastAsia="Times New Roman"/>
                <w:b/>
                <w:bCs/>
                <w:color w:val="000000"/>
                <w:szCs w:val="20"/>
              </w:rPr>
              <w:t xml:space="preserve">Total: </w:t>
            </w:r>
            <w:r w:rsidR="005604D1">
              <w:rPr>
                <w:rFonts w:eastAsia="Times New Roman"/>
                <w:b/>
                <w:bCs/>
                <w:color w:val="000000"/>
                <w:szCs w:val="20"/>
              </w:rPr>
              <w:t>MSD injuries and diseases</w:t>
            </w:r>
          </w:p>
        </w:tc>
        <w:tc>
          <w:tcPr>
            <w:tcW w:w="1418"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360 180</w:t>
            </w:r>
          </w:p>
        </w:tc>
        <w:tc>
          <w:tcPr>
            <w:tcW w:w="1295" w:type="dxa"/>
            <w:noWrap/>
            <w:hideMark/>
          </w:tcPr>
          <w:p w:rsidR="00D60891" w:rsidRPr="00D60891" w:rsidRDefault="00D60891" w:rsidP="00D60891">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60891">
              <w:rPr>
                <w:rFonts w:eastAsia="Times New Roman"/>
                <w:b/>
                <w:bCs/>
                <w:color w:val="000000"/>
                <w:szCs w:val="20"/>
              </w:rPr>
              <w:t>100.0%</w:t>
            </w:r>
          </w:p>
        </w:tc>
      </w:tr>
    </w:tbl>
    <w:p w:rsidR="00794DAE" w:rsidRDefault="000B7E07" w:rsidP="005C7336">
      <w:pPr>
        <w:pStyle w:val="Heading2"/>
      </w:pPr>
      <w:bookmarkStart w:id="16" w:name="_Toc450826578"/>
      <w:r>
        <w:t>Magnitude</w:t>
      </w:r>
      <w:r w:rsidR="00794DAE">
        <w:t xml:space="preserve"> of MSDs</w:t>
      </w:r>
      <w:r>
        <w:t xml:space="preserve"> over time</w:t>
      </w:r>
      <w:bookmarkEnd w:id="16"/>
    </w:p>
    <w:p w:rsidR="00D2026B" w:rsidRDefault="00D31E1F">
      <w:r>
        <w:t>Over the 14-year period between 2000–01 and 2013–14, the percentage of serious claims that involved MSDs remained stable at between 59 and 61 per</w:t>
      </w:r>
      <w:r w:rsidR="00574CC9">
        <w:t xml:space="preserve"> </w:t>
      </w:r>
      <w:r>
        <w:t>cent.</w:t>
      </w:r>
    </w:p>
    <w:p w:rsidR="00D31E1F" w:rsidRDefault="004E5B89" w:rsidP="004E5B89">
      <w:pPr>
        <w:pStyle w:val="Heading4"/>
      </w:pPr>
      <w:r>
        <w:t xml:space="preserve">Figure </w:t>
      </w:r>
      <w:r w:rsidR="00F004BF">
        <w:fldChar w:fldCharType="begin"/>
      </w:r>
      <w:r w:rsidR="00F004BF">
        <w:instrText xml:space="preserve"> SEQ Figure \* ARABIC </w:instrText>
      </w:r>
      <w:r w:rsidR="00F004BF">
        <w:fldChar w:fldCharType="separate"/>
      </w:r>
      <w:r w:rsidR="00000F4F">
        <w:rPr>
          <w:noProof/>
        </w:rPr>
        <w:t>1</w:t>
      </w:r>
      <w:r w:rsidR="00F004BF">
        <w:rPr>
          <w:noProof/>
        </w:rPr>
        <w:fldChar w:fldCharType="end"/>
      </w:r>
      <w:r>
        <w:t>: Percentage of serious claims that involved MSDs, 2000–01 to 2013–14</w:t>
      </w:r>
      <w:r w:rsidR="001B0B55">
        <w:t>p</w:t>
      </w:r>
    </w:p>
    <w:p w:rsidR="004E5B89" w:rsidRDefault="00004A1C">
      <w:r>
        <w:rPr>
          <w:noProof/>
        </w:rPr>
        <w:drawing>
          <wp:inline distT="0" distB="0" distL="0" distR="0" wp14:anchorId="564088DF" wp14:editId="32378A0D">
            <wp:extent cx="5760000" cy="3240000"/>
            <wp:effectExtent l="0" t="0" r="12700" b="17780"/>
            <wp:docPr id="1" name="Chart 1" descr="Over the 14-year period between 2000–01 and 2013–14, the percentage of serious claims that involved MSDs remained stable at between 59 and 61 per cent."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54AF" w:rsidRDefault="003E54AF" w:rsidP="003E54AF"/>
    <w:p w:rsidR="00794DAE" w:rsidRDefault="00794DAE" w:rsidP="005C7336">
      <w:pPr>
        <w:pStyle w:val="Heading2"/>
      </w:pPr>
      <w:bookmarkStart w:id="17" w:name="_Toc450826579"/>
      <w:r>
        <w:lastRenderedPageBreak/>
        <w:t>Trends in frequency rates</w:t>
      </w:r>
      <w:r w:rsidR="00DC3920">
        <w:t xml:space="preserve"> of MSDs</w:t>
      </w:r>
      <w:bookmarkEnd w:id="17"/>
    </w:p>
    <w:p w:rsidR="004E5B89" w:rsidRDefault="007C7F98" w:rsidP="007C7F98">
      <w:r>
        <w:t xml:space="preserve">Between 2000–01 and 2012–13, the frequency rate of </w:t>
      </w:r>
      <w:r w:rsidR="00051D3C">
        <w:t>serious MSD claims</w:t>
      </w:r>
      <w:r>
        <w:t xml:space="preserve"> declined by 31</w:t>
      </w:r>
      <w:r w:rsidR="009B53C3">
        <w:t xml:space="preserve"> per cent from 5.7 claims per million hours worked to 4.0</w:t>
      </w:r>
      <w:r>
        <w:t>. Over the sa</w:t>
      </w:r>
      <w:r w:rsidR="00BA6B68">
        <w:t>me period, the frequency rate for</w:t>
      </w:r>
      <w:r>
        <w:t xml:space="preserve"> </w:t>
      </w:r>
      <w:r w:rsidR="00BA6B68">
        <w:t xml:space="preserve">all </w:t>
      </w:r>
      <w:r>
        <w:t xml:space="preserve">serious claims </w:t>
      </w:r>
      <w:r w:rsidR="009B53C3">
        <w:t xml:space="preserve">also </w:t>
      </w:r>
      <w:r>
        <w:t>d</w:t>
      </w:r>
      <w:r w:rsidR="009B53C3">
        <w:t>eclined by 31</w:t>
      </w:r>
      <w:r>
        <w:t xml:space="preserve"> per cent. </w:t>
      </w:r>
      <w:r w:rsidR="00494EE1">
        <w:t>Data for 2013–14 are preliminary and are excluded when calculating the percentage change over time.</w:t>
      </w:r>
      <w:r w:rsidR="00524033">
        <w:t xml:space="preserve"> </w:t>
      </w:r>
      <w:r>
        <w:t xml:space="preserve">Figure 2 shows that the trend for </w:t>
      </w:r>
      <w:r w:rsidR="00051D3C">
        <w:t>serious MSD claims</w:t>
      </w:r>
      <w:r>
        <w:t xml:space="preserve"> mirrored the trend for </w:t>
      </w:r>
      <w:r w:rsidR="00BA6B68">
        <w:t xml:space="preserve">all </w:t>
      </w:r>
      <w:r>
        <w:t xml:space="preserve">serious claims. This is unsurprising because the majority of serious claims over the period (between 59 and 61 per cent) </w:t>
      </w:r>
      <w:r w:rsidR="009B53C3">
        <w:t>involved</w:t>
      </w:r>
      <w:r>
        <w:t xml:space="preserve"> MSDs.</w:t>
      </w:r>
    </w:p>
    <w:p w:rsidR="007C7F98" w:rsidRDefault="007C7F98" w:rsidP="007C7F98">
      <w:pPr>
        <w:pStyle w:val="Heading4"/>
      </w:pPr>
      <w:r>
        <w:t xml:space="preserve">Figure </w:t>
      </w:r>
      <w:r w:rsidR="00F004BF">
        <w:fldChar w:fldCharType="begin"/>
      </w:r>
      <w:r w:rsidR="00F004BF">
        <w:instrText xml:space="preserve"> SEQ Figure \* ARABIC </w:instrText>
      </w:r>
      <w:r w:rsidR="00F004BF">
        <w:fldChar w:fldCharType="separate"/>
      </w:r>
      <w:r w:rsidR="00000F4F">
        <w:rPr>
          <w:noProof/>
        </w:rPr>
        <w:t>2</w:t>
      </w:r>
      <w:r w:rsidR="00F004BF">
        <w:rPr>
          <w:noProof/>
        </w:rPr>
        <w:fldChar w:fldCharType="end"/>
      </w:r>
      <w:r w:rsidR="00A02AE9">
        <w:t>: Frequency rates of</w:t>
      </w:r>
      <w:r>
        <w:t xml:space="preserve"> </w:t>
      </w:r>
      <w:r w:rsidR="00051D3C">
        <w:t>serious MSD claims</w:t>
      </w:r>
      <w:r>
        <w:t xml:space="preserve"> and </w:t>
      </w:r>
      <w:r w:rsidR="00BA6B68">
        <w:t xml:space="preserve">all </w:t>
      </w:r>
      <w:r>
        <w:t>serious claims, 2000–01 to 2013–14</w:t>
      </w:r>
      <w:r w:rsidR="001B0B55">
        <w:t>p</w:t>
      </w:r>
    </w:p>
    <w:p w:rsidR="007C7F98" w:rsidRPr="007C7F98" w:rsidRDefault="00004A1C" w:rsidP="007C7F98">
      <w:r>
        <w:rPr>
          <w:noProof/>
        </w:rPr>
        <w:drawing>
          <wp:inline distT="0" distB="0" distL="0" distR="0" wp14:anchorId="62C46E87" wp14:editId="06BD222F">
            <wp:extent cx="5819775" cy="2905125"/>
            <wp:effectExtent l="0" t="0" r="9525" b="9525"/>
            <wp:docPr id="2" name="Chart 2" descr="Between 2000–01 and 2012–13, the frequency rate of serious MSD claims declined by 31 per cent from 5.7 claims per million hours worked to 4.0."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4DAE" w:rsidRDefault="00794DAE" w:rsidP="005C7336">
      <w:pPr>
        <w:pStyle w:val="Heading2"/>
      </w:pPr>
      <w:bookmarkStart w:id="18" w:name="_Toc450826580"/>
      <w:r>
        <w:t xml:space="preserve">Trends in time lost </w:t>
      </w:r>
      <w:r w:rsidR="003B7A2A">
        <w:t xml:space="preserve">from work </w:t>
      </w:r>
      <w:r>
        <w:t xml:space="preserve">and </w:t>
      </w:r>
      <w:r w:rsidR="00D22737">
        <w:t xml:space="preserve">amounts of </w:t>
      </w:r>
      <w:r>
        <w:t>compensation</w:t>
      </w:r>
      <w:bookmarkEnd w:id="18"/>
    </w:p>
    <w:p w:rsidR="00D22737" w:rsidRDefault="003B7A2A" w:rsidP="00794DAE">
      <w:r w:rsidRPr="003B7A2A">
        <w:t>Between 2000–01 and 2012–13</w:t>
      </w:r>
      <w:r>
        <w:t xml:space="preserve">, </w:t>
      </w:r>
      <w:r w:rsidR="00D22737">
        <w:t xml:space="preserve">the median time lost </w:t>
      </w:r>
      <w:r w:rsidR="00145657">
        <w:t xml:space="preserve">from work </w:t>
      </w:r>
      <w:r w:rsidR="00D22737">
        <w:t xml:space="preserve">for </w:t>
      </w:r>
      <w:r w:rsidR="00051D3C">
        <w:t>serious MSD claims</w:t>
      </w:r>
      <w:r w:rsidR="00D22737">
        <w:t xml:space="preserve"> increased by 35 per cent from 4.3 working weeks to 5.8. Over the same period, the median time lost for all serious claims increased by </w:t>
      </w:r>
      <w:r w:rsidR="00524033">
        <w:t xml:space="preserve">29 per cent. </w:t>
      </w:r>
      <w:r w:rsidR="00D22737">
        <w:t xml:space="preserve">The median amount of compensation for </w:t>
      </w:r>
      <w:r w:rsidR="00051D3C">
        <w:t>serious MSD claims</w:t>
      </w:r>
      <w:r w:rsidR="00D22737">
        <w:t xml:space="preserve"> increased by 59 per cent from $5 600 in 2000–01 to $8 900 in 2012–13. Over the same period, the median amount of compensation for all serious claims increased by 71 per cent.</w:t>
      </w:r>
      <w:r w:rsidR="00D1319C">
        <w:t xml:space="preserve"> Data for 2013–14 are preliminary and are excluded when reporting time lost </w:t>
      </w:r>
      <w:r w:rsidR="00F86D47">
        <w:t xml:space="preserve">from work </w:t>
      </w:r>
      <w:r w:rsidR="00D1319C">
        <w:t>or compensation paid.</w:t>
      </w:r>
    </w:p>
    <w:p w:rsidR="003F69D1" w:rsidRDefault="00D22737" w:rsidP="00D22737">
      <w:pPr>
        <w:pStyle w:val="Heading4"/>
      </w:pPr>
      <w:r>
        <w:t xml:space="preserve">Figure </w:t>
      </w:r>
      <w:r w:rsidR="00F004BF">
        <w:fldChar w:fldCharType="begin"/>
      </w:r>
      <w:r w:rsidR="00F004BF">
        <w:instrText xml:space="preserve"> SEQ Figure \* ARABIC </w:instrText>
      </w:r>
      <w:r w:rsidR="00F004BF">
        <w:fldChar w:fldCharType="separate"/>
      </w:r>
      <w:r w:rsidR="00000F4F">
        <w:rPr>
          <w:noProof/>
        </w:rPr>
        <w:t>3</w:t>
      </w:r>
      <w:r w:rsidR="00F004BF">
        <w:rPr>
          <w:noProof/>
        </w:rPr>
        <w:fldChar w:fldCharType="end"/>
      </w:r>
      <w:r>
        <w:t xml:space="preserve">: Median time lost </w:t>
      </w:r>
      <w:r w:rsidR="007E4C67">
        <w:t xml:space="preserve">from work </w:t>
      </w:r>
      <w:r>
        <w:t>and median compensation paid</w:t>
      </w:r>
      <w:r w:rsidR="007E4C67">
        <w:t xml:space="preserve"> for </w:t>
      </w:r>
      <w:r w:rsidR="00051D3C">
        <w:t>serious MSD claims</w:t>
      </w:r>
      <w:r>
        <w:t>, 2000–01 to 2012–13</w:t>
      </w:r>
    </w:p>
    <w:p w:rsidR="003F69D1" w:rsidRPr="00794DAE" w:rsidRDefault="00145657" w:rsidP="00794DAE">
      <w:r>
        <w:rPr>
          <w:noProof/>
        </w:rPr>
        <w:drawing>
          <wp:inline distT="0" distB="0" distL="0" distR="0" wp14:anchorId="08913AE9" wp14:editId="468DB1B2">
            <wp:extent cx="5759355" cy="3002508"/>
            <wp:effectExtent l="0" t="0" r="13335" b="26670"/>
            <wp:docPr id="5" name="Chart 5"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026B" w:rsidRDefault="00D2026B" w:rsidP="005C7336">
      <w:pPr>
        <w:pStyle w:val="Heading2"/>
      </w:pPr>
      <w:bookmarkStart w:id="19" w:name="_Toc450826581"/>
      <w:r>
        <w:lastRenderedPageBreak/>
        <w:t>Sex</w:t>
      </w:r>
      <w:r w:rsidR="00443FD7">
        <w:t xml:space="preserve"> and age group</w:t>
      </w:r>
      <w:bookmarkEnd w:id="19"/>
    </w:p>
    <w:p w:rsidR="00D2026B" w:rsidRDefault="00455A67" w:rsidP="00D2026B">
      <w:r>
        <w:t xml:space="preserve">Between 2009–10 and 2013–14, the frequency rate of </w:t>
      </w:r>
      <w:r w:rsidR="00051D3C">
        <w:t>serious MSD claims</w:t>
      </w:r>
      <w:r>
        <w:t xml:space="preserve"> was 4.2 claims per million hours worked. There were no notable differences in the frequency rates o</w:t>
      </w:r>
      <w:r w:rsidR="00851E41">
        <w:t>f female and male employees (4.0</w:t>
      </w:r>
      <w:r>
        <w:t xml:space="preserve"> for </w:t>
      </w:r>
      <w:r w:rsidR="00851E41">
        <w:t>female employees versus 4.3</w:t>
      </w:r>
      <w:r>
        <w:t xml:space="preserve"> for </w:t>
      </w:r>
      <w:r w:rsidR="00851E41">
        <w:t>male employees</w:t>
      </w:r>
      <w:r>
        <w:t>).</w:t>
      </w:r>
      <w:r w:rsidR="00851E41">
        <w:t xml:space="preserve"> However, there were notable differences in t</w:t>
      </w:r>
      <w:r w:rsidR="00EE50BD">
        <w:t>he frequency rates of different</w:t>
      </w:r>
      <w:r w:rsidR="00851E41">
        <w:t xml:space="preserve"> age groups. </w:t>
      </w:r>
      <w:r w:rsidR="00664B8F">
        <w:t xml:space="preserve">Table </w:t>
      </w:r>
      <w:r w:rsidR="00CF6B6B">
        <w:t>3</w:t>
      </w:r>
      <w:r w:rsidR="00664B8F">
        <w:t xml:space="preserve"> shows that </w:t>
      </w:r>
      <w:r w:rsidR="00851E41">
        <w:t>younger employees had lower frequency rates than older employees</w:t>
      </w:r>
      <w:r w:rsidR="00664B8F">
        <w:t xml:space="preserve"> and this was true for bo</w:t>
      </w:r>
      <w:r w:rsidR="007135E8">
        <w:t>th female and male employees. F</w:t>
      </w:r>
      <w:r w:rsidR="00851E41">
        <w:t>requency rates</w:t>
      </w:r>
      <w:r w:rsidR="00664B8F">
        <w:t xml:space="preserve"> of </w:t>
      </w:r>
      <w:r w:rsidR="00051D3C">
        <w:t>serious MSD claims</w:t>
      </w:r>
      <w:r w:rsidR="00851E41">
        <w:t xml:space="preserve"> generally increased as age group increased.</w:t>
      </w:r>
    </w:p>
    <w:p w:rsidR="00455A67" w:rsidRDefault="00455A67" w:rsidP="00455A67">
      <w:pPr>
        <w:pStyle w:val="Heading4"/>
      </w:pPr>
      <w:r>
        <w:t xml:space="preserve">Table </w:t>
      </w:r>
      <w:r w:rsidR="00F004BF">
        <w:fldChar w:fldCharType="begin"/>
      </w:r>
      <w:r w:rsidR="00F004BF">
        <w:instrText xml:space="preserve"> SEQ Table</w:instrText>
      </w:r>
      <w:r w:rsidR="00F004BF">
        <w:instrText xml:space="preserve"> \* ARABIC </w:instrText>
      </w:r>
      <w:r w:rsidR="00F004BF">
        <w:fldChar w:fldCharType="separate"/>
      </w:r>
      <w:r w:rsidR="00000F4F">
        <w:rPr>
          <w:noProof/>
        </w:rPr>
        <w:t>3</w:t>
      </w:r>
      <w:r w:rsidR="00F004BF">
        <w:rPr>
          <w:noProof/>
        </w:rPr>
        <w:fldChar w:fldCharType="end"/>
      </w:r>
      <w:r>
        <w:t xml:space="preserve">: </w:t>
      </w:r>
      <w:r w:rsidR="00A02AE9">
        <w:t>Frequency rates of</w:t>
      </w:r>
      <w:r w:rsidRPr="00455A67">
        <w:t xml:space="preserve"> </w:t>
      </w:r>
      <w:r w:rsidR="00051D3C">
        <w:t>serious MSD claims</w:t>
      </w:r>
      <w:r w:rsidRPr="00455A67">
        <w:t xml:space="preserve"> </w:t>
      </w:r>
      <w:r>
        <w:t xml:space="preserve">by </w:t>
      </w:r>
      <w:r w:rsidR="00A13E58">
        <w:t>age group and sex</w:t>
      </w:r>
      <w:r>
        <w:t>, 2009–10</w:t>
      </w:r>
      <w:r w:rsidRPr="00455A67">
        <w:t xml:space="preserve"> to 2013–14</w:t>
      </w:r>
      <w:r w:rsidR="001B0B55">
        <w:t>p</w:t>
      </w:r>
      <w:r>
        <w:t xml:space="preserve"> combined</w:t>
      </w:r>
    </w:p>
    <w:tbl>
      <w:tblPr>
        <w:tblStyle w:val="TableGrid"/>
        <w:tblW w:w="7506" w:type="dxa"/>
        <w:tblInd w:w="108" w:type="dxa"/>
        <w:tblLook w:val="04A0" w:firstRow="1" w:lastRow="0" w:firstColumn="1" w:lastColumn="0" w:noHBand="0" w:noVBand="1"/>
        <w:tblCaption w:val="Table 3"/>
      </w:tblPr>
      <w:tblGrid>
        <w:gridCol w:w="1977"/>
        <w:gridCol w:w="1576"/>
        <w:gridCol w:w="1576"/>
        <w:gridCol w:w="2377"/>
      </w:tblGrid>
      <w:tr w:rsidR="00455A67" w:rsidRPr="00455A67" w:rsidTr="001712EA">
        <w:trPr>
          <w:trHeight w:val="255"/>
          <w:tblHeader/>
        </w:trPr>
        <w:tc>
          <w:tcPr>
            <w:cnfStyle w:val="001000000000" w:firstRow="0" w:lastRow="0" w:firstColumn="1" w:lastColumn="0" w:oddVBand="0" w:evenVBand="0" w:oddHBand="0" w:evenHBand="0" w:firstRowFirstColumn="0" w:firstRowLastColumn="0" w:lastRowFirstColumn="0" w:lastRowLastColumn="0"/>
            <w:tcW w:w="1977" w:type="dxa"/>
            <w:vMerge w:val="restart"/>
            <w:noWrap/>
          </w:tcPr>
          <w:p w:rsidR="00455A67" w:rsidRPr="00455A67" w:rsidRDefault="00455A67" w:rsidP="00455A67">
            <w:pPr>
              <w:rPr>
                <w:rFonts w:eastAsia="Times New Roman"/>
                <w:b/>
                <w:color w:val="000000"/>
                <w:szCs w:val="20"/>
              </w:rPr>
            </w:pPr>
            <w:r w:rsidRPr="00455A67">
              <w:rPr>
                <w:rFonts w:eastAsia="Times New Roman"/>
                <w:b/>
                <w:color w:val="000000"/>
                <w:szCs w:val="20"/>
              </w:rPr>
              <w:t>Age group</w:t>
            </w:r>
          </w:p>
        </w:tc>
        <w:tc>
          <w:tcPr>
            <w:tcW w:w="5529" w:type="dxa"/>
            <w:gridSpan w:val="3"/>
            <w:noWrap/>
          </w:tcPr>
          <w:p w:rsidR="00455A67" w:rsidRPr="00455A67" w:rsidRDefault="00051D3C"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Pr>
                <w:rFonts w:eastAsia="Times New Roman"/>
                <w:b/>
                <w:color w:val="000000"/>
                <w:szCs w:val="20"/>
              </w:rPr>
              <w:t>Serious MSD claims</w:t>
            </w:r>
            <w:r w:rsidR="00851E41">
              <w:rPr>
                <w:rFonts w:eastAsia="Times New Roman"/>
                <w:b/>
                <w:color w:val="000000"/>
                <w:szCs w:val="20"/>
              </w:rPr>
              <w:t xml:space="preserve"> per million hours worked</w:t>
            </w:r>
          </w:p>
        </w:tc>
      </w:tr>
      <w:tr w:rsidR="00455A67" w:rsidRPr="00455A67" w:rsidTr="001712EA">
        <w:trPr>
          <w:trHeight w:val="255"/>
          <w:tblHeader/>
        </w:trPr>
        <w:tc>
          <w:tcPr>
            <w:cnfStyle w:val="001000000000" w:firstRow="0" w:lastRow="0" w:firstColumn="1" w:lastColumn="0" w:oddVBand="0" w:evenVBand="0" w:oddHBand="0" w:evenHBand="0" w:firstRowFirstColumn="0" w:firstRowLastColumn="0" w:lastRowFirstColumn="0" w:lastRowLastColumn="0"/>
            <w:tcW w:w="1977" w:type="dxa"/>
            <w:vMerge/>
            <w:noWrap/>
            <w:hideMark/>
          </w:tcPr>
          <w:p w:rsidR="00455A67" w:rsidRPr="00455A67" w:rsidRDefault="00455A67" w:rsidP="00455A67">
            <w:pPr>
              <w:rPr>
                <w:rFonts w:eastAsia="Times New Roman"/>
                <w:b/>
                <w:color w:val="000000"/>
                <w:szCs w:val="20"/>
              </w:rPr>
            </w:pP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Female</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Male</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All employees</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15</w:t>
            </w:r>
            <w:r w:rsidR="00B96701">
              <w:rPr>
                <w:rFonts w:eastAsia="Times New Roman"/>
                <w:color w:val="000000"/>
                <w:szCs w:val="20"/>
              </w:rPr>
              <w:t>–</w:t>
            </w:r>
            <w:r w:rsidRPr="00455A67">
              <w:rPr>
                <w:rFonts w:eastAsia="Times New Roman"/>
                <w:color w:val="000000"/>
                <w:szCs w:val="20"/>
              </w:rPr>
              <w:t>19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2.4</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3.3</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2.9</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20</w:t>
            </w:r>
            <w:r w:rsidR="00B96701">
              <w:rPr>
                <w:rFonts w:eastAsia="Times New Roman"/>
                <w:color w:val="000000"/>
                <w:szCs w:val="20"/>
              </w:rPr>
              <w:t>–</w:t>
            </w:r>
            <w:r w:rsidRPr="00455A67">
              <w:rPr>
                <w:rFonts w:eastAsia="Times New Roman"/>
                <w:color w:val="000000"/>
                <w:szCs w:val="20"/>
              </w:rPr>
              <w:t>24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2.5</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3.6</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3.1</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25</w:t>
            </w:r>
            <w:r w:rsidR="00B96701">
              <w:rPr>
                <w:rFonts w:eastAsia="Times New Roman"/>
                <w:color w:val="000000"/>
                <w:szCs w:val="20"/>
              </w:rPr>
              <w:t>–</w:t>
            </w:r>
            <w:r w:rsidRPr="00455A67">
              <w:rPr>
                <w:rFonts w:eastAsia="Times New Roman"/>
                <w:color w:val="000000"/>
                <w:szCs w:val="20"/>
              </w:rPr>
              <w:t>29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2.3</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3.4</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2.9</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30</w:t>
            </w:r>
            <w:r w:rsidR="00B96701">
              <w:rPr>
                <w:rFonts w:eastAsia="Times New Roman"/>
                <w:color w:val="000000"/>
                <w:szCs w:val="20"/>
              </w:rPr>
              <w:t>–</w:t>
            </w:r>
            <w:r w:rsidRPr="00455A67">
              <w:rPr>
                <w:rFonts w:eastAsia="Times New Roman"/>
                <w:color w:val="000000"/>
                <w:szCs w:val="20"/>
              </w:rPr>
              <w:t>34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2.9</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3.7</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3.4</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35</w:t>
            </w:r>
            <w:r w:rsidR="00B96701">
              <w:rPr>
                <w:rFonts w:eastAsia="Times New Roman"/>
                <w:color w:val="000000"/>
                <w:szCs w:val="20"/>
              </w:rPr>
              <w:t>–</w:t>
            </w:r>
            <w:r w:rsidRPr="00455A67">
              <w:rPr>
                <w:rFonts w:eastAsia="Times New Roman"/>
                <w:color w:val="000000"/>
                <w:szCs w:val="20"/>
              </w:rPr>
              <w:t>39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3.7</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4.2</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4.0</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40</w:t>
            </w:r>
            <w:r w:rsidR="00B96701">
              <w:rPr>
                <w:rFonts w:eastAsia="Times New Roman"/>
                <w:color w:val="000000"/>
                <w:szCs w:val="20"/>
              </w:rPr>
              <w:t>–</w:t>
            </w:r>
            <w:r w:rsidRPr="00455A67">
              <w:rPr>
                <w:rFonts w:eastAsia="Times New Roman"/>
                <w:color w:val="000000"/>
                <w:szCs w:val="20"/>
              </w:rPr>
              <w:t>44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4.7</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4.6</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4.6</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45</w:t>
            </w:r>
            <w:r w:rsidR="00B96701">
              <w:rPr>
                <w:rFonts w:eastAsia="Times New Roman"/>
                <w:color w:val="000000"/>
                <w:szCs w:val="20"/>
              </w:rPr>
              <w:t>–</w:t>
            </w:r>
            <w:r w:rsidRPr="00455A67">
              <w:rPr>
                <w:rFonts w:eastAsia="Times New Roman"/>
                <w:color w:val="000000"/>
                <w:szCs w:val="20"/>
              </w:rPr>
              <w:t>49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5.4</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4.8</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5.1</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50</w:t>
            </w:r>
            <w:r w:rsidR="00B96701">
              <w:rPr>
                <w:rFonts w:eastAsia="Times New Roman"/>
                <w:color w:val="000000"/>
                <w:szCs w:val="20"/>
              </w:rPr>
              <w:t>–</w:t>
            </w:r>
            <w:r w:rsidRPr="00455A67">
              <w:rPr>
                <w:rFonts w:eastAsia="Times New Roman"/>
                <w:color w:val="000000"/>
                <w:szCs w:val="20"/>
              </w:rPr>
              <w:t>54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5.8</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4.9</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5.3</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55</w:t>
            </w:r>
            <w:r w:rsidR="00B96701">
              <w:rPr>
                <w:rFonts w:eastAsia="Times New Roman"/>
                <w:color w:val="000000"/>
                <w:szCs w:val="20"/>
              </w:rPr>
              <w:t>–</w:t>
            </w:r>
            <w:r w:rsidRPr="00455A67">
              <w:rPr>
                <w:rFonts w:eastAsia="Times New Roman"/>
                <w:color w:val="000000"/>
                <w:szCs w:val="20"/>
              </w:rPr>
              <w:t>59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5.4</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5.0</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5.2</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455A67" w:rsidP="00455A67">
            <w:pPr>
              <w:rPr>
                <w:rFonts w:eastAsia="Times New Roman"/>
                <w:color w:val="000000"/>
                <w:szCs w:val="20"/>
              </w:rPr>
            </w:pPr>
            <w:r w:rsidRPr="00455A67">
              <w:rPr>
                <w:rFonts w:eastAsia="Times New Roman"/>
                <w:color w:val="000000"/>
                <w:szCs w:val="20"/>
              </w:rPr>
              <w:t>60</w:t>
            </w:r>
            <w:r w:rsidR="00B96701">
              <w:rPr>
                <w:rFonts w:eastAsia="Times New Roman"/>
                <w:color w:val="000000"/>
                <w:szCs w:val="20"/>
              </w:rPr>
              <w:t>–</w:t>
            </w:r>
            <w:r w:rsidRPr="00455A67">
              <w:rPr>
                <w:rFonts w:eastAsia="Times New Roman"/>
                <w:color w:val="000000"/>
                <w:szCs w:val="20"/>
              </w:rPr>
              <w:t>64 years</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5.2</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5.4</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55A67">
              <w:rPr>
                <w:rFonts w:eastAsia="Times New Roman"/>
                <w:color w:val="000000"/>
                <w:szCs w:val="20"/>
              </w:rPr>
              <w:t>5.4</w:t>
            </w:r>
          </w:p>
        </w:tc>
      </w:tr>
      <w:tr w:rsidR="00455A67" w:rsidRPr="00455A67" w:rsidTr="001712EA">
        <w:trPr>
          <w:trHeight w:val="255"/>
        </w:trPr>
        <w:tc>
          <w:tcPr>
            <w:cnfStyle w:val="001000000000" w:firstRow="0" w:lastRow="0" w:firstColumn="1" w:lastColumn="0" w:oddVBand="0" w:evenVBand="0" w:oddHBand="0" w:evenHBand="0" w:firstRowFirstColumn="0" w:firstRowLastColumn="0" w:lastRowFirstColumn="0" w:lastRowLastColumn="0"/>
            <w:tcW w:w="1977" w:type="dxa"/>
            <w:noWrap/>
            <w:hideMark/>
          </w:tcPr>
          <w:p w:rsidR="00455A67" w:rsidRPr="00455A67" w:rsidRDefault="00F74292" w:rsidP="00455A67">
            <w:pPr>
              <w:rPr>
                <w:rFonts w:eastAsia="Times New Roman"/>
                <w:b/>
                <w:color w:val="000000"/>
                <w:szCs w:val="20"/>
              </w:rPr>
            </w:pPr>
            <w:r>
              <w:rPr>
                <w:rFonts w:eastAsia="Times New Roman"/>
                <w:b/>
                <w:color w:val="000000"/>
                <w:szCs w:val="20"/>
              </w:rPr>
              <w:t>Total</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4.0</w:t>
            </w:r>
          </w:p>
        </w:tc>
        <w:tc>
          <w:tcPr>
            <w:tcW w:w="1576"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4.3</w:t>
            </w:r>
          </w:p>
        </w:tc>
        <w:tc>
          <w:tcPr>
            <w:tcW w:w="2377" w:type="dxa"/>
            <w:noWrap/>
            <w:hideMark/>
          </w:tcPr>
          <w:p w:rsidR="00455A67" w:rsidRPr="00455A67" w:rsidRDefault="00455A67" w:rsidP="00455A67">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455A67">
              <w:rPr>
                <w:rFonts w:eastAsia="Times New Roman"/>
                <w:b/>
                <w:color w:val="000000"/>
                <w:szCs w:val="20"/>
              </w:rPr>
              <w:t>4.2</w:t>
            </w:r>
          </w:p>
        </w:tc>
      </w:tr>
    </w:tbl>
    <w:p w:rsidR="00D2026B" w:rsidRDefault="00D2026B" w:rsidP="005C7336">
      <w:pPr>
        <w:pStyle w:val="Heading2"/>
      </w:pPr>
      <w:bookmarkStart w:id="20" w:name="_Toc450826582"/>
      <w:r>
        <w:t>Occupation</w:t>
      </w:r>
      <w:bookmarkEnd w:id="20"/>
    </w:p>
    <w:p w:rsidR="00D2026B" w:rsidRDefault="00AA63AF">
      <w:r>
        <w:t>Between 2009–10 and 2013–14, l</w:t>
      </w:r>
      <w:r w:rsidR="00437749">
        <w:t xml:space="preserve">abourers accounted for the highest percentage </w:t>
      </w:r>
      <w:r w:rsidR="00267DAD">
        <w:t xml:space="preserve">(24 per cent) </w:t>
      </w:r>
      <w:r w:rsidR="00437749">
        <w:t xml:space="preserve">of </w:t>
      </w:r>
      <w:r w:rsidR="00051D3C">
        <w:t>serious MSD claims</w:t>
      </w:r>
      <w:r w:rsidR="00437749">
        <w:t xml:space="preserve"> and the occupation also had the highest frequency rate (11.3 claims per million hours worked), which was almost three times higher than the rate for all </w:t>
      </w:r>
      <w:r w:rsidR="00F74292">
        <w:t>employees</w:t>
      </w:r>
      <w:r w:rsidR="00437749">
        <w:t xml:space="preserve"> (4.2).</w:t>
      </w:r>
      <w:r w:rsidR="006A2871">
        <w:t xml:space="preserve"> </w:t>
      </w:r>
      <w:r w:rsidR="00267DAD">
        <w:t>O</w:t>
      </w:r>
      <w:r w:rsidR="006A2871">
        <w:t>ther major occupations that</w:t>
      </w:r>
      <w:r>
        <w:t xml:space="preserve"> had high frequency rates were c</w:t>
      </w:r>
      <w:r w:rsidR="006A2871" w:rsidRPr="006A2871">
        <w:t>ommunity and personal service workers</w:t>
      </w:r>
      <w:r w:rsidR="005C311F">
        <w:t xml:space="preserve"> (9.5)</w:t>
      </w:r>
      <w:r>
        <w:t>, and m</w:t>
      </w:r>
      <w:r w:rsidR="006A2871" w:rsidRPr="006A2871">
        <w:t>achinery operators and drivers</w:t>
      </w:r>
      <w:r w:rsidR="006A2871">
        <w:t xml:space="preserve"> (8.4).</w:t>
      </w:r>
    </w:p>
    <w:p w:rsidR="00ED4412" w:rsidRDefault="00AA63AF">
      <w:r>
        <w:t>Among c</w:t>
      </w:r>
      <w:r w:rsidR="00541F4F">
        <w:t>ommunity and personal service workers, some subgroups had frequency rates that were more than three times higher than the rate for all</w:t>
      </w:r>
      <w:r>
        <w:t xml:space="preserve"> employees (4.2). They include h</w:t>
      </w:r>
      <w:r w:rsidR="00541F4F" w:rsidRPr="00541F4F">
        <w:t>ealth and welfare support workers</w:t>
      </w:r>
      <w:r w:rsidR="005C311F">
        <w:t xml:space="preserve"> </w:t>
      </w:r>
      <w:r>
        <w:t>(15.8), defence force members, f</w:t>
      </w:r>
      <w:r w:rsidR="00541F4F" w:rsidRPr="00541F4F">
        <w:t>ire fighters and police</w:t>
      </w:r>
      <w:r>
        <w:t xml:space="preserve"> (15.0),</w:t>
      </w:r>
      <w:r w:rsidR="005C311F">
        <w:t xml:space="preserve"> and </w:t>
      </w:r>
      <w:r>
        <w:t>p</w:t>
      </w:r>
      <w:r w:rsidR="00541F4F" w:rsidRPr="00541F4F">
        <w:t>ersonal carers and assistants</w:t>
      </w:r>
      <w:r w:rsidR="00541F4F">
        <w:t xml:space="preserve"> (14.7).</w:t>
      </w:r>
    </w:p>
    <w:p w:rsidR="00437749" w:rsidRDefault="00146543" w:rsidP="00146543">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4</w:t>
      </w:r>
      <w:r w:rsidR="00F004BF">
        <w:rPr>
          <w:noProof/>
        </w:rPr>
        <w:fldChar w:fldCharType="end"/>
      </w:r>
      <w:r>
        <w:t xml:space="preserve">: </w:t>
      </w:r>
      <w:r w:rsidR="00051D3C">
        <w:t>Serious MSD claims</w:t>
      </w:r>
      <w:r>
        <w:t xml:space="preserve"> by occupation, 2009–10 to 2013–14</w:t>
      </w:r>
      <w:r w:rsidR="00A71A63">
        <w:t>p</w:t>
      </w:r>
      <w:r>
        <w:t xml:space="preserve"> combined</w:t>
      </w:r>
    </w:p>
    <w:tbl>
      <w:tblPr>
        <w:tblStyle w:val="TableGrid"/>
        <w:tblW w:w="9214" w:type="dxa"/>
        <w:tblInd w:w="108" w:type="dxa"/>
        <w:tblLook w:val="04A0" w:firstRow="1" w:lastRow="0" w:firstColumn="1" w:lastColumn="0" w:noHBand="0" w:noVBand="1"/>
        <w:tblCaption w:val="Table 4"/>
      </w:tblPr>
      <w:tblGrid>
        <w:gridCol w:w="4612"/>
        <w:gridCol w:w="1217"/>
        <w:gridCol w:w="1351"/>
        <w:gridCol w:w="2034"/>
      </w:tblGrid>
      <w:tr w:rsidR="00D948B0" w:rsidRPr="00D948B0" w:rsidTr="00267DAD">
        <w:trPr>
          <w:trHeight w:val="255"/>
          <w:tblHeader/>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color w:val="000000"/>
                <w:szCs w:val="20"/>
              </w:rPr>
            </w:pPr>
            <w:r w:rsidRPr="00D948B0">
              <w:rPr>
                <w:rFonts w:eastAsia="Times New Roman"/>
                <w:b/>
                <w:color w:val="000000"/>
                <w:szCs w:val="20"/>
              </w:rPr>
              <w:t>Occupation</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948B0">
              <w:rPr>
                <w:rFonts w:eastAsia="Times New Roman"/>
                <w:b/>
                <w:color w:val="000000"/>
                <w:szCs w:val="20"/>
              </w:rPr>
              <w:t>Number</w:t>
            </w:r>
            <w:r w:rsidR="00FB5128">
              <w:rPr>
                <w:rFonts w:eastAsia="Times New Roman"/>
                <w:b/>
                <w:color w:val="000000"/>
                <w:szCs w:val="20"/>
              </w:rPr>
              <w:t xml:space="preserve"> of claims</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948B0">
              <w:rPr>
                <w:rFonts w:eastAsia="Times New Roman"/>
                <w:b/>
                <w:color w:val="000000"/>
                <w:szCs w:val="20"/>
              </w:rPr>
              <w:t>Percentage</w:t>
            </w:r>
            <w:r w:rsidR="00FB5128">
              <w:rPr>
                <w:rFonts w:eastAsia="Times New Roman"/>
                <w:b/>
                <w:color w:val="000000"/>
                <w:szCs w:val="20"/>
              </w:rPr>
              <w:t xml:space="preserve"> of claims</w:t>
            </w:r>
          </w:p>
        </w:tc>
        <w:tc>
          <w:tcPr>
            <w:tcW w:w="2034" w:type="dxa"/>
            <w:noWrap/>
            <w:hideMark/>
          </w:tcPr>
          <w:p w:rsidR="00D948B0" w:rsidRPr="00D948B0" w:rsidRDefault="00FB5128" w:rsidP="00D948B0">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Pr>
                <w:rFonts w:eastAsia="Times New Roman"/>
                <w:b/>
                <w:color w:val="000000"/>
                <w:szCs w:val="20"/>
              </w:rPr>
              <w:t>Number of</w:t>
            </w:r>
            <w:r w:rsidR="00D948B0" w:rsidRPr="00D948B0">
              <w:rPr>
                <w:rFonts w:eastAsia="Times New Roman"/>
                <w:b/>
                <w:color w:val="000000"/>
                <w:szCs w:val="20"/>
              </w:rPr>
              <w:t xml:space="preserve"> claims per million hours worked</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Labourers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85 750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23.8%</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11.3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Food process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6 180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7.2%</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12.0</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Cleaners and laundry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15 115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17.6%</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10.5</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Farm, forestry and garden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7 150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8.3%</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9.6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Construction and mining labourers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10 875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12.7%</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Food preparation assistants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5 175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6.0%</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Community and personal service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66 480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18.5%</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9.5</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Health and welfare support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13 225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19.9%</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15.8</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65FA4">
            <w:pPr>
              <w:ind w:left="176"/>
              <w:rPr>
                <w:rFonts w:eastAsia="Times New Roman"/>
                <w:color w:val="000000"/>
                <w:szCs w:val="20"/>
              </w:rPr>
            </w:pPr>
            <w:r w:rsidRPr="00D948B0">
              <w:rPr>
                <w:rFonts w:eastAsia="Times New Roman"/>
                <w:color w:val="000000"/>
                <w:szCs w:val="20"/>
              </w:rPr>
              <w:t>Defence force members, fire fighters and police</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8 805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13.2%</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15.0</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Personal carers and assistants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22 815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34.3%</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14.7</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Prison and security officers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5 390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8.1%</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9.1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Hospitality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5 405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8.1%</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3.7</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Machinery operators and drivers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56 920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15.8%</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Storepersons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11 440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20.1%</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Machine operators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5 505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9.7%</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10.5</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Truck drivers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17 970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31.6%</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Mobile plant operators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8 170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14.4%</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Stationary plant operators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5 935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10.4%</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5.2</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lastRenderedPageBreak/>
              <w:t>Technicians and trades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57 370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15.9%</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Fabrication engineering trades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5 410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9.4%</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Bricklayers, and carpenters and joiners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6 060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10.6%</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Mechanical engineering trades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5 745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10.0%</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4.1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Food trades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5 675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9.9%</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4.0</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Sales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22 185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6.2%</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Professionals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35 595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9.9%</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1.7</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Midwifery and nursing professionals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11 975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33.7%</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6.2</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ind w:firstLineChars="100" w:firstLine="200"/>
              <w:rPr>
                <w:rFonts w:eastAsia="Times New Roman"/>
                <w:color w:val="000000"/>
                <w:szCs w:val="20"/>
              </w:rPr>
            </w:pPr>
            <w:r w:rsidRPr="00D948B0">
              <w:rPr>
                <w:rFonts w:eastAsia="Times New Roman"/>
                <w:color w:val="000000"/>
                <w:szCs w:val="20"/>
              </w:rPr>
              <w:t>School teachers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7 335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20.6%</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Clerical and administrative workers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20 000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5.6%</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Managers</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14 125</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3.9%</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612" w:type="dxa"/>
            <w:noWrap/>
            <w:hideMark/>
          </w:tcPr>
          <w:p w:rsidR="00D948B0" w:rsidRPr="00D948B0" w:rsidRDefault="003F69D1" w:rsidP="00D948B0">
            <w:pPr>
              <w:rPr>
                <w:rFonts w:eastAsia="Times New Roman"/>
                <w:b/>
                <w:bCs/>
                <w:color w:val="000000"/>
                <w:szCs w:val="20"/>
              </w:rPr>
            </w:pPr>
            <w:r w:rsidRPr="00D948B0">
              <w:rPr>
                <w:rFonts w:eastAsia="Times New Roman"/>
                <w:b/>
                <w:bCs/>
                <w:color w:val="000000"/>
                <w:szCs w:val="20"/>
              </w:rPr>
              <w:t>Total</w:t>
            </w:r>
          </w:p>
        </w:tc>
        <w:tc>
          <w:tcPr>
            <w:tcW w:w="1217"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360 180</w:t>
            </w:r>
          </w:p>
        </w:tc>
        <w:tc>
          <w:tcPr>
            <w:tcW w:w="1351"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100.0%</w:t>
            </w:r>
          </w:p>
        </w:tc>
        <w:tc>
          <w:tcPr>
            <w:tcW w:w="2034"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4.2</w:t>
            </w:r>
          </w:p>
        </w:tc>
      </w:tr>
    </w:tbl>
    <w:p w:rsidR="00DC3920" w:rsidRDefault="00DC3920" w:rsidP="005C7336">
      <w:pPr>
        <w:pStyle w:val="Heading2"/>
      </w:pPr>
      <w:bookmarkStart w:id="21" w:name="_Toc450826583"/>
      <w:r>
        <w:t>Occupation and breakdown agency</w:t>
      </w:r>
      <w:r w:rsidR="00D36DAA">
        <w:t xml:space="preserve"> of MSD</w:t>
      </w:r>
      <w:r w:rsidR="003E54AF">
        <w:t>s</w:t>
      </w:r>
      <w:bookmarkEnd w:id="21"/>
    </w:p>
    <w:p w:rsidR="00C67590" w:rsidRDefault="00B156AF" w:rsidP="00DC3920">
      <w:r w:rsidRPr="00421991">
        <w:t xml:space="preserve">Under the </w:t>
      </w:r>
      <w:r w:rsidR="001625E2">
        <w:t>TOOCS</w:t>
      </w:r>
      <w:r w:rsidRPr="00421991">
        <w:t>, the breakdown agency identifies “the object, substance or circumstance that was principally involved in, or most closely associated with, the point at which things started to go wrong and which ultimately led to the most serious injury or disease” (ASCC 2008).</w:t>
      </w:r>
      <w:r w:rsidR="003C4DA3">
        <w:t xml:space="preserve"> </w:t>
      </w:r>
      <w:r w:rsidR="00CD7DA9">
        <w:t xml:space="preserve">Table </w:t>
      </w:r>
      <w:r w:rsidR="00CF6B6B">
        <w:t>5</w:t>
      </w:r>
      <w:r>
        <w:t xml:space="preserve"> </w:t>
      </w:r>
      <w:r w:rsidR="00226E81">
        <w:t>outlines</w:t>
      </w:r>
      <w:r>
        <w:t xml:space="preserve"> the breakdown agencies </w:t>
      </w:r>
      <w:r w:rsidR="00696563">
        <w:t xml:space="preserve">of MSDs </w:t>
      </w:r>
      <w:r w:rsidR="00FC155D">
        <w:t xml:space="preserve">for </w:t>
      </w:r>
      <w:r w:rsidR="00226E81">
        <w:t xml:space="preserve">all occupations and </w:t>
      </w:r>
      <w:r w:rsidR="00C87F26">
        <w:t xml:space="preserve">for </w:t>
      </w:r>
      <w:r w:rsidR="00FC155D">
        <w:t xml:space="preserve">the four occupations that collectively accounted for almost three-quarters (74 per cent) of </w:t>
      </w:r>
      <w:r w:rsidR="00051D3C">
        <w:t>serious MSD claims</w:t>
      </w:r>
      <w:r w:rsidR="00C87F26">
        <w:t xml:space="preserve"> between 2009–10 and 2013–14.</w:t>
      </w:r>
    </w:p>
    <w:p w:rsidR="00C87F26" w:rsidRDefault="00C87F26" w:rsidP="00DC3920">
      <w:r>
        <w:t xml:space="preserve">The table </w:t>
      </w:r>
      <w:r w:rsidR="006C528E">
        <w:t>shows</w:t>
      </w:r>
      <w:r>
        <w:t xml:space="preserve"> a number of </w:t>
      </w:r>
      <w:r w:rsidR="006A1A4D">
        <w:t xml:space="preserve">pronounced </w:t>
      </w:r>
      <w:r>
        <w:t>occupational d</w:t>
      </w:r>
      <w:r w:rsidR="00646B42">
        <w:t xml:space="preserve">ifferences, which </w:t>
      </w:r>
      <w:r>
        <w:t xml:space="preserve">reflect the hazards that are more common </w:t>
      </w:r>
      <w:r w:rsidR="00391E8A">
        <w:t>in</w:t>
      </w:r>
      <w:r>
        <w:t xml:space="preserve"> some occupations.</w:t>
      </w:r>
      <w:r w:rsidR="00C67590">
        <w:t xml:space="preserve"> The </w:t>
      </w:r>
      <w:r w:rsidR="003C4DA3">
        <w:t xml:space="preserve">most </w:t>
      </w:r>
      <w:r w:rsidR="006A1A4D">
        <w:t>pronounced</w:t>
      </w:r>
      <w:r w:rsidR="003C4DA3">
        <w:t xml:space="preserve"> </w:t>
      </w:r>
      <w:r w:rsidR="006C528E">
        <w:t xml:space="preserve">occupational </w:t>
      </w:r>
      <w:r w:rsidR="003C4DA3">
        <w:t xml:space="preserve">difference is that the </w:t>
      </w:r>
      <w:r w:rsidR="00C67590">
        <w:t xml:space="preserve">percentage of </w:t>
      </w:r>
      <w:r w:rsidR="00051D3C">
        <w:t>serious MSD claims</w:t>
      </w:r>
      <w:r w:rsidR="00646B42">
        <w:t xml:space="preserve"> that arose from animal, human and biological agencies was</w:t>
      </w:r>
      <w:r w:rsidR="00617395">
        <w:t xml:space="preserve"> almost</w:t>
      </w:r>
      <w:r w:rsidR="005C311F">
        <w:t xml:space="preserve"> three times higher among </w:t>
      </w:r>
      <w:r w:rsidR="00AA63AF">
        <w:t>c</w:t>
      </w:r>
      <w:r w:rsidR="00646B42">
        <w:t xml:space="preserve">ommunity and personal service workers </w:t>
      </w:r>
      <w:r w:rsidR="00617395">
        <w:t xml:space="preserve">(34 per cent versus 12 per cent </w:t>
      </w:r>
      <w:r w:rsidR="008B1758">
        <w:t xml:space="preserve">in </w:t>
      </w:r>
      <w:r w:rsidR="00617395">
        <w:t xml:space="preserve">all </w:t>
      </w:r>
      <w:r w:rsidR="008B1758">
        <w:t>occupations</w:t>
      </w:r>
      <w:r w:rsidR="00617395">
        <w:t xml:space="preserve">). </w:t>
      </w:r>
      <w:r w:rsidR="00B32DB8">
        <w:t>Almost all</w:t>
      </w:r>
      <w:r w:rsidR="00617395">
        <w:t xml:space="preserve"> </w:t>
      </w:r>
      <w:r w:rsidR="00B32DB8">
        <w:t>(9</w:t>
      </w:r>
      <w:r w:rsidR="007D6278">
        <w:t>7</w:t>
      </w:r>
      <w:r w:rsidR="00B32DB8">
        <w:t xml:space="preserve"> per cent) </w:t>
      </w:r>
      <w:r w:rsidR="00617395">
        <w:t>of these claims were attributed to contact with other people and t</w:t>
      </w:r>
      <w:r w:rsidR="00646B42">
        <w:t xml:space="preserve">his reflects the high degree of contact that </w:t>
      </w:r>
      <w:r w:rsidR="00AA63AF">
        <w:t>c</w:t>
      </w:r>
      <w:r w:rsidR="00617395">
        <w:t xml:space="preserve">ommunity and personal service workers </w:t>
      </w:r>
      <w:r w:rsidR="00646B42">
        <w:t>have with other people.</w:t>
      </w:r>
    </w:p>
    <w:p w:rsidR="009679B9" w:rsidRDefault="00FA1BC1" w:rsidP="00DC3920">
      <w:r>
        <w:t>The percentage of serious MSD claims that arose from mobile plant and transport was mo</w:t>
      </w:r>
      <w:r w:rsidR="005C311F">
        <w:t xml:space="preserve">re than two times higher among </w:t>
      </w:r>
      <w:r w:rsidR="00AA63AF">
        <w:t>m</w:t>
      </w:r>
      <w:r>
        <w:t xml:space="preserve">achinery operators and drivers (23 per cent versus 10 per cent in all occupations). Just over half (51 per cent) of these claims were associated with trucks, semi-trailers or </w:t>
      </w:r>
      <w:r w:rsidRPr="00FA1BC1">
        <w:t>lorries</w:t>
      </w:r>
      <w:r>
        <w:t>, which are more commonly used by machinery operators and drivers</w:t>
      </w:r>
      <w:r w:rsidR="00D200E3">
        <w:t xml:space="preserve"> than </w:t>
      </w:r>
      <w:r w:rsidR="00296754">
        <w:t xml:space="preserve">employees in </w:t>
      </w:r>
      <w:r w:rsidR="000A68A1">
        <w:t>other occupation</w:t>
      </w:r>
      <w:r w:rsidR="00F83BCB">
        <w:t>s</w:t>
      </w:r>
      <w:r w:rsidR="00D200E3">
        <w:t>.</w:t>
      </w:r>
    </w:p>
    <w:p w:rsidR="00C87F26" w:rsidRPr="00DC3920" w:rsidRDefault="00C87F26" w:rsidP="00C87F26">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5</w:t>
      </w:r>
      <w:r w:rsidR="00F004BF">
        <w:rPr>
          <w:noProof/>
        </w:rPr>
        <w:fldChar w:fldCharType="end"/>
      </w:r>
      <w:r>
        <w:t xml:space="preserve">: </w:t>
      </w:r>
      <w:r w:rsidR="00051D3C">
        <w:t>Serious MSD claims</w:t>
      </w:r>
      <w:r>
        <w:t xml:space="preserve"> by breakdown agency of MSD and occupation, 2009–10 to 2013–14</w:t>
      </w:r>
      <w:r w:rsidR="00A71A63">
        <w:t>p</w:t>
      </w:r>
      <w:r>
        <w:t xml:space="preserve"> combined</w:t>
      </w:r>
    </w:p>
    <w:tbl>
      <w:tblPr>
        <w:tblStyle w:val="TableGrid"/>
        <w:tblW w:w="9762" w:type="dxa"/>
        <w:tblInd w:w="108" w:type="dxa"/>
        <w:tblLook w:val="04A0" w:firstRow="1" w:lastRow="0" w:firstColumn="1" w:lastColumn="0" w:noHBand="0" w:noVBand="1"/>
        <w:tblCaption w:val="Table 5"/>
      </w:tblPr>
      <w:tblGrid>
        <w:gridCol w:w="4732"/>
        <w:gridCol w:w="1006"/>
        <w:gridCol w:w="1006"/>
        <w:gridCol w:w="1006"/>
        <w:gridCol w:w="1006"/>
        <w:gridCol w:w="1006"/>
      </w:tblGrid>
      <w:tr w:rsidR="006912EB" w:rsidRPr="006912EB" w:rsidTr="007D6278">
        <w:trPr>
          <w:cantSplit/>
          <w:trHeight w:val="1838"/>
          <w:tblHeader/>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 xml:space="preserve">Breakdown agency of </w:t>
            </w:r>
            <w:r>
              <w:rPr>
                <w:rFonts w:eastAsia="Times New Roman"/>
                <w:b/>
                <w:bCs/>
                <w:color w:val="000000"/>
                <w:szCs w:val="20"/>
              </w:rPr>
              <w:t>MSD</w:t>
            </w:r>
          </w:p>
        </w:tc>
        <w:tc>
          <w:tcPr>
            <w:tcW w:w="1006" w:type="dxa"/>
            <w:noWrap/>
            <w:textDirection w:val="btLr"/>
            <w:hideMark/>
          </w:tcPr>
          <w:p w:rsidR="006912EB" w:rsidRPr="006912EB" w:rsidRDefault="006912EB" w:rsidP="00A74305">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Labourers</w:t>
            </w:r>
          </w:p>
        </w:tc>
        <w:tc>
          <w:tcPr>
            <w:tcW w:w="1006" w:type="dxa"/>
            <w:noWrap/>
            <w:textDirection w:val="btLr"/>
            <w:hideMark/>
          </w:tcPr>
          <w:p w:rsidR="006912EB" w:rsidRPr="006912EB" w:rsidRDefault="006912EB" w:rsidP="00A74305">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Community and personal service workers</w:t>
            </w:r>
          </w:p>
        </w:tc>
        <w:tc>
          <w:tcPr>
            <w:tcW w:w="1006" w:type="dxa"/>
            <w:noWrap/>
            <w:textDirection w:val="btLr"/>
            <w:hideMark/>
          </w:tcPr>
          <w:p w:rsidR="006912EB" w:rsidRPr="006912EB" w:rsidRDefault="006912EB" w:rsidP="00A74305">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Technicians and trades workers</w:t>
            </w:r>
          </w:p>
        </w:tc>
        <w:tc>
          <w:tcPr>
            <w:tcW w:w="1006" w:type="dxa"/>
            <w:noWrap/>
            <w:textDirection w:val="btLr"/>
            <w:hideMark/>
          </w:tcPr>
          <w:p w:rsidR="006912EB" w:rsidRPr="006912EB" w:rsidRDefault="006912EB" w:rsidP="00A74305">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Machinery operators and drivers</w:t>
            </w:r>
          </w:p>
        </w:tc>
        <w:tc>
          <w:tcPr>
            <w:tcW w:w="1006" w:type="dxa"/>
            <w:noWrap/>
            <w:textDirection w:val="btLr"/>
            <w:hideMark/>
          </w:tcPr>
          <w:p w:rsidR="006912EB" w:rsidRPr="006912EB" w:rsidRDefault="006912EB" w:rsidP="00A74305">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All occupations</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Non-powered handtools, appliances and equipment</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30.3%</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20.8%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29.4%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27.3%</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left="176"/>
              <w:rPr>
                <w:rFonts w:eastAsia="Times New Roman"/>
                <w:color w:val="000000"/>
                <w:szCs w:val="20"/>
              </w:rPr>
            </w:pPr>
            <w:r w:rsidRPr="006912EB">
              <w:rPr>
                <w:rFonts w:eastAsia="Times New Roman"/>
                <w:color w:val="000000"/>
                <w:szCs w:val="20"/>
              </w:rPr>
              <w:t>Crates, cartons, boxes, cases, drums, kegs, barrels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22.9%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11.1%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13.1%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36.6%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25.3%</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Bags, bundles and bales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7.2%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6.6%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6.3%</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Storage equipment</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6.2%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5.6%</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Sitting furniture</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10.6%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5.4%</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Ladders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4.7%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14.6%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5.1%</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Environmental agencies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16.4%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17.2%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17.2%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13.6%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16.8%</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Traffic and ground surfaces other</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26.9%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26.9%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25.7%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33.7%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26.6%</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Steps and stairways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10.9%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13.6%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11.6%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11.6%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13.2%</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Materials and substances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4.4%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18.6%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13.0%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11.8%</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Ferrous and non-ferrous metal</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20.0%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26.6%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20.1%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18.2%</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A74305" w:rsidRPr="006912EB" w:rsidRDefault="006912EB" w:rsidP="00A74305">
            <w:pPr>
              <w:ind w:firstLineChars="100" w:firstLine="200"/>
              <w:rPr>
                <w:rFonts w:eastAsia="Times New Roman"/>
                <w:color w:val="000000"/>
                <w:szCs w:val="20"/>
              </w:rPr>
            </w:pPr>
            <w:r w:rsidRPr="006912EB">
              <w:rPr>
                <w:rFonts w:eastAsia="Times New Roman"/>
                <w:color w:val="000000"/>
                <w:szCs w:val="20"/>
              </w:rPr>
              <w:t>Sawn or dressed timber</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10.9%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11.2%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7.3%</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8.5%</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lastRenderedPageBreak/>
              <w:t>Animal, human and biological agencies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34.1%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3.9%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11.5%</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Other person</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19.7%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94.8%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23.8%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29.4%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77.8%</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Condition of affected person</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11.9%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15.9%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28.4%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5.8%</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Mobile plant and transport</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8.5%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5.9%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8.4%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22.8%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9.8%</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Trucks, semi-trailers, lorries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19.5%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7.2%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18.4%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50.5%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27.6%</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Cars, station wagons, vans, utilities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17.6%</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46.8%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30.2%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9.2%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23.3%</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Trolleys, handcarts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22.5%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20.5%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9.2%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13.9%</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Powered equipment, tools and appliances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5.0%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5.2%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2.0%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4.5%</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Computers and keyboards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17.9%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6.1%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2.5%</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29.2%</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Cleaning equipment</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44.0%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35.8%</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6.1%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18.0%</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Machinery and (mainly) fixed plant</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3.9%</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6.1%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6.2%</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3.6%</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ind w:firstLineChars="100" w:firstLine="200"/>
              <w:rPr>
                <w:rFonts w:eastAsia="Times New Roman"/>
                <w:color w:val="000000"/>
                <w:szCs w:val="20"/>
              </w:rPr>
            </w:pPr>
            <w:r w:rsidRPr="006912EB">
              <w:rPr>
                <w:rFonts w:eastAsia="Times New Roman"/>
                <w:color w:val="000000"/>
                <w:szCs w:val="20"/>
              </w:rPr>
              <w:t>Forklift trucks</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18.4%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3.1%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7.7%</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47.0%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6912EB">
              <w:rPr>
                <w:rFonts w:eastAsia="Times New Roman"/>
                <w:color w:val="000000"/>
                <w:szCs w:val="20"/>
              </w:rPr>
              <w:t>21.9%</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Other</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15.4%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14.0%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15.4%</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11.1%</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14.7%</w:t>
            </w:r>
          </w:p>
        </w:tc>
      </w:tr>
      <w:tr w:rsidR="006912EB" w:rsidRPr="006912EB" w:rsidTr="00A74305">
        <w:trPr>
          <w:trHeight w:val="255"/>
        </w:trPr>
        <w:tc>
          <w:tcPr>
            <w:cnfStyle w:val="001000000000" w:firstRow="0" w:lastRow="0" w:firstColumn="1" w:lastColumn="0" w:oddVBand="0" w:evenVBand="0" w:oddHBand="0" w:evenHBand="0" w:firstRowFirstColumn="0" w:firstRowLastColumn="0" w:lastRowFirstColumn="0" w:lastRowLastColumn="0"/>
            <w:tcW w:w="4732" w:type="dxa"/>
            <w:noWrap/>
            <w:hideMark/>
          </w:tcPr>
          <w:p w:rsidR="006912EB" w:rsidRPr="006912EB" w:rsidRDefault="006912EB" w:rsidP="00A74305">
            <w:pPr>
              <w:rPr>
                <w:rFonts w:eastAsia="Times New Roman"/>
                <w:b/>
                <w:bCs/>
                <w:color w:val="000000"/>
                <w:szCs w:val="20"/>
              </w:rPr>
            </w:pPr>
            <w:r w:rsidRPr="006912EB">
              <w:rPr>
                <w:rFonts w:eastAsia="Times New Roman"/>
                <w:b/>
                <w:bCs/>
                <w:color w:val="000000"/>
                <w:szCs w:val="20"/>
              </w:rPr>
              <w:t>Total</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100.0%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100.0%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100.0%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100.0%</w:t>
            </w:r>
          </w:p>
        </w:tc>
        <w:tc>
          <w:tcPr>
            <w:tcW w:w="1006" w:type="dxa"/>
            <w:noWrap/>
            <w:hideMark/>
          </w:tcPr>
          <w:p w:rsidR="006912EB" w:rsidRPr="006912EB" w:rsidRDefault="006912EB" w:rsidP="00A74305">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6912EB">
              <w:rPr>
                <w:rFonts w:eastAsia="Times New Roman"/>
                <w:b/>
                <w:bCs/>
                <w:color w:val="000000"/>
                <w:szCs w:val="20"/>
              </w:rPr>
              <w:t>100.0%</w:t>
            </w:r>
          </w:p>
        </w:tc>
      </w:tr>
    </w:tbl>
    <w:p w:rsidR="00DC3920" w:rsidRDefault="00DC3920" w:rsidP="005C7336">
      <w:pPr>
        <w:pStyle w:val="Heading2"/>
      </w:pPr>
      <w:bookmarkStart w:id="22" w:name="_Toc450826584"/>
      <w:r>
        <w:t xml:space="preserve">Occupation and </w:t>
      </w:r>
      <w:r w:rsidR="000C1414">
        <w:t>mechanism of</w:t>
      </w:r>
      <w:r w:rsidR="00D36DAA">
        <w:t xml:space="preserve"> MSD</w:t>
      </w:r>
      <w:r w:rsidR="003E54AF">
        <w:t>s</w:t>
      </w:r>
      <w:bookmarkEnd w:id="22"/>
    </w:p>
    <w:p w:rsidR="000E56FF" w:rsidRDefault="009777BC" w:rsidP="00347EEC">
      <w:r w:rsidRPr="00421991">
        <w:t xml:space="preserve">Under the </w:t>
      </w:r>
      <w:r>
        <w:t>TOOCS</w:t>
      </w:r>
      <w:r w:rsidRPr="00421991">
        <w:t xml:space="preserve">, </w:t>
      </w:r>
      <w:r>
        <w:t xml:space="preserve">the mechanism </w:t>
      </w:r>
      <w:r w:rsidRPr="00421991">
        <w:t>identifies “the action, exposure or event that best describes the circumstances that resulted in the most serious injury or disease” (ASCC 2008).</w:t>
      </w:r>
      <w:r>
        <w:t xml:space="preserve"> Work-related MSDs can arise from exposure to a single, primary mechanism or multiple, secondary mechanisms over long periods of time. When workers’ compensation data are coded, only the primary mechanism of each injury or disease is coded and this means that secondary mechanisms are not captured. It is important to </w:t>
      </w:r>
      <w:r w:rsidR="00012A44">
        <w:t>consider</w:t>
      </w:r>
      <w:r>
        <w:t xml:space="preserve"> this limitation when interpreting the statistics on the mechanisms of MSDs because they only reflect the primary mechanisms of MSDs.</w:t>
      </w:r>
    </w:p>
    <w:p w:rsidR="00B23CE1" w:rsidRDefault="00CD7DA9" w:rsidP="00AE46F8">
      <w:r>
        <w:t xml:space="preserve">Table </w:t>
      </w:r>
      <w:r w:rsidR="00CF6B6B">
        <w:t>6</w:t>
      </w:r>
      <w:r w:rsidR="00696563">
        <w:t xml:space="preserve"> outlines the mechanisms of MSDs for all occupations and for the four occupations that collectively accounted for almost three-quarters (74 per cent) of </w:t>
      </w:r>
      <w:r w:rsidR="00051D3C">
        <w:t>serious MSD claims</w:t>
      </w:r>
      <w:r w:rsidR="00696563">
        <w:t xml:space="preserve"> between 2009–10 and 2013–14.</w:t>
      </w:r>
      <w:r w:rsidR="00E273C8">
        <w:t xml:space="preserve"> </w:t>
      </w:r>
      <w:r w:rsidR="00D82C18">
        <w:t>Unlike the breakdown agencies of MSDs, there are less pronounced occupational differences in the mechanisms of MSDs.</w:t>
      </w:r>
      <w:r w:rsidR="006C528E">
        <w:t xml:space="preserve"> The majority (63 per cent) of </w:t>
      </w:r>
      <w:r w:rsidR="00051D3C">
        <w:t>serious MSD claims</w:t>
      </w:r>
      <w:r w:rsidR="006C528E">
        <w:t xml:space="preserve"> were due to body stressing. Body stressing occurs when muscles, tendons, ligaments or bones are placed under stress and this can </w:t>
      </w:r>
      <w:r w:rsidR="00490C63">
        <w:t>arise from</w:t>
      </w:r>
      <w:r w:rsidR="006C528E">
        <w:t xml:space="preserve"> a single traumatic event or multiple events over time. </w:t>
      </w:r>
      <w:r w:rsidR="00B23CE1">
        <w:t>Most (79 per cent) body stressing claims resulted from muscular stress while lifting, carrying, putting down or handling objects.</w:t>
      </w:r>
    </w:p>
    <w:p w:rsidR="00B36F9B" w:rsidRDefault="006C528E" w:rsidP="006C528E">
      <w:r>
        <w:t xml:space="preserve">Around a quarter (23 per cent) of </w:t>
      </w:r>
      <w:r w:rsidR="00051D3C">
        <w:t>serious MSD claims</w:t>
      </w:r>
      <w:r>
        <w:t xml:space="preserve"> were du</w:t>
      </w:r>
      <w:r w:rsidR="007135E8">
        <w:t>e to falls, trips or slips</w:t>
      </w:r>
      <w:r w:rsidR="00B23CE1">
        <w:t xml:space="preserve"> of a person</w:t>
      </w:r>
      <w:r>
        <w:t>.</w:t>
      </w:r>
      <w:r w:rsidR="00B23CE1">
        <w:t xml:space="preserve"> </w:t>
      </w:r>
      <w:r w:rsidR="00B36F9B">
        <w:t xml:space="preserve">The majority (66 per cent) of these claims </w:t>
      </w:r>
      <w:r w:rsidR="00A56D92">
        <w:t xml:space="preserve">were due to </w:t>
      </w:r>
      <w:r w:rsidR="00B36F9B">
        <w:t>f</w:t>
      </w:r>
      <w:r w:rsidR="00B23CE1">
        <w:t>all</w:t>
      </w:r>
      <w:r w:rsidR="00B36F9B">
        <w:t>s</w:t>
      </w:r>
      <w:r w:rsidR="00B23CE1">
        <w:t xml:space="preserve"> on the same level</w:t>
      </w:r>
      <w:r w:rsidR="00B36F9B">
        <w:t xml:space="preserve">, while 24 per cent </w:t>
      </w:r>
      <w:r w:rsidR="00A56D92">
        <w:t xml:space="preserve">were due to </w:t>
      </w:r>
      <w:r w:rsidR="00B36F9B">
        <w:t>falls from a height.</w:t>
      </w:r>
    </w:p>
    <w:p w:rsidR="00B62E46" w:rsidRDefault="00B62E46" w:rsidP="00B62E46">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6</w:t>
      </w:r>
      <w:r w:rsidR="00F004BF">
        <w:rPr>
          <w:noProof/>
        </w:rPr>
        <w:fldChar w:fldCharType="end"/>
      </w:r>
      <w:r>
        <w:t xml:space="preserve">: </w:t>
      </w:r>
      <w:r w:rsidR="00051D3C">
        <w:t>Serious MSD claims</w:t>
      </w:r>
      <w:r>
        <w:t xml:space="preserve"> by mechanism of MSD and occupation, 2009–10 to 2013–14</w:t>
      </w:r>
      <w:r w:rsidR="00A71A63">
        <w:t>p</w:t>
      </w:r>
      <w:r>
        <w:t xml:space="preserve"> combined</w:t>
      </w:r>
    </w:p>
    <w:tbl>
      <w:tblPr>
        <w:tblStyle w:val="TableGrid"/>
        <w:tblW w:w="9498" w:type="dxa"/>
        <w:tblInd w:w="108" w:type="dxa"/>
        <w:tblLook w:val="04A0" w:firstRow="1" w:lastRow="0" w:firstColumn="1" w:lastColumn="0" w:noHBand="0" w:noVBand="1"/>
        <w:tblCaption w:val="Table 6"/>
      </w:tblPr>
      <w:tblGrid>
        <w:gridCol w:w="3828"/>
        <w:gridCol w:w="1134"/>
        <w:gridCol w:w="1134"/>
        <w:gridCol w:w="1134"/>
        <w:gridCol w:w="1134"/>
        <w:gridCol w:w="1134"/>
      </w:tblGrid>
      <w:tr w:rsidR="00421AE6" w:rsidRPr="00421AE6" w:rsidTr="00D5300E">
        <w:trPr>
          <w:cantSplit/>
          <w:trHeight w:val="1833"/>
          <w:tblHeader/>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bookmarkStart w:id="23" w:name="_Toc450826585"/>
            <w:r w:rsidRPr="00421AE6">
              <w:rPr>
                <w:rFonts w:eastAsia="Times New Roman"/>
                <w:b/>
                <w:bCs/>
                <w:color w:val="000000"/>
                <w:szCs w:val="20"/>
              </w:rPr>
              <w:t>Mechanism of MSD</w:t>
            </w:r>
          </w:p>
        </w:tc>
        <w:tc>
          <w:tcPr>
            <w:tcW w:w="1134" w:type="dxa"/>
            <w:noWrap/>
            <w:textDirection w:val="btLr"/>
            <w:hideMark/>
          </w:tcPr>
          <w:p w:rsidR="00421AE6" w:rsidRPr="00421AE6" w:rsidRDefault="00421AE6" w:rsidP="00421AE6">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Labourers</w:t>
            </w:r>
          </w:p>
        </w:tc>
        <w:tc>
          <w:tcPr>
            <w:tcW w:w="1134" w:type="dxa"/>
            <w:noWrap/>
            <w:textDirection w:val="btLr"/>
            <w:hideMark/>
          </w:tcPr>
          <w:p w:rsidR="00421AE6" w:rsidRPr="00421AE6" w:rsidRDefault="00421AE6" w:rsidP="00421AE6">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Community and personal service workers</w:t>
            </w:r>
          </w:p>
        </w:tc>
        <w:tc>
          <w:tcPr>
            <w:tcW w:w="1134" w:type="dxa"/>
            <w:noWrap/>
            <w:textDirection w:val="btLr"/>
            <w:hideMark/>
          </w:tcPr>
          <w:p w:rsidR="00421AE6" w:rsidRPr="00421AE6" w:rsidRDefault="00421AE6" w:rsidP="00421AE6">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Technicians and trades workers</w:t>
            </w:r>
          </w:p>
        </w:tc>
        <w:tc>
          <w:tcPr>
            <w:tcW w:w="1134" w:type="dxa"/>
            <w:noWrap/>
            <w:textDirection w:val="btLr"/>
            <w:hideMark/>
          </w:tcPr>
          <w:p w:rsidR="00421AE6" w:rsidRPr="00421AE6" w:rsidRDefault="00421AE6" w:rsidP="00421AE6">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Machinery operators and drivers</w:t>
            </w:r>
          </w:p>
        </w:tc>
        <w:tc>
          <w:tcPr>
            <w:tcW w:w="1134" w:type="dxa"/>
            <w:noWrap/>
            <w:textDirection w:val="btLr"/>
            <w:hideMark/>
          </w:tcPr>
          <w:p w:rsidR="00421AE6" w:rsidRPr="00421AE6" w:rsidRDefault="00421AE6" w:rsidP="00421AE6">
            <w:pPr>
              <w:ind w:left="113" w:right="113"/>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All occupations</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Body stressing</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64.9%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62.0%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63.3%</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62.0%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62.9%</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t>Muscular stress while lifting, carrying, or putting down objects</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43.0%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31.8%</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43.1%</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44.8%</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40.6%</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t>Muscular stress while handling objects other than lifting, carrying or putting down objects</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40.0%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47.0%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37.2%</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40.4%</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38.7%</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lastRenderedPageBreak/>
              <w:t>Muscular stress with no objects being handled</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10.7%</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17.7%</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13.9%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10.7%</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13.9%</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t>Repetitive movement, low muscle loading</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6.3%</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3.6%</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5.9%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4.1%</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6.8%</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Falls, trips and slips of a person</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21.9%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21.2%</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24.0%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23.6%</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22.9%</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t>Falls on the same level</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66.6%</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74.6%</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57.6%</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56.1%</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65.9%</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093CD7">
            <w:pPr>
              <w:ind w:left="176"/>
              <w:rPr>
                <w:rFonts w:eastAsia="Times New Roman"/>
                <w:color w:val="000000"/>
                <w:szCs w:val="20"/>
              </w:rPr>
            </w:pPr>
            <w:r w:rsidRPr="00421AE6">
              <w:rPr>
                <w:rFonts w:eastAsia="Times New Roman"/>
                <w:color w:val="000000"/>
                <w:szCs w:val="20"/>
              </w:rPr>
              <w:t>Falls from a height</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23.9%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17.3%</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28.9%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31.9%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421AE6">
              <w:rPr>
                <w:rFonts w:eastAsia="Times New Roman"/>
                <w:color w:val="000000"/>
                <w:szCs w:val="20"/>
              </w:rPr>
              <w:t>24.0%</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Being hit by moving objects</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5.5%</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9.5%</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5.1%</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5.4%</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6.3%</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Vehicle incidents and other</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5.1%</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5.3%</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4.5%</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6.5%</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5.5%</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Hitting objects with a part of the body</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2.5%</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1.9%</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3.0%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2.4%</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2.3%</w:t>
            </w:r>
          </w:p>
        </w:tc>
      </w:tr>
      <w:tr w:rsidR="00421AE6" w:rsidRPr="00421AE6" w:rsidTr="00C65676">
        <w:trPr>
          <w:trHeight w:val="255"/>
        </w:trPr>
        <w:tc>
          <w:tcPr>
            <w:cnfStyle w:val="001000000000" w:firstRow="0" w:lastRow="0" w:firstColumn="1" w:lastColumn="0" w:oddVBand="0" w:evenVBand="0" w:oddHBand="0" w:evenHBand="0" w:firstRowFirstColumn="0" w:firstRowLastColumn="0" w:lastRowFirstColumn="0" w:lastRowLastColumn="0"/>
            <w:tcW w:w="3828" w:type="dxa"/>
            <w:noWrap/>
            <w:hideMark/>
          </w:tcPr>
          <w:p w:rsidR="00421AE6" w:rsidRPr="00421AE6" w:rsidRDefault="00421AE6" w:rsidP="00421AE6">
            <w:pPr>
              <w:rPr>
                <w:rFonts w:eastAsia="Times New Roman"/>
                <w:b/>
                <w:bCs/>
                <w:color w:val="000000"/>
                <w:szCs w:val="20"/>
              </w:rPr>
            </w:pPr>
            <w:r w:rsidRPr="00421AE6">
              <w:rPr>
                <w:rFonts w:eastAsia="Times New Roman"/>
                <w:b/>
                <w:bCs/>
                <w:color w:val="000000"/>
                <w:szCs w:val="20"/>
              </w:rPr>
              <w:t>Total</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100.0%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100.0%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100.0%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100.0%</w:t>
            </w:r>
          </w:p>
        </w:tc>
        <w:tc>
          <w:tcPr>
            <w:tcW w:w="1134" w:type="dxa"/>
            <w:noWrap/>
            <w:hideMark/>
          </w:tcPr>
          <w:p w:rsidR="00421AE6" w:rsidRPr="00421AE6" w:rsidRDefault="00421AE6" w:rsidP="00421AE6">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421AE6">
              <w:rPr>
                <w:rFonts w:eastAsia="Times New Roman"/>
                <w:b/>
                <w:bCs/>
                <w:color w:val="000000"/>
                <w:szCs w:val="20"/>
              </w:rPr>
              <w:t>100.0%</w:t>
            </w:r>
          </w:p>
        </w:tc>
      </w:tr>
    </w:tbl>
    <w:p w:rsidR="00D2026B" w:rsidRDefault="00D2026B" w:rsidP="005C7336">
      <w:pPr>
        <w:pStyle w:val="Heading2"/>
      </w:pPr>
      <w:r>
        <w:t>Industry</w:t>
      </w:r>
      <w:bookmarkEnd w:id="23"/>
    </w:p>
    <w:p w:rsidR="00EE50BD" w:rsidRDefault="00267DAD" w:rsidP="00EE50BD">
      <w:r>
        <w:t>Be</w:t>
      </w:r>
      <w:r w:rsidR="00AA63AF">
        <w:t>tween 2009–10 and 2013–14, the h</w:t>
      </w:r>
      <w:r>
        <w:t xml:space="preserve">ealth care and social assistance industry accounted for the highest percentage (18 per cent) of </w:t>
      </w:r>
      <w:r w:rsidR="00051D3C">
        <w:t>serious MSD claims</w:t>
      </w:r>
      <w:r>
        <w:t xml:space="preserve"> and the industry also had the highest frequency rate (7.1 claims per million hours worked). </w:t>
      </w:r>
      <w:r w:rsidR="00536755">
        <w:t>Within this industry, the f</w:t>
      </w:r>
      <w:r w:rsidR="005C311F">
        <w:t xml:space="preserve">requency rate for employees in </w:t>
      </w:r>
      <w:r w:rsidR="00AA63AF">
        <w:t>r</w:t>
      </w:r>
      <w:r w:rsidR="00536755">
        <w:t>esidential care services (15.3) was over three times higher than the rate for all employees (4.2).</w:t>
      </w:r>
    </w:p>
    <w:p w:rsidR="005B0C09" w:rsidRDefault="005B0C09" w:rsidP="00EE50BD">
      <w:r>
        <w:t xml:space="preserve">Other major industries that had high frequency rates and high percentages of </w:t>
      </w:r>
      <w:r w:rsidR="00ED4412">
        <w:t xml:space="preserve">serious </w:t>
      </w:r>
      <w:r w:rsidR="005C311F">
        <w:t xml:space="preserve">MSD claims were </w:t>
      </w:r>
      <w:r w:rsidR="00AA63AF">
        <w:t>t</w:t>
      </w:r>
      <w:r>
        <w:t>ransport, postal and warehousing (frequency rate was 7.0 and percentage of M</w:t>
      </w:r>
      <w:r w:rsidR="00AA63AF">
        <w:t xml:space="preserve">SD claims was 10 per cent), </w:t>
      </w:r>
      <w:r w:rsidR="005C311F">
        <w:t xml:space="preserve">and </w:t>
      </w:r>
      <w:r w:rsidR="00AA63AF">
        <w:t>m</w:t>
      </w:r>
      <w:r>
        <w:t>anufacturing (frequency rate was 5.4 and percentage of MSD claims was 12 per cent).</w:t>
      </w:r>
    </w:p>
    <w:p w:rsidR="00EE50BD" w:rsidRDefault="00D948B0" w:rsidP="00D948B0">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7</w:t>
      </w:r>
      <w:r w:rsidR="00F004BF">
        <w:rPr>
          <w:noProof/>
        </w:rPr>
        <w:fldChar w:fldCharType="end"/>
      </w:r>
      <w:r>
        <w:t xml:space="preserve">: </w:t>
      </w:r>
      <w:r w:rsidR="00051D3C">
        <w:t>Serious MSD claims</w:t>
      </w:r>
      <w:r>
        <w:t xml:space="preserve"> by industry, 2009–10 to 2013–14</w:t>
      </w:r>
      <w:r w:rsidR="00A71A63">
        <w:t>p</w:t>
      </w:r>
      <w:r>
        <w:t xml:space="preserve"> combined</w:t>
      </w:r>
    </w:p>
    <w:tbl>
      <w:tblPr>
        <w:tblStyle w:val="TableGrid"/>
        <w:tblW w:w="9476" w:type="dxa"/>
        <w:tblInd w:w="108" w:type="dxa"/>
        <w:tblLook w:val="04A0" w:firstRow="1" w:lastRow="0" w:firstColumn="1" w:lastColumn="0" w:noHBand="0" w:noVBand="1"/>
        <w:tblCaption w:val="Table 7"/>
      </w:tblPr>
      <w:tblGrid>
        <w:gridCol w:w="4966"/>
        <w:gridCol w:w="1089"/>
        <w:gridCol w:w="1295"/>
        <w:gridCol w:w="2126"/>
      </w:tblGrid>
      <w:tr w:rsidR="00FB5128" w:rsidRPr="00D948B0" w:rsidTr="00267DAD">
        <w:trPr>
          <w:trHeight w:val="255"/>
          <w:tblHeader/>
        </w:trPr>
        <w:tc>
          <w:tcPr>
            <w:cnfStyle w:val="001000000000" w:firstRow="0" w:lastRow="0" w:firstColumn="1" w:lastColumn="0" w:oddVBand="0" w:evenVBand="0" w:oddHBand="0" w:evenHBand="0" w:firstRowFirstColumn="0" w:firstRowLastColumn="0" w:lastRowFirstColumn="0" w:lastRowLastColumn="0"/>
            <w:tcW w:w="4966" w:type="dxa"/>
            <w:noWrap/>
            <w:hideMark/>
          </w:tcPr>
          <w:p w:rsidR="00FB5128" w:rsidRPr="00D948B0" w:rsidRDefault="00FB5128" w:rsidP="00D948B0">
            <w:pPr>
              <w:rPr>
                <w:rFonts w:eastAsia="Times New Roman"/>
                <w:b/>
                <w:color w:val="000000"/>
                <w:szCs w:val="20"/>
              </w:rPr>
            </w:pPr>
            <w:r w:rsidRPr="00D948B0">
              <w:rPr>
                <w:rFonts w:eastAsia="Times New Roman"/>
                <w:b/>
                <w:color w:val="000000"/>
                <w:szCs w:val="20"/>
              </w:rPr>
              <w:t>Industry</w:t>
            </w:r>
          </w:p>
        </w:tc>
        <w:tc>
          <w:tcPr>
            <w:tcW w:w="1089" w:type="dxa"/>
            <w:noWrap/>
            <w:hideMark/>
          </w:tcPr>
          <w:p w:rsidR="00FB5128" w:rsidRPr="00D948B0" w:rsidRDefault="00FB5128" w:rsidP="00B64A05">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948B0">
              <w:rPr>
                <w:rFonts w:eastAsia="Times New Roman"/>
                <w:b/>
                <w:color w:val="000000"/>
                <w:szCs w:val="20"/>
              </w:rPr>
              <w:t>Number</w:t>
            </w:r>
            <w:r>
              <w:rPr>
                <w:rFonts w:eastAsia="Times New Roman"/>
                <w:b/>
                <w:color w:val="000000"/>
                <w:szCs w:val="20"/>
              </w:rPr>
              <w:t xml:space="preserve"> of claims</w:t>
            </w:r>
          </w:p>
        </w:tc>
        <w:tc>
          <w:tcPr>
            <w:tcW w:w="1295" w:type="dxa"/>
            <w:noWrap/>
            <w:hideMark/>
          </w:tcPr>
          <w:p w:rsidR="00FB5128" w:rsidRPr="00D948B0" w:rsidRDefault="00FB5128" w:rsidP="00B64A05">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sidRPr="00D948B0">
              <w:rPr>
                <w:rFonts w:eastAsia="Times New Roman"/>
                <w:b/>
                <w:color w:val="000000"/>
                <w:szCs w:val="20"/>
              </w:rPr>
              <w:t>Percentage</w:t>
            </w:r>
            <w:r>
              <w:rPr>
                <w:rFonts w:eastAsia="Times New Roman"/>
                <w:b/>
                <w:color w:val="000000"/>
                <w:szCs w:val="20"/>
              </w:rPr>
              <w:t xml:space="preserve"> of claims</w:t>
            </w:r>
          </w:p>
        </w:tc>
        <w:tc>
          <w:tcPr>
            <w:tcW w:w="2126" w:type="dxa"/>
            <w:noWrap/>
            <w:hideMark/>
          </w:tcPr>
          <w:p w:rsidR="00FB5128" w:rsidRPr="00D948B0" w:rsidRDefault="00FB5128" w:rsidP="00B64A05">
            <w:pPr>
              <w:cnfStyle w:val="000000000000" w:firstRow="0" w:lastRow="0" w:firstColumn="0" w:lastColumn="0" w:oddVBand="0" w:evenVBand="0" w:oddHBand="0" w:evenHBand="0" w:firstRowFirstColumn="0" w:firstRowLastColumn="0" w:lastRowFirstColumn="0" w:lastRowLastColumn="0"/>
              <w:rPr>
                <w:rFonts w:eastAsia="Times New Roman"/>
                <w:b/>
                <w:color w:val="000000"/>
                <w:szCs w:val="20"/>
              </w:rPr>
            </w:pPr>
            <w:r>
              <w:rPr>
                <w:rFonts w:eastAsia="Times New Roman"/>
                <w:b/>
                <w:color w:val="000000"/>
                <w:szCs w:val="20"/>
              </w:rPr>
              <w:t>Number of</w:t>
            </w:r>
            <w:r w:rsidRPr="00D948B0">
              <w:rPr>
                <w:rFonts w:eastAsia="Times New Roman"/>
                <w:b/>
                <w:color w:val="000000"/>
                <w:szCs w:val="20"/>
              </w:rPr>
              <w:t xml:space="preserve"> claims per million hours worked</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Health care and social assistance</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65 995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18.3%</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7.1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Residential care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22 385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33.9%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15.3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Hospitals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25 695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38.9%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8.5</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Child care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3 875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Transport, postal and warehousing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34 065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9.5%</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7.0</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Warehousing and storage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4 105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12.0%</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10.1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Road freight transport</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11 925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35.0%</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8.9</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Postal and courier pick-up and delivery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3 985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11.7%</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4.5</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Manufacturing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44 645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12.4%</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Structural metal product manufacturing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3 085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6.9%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13.6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Meat and meat product manufacturing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5 785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13.0%</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11.8</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ind w:firstLineChars="100" w:firstLine="200"/>
              <w:rPr>
                <w:rFonts w:eastAsia="Times New Roman"/>
                <w:color w:val="000000"/>
                <w:szCs w:val="20"/>
              </w:rPr>
            </w:pPr>
            <w:r w:rsidRPr="00D948B0">
              <w:rPr>
                <w:rFonts w:eastAsia="Times New Roman"/>
                <w:color w:val="000000"/>
                <w:szCs w:val="20"/>
              </w:rPr>
              <w:t>Motor vehicle and motor vehicle part manufacturing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2 475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5.5%</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color w:val="000000"/>
                <w:szCs w:val="20"/>
              </w:rPr>
            </w:pPr>
            <w:r w:rsidRPr="00D948B0">
              <w:rPr>
                <w:rFonts w:eastAsia="Times New Roman"/>
                <w:color w:val="000000"/>
                <w:szCs w:val="20"/>
              </w:rPr>
              <w:t>5.3</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Agriculture, forestry and fishing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8 960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2.5%</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5.0</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Administrative and support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16 550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4.9</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Public administration and safety</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29 165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8.1%</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4.8</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Construction</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33 710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9.4%</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Wholesale trade</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16 595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Arts and recreation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5 935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1.6%</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Retail trade</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32 000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3.9</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Accommodation and food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16 610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4.6%</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Mining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8 615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2.4%</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3.4</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Other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9 840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2.7%</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Electricity, gas, water and waste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4 115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1.1%</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Education and training</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18 860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5.2%</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2.7</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lastRenderedPageBreak/>
              <w:t>Rental, hiring and real estate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3 330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0.9%</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2.1</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Information media and telecommunications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2 090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0.6%</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1.2</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Professional, scientific and technical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5 535</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1.5%</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0.8</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sidRPr="00D948B0">
              <w:rPr>
                <w:rFonts w:eastAsia="Times New Roman"/>
                <w:b/>
                <w:bCs/>
                <w:color w:val="000000"/>
                <w:szCs w:val="20"/>
              </w:rPr>
              <w:t>Financial and insurance services</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2 550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0.7%</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0.7</w:t>
            </w:r>
          </w:p>
        </w:tc>
      </w:tr>
      <w:tr w:rsidR="00D948B0" w:rsidRPr="00D948B0" w:rsidTr="00267DAD">
        <w:trPr>
          <w:trHeight w:val="255"/>
        </w:trPr>
        <w:tc>
          <w:tcPr>
            <w:cnfStyle w:val="001000000000" w:firstRow="0" w:lastRow="0" w:firstColumn="1" w:lastColumn="0" w:oddVBand="0" w:evenVBand="0" w:oddHBand="0" w:evenHBand="0" w:firstRowFirstColumn="0" w:firstRowLastColumn="0" w:lastRowFirstColumn="0" w:lastRowLastColumn="0"/>
            <w:tcW w:w="4966" w:type="dxa"/>
            <w:noWrap/>
            <w:hideMark/>
          </w:tcPr>
          <w:p w:rsidR="00D948B0" w:rsidRPr="00D948B0" w:rsidRDefault="00D948B0" w:rsidP="00D948B0">
            <w:pPr>
              <w:rPr>
                <w:rFonts w:eastAsia="Times New Roman"/>
                <w:b/>
                <w:bCs/>
                <w:color w:val="000000"/>
                <w:szCs w:val="20"/>
              </w:rPr>
            </w:pPr>
            <w:r>
              <w:rPr>
                <w:rFonts w:eastAsia="Times New Roman"/>
                <w:b/>
                <w:bCs/>
                <w:color w:val="000000"/>
                <w:szCs w:val="20"/>
              </w:rPr>
              <w:t>T</w:t>
            </w:r>
            <w:r w:rsidRPr="00D948B0">
              <w:rPr>
                <w:rFonts w:eastAsia="Times New Roman"/>
                <w:b/>
                <w:bCs/>
                <w:color w:val="000000"/>
                <w:szCs w:val="20"/>
              </w:rPr>
              <w:t>otal</w:t>
            </w:r>
          </w:p>
        </w:tc>
        <w:tc>
          <w:tcPr>
            <w:tcW w:w="1089"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360 180</w:t>
            </w:r>
          </w:p>
        </w:tc>
        <w:tc>
          <w:tcPr>
            <w:tcW w:w="1295"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100.0%</w:t>
            </w:r>
          </w:p>
        </w:tc>
        <w:tc>
          <w:tcPr>
            <w:tcW w:w="2126" w:type="dxa"/>
            <w:noWrap/>
            <w:hideMark/>
          </w:tcPr>
          <w:p w:rsidR="00D948B0" w:rsidRPr="00D948B0" w:rsidRDefault="00D948B0" w:rsidP="00D948B0">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D948B0">
              <w:rPr>
                <w:rFonts w:eastAsia="Times New Roman"/>
                <w:b/>
                <w:bCs/>
                <w:color w:val="000000"/>
                <w:szCs w:val="20"/>
              </w:rPr>
              <w:t>4.2</w:t>
            </w:r>
          </w:p>
        </w:tc>
      </w:tr>
    </w:tbl>
    <w:p w:rsidR="00F365A8" w:rsidRDefault="00F365A8" w:rsidP="005C7336">
      <w:pPr>
        <w:pStyle w:val="Heading2"/>
      </w:pPr>
      <w:bookmarkStart w:id="24" w:name="_Toc450826586"/>
      <w:r>
        <w:t>Bodily location of MSDs</w:t>
      </w:r>
      <w:bookmarkEnd w:id="24"/>
    </w:p>
    <w:p w:rsidR="00F365A8" w:rsidRDefault="00480243" w:rsidP="00F365A8">
      <w:r>
        <w:t xml:space="preserve">Around one in three (35 per cent) </w:t>
      </w:r>
      <w:r w:rsidR="005C13A8">
        <w:t xml:space="preserve">serious MSD claims </w:t>
      </w:r>
      <w:r>
        <w:t xml:space="preserve">between 2009–10 and 2013–14 </w:t>
      </w:r>
      <w:r w:rsidR="005C13A8">
        <w:t xml:space="preserve">involved </w:t>
      </w:r>
      <w:r>
        <w:t xml:space="preserve">the back. </w:t>
      </w:r>
      <w:r w:rsidR="005A6011">
        <w:t xml:space="preserve">This bodily location was </w:t>
      </w:r>
      <w:r w:rsidR="000752B0">
        <w:t>involved</w:t>
      </w:r>
      <w:r w:rsidR="005A6011">
        <w:t xml:space="preserve"> in a h</w:t>
      </w:r>
      <w:r w:rsidR="005C13A8">
        <w:t>igher percentage of MSD diseases (43 per cent) and a lower percentage of MSD injuries (33 per cent). Other bodily locations that were commonly involved in serious MSD claims were the shoulder (16 per cent), the knee (13 per cent) and the ankle (6 per cent).</w:t>
      </w:r>
    </w:p>
    <w:p w:rsidR="00F365A8" w:rsidRDefault="00F365A8" w:rsidP="00F365A8">
      <w:pPr>
        <w:pStyle w:val="Heading4"/>
      </w:pPr>
      <w:r>
        <w:t xml:space="preserve">Table </w:t>
      </w:r>
      <w:r w:rsidR="00F004BF">
        <w:fldChar w:fldCharType="begin"/>
      </w:r>
      <w:r w:rsidR="00F004BF">
        <w:instrText xml:space="preserve"> SEQ Table \* ARABIC </w:instrText>
      </w:r>
      <w:r w:rsidR="00F004BF">
        <w:fldChar w:fldCharType="separate"/>
      </w:r>
      <w:r w:rsidR="00000F4F">
        <w:rPr>
          <w:noProof/>
        </w:rPr>
        <w:t>8</w:t>
      </w:r>
      <w:r w:rsidR="00F004BF">
        <w:rPr>
          <w:noProof/>
        </w:rPr>
        <w:fldChar w:fldCharType="end"/>
      </w:r>
      <w:r>
        <w:t xml:space="preserve">: </w:t>
      </w:r>
      <w:r w:rsidR="00051D3C">
        <w:t>Serious MSD claims</w:t>
      </w:r>
      <w:r>
        <w:t xml:space="preserve"> by bodily location of MSD and </w:t>
      </w:r>
      <w:r w:rsidR="00480243">
        <w:t>nature of MSD</w:t>
      </w:r>
      <w:r>
        <w:t>, 2009–10 to 2013–14</w:t>
      </w:r>
      <w:r w:rsidR="00A71A63">
        <w:t>p</w:t>
      </w:r>
      <w:r>
        <w:t xml:space="preserve"> combined</w:t>
      </w:r>
    </w:p>
    <w:tbl>
      <w:tblPr>
        <w:tblStyle w:val="TableGrid"/>
        <w:tblW w:w="8980" w:type="dxa"/>
        <w:tblInd w:w="108" w:type="dxa"/>
        <w:tblLook w:val="04A0" w:firstRow="1" w:lastRow="0" w:firstColumn="1" w:lastColumn="0" w:noHBand="0" w:noVBand="1"/>
        <w:tblCaption w:val="Table 8"/>
      </w:tblPr>
      <w:tblGrid>
        <w:gridCol w:w="2518"/>
        <w:gridCol w:w="2154"/>
        <w:gridCol w:w="2154"/>
        <w:gridCol w:w="2154"/>
      </w:tblGrid>
      <w:tr w:rsidR="00F365A8" w:rsidRPr="00F365A8" w:rsidTr="00A2724C">
        <w:trPr>
          <w:trHeight w:val="255"/>
          <w:tblHeader/>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b/>
                <w:bCs/>
                <w:color w:val="000000"/>
                <w:szCs w:val="20"/>
              </w:rPr>
            </w:pPr>
            <w:r w:rsidRPr="00F365A8">
              <w:rPr>
                <w:rFonts w:eastAsia="Times New Roman"/>
                <w:b/>
                <w:bCs/>
                <w:color w:val="000000"/>
                <w:szCs w:val="20"/>
              </w:rPr>
              <w:t>Bodily location of MSD</w:t>
            </w:r>
          </w:p>
        </w:tc>
        <w:tc>
          <w:tcPr>
            <w:tcW w:w="2154" w:type="dxa"/>
            <w:noWrap/>
            <w:hideMark/>
          </w:tcPr>
          <w:p w:rsidR="00F365A8" w:rsidRPr="00F365A8" w:rsidRDefault="00E43F05" w:rsidP="00F365A8">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MSD</w:t>
            </w:r>
            <w:r w:rsidR="00F365A8" w:rsidRPr="00F365A8">
              <w:rPr>
                <w:rFonts w:eastAsia="Times New Roman"/>
                <w:b/>
                <w:bCs/>
                <w:color w:val="000000"/>
                <w:szCs w:val="20"/>
              </w:rPr>
              <w:t xml:space="preserve"> injuries</w:t>
            </w:r>
          </w:p>
        </w:tc>
        <w:tc>
          <w:tcPr>
            <w:tcW w:w="2154" w:type="dxa"/>
            <w:noWrap/>
            <w:hideMark/>
          </w:tcPr>
          <w:p w:rsidR="00F365A8" w:rsidRPr="00F365A8" w:rsidRDefault="00E43F05" w:rsidP="00F365A8">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Pr>
                <w:rFonts w:eastAsia="Times New Roman"/>
                <w:b/>
                <w:bCs/>
                <w:color w:val="000000"/>
                <w:szCs w:val="20"/>
              </w:rPr>
              <w:t>MSD</w:t>
            </w:r>
            <w:r w:rsidR="00F365A8" w:rsidRPr="00F365A8">
              <w:rPr>
                <w:rFonts w:eastAsia="Times New Roman"/>
                <w:b/>
                <w:bCs/>
                <w:color w:val="000000"/>
                <w:szCs w:val="20"/>
              </w:rPr>
              <w:t xml:space="preserve"> diseases</w:t>
            </w:r>
          </w:p>
        </w:tc>
        <w:tc>
          <w:tcPr>
            <w:tcW w:w="2154" w:type="dxa"/>
            <w:noWrap/>
            <w:hideMark/>
          </w:tcPr>
          <w:p w:rsidR="00F365A8" w:rsidRPr="00F365A8" w:rsidRDefault="00F365A8" w:rsidP="00F365A8">
            <w:pPr>
              <w:cnfStyle w:val="000000000000" w:firstRow="0" w:lastRow="0" w:firstColumn="0" w:lastColumn="0" w:oddVBand="0" w:evenVBand="0" w:oddHBand="0" w:evenHBand="0" w:firstRowFirstColumn="0" w:firstRowLastColumn="0" w:lastRowFirstColumn="0" w:lastRowLastColumn="0"/>
              <w:rPr>
                <w:rFonts w:eastAsia="Times New Roman"/>
                <w:b/>
                <w:bCs/>
                <w:color w:val="000000"/>
                <w:szCs w:val="20"/>
              </w:rPr>
            </w:pPr>
            <w:r w:rsidRPr="00F365A8">
              <w:rPr>
                <w:rFonts w:eastAsia="Times New Roman"/>
                <w:b/>
                <w:bCs/>
                <w:color w:val="000000"/>
                <w:szCs w:val="20"/>
              </w:rPr>
              <w:t>All MSDs</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Back</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32.5%</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43.3%</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35.1%</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Shoulder</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15.2%</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18.8%</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16.1%</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Knee</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14.6%</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8.7%</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13.2%</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Ankle</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7.5%</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1.2%</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6.0%</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Wrist</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4.0%</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5.5%</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4.3%</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Hand, fingers and thumb</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3.3%</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3.4%</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3.3%</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Neck</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2.7%</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4.5%</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3.2%</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Elbow</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1.9%</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6.0%</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2.9%</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Foot and toes</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Neck and shoulder</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1.6%</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0.7%</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Lower leg</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1.7%</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0.5%</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1.4%</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color w:val="000000"/>
                <w:szCs w:val="20"/>
              </w:rPr>
            </w:pPr>
            <w:r w:rsidRPr="00F365A8">
              <w:rPr>
                <w:rFonts w:eastAsia="Times New Roman"/>
                <w:color w:val="000000"/>
                <w:szCs w:val="20"/>
              </w:rPr>
              <w:t>Other</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13.3%</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6.2%</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11.6%</w:t>
            </w:r>
          </w:p>
        </w:tc>
      </w:tr>
      <w:tr w:rsidR="00F365A8" w:rsidRPr="00F365A8" w:rsidTr="002E7E33">
        <w:trPr>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F365A8" w:rsidRPr="00F365A8" w:rsidRDefault="00F365A8" w:rsidP="00F365A8">
            <w:pPr>
              <w:rPr>
                <w:rFonts w:eastAsia="Times New Roman"/>
                <w:b/>
                <w:bCs/>
                <w:color w:val="000000"/>
                <w:szCs w:val="20"/>
              </w:rPr>
            </w:pPr>
            <w:r w:rsidRPr="00F365A8">
              <w:rPr>
                <w:rFonts w:eastAsia="Times New Roman"/>
                <w:b/>
                <w:bCs/>
                <w:color w:val="000000"/>
                <w:szCs w:val="20"/>
              </w:rPr>
              <w:t>Total</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c>
          <w:tcPr>
            <w:tcW w:w="2154" w:type="dxa"/>
            <w:noWrap/>
            <w:hideMark/>
          </w:tcPr>
          <w:p w:rsidR="00F365A8" w:rsidRDefault="00F365A8" w:rsidP="00F365A8">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Pr>
                <w:rFonts w:cs="Arial"/>
                <w:b/>
                <w:bCs/>
                <w:color w:val="000000"/>
                <w:szCs w:val="20"/>
              </w:rPr>
              <w:t>100.0%</w:t>
            </w:r>
          </w:p>
        </w:tc>
      </w:tr>
    </w:tbl>
    <w:p w:rsidR="00F365A8" w:rsidRPr="00B62E46" w:rsidRDefault="00F365A8" w:rsidP="00F365A8"/>
    <w:p w:rsidR="00CD7DA9" w:rsidRDefault="00CD7DA9">
      <w:pPr>
        <w:rPr>
          <w:b/>
          <w:sz w:val="40"/>
          <w:szCs w:val="40"/>
        </w:rPr>
      </w:pPr>
      <w:r>
        <w:br w:type="page"/>
      </w:r>
    </w:p>
    <w:p w:rsidR="004C1B7B" w:rsidRDefault="004C1B7B" w:rsidP="004C1B7B">
      <w:pPr>
        <w:pStyle w:val="Heading1"/>
      </w:pPr>
      <w:bookmarkStart w:id="25" w:name="_Toc450826587"/>
      <w:r>
        <w:lastRenderedPageBreak/>
        <w:t>Further information</w:t>
      </w:r>
      <w:bookmarkEnd w:id="25"/>
    </w:p>
    <w:p w:rsidR="00E00277" w:rsidRDefault="00E00277" w:rsidP="005C7336">
      <w:pPr>
        <w:pStyle w:val="Heading2"/>
      </w:pPr>
      <w:bookmarkStart w:id="26" w:name="_Toc450826588"/>
      <w:r>
        <w:t>Explanatory notes</w:t>
      </w:r>
      <w:bookmarkEnd w:id="26"/>
    </w:p>
    <w:p w:rsidR="00E00277" w:rsidRPr="00E00277" w:rsidRDefault="00D2026B" w:rsidP="00E00277">
      <w:r>
        <w:t xml:space="preserve">Explanatory notes for </w:t>
      </w:r>
      <w:r w:rsidR="00E00277">
        <w:t xml:space="preserve">the NDS are available on the following website: </w:t>
      </w:r>
      <w:hyperlink r:id="rId16" w:history="1">
        <w:r w:rsidR="00E00277" w:rsidRPr="009E4D38">
          <w:rPr>
            <w:rStyle w:val="Hyperlink"/>
          </w:rPr>
          <w:t>http://www.safeworkaustralia.gov.au/sites/swa/about/publications/pages/explanatory-notes-datasets</w:t>
        </w:r>
      </w:hyperlink>
    </w:p>
    <w:p w:rsidR="008C7103" w:rsidRPr="005E6422" w:rsidRDefault="008C7103" w:rsidP="005C7336">
      <w:pPr>
        <w:pStyle w:val="Heading2"/>
      </w:pPr>
      <w:bookmarkStart w:id="27" w:name="_Toc450826589"/>
      <w:r w:rsidRPr="005E6422">
        <w:t>References</w:t>
      </w:r>
      <w:bookmarkEnd w:id="10"/>
      <w:bookmarkEnd w:id="27"/>
    </w:p>
    <w:p w:rsidR="00E41980" w:rsidRDefault="00E41980" w:rsidP="00D2630A">
      <w:r w:rsidRPr="00421991">
        <w:t xml:space="preserve">Australian Safety and Compensation Council (ASCC) 2008. Type of Occurrence Classification System, Third Edition, Revision One. Canberra: ASCC. Accessed on 2 September 2014: </w:t>
      </w:r>
      <w:hyperlink r:id="rId17" w:history="1">
        <w:r w:rsidRPr="00516C27">
          <w:rPr>
            <w:rStyle w:val="Hyperlink"/>
            <w:szCs w:val="20"/>
            <w:u w:color="001E5B"/>
            <w:lang w:val="en-GB"/>
          </w:rPr>
          <w:t>http://www.safeworkaustralia.gov.au/sites/swa/about/publications/pages/sr20080501toocs3rdeditionrevision</w:t>
        </w:r>
      </w:hyperlink>
    </w:p>
    <w:p w:rsidR="00ED0BB0" w:rsidRDefault="008C7103">
      <w:pPr>
        <w:rPr>
          <w:rStyle w:val="Hyperlink"/>
        </w:rPr>
      </w:pPr>
      <w:r w:rsidRPr="005E6422">
        <w:t xml:space="preserve">Safe Work Australia (SWA) 2012. Australian Work Health and Safety Strategy 2012–2022. Canberra: SWA. Accessed on 21 September 2015: </w:t>
      </w:r>
      <w:hyperlink r:id="rId18" w:history="1">
        <w:r w:rsidR="00427356" w:rsidRPr="005E6422">
          <w:rPr>
            <w:rStyle w:val="Hyperlink"/>
          </w:rPr>
          <w:t>http://www.safeworkaustralia.gov.au/sites/swa/about/publications/pages/australian-work-health-and-safety-strategy-2012-2022</w:t>
        </w:r>
      </w:hyperlink>
    </w:p>
    <w:sectPr w:rsidR="00ED0BB0" w:rsidSect="00C65676">
      <w:footerReference w:type="default" r:id="rId19"/>
      <w:pgSz w:w="11906" w:h="16838"/>
      <w:pgMar w:top="794" w:right="1077" w:bottom="1134" w:left="107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65" w:rsidRDefault="003D1F65" w:rsidP="00BB4AFD">
      <w:pPr>
        <w:spacing w:after="0" w:line="240" w:lineRule="auto"/>
      </w:pPr>
      <w:r>
        <w:separator/>
      </w:r>
    </w:p>
  </w:endnote>
  <w:endnote w:type="continuationSeparator" w:id="0">
    <w:p w:rsidR="003D1F65" w:rsidRDefault="003D1F65" w:rsidP="00BB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63656"/>
      <w:docPartObj>
        <w:docPartGallery w:val="Page Numbers (Bottom of Page)"/>
        <w:docPartUnique/>
      </w:docPartObj>
    </w:sdtPr>
    <w:sdtEndPr>
      <w:rPr>
        <w:noProof/>
      </w:rPr>
    </w:sdtEndPr>
    <w:sdtContent>
      <w:p w:rsidR="003D1F65" w:rsidRDefault="003D1F65">
        <w:pPr>
          <w:pStyle w:val="Footer"/>
          <w:jc w:val="right"/>
        </w:pPr>
        <w:r>
          <w:fldChar w:fldCharType="begin"/>
        </w:r>
        <w:r>
          <w:instrText xml:space="preserve"> PAGE   \* MERGEFORMAT </w:instrText>
        </w:r>
        <w:r>
          <w:fldChar w:fldCharType="separate"/>
        </w:r>
        <w:r w:rsidR="00F004BF">
          <w:rPr>
            <w:noProof/>
          </w:rPr>
          <w:t>4</w:t>
        </w:r>
        <w:r>
          <w:rPr>
            <w:noProof/>
          </w:rPr>
          <w:fldChar w:fldCharType="end"/>
        </w:r>
      </w:p>
    </w:sdtContent>
  </w:sdt>
  <w:p w:rsidR="003D1F65" w:rsidRDefault="003D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65" w:rsidRDefault="003D1F65" w:rsidP="00BB4AFD">
      <w:pPr>
        <w:spacing w:after="0" w:line="240" w:lineRule="auto"/>
      </w:pPr>
      <w:r>
        <w:separator/>
      </w:r>
    </w:p>
  </w:footnote>
  <w:footnote w:type="continuationSeparator" w:id="0">
    <w:p w:rsidR="003D1F65" w:rsidRDefault="003D1F65" w:rsidP="00BB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773"/>
    <w:multiLevelType w:val="hybridMultilevel"/>
    <w:tmpl w:val="9354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8A71F7"/>
    <w:multiLevelType w:val="hybridMultilevel"/>
    <w:tmpl w:val="179C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4047E9B"/>
    <w:multiLevelType w:val="hybridMultilevel"/>
    <w:tmpl w:val="94A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2821C5"/>
    <w:multiLevelType w:val="hybridMultilevel"/>
    <w:tmpl w:val="5438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3428AF"/>
    <w:multiLevelType w:val="hybridMultilevel"/>
    <w:tmpl w:val="016A7F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A064E5"/>
    <w:multiLevelType w:val="hybridMultilevel"/>
    <w:tmpl w:val="06263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C631B0"/>
    <w:multiLevelType w:val="hybridMultilevel"/>
    <w:tmpl w:val="C77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190A59"/>
    <w:multiLevelType w:val="hybridMultilevel"/>
    <w:tmpl w:val="4290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294BB7"/>
    <w:multiLevelType w:val="hybridMultilevel"/>
    <w:tmpl w:val="F600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924FE1"/>
    <w:multiLevelType w:val="hybridMultilevel"/>
    <w:tmpl w:val="B53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C97A79"/>
    <w:multiLevelType w:val="hybridMultilevel"/>
    <w:tmpl w:val="680C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C43C9C"/>
    <w:multiLevelType w:val="hybridMultilevel"/>
    <w:tmpl w:val="B7A6D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877314"/>
    <w:multiLevelType w:val="hybridMultilevel"/>
    <w:tmpl w:val="A782B60A"/>
    <w:lvl w:ilvl="0" w:tplc="18500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C77F25"/>
    <w:multiLevelType w:val="hybridMultilevel"/>
    <w:tmpl w:val="45228754"/>
    <w:lvl w:ilvl="0" w:tplc="14B4C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EF4FA0"/>
    <w:multiLevelType w:val="hybridMultilevel"/>
    <w:tmpl w:val="CA6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
  </w:num>
  <w:num w:numId="4">
    <w:abstractNumId w:val="13"/>
  </w:num>
  <w:num w:numId="5">
    <w:abstractNumId w:val="8"/>
  </w:num>
  <w:num w:numId="6">
    <w:abstractNumId w:val="10"/>
  </w:num>
  <w:num w:numId="7">
    <w:abstractNumId w:val="14"/>
  </w:num>
  <w:num w:numId="8">
    <w:abstractNumId w:val="0"/>
  </w:num>
  <w:num w:numId="9">
    <w:abstractNumId w:val="1"/>
  </w:num>
  <w:num w:numId="10">
    <w:abstractNumId w:val="3"/>
  </w:num>
  <w:num w:numId="11">
    <w:abstractNumId w:val="6"/>
  </w:num>
  <w:num w:numId="12">
    <w:abstractNumId w:val="5"/>
  </w:num>
  <w:num w:numId="13">
    <w:abstractNumId w:val="4"/>
  </w:num>
  <w:num w:numId="14">
    <w:abstractNumId w:val="15"/>
  </w:num>
  <w:num w:numId="15">
    <w:abstractNumId w:val="1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794bd12-8dac-4c05-a885-a1b80967c242"/>
  </w:docVars>
  <w:rsids>
    <w:rsidRoot w:val="00FC6CF8"/>
    <w:rsid w:val="00000F4F"/>
    <w:rsid w:val="0000203D"/>
    <w:rsid w:val="0000257F"/>
    <w:rsid w:val="00002BC1"/>
    <w:rsid w:val="00003F78"/>
    <w:rsid w:val="00004A1C"/>
    <w:rsid w:val="00007847"/>
    <w:rsid w:val="0000797D"/>
    <w:rsid w:val="00012A44"/>
    <w:rsid w:val="00032BA6"/>
    <w:rsid w:val="00034968"/>
    <w:rsid w:val="000368AC"/>
    <w:rsid w:val="00036A78"/>
    <w:rsid w:val="0003739C"/>
    <w:rsid w:val="00044643"/>
    <w:rsid w:val="00051D3C"/>
    <w:rsid w:val="00060E89"/>
    <w:rsid w:val="000632AC"/>
    <w:rsid w:val="000636A1"/>
    <w:rsid w:val="00063FB1"/>
    <w:rsid w:val="00064CBF"/>
    <w:rsid w:val="0007211F"/>
    <w:rsid w:val="000752B0"/>
    <w:rsid w:val="0008246D"/>
    <w:rsid w:val="00087BAD"/>
    <w:rsid w:val="00090C72"/>
    <w:rsid w:val="00091C38"/>
    <w:rsid w:val="00092012"/>
    <w:rsid w:val="000939D5"/>
    <w:rsid w:val="00093CD7"/>
    <w:rsid w:val="00093D36"/>
    <w:rsid w:val="000A0556"/>
    <w:rsid w:val="000A1AB4"/>
    <w:rsid w:val="000A2D9A"/>
    <w:rsid w:val="000A2EC3"/>
    <w:rsid w:val="000A3EEA"/>
    <w:rsid w:val="000A5690"/>
    <w:rsid w:val="000A68A1"/>
    <w:rsid w:val="000B085D"/>
    <w:rsid w:val="000B10F7"/>
    <w:rsid w:val="000B2296"/>
    <w:rsid w:val="000B56C8"/>
    <w:rsid w:val="000B7E07"/>
    <w:rsid w:val="000C1414"/>
    <w:rsid w:val="000C3B9E"/>
    <w:rsid w:val="000C4B0C"/>
    <w:rsid w:val="000C536E"/>
    <w:rsid w:val="000C6B84"/>
    <w:rsid w:val="000D7311"/>
    <w:rsid w:val="000E4013"/>
    <w:rsid w:val="000E5520"/>
    <w:rsid w:val="000E56FF"/>
    <w:rsid w:val="000F617A"/>
    <w:rsid w:val="000F6A1E"/>
    <w:rsid w:val="000F6E8E"/>
    <w:rsid w:val="000F7E93"/>
    <w:rsid w:val="00100DCE"/>
    <w:rsid w:val="0011277A"/>
    <w:rsid w:val="001147C3"/>
    <w:rsid w:val="0012030D"/>
    <w:rsid w:val="001274DD"/>
    <w:rsid w:val="0013315C"/>
    <w:rsid w:val="00136FD6"/>
    <w:rsid w:val="00137A28"/>
    <w:rsid w:val="00142B08"/>
    <w:rsid w:val="00144851"/>
    <w:rsid w:val="00145506"/>
    <w:rsid w:val="00145657"/>
    <w:rsid w:val="00146308"/>
    <w:rsid w:val="00146543"/>
    <w:rsid w:val="00147FCB"/>
    <w:rsid w:val="00150872"/>
    <w:rsid w:val="00152690"/>
    <w:rsid w:val="00156608"/>
    <w:rsid w:val="001625E2"/>
    <w:rsid w:val="00163883"/>
    <w:rsid w:val="001712EA"/>
    <w:rsid w:val="00171425"/>
    <w:rsid w:val="00173A15"/>
    <w:rsid w:val="00176BAE"/>
    <w:rsid w:val="00177B77"/>
    <w:rsid w:val="00177BBE"/>
    <w:rsid w:val="00180E23"/>
    <w:rsid w:val="0019309A"/>
    <w:rsid w:val="0019633C"/>
    <w:rsid w:val="001A24FE"/>
    <w:rsid w:val="001A3F01"/>
    <w:rsid w:val="001B0B55"/>
    <w:rsid w:val="001B16C0"/>
    <w:rsid w:val="001B697E"/>
    <w:rsid w:val="001B7E16"/>
    <w:rsid w:val="001C0B60"/>
    <w:rsid w:val="001C0EFB"/>
    <w:rsid w:val="001C17E7"/>
    <w:rsid w:val="001C331F"/>
    <w:rsid w:val="001C39D8"/>
    <w:rsid w:val="001C6BBB"/>
    <w:rsid w:val="001C73FC"/>
    <w:rsid w:val="001C7688"/>
    <w:rsid w:val="001D267A"/>
    <w:rsid w:val="001D6913"/>
    <w:rsid w:val="001E1199"/>
    <w:rsid w:val="001E6AE3"/>
    <w:rsid w:val="001F0544"/>
    <w:rsid w:val="001F0AF2"/>
    <w:rsid w:val="001F0E02"/>
    <w:rsid w:val="001F3643"/>
    <w:rsid w:val="001F75F8"/>
    <w:rsid w:val="001F7936"/>
    <w:rsid w:val="002034B8"/>
    <w:rsid w:val="00204381"/>
    <w:rsid w:val="00207853"/>
    <w:rsid w:val="00211F73"/>
    <w:rsid w:val="00212383"/>
    <w:rsid w:val="00214154"/>
    <w:rsid w:val="00217402"/>
    <w:rsid w:val="002207FD"/>
    <w:rsid w:val="00222C1A"/>
    <w:rsid w:val="00225ECA"/>
    <w:rsid w:val="00226E81"/>
    <w:rsid w:val="002277DC"/>
    <w:rsid w:val="00230CC4"/>
    <w:rsid w:val="0023409D"/>
    <w:rsid w:val="0023580F"/>
    <w:rsid w:val="00241278"/>
    <w:rsid w:val="002414FD"/>
    <w:rsid w:val="00241C3A"/>
    <w:rsid w:val="00243799"/>
    <w:rsid w:val="00250235"/>
    <w:rsid w:val="002518CA"/>
    <w:rsid w:val="002617E0"/>
    <w:rsid w:val="00261B64"/>
    <w:rsid w:val="002673C2"/>
    <w:rsid w:val="00267BE3"/>
    <w:rsid w:val="00267DAD"/>
    <w:rsid w:val="00272C0B"/>
    <w:rsid w:val="0027536E"/>
    <w:rsid w:val="00275EE4"/>
    <w:rsid w:val="00276735"/>
    <w:rsid w:val="002834CD"/>
    <w:rsid w:val="002845D9"/>
    <w:rsid w:val="002864B3"/>
    <w:rsid w:val="002877F6"/>
    <w:rsid w:val="0029031B"/>
    <w:rsid w:val="00296754"/>
    <w:rsid w:val="00296F2D"/>
    <w:rsid w:val="002A0357"/>
    <w:rsid w:val="002A4E27"/>
    <w:rsid w:val="002B0274"/>
    <w:rsid w:val="002D0B7D"/>
    <w:rsid w:val="002D1E03"/>
    <w:rsid w:val="002D4D5C"/>
    <w:rsid w:val="002E1049"/>
    <w:rsid w:val="002E1162"/>
    <w:rsid w:val="002E33FF"/>
    <w:rsid w:val="002E3A46"/>
    <w:rsid w:val="002E3E53"/>
    <w:rsid w:val="002E7E33"/>
    <w:rsid w:val="002F2E1B"/>
    <w:rsid w:val="002F518E"/>
    <w:rsid w:val="00303FCE"/>
    <w:rsid w:val="003044FE"/>
    <w:rsid w:val="003046CE"/>
    <w:rsid w:val="003059DC"/>
    <w:rsid w:val="00305CC7"/>
    <w:rsid w:val="00305DEF"/>
    <w:rsid w:val="00305DFD"/>
    <w:rsid w:val="0030602F"/>
    <w:rsid w:val="00306AC5"/>
    <w:rsid w:val="00306E41"/>
    <w:rsid w:val="00312329"/>
    <w:rsid w:val="0031256C"/>
    <w:rsid w:val="00314707"/>
    <w:rsid w:val="00317CCE"/>
    <w:rsid w:val="00320726"/>
    <w:rsid w:val="0033031B"/>
    <w:rsid w:val="003319CF"/>
    <w:rsid w:val="00332A12"/>
    <w:rsid w:val="00333E1B"/>
    <w:rsid w:val="0033625E"/>
    <w:rsid w:val="00336F0B"/>
    <w:rsid w:val="003375FA"/>
    <w:rsid w:val="003425F6"/>
    <w:rsid w:val="00344D7F"/>
    <w:rsid w:val="00347EEC"/>
    <w:rsid w:val="00347F71"/>
    <w:rsid w:val="00353593"/>
    <w:rsid w:val="00354906"/>
    <w:rsid w:val="00361B95"/>
    <w:rsid w:val="0036363A"/>
    <w:rsid w:val="00372ED2"/>
    <w:rsid w:val="00374C6C"/>
    <w:rsid w:val="00382325"/>
    <w:rsid w:val="00385444"/>
    <w:rsid w:val="003869DD"/>
    <w:rsid w:val="00390DB4"/>
    <w:rsid w:val="00391E8A"/>
    <w:rsid w:val="003966E3"/>
    <w:rsid w:val="003A7C31"/>
    <w:rsid w:val="003B330F"/>
    <w:rsid w:val="003B46EB"/>
    <w:rsid w:val="003B7A2A"/>
    <w:rsid w:val="003C2788"/>
    <w:rsid w:val="003C4DA3"/>
    <w:rsid w:val="003C6B93"/>
    <w:rsid w:val="003C6E3B"/>
    <w:rsid w:val="003D0155"/>
    <w:rsid w:val="003D1F65"/>
    <w:rsid w:val="003D6DBD"/>
    <w:rsid w:val="003E54AF"/>
    <w:rsid w:val="003E6214"/>
    <w:rsid w:val="003E6465"/>
    <w:rsid w:val="003E7F10"/>
    <w:rsid w:val="003F268F"/>
    <w:rsid w:val="003F313F"/>
    <w:rsid w:val="003F69D1"/>
    <w:rsid w:val="003F7E30"/>
    <w:rsid w:val="00411B97"/>
    <w:rsid w:val="00411E98"/>
    <w:rsid w:val="00412BF7"/>
    <w:rsid w:val="004138C9"/>
    <w:rsid w:val="004166A0"/>
    <w:rsid w:val="004211FF"/>
    <w:rsid w:val="00421816"/>
    <w:rsid w:val="00421AE6"/>
    <w:rsid w:val="004235BC"/>
    <w:rsid w:val="00425381"/>
    <w:rsid w:val="00427356"/>
    <w:rsid w:val="004305FE"/>
    <w:rsid w:val="00433F6D"/>
    <w:rsid w:val="0043658D"/>
    <w:rsid w:val="00437405"/>
    <w:rsid w:val="00437749"/>
    <w:rsid w:val="00443FD7"/>
    <w:rsid w:val="0045147C"/>
    <w:rsid w:val="00453A89"/>
    <w:rsid w:val="00453EF7"/>
    <w:rsid w:val="004540DE"/>
    <w:rsid w:val="00455A67"/>
    <w:rsid w:val="00455E54"/>
    <w:rsid w:val="004569A9"/>
    <w:rsid w:val="00457842"/>
    <w:rsid w:val="00461F30"/>
    <w:rsid w:val="004744A8"/>
    <w:rsid w:val="00480243"/>
    <w:rsid w:val="00486050"/>
    <w:rsid w:val="004862D8"/>
    <w:rsid w:val="00490C63"/>
    <w:rsid w:val="00491AD0"/>
    <w:rsid w:val="00493829"/>
    <w:rsid w:val="00494200"/>
    <w:rsid w:val="00494EE1"/>
    <w:rsid w:val="00495B9D"/>
    <w:rsid w:val="00497DA8"/>
    <w:rsid w:val="004A193C"/>
    <w:rsid w:val="004A5C44"/>
    <w:rsid w:val="004B277E"/>
    <w:rsid w:val="004B3A59"/>
    <w:rsid w:val="004B6E1C"/>
    <w:rsid w:val="004B7F27"/>
    <w:rsid w:val="004C1B7B"/>
    <w:rsid w:val="004D1306"/>
    <w:rsid w:val="004D7E42"/>
    <w:rsid w:val="004E0AA3"/>
    <w:rsid w:val="004E0E61"/>
    <w:rsid w:val="004E5B89"/>
    <w:rsid w:val="004E6345"/>
    <w:rsid w:val="004E763B"/>
    <w:rsid w:val="004F40D9"/>
    <w:rsid w:val="004F7496"/>
    <w:rsid w:val="00500A76"/>
    <w:rsid w:val="00502E08"/>
    <w:rsid w:val="0050313D"/>
    <w:rsid w:val="00505BB8"/>
    <w:rsid w:val="005119F9"/>
    <w:rsid w:val="00511C43"/>
    <w:rsid w:val="00512CF3"/>
    <w:rsid w:val="00515A84"/>
    <w:rsid w:val="00516962"/>
    <w:rsid w:val="005213F2"/>
    <w:rsid w:val="0052234D"/>
    <w:rsid w:val="00523CD8"/>
    <w:rsid w:val="00524033"/>
    <w:rsid w:val="00524B61"/>
    <w:rsid w:val="0052721B"/>
    <w:rsid w:val="00531BE8"/>
    <w:rsid w:val="00531CEB"/>
    <w:rsid w:val="00532537"/>
    <w:rsid w:val="005357A9"/>
    <w:rsid w:val="00535C33"/>
    <w:rsid w:val="00536755"/>
    <w:rsid w:val="005373AE"/>
    <w:rsid w:val="00541142"/>
    <w:rsid w:val="005419FB"/>
    <w:rsid w:val="00541F4F"/>
    <w:rsid w:val="00542507"/>
    <w:rsid w:val="005463E7"/>
    <w:rsid w:val="00546B4F"/>
    <w:rsid w:val="00555FEE"/>
    <w:rsid w:val="005604D1"/>
    <w:rsid w:val="00561EB4"/>
    <w:rsid w:val="00563CB2"/>
    <w:rsid w:val="0056526D"/>
    <w:rsid w:val="00566830"/>
    <w:rsid w:val="00571218"/>
    <w:rsid w:val="00572792"/>
    <w:rsid w:val="00572EC9"/>
    <w:rsid w:val="005732DC"/>
    <w:rsid w:val="00574CC9"/>
    <w:rsid w:val="005755D3"/>
    <w:rsid w:val="00592AC9"/>
    <w:rsid w:val="00593BBA"/>
    <w:rsid w:val="0059615F"/>
    <w:rsid w:val="005971AC"/>
    <w:rsid w:val="005A0A68"/>
    <w:rsid w:val="005A1972"/>
    <w:rsid w:val="005A33A9"/>
    <w:rsid w:val="005A6011"/>
    <w:rsid w:val="005A62AC"/>
    <w:rsid w:val="005A62E7"/>
    <w:rsid w:val="005A682F"/>
    <w:rsid w:val="005B0C09"/>
    <w:rsid w:val="005B1049"/>
    <w:rsid w:val="005B4160"/>
    <w:rsid w:val="005B48B5"/>
    <w:rsid w:val="005B5966"/>
    <w:rsid w:val="005B5DB0"/>
    <w:rsid w:val="005B6BF8"/>
    <w:rsid w:val="005C13A8"/>
    <w:rsid w:val="005C311F"/>
    <w:rsid w:val="005C4203"/>
    <w:rsid w:val="005C7336"/>
    <w:rsid w:val="005C7657"/>
    <w:rsid w:val="005D0466"/>
    <w:rsid w:val="005D2469"/>
    <w:rsid w:val="005D4635"/>
    <w:rsid w:val="005D5FA3"/>
    <w:rsid w:val="005E6422"/>
    <w:rsid w:val="005F38D5"/>
    <w:rsid w:val="005F7F1C"/>
    <w:rsid w:val="00602297"/>
    <w:rsid w:val="00602512"/>
    <w:rsid w:val="00604490"/>
    <w:rsid w:val="00604787"/>
    <w:rsid w:val="00616982"/>
    <w:rsid w:val="00617395"/>
    <w:rsid w:val="006218BD"/>
    <w:rsid w:val="0062651C"/>
    <w:rsid w:val="00634382"/>
    <w:rsid w:val="0063569C"/>
    <w:rsid w:val="00640B2A"/>
    <w:rsid w:val="00640F82"/>
    <w:rsid w:val="00641691"/>
    <w:rsid w:val="00646B42"/>
    <w:rsid w:val="00647516"/>
    <w:rsid w:val="0064785F"/>
    <w:rsid w:val="0065443B"/>
    <w:rsid w:val="0066277C"/>
    <w:rsid w:val="0066482F"/>
    <w:rsid w:val="00664B8F"/>
    <w:rsid w:val="00665193"/>
    <w:rsid w:val="0066603A"/>
    <w:rsid w:val="00676C51"/>
    <w:rsid w:val="00677FF4"/>
    <w:rsid w:val="0068391A"/>
    <w:rsid w:val="0068666E"/>
    <w:rsid w:val="00686C3F"/>
    <w:rsid w:val="006871C3"/>
    <w:rsid w:val="006904EF"/>
    <w:rsid w:val="006912EB"/>
    <w:rsid w:val="00695879"/>
    <w:rsid w:val="00696563"/>
    <w:rsid w:val="006973EF"/>
    <w:rsid w:val="006A03C4"/>
    <w:rsid w:val="006A1A4D"/>
    <w:rsid w:val="006A2871"/>
    <w:rsid w:val="006A5FAA"/>
    <w:rsid w:val="006B0E8C"/>
    <w:rsid w:val="006B16E6"/>
    <w:rsid w:val="006B298D"/>
    <w:rsid w:val="006B2B5F"/>
    <w:rsid w:val="006B6946"/>
    <w:rsid w:val="006C053A"/>
    <w:rsid w:val="006C1F36"/>
    <w:rsid w:val="006C528E"/>
    <w:rsid w:val="006D0B78"/>
    <w:rsid w:val="006D5215"/>
    <w:rsid w:val="006D6F33"/>
    <w:rsid w:val="006E4E64"/>
    <w:rsid w:val="006F07DE"/>
    <w:rsid w:val="006F2370"/>
    <w:rsid w:val="006F2463"/>
    <w:rsid w:val="006F341D"/>
    <w:rsid w:val="006F3F22"/>
    <w:rsid w:val="006F4018"/>
    <w:rsid w:val="006F68BC"/>
    <w:rsid w:val="006F6DBD"/>
    <w:rsid w:val="007001F1"/>
    <w:rsid w:val="00701771"/>
    <w:rsid w:val="00703538"/>
    <w:rsid w:val="007049E9"/>
    <w:rsid w:val="00711D2C"/>
    <w:rsid w:val="007135E8"/>
    <w:rsid w:val="00713A15"/>
    <w:rsid w:val="00725A80"/>
    <w:rsid w:val="00730EBE"/>
    <w:rsid w:val="00735181"/>
    <w:rsid w:val="00740E05"/>
    <w:rsid w:val="0074637F"/>
    <w:rsid w:val="00751B0A"/>
    <w:rsid w:val="00762097"/>
    <w:rsid w:val="00763239"/>
    <w:rsid w:val="007640D5"/>
    <w:rsid w:val="00766717"/>
    <w:rsid w:val="00775750"/>
    <w:rsid w:val="007811F9"/>
    <w:rsid w:val="00790001"/>
    <w:rsid w:val="00790BB8"/>
    <w:rsid w:val="00794DAE"/>
    <w:rsid w:val="00796732"/>
    <w:rsid w:val="007A03E6"/>
    <w:rsid w:val="007A0CCE"/>
    <w:rsid w:val="007A2D85"/>
    <w:rsid w:val="007A2F4F"/>
    <w:rsid w:val="007A3514"/>
    <w:rsid w:val="007B09B7"/>
    <w:rsid w:val="007B193B"/>
    <w:rsid w:val="007C2530"/>
    <w:rsid w:val="007C30EA"/>
    <w:rsid w:val="007C61DA"/>
    <w:rsid w:val="007C7F98"/>
    <w:rsid w:val="007D52B9"/>
    <w:rsid w:val="007D6278"/>
    <w:rsid w:val="007E19AF"/>
    <w:rsid w:val="007E4C67"/>
    <w:rsid w:val="007E4DE2"/>
    <w:rsid w:val="007F0935"/>
    <w:rsid w:val="007F1CE3"/>
    <w:rsid w:val="007F2E36"/>
    <w:rsid w:val="007F3E88"/>
    <w:rsid w:val="007F52C3"/>
    <w:rsid w:val="007F580D"/>
    <w:rsid w:val="008016F8"/>
    <w:rsid w:val="00802660"/>
    <w:rsid w:val="00802DE6"/>
    <w:rsid w:val="00805C23"/>
    <w:rsid w:val="008060D3"/>
    <w:rsid w:val="00806307"/>
    <w:rsid w:val="00807FB6"/>
    <w:rsid w:val="008100D2"/>
    <w:rsid w:val="00810396"/>
    <w:rsid w:val="00814A56"/>
    <w:rsid w:val="00815CAB"/>
    <w:rsid w:val="00816CC8"/>
    <w:rsid w:val="00817DF7"/>
    <w:rsid w:val="008274F0"/>
    <w:rsid w:val="0083123A"/>
    <w:rsid w:val="00835E68"/>
    <w:rsid w:val="00846606"/>
    <w:rsid w:val="0084714C"/>
    <w:rsid w:val="00850DA0"/>
    <w:rsid w:val="00851E41"/>
    <w:rsid w:val="00852D70"/>
    <w:rsid w:val="008570FA"/>
    <w:rsid w:val="00862A86"/>
    <w:rsid w:val="00866DAB"/>
    <w:rsid w:val="00870534"/>
    <w:rsid w:val="00871828"/>
    <w:rsid w:val="008729E0"/>
    <w:rsid w:val="00876656"/>
    <w:rsid w:val="00880DAE"/>
    <w:rsid w:val="0088372B"/>
    <w:rsid w:val="0088504B"/>
    <w:rsid w:val="00886EEA"/>
    <w:rsid w:val="00890C13"/>
    <w:rsid w:val="00895685"/>
    <w:rsid w:val="00896F39"/>
    <w:rsid w:val="008A09E2"/>
    <w:rsid w:val="008A12AE"/>
    <w:rsid w:val="008B1758"/>
    <w:rsid w:val="008B5145"/>
    <w:rsid w:val="008B7526"/>
    <w:rsid w:val="008C369A"/>
    <w:rsid w:val="008C4A45"/>
    <w:rsid w:val="008C6A3F"/>
    <w:rsid w:val="008C7103"/>
    <w:rsid w:val="008C7949"/>
    <w:rsid w:val="008D18F3"/>
    <w:rsid w:val="008D1EEA"/>
    <w:rsid w:val="008D4160"/>
    <w:rsid w:val="008D7115"/>
    <w:rsid w:val="008E0826"/>
    <w:rsid w:val="008E17DB"/>
    <w:rsid w:val="008E53E5"/>
    <w:rsid w:val="008F0EC5"/>
    <w:rsid w:val="008F1ED4"/>
    <w:rsid w:val="008F2F39"/>
    <w:rsid w:val="009016DE"/>
    <w:rsid w:val="009054BA"/>
    <w:rsid w:val="009063A5"/>
    <w:rsid w:val="00907D4D"/>
    <w:rsid w:val="00916916"/>
    <w:rsid w:val="00923219"/>
    <w:rsid w:val="00923C96"/>
    <w:rsid w:val="009401D7"/>
    <w:rsid w:val="00941B51"/>
    <w:rsid w:val="009423BF"/>
    <w:rsid w:val="00943370"/>
    <w:rsid w:val="00946C65"/>
    <w:rsid w:val="00950675"/>
    <w:rsid w:val="00953440"/>
    <w:rsid w:val="00953E7A"/>
    <w:rsid w:val="00956E1A"/>
    <w:rsid w:val="00962FE4"/>
    <w:rsid w:val="00963E92"/>
    <w:rsid w:val="00966843"/>
    <w:rsid w:val="009679B9"/>
    <w:rsid w:val="00973F61"/>
    <w:rsid w:val="009777BC"/>
    <w:rsid w:val="00984880"/>
    <w:rsid w:val="009914CD"/>
    <w:rsid w:val="009B53C3"/>
    <w:rsid w:val="009B5760"/>
    <w:rsid w:val="009B6951"/>
    <w:rsid w:val="009C02F5"/>
    <w:rsid w:val="009C1A0B"/>
    <w:rsid w:val="009C3CD1"/>
    <w:rsid w:val="009D0573"/>
    <w:rsid w:val="009D62EC"/>
    <w:rsid w:val="009D73BB"/>
    <w:rsid w:val="009E3518"/>
    <w:rsid w:val="009E36F0"/>
    <w:rsid w:val="009E65FF"/>
    <w:rsid w:val="009E68F1"/>
    <w:rsid w:val="009F2F7A"/>
    <w:rsid w:val="009F3C38"/>
    <w:rsid w:val="009F6879"/>
    <w:rsid w:val="009F6AFC"/>
    <w:rsid w:val="00A01384"/>
    <w:rsid w:val="00A02AE9"/>
    <w:rsid w:val="00A05003"/>
    <w:rsid w:val="00A06406"/>
    <w:rsid w:val="00A06667"/>
    <w:rsid w:val="00A07E79"/>
    <w:rsid w:val="00A11453"/>
    <w:rsid w:val="00A12EAF"/>
    <w:rsid w:val="00A13E58"/>
    <w:rsid w:val="00A1455A"/>
    <w:rsid w:val="00A15842"/>
    <w:rsid w:val="00A17BAC"/>
    <w:rsid w:val="00A2724C"/>
    <w:rsid w:val="00A312C4"/>
    <w:rsid w:val="00A31C20"/>
    <w:rsid w:val="00A35CD1"/>
    <w:rsid w:val="00A37075"/>
    <w:rsid w:val="00A45A9A"/>
    <w:rsid w:val="00A51C4C"/>
    <w:rsid w:val="00A56D92"/>
    <w:rsid w:val="00A62F0C"/>
    <w:rsid w:val="00A65C4B"/>
    <w:rsid w:val="00A6693B"/>
    <w:rsid w:val="00A71A63"/>
    <w:rsid w:val="00A726A3"/>
    <w:rsid w:val="00A74305"/>
    <w:rsid w:val="00A82B9E"/>
    <w:rsid w:val="00A86180"/>
    <w:rsid w:val="00A929A7"/>
    <w:rsid w:val="00A92FA7"/>
    <w:rsid w:val="00A94139"/>
    <w:rsid w:val="00A959C1"/>
    <w:rsid w:val="00A96C03"/>
    <w:rsid w:val="00AA00FA"/>
    <w:rsid w:val="00AA2D30"/>
    <w:rsid w:val="00AA5BB3"/>
    <w:rsid w:val="00AA6393"/>
    <w:rsid w:val="00AA63AF"/>
    <w:rsid w:val="00AB21FD"/>
    <w:rsid w:val="00AB3DFE"/>
    <w:rsid w:val="00AC05C3"/>
    <w:rsid w:val="00AC10BD"/>
    <w:rsid w:val="00AC50CA"/>
    <w:rsid w:val="00AC7AAD"/>
    <w:rsid w:val="00AD1D9C"/>
    <w:rsid w:val="00AD5027"/>
    <w:rsid w:val="00AD5911"/>
    <w:rsid w:val="00AD7E42"/>
    <w:rsid w:val="00AE46F8"/>
    <w:rsid w:val="00AE51B9"/>
    <w:rsid w:val="00AE5EA1"/>
    <w:rsid w:val="00AE6963"/>
    <w:rsid w:val="00AE6B8B"/>
    <w:rsid w:val="00AF653B"/>
    <w:rsid w:val="00AF6CC4"/>
    <w:rsid w:val="00AF6EBC"/>
    <w:rsid w:val="00B010B5"/>
    <w:rsid w:val="00B023AF"/>
    <w:rsid w:val="00B031F9"/>
    <w:rsid w:val="00B1165B"/>
    <w:rsid w:val="00B12765"/>
    <w:rsid w:val="00B129E0"/>
    <w:rsid w:val="00B12FB4"/>
    <w:rsid w:val="00B14934"/>
    <w:rsid w:val="00B156AF"/>
    <w:rsid w:val="00B15D04"/>
    <w:rsid w:val="00B16A2A"/>
    <w:rsid w:val="00B16E03"/>
    <w:rsid w:val="00B17E9C"/>
    <w:rsid w:val="00B23CE1"/>
    <w:rsid w:val="00B249DC"/>
    <w:rsid w:val="00B24FD5"/>
    <w:rsid w:val="00B26B04"/>
    <w:rsid w:val="00B326DF"/>
    <w:rsid w:val="00B32DB8"/>
    <w:rsid w:val="00B36F9B"/>
    <w:rsid w:val="00B37CC8"/>
    <w:rsid w:val="00B407C0"/>
    <w:rsid w:val="00B42675"/>
    <w:rsid w:val="00B42E72"/>
    <w:rsid w:val="00B4392C"/>
    <w:rsid w:val="00B43A8A"/>
    <w:rsid w:val="00B53CB0"/>
    <w:rsid w:val="00B54DB9"/>
    <w:rsid w:val="00B57478"/>
    <w:rsid w:val="00B621AE"/>
    <w:rsid w:val="00B62E46"/>
    <w:rsid w:val="00B64171"/>
    <w:rsid w:val="00B64376"/>
    <w:rsid w:val="00B64A05"/>
    <w:rsid w:val="00B66A36"/>
    <w:rsid w:val="00B67CCA"/>
    <w:rsid w:val="00B70D48"/>
    <w:rsid w:val="00B7523B"/>
    <w:rsid w:val="00B761A0"/>
    <w:rsid w:val="00B76C4E"/>
    <w:rsid w:val="00B77E52"/>
    <w:rsid w:val="00B80546"/>
    <w:rsid w:val="00B81F27"/>
    <w:rsid w:val="00B867D9"/>
    <w:rsid w:val="00B934BB"/>
    <w:rsid w:val="00B944FB"/>
    <w:rsid w:val="00B9617C"/>
    <w:rsid w:val="00B96701"/>
    <w:rsid w:val="00B96CB0"/>
    <w:rsid w:val="00BA24C2"/>
    <w:rsid w:val="00BA6B68"/>
    <w:rsid w:val="00BA70A8"/>
    <w:rsid w:val="00BB07D1"/>
    <w:rsid w:val="00BB109A"/>
    <w:rsid w:val="00BB1676"/>
    <w:rsid w:val="00BB19E6"/>
    <w:rsid w:val="00BB30F0"/>
    <w:rsid w:val="00BB40F3"/>
    <w:rsid w:val="00BB4AFD"/>
    <w:rsid w:val="00BB6C6D"/>
    <w:rsid w:val="00BB7B97"/>
    <w:rsid w:val="00BC1193"/>
    <w:rsid w:val="00BC16B2"/>
    <w:rsid w:val="00BC19E1"/>
    <w:rsid w:val="00BC3362"/>
    <w:rsid w:val="00BC6529"/>
    <w:rsid w:val="00BD448B"/>
    <w:rsid w:val="00BD4715"/>
    <w:rsid w:val="00BE12D0"/>
    <w:rsid w:val="00BE15D2"/>
    <w:rsid w:val="00BE6AD6"/>
    <w:rsid w:val="00BF00D9"/>
    <w:rsid w:val="00BF614F"/>
    <w:rsid w:val="00C00CE5"/>
    <w:rsid w:val="00C01A85"/>
    <w:rsid w:val="00C04CEC"/>
    <w:rsid w:val="00C0578E"/>
    <w:rsid w:val="00C11A12"/>
    <w:rsid w:val="00C204BD"/>
    <w:rsid w:val="00C21E05"/>
    <w:rsid w:val="00C23886"/>
    <w:rsid w:val="00C23D2A"/>
    <w:rsid w:val="00C24389"/>
    <w:rsid w:val="00C24D19"/>
    <w:rsid w:val="00C26B2B"/>
    <w:rsid w:val="00C31326"/>
    <w:rsid w:val="00C3437F"/>
    <w:rsid w:val="00C3583F"/>
    <w:rsid w:val="00C35A75"/>
    <w:rsid w:val="00C369C2"/>
    <w:rsid w:val="00C36E52"/>
    <w:rsid w:val="00C40DAC"/>
    <w:rsid w:val="00C4610A"/>
    <w:rsid w:val="00C46225"/>
    <w:rsid w:val="00C47B31"/>
    <w:rsid w:val="00C52664"/>
    <w:rsid w:val="00C52748"/>
    <w:rsid w:val="00C5427A"/>
    <w:rsid w:val="00C56361"/>
    <w:rsid w:val="00C628DB"/>
    <w:rsid w:val="00C62C58"/>
    <w:rsid w:val="00C6428E"/>
    <w:rsid w:val="00C65676"/>
    <w:rsid w:val="00C65D3A"/>
    <w:rsid w:val="00C66810"/>
    <w:rsid w:val="00C67590"/>
    <w:rsid w:val="00C759B8"/>
    <w:rsid w:val="00C75F4B"/>
    <w:rsid w:val="00C76822"/>
    <w:rsid w:val="00C83054"/>
    <w:rsid w:val="00C83986"/>
    <w:rsid w:val="00C86E4E"/>
    <w:rsid w:val="00C87F26"/>
    <w:rsid w:val="00C90CBC"/>
    <w:rsid w:val="00C95E1D"/>
    <w:rsid w:val="00CA4C8B"/>
    <w:rsid w:val="00CA59F3"/>
    <w:rsid w:val="00CA6190"/>
    <w:rsid w:val="00CA6FC1"/>
    <w:rsid w:val="00CA728C"/>
    <w:rsid w:val="00CB08AE"/>
    <w:rsid w:val="00CB2832"/>
    <w:rsid w:val="00CB33C2"/>
    <w:rsid w:val="00CC042F"/>
    <w:rsid w:val="00CC3052"/>
    <w:rsid w:val="00CC3706"/>
    <w:rsid w:val="00CC6FA6"/>
    <w:rsid w:val="00CC7020"/>
    <w:rsid w:val="00CD15A8"/>
    <w:rsid w:val="00CD5695"/>
    <w:rsid w:val="00CD7DA9"/>
    <w:rsid w:val="00CE37C3"/>
    <w:rsid w:val="00CF0DC7"/>
    <w:rsid w:val="00CF49F6"/>
    <w:rsid w:val="00CF5B19"/>
    <w:rsid w:val="00CF6B6B"/>
    <w:rsid w:val="00D020CC"/>
    <w:rsid w:val="00D100BF"/>
    <w:rsid w:val="00D10766"/>
    <w:rsid w:val="00D1129F"/>
    <w:rsid w:val="00D1319C"/>
    <w:rsid w:val="00D16B26"/>
    <w:rsid w:val="00D200E3"/>
    <w:rsid w:val="00D2026B"/>
    <w:rsid w:val="00D21843"/>
    <w:rsid w:val="00D22737"/>
    <w:rsid w:val="00D2630A"/>
    <w:rsid w:val="00D27830"/>
    <w:rsid w:val="00D30F5A"/>
    <w:rsid w:val="00D31E1F"/>
    <w:rsid w:val="00D32E82"/>
    <w:rsid w:val="00D36DAA"/>
    <w:rsid w:val="00D37987"/>
    <w:rsid w:val="00D427A2"/>
    <w:rsid w:val="00D44A11"/>
    <w:rsid w:val="00D44CFC"/>
    <w:rsid w:val="00D45D96"/>
    <w:rsid w:val="00D51763"/>
    <w:rsid w:val="00D5300E"/>
    <w:rsid w:val="00D56A4D"/>
    <w:rsid w:val="00D60891"/>
    <w:rsid w:val="00D62CEB"/>
    <w:rsid w:val="00D65A11"/>
    <w:rsid w:val="00D65B97"/>
    <w:rsid w:val="00D65FA4"/>
    <w:rsid w:val="00D67D30"/>
    <w:rsid w:val="00D74BB0"/>
    <w:rsid w:val="00D76DDF"/>
    <w:rsid w:val="00D77182"/>
    <w:rsid w:val="00D77AB7"/>
    <w:rsid w:val="00D82C18"/>
    <w:rsid w:val="00D91167"/>
    <w:rsid w:val="00D92B4A"/>
    <w:rsid w:val="00D93B5E"/>
    <w:rsid w:val="00D93C31"/>
    <w:rsid w:val="00D948B0"/>
    <w:rsid w:val="00D95A2B"/>
    <w:rsid w:val="00D96A76"/>
    <w:rsid w:val="00DA0E2F"/>
    <w:rsid w:val="00DA2656"/>
    <w:rsid w:val="00DA4052"/>
    <w:rsid w:val="00DA4D7F"/>
    <w:rsid w:val="00DA6319"/>
    <w:rsid w:val="00DA6331"/>
    <w:rsid w:val="00DB274E"/>
    <w:rsid w:val="00DB522D"/>
    <w:rsid w:val="00DC3920"/>
    <w:rsid w:val="00DC602F"/>
    <w:rsid w:val="00DC7D02"/>
    <w:rsid w:val="00DD1044"/>
    <w:rsid w:val="00DD1C0F"/>
    <w:rsid w:val="00DD1FE0"/>
    <w:rsid w:val="00DD3116"/>
    <w:rsid w:val="00DD3234"/>
    <w:rsid w:val="00DD4421"/>
    <w:rsid w:val="00DD66B7"/>
    <w:rsid w:val="00DE2349"/>
    <w:rsid w:val="00DE25FC"/>
    <w:rsid w:val="00DE6197"/>
    <w:rsid w:val="00DF1E90"/>
    <w:rsid w:val="00DF1F3B"/>
    <w:rsid w:val="00DF24D2"/>
    <w:rsid w:val="00DF269A"/>
    <w:rsid w:val="00DF2C65"/>
    <w:rsid w:val="00DF3E61"/>
    <w:rsid w:val="00DF523D"/>
    <w:rsid w:val="00DF5C34"/>
    <w:rsid w:val="00DF731A"/>
    <w:rsid w:val="00E00277"/>
    <w:rsid w:val="00E0061F"/>
    <w:rsid w:val="00E00EE9"/>
    <w:rsid w:val="00E055C3"/>
    <w:rsid w:val="00E10869"/>
    <w:rsid w:val="00E1683C"/>
    <w:rsid w:val="00E171F5"/>
    <w:rsid w:val="00E21220"/>
    <w:rsid w:val="00E22A1A"/>
    <w:rsid w:val="00E25378"/>
    <w:rsid w:val="00E273C8"/>
    <w:rsid w:val="00E34175"/>
    <w:rsid w:val="00E3682E"/>
    <w:rsid w:val="00E37FB0"/>
    <w:rsid w:val="00E41980"/>
    <w:rsid w:val="00E43F05"/>
    <w:rsid w:val="00E508A8"/>
    <w:rsid w:val="00E5290F"/>
    <w:rsid w:val="00E534E4"/>
    <w:rsid w:val="00E56C7C"/>
    <w:rsid w:val="00E63CA4"/>
    <w:rsid w:val="00E64764"/>
    <w:rsid w:val="00E66B7D"/>
    <w:rsid w:val="00E858B0"/>
    <w:rsid w:val="00E91205"/>
    <w:rsid w:val="00E91F3D"/>
    <w:rsid w:val="00E9341D"/>
    <w:rsid w:val="00E94AE9"/>
    <w:rsid w:val="00E94FC0"/>
    <w:rsid w:val="00E95164"/>
    <w:rsid w:val="00E956D9"/>
    <w:rsid w:val="00E967F3"/>
    <w:rsid w:val="00E97273"/>
    <w:rsid w:val="00EA0614"/>
    <w:rsid w:val="00EA1A8A"/>
    <w:rsid w:val="00EA1B22"/>
    <w:rsid w:val="00EA3519"/>
    <w:rsid w:val="00EB1142"/>
    <w:rsid w:val="00EB6DDE"/>
    <w:rsid w:val="00EC2FFB"/>
    <w:rsid w:val="00EC4016"/>
    <w:rsid w:val="00EC4EAC"/>
    <w:rsid w:val="00EC6718"/>
    <w:rsid w:val="00EC6EDC"/>
    <w:rsid w:val="00ED0BB0"/>
    <w:rsid w:val="00ED3C5F"/>
    <w:rsid w:val="00ED4412"/>
    <w:rsid w:val="00ED4964"/>
    <w:rsid w:val="00EE1C53"/>
    <w:rsid w:val="00EE3F0F"/>
    <w:rsid w:val="00EE464F"/>
    <w:rsid w:val="00EE50BD"/>
    <w:rsid w:val="00EE639C"/>
    <w:rsid w:val="00EE63F0"/>
    <w:rsid w:val="00EF72F0"/>
    <w:rsid w:val="00F004BF"/>
    <w:rsid w:val="00F01C85"/>
    <w:rsid w:val="00F1077C"/>
    <w:rsid w:val="00F11730"/>
    <w:rsid w:val="00F13545"/>
    <w:rsid w:val="00F22127"/>
    <w:rsid w:val="00F23BD3"/>
    <w:rsid w:val="00F26BD5"/>
    <w:rsid w:val="00F307A9"/>
    <w:rsid w:val="00F3098C"/>
    <w:rsid w:val="00F365A8"/>
    <w:rsid w:val="00F47616"/>
    <w:rsid w:val="00F50D02"/>
    <w:rsid w:val="00F53CF2"/>
    <w:rsid w:val="00F618B0"/>
    <w:rsid w:val="00F67C22"/>
    <w:rsid w:val="00F720A8"/>
    <w:rsid w:val="00F73E33"/>
    <w:rsid w:val="00F74292"/>
    <w:rsid w:val="00F83BCB"/>
    <w:rsid w:val="00F86906"/>
    <w:rsid w:val="00F86D47"/>
    <w:rsid w:val="00F933DD"/>
    <w:rsid w:val="00F94244"/>
    <w:rsid w:val="00F94996"/>
    <w:rsid w:val="00F961AF"/>
    <w:rsid w:val="00FA1BC1"/>
    <w:rsid w:val="00FA23B7"/>
    <w:rsid w:val="00FA386E"/>
    <w:rsid w:val="00FA3BC1"/>
    <w:rsid w:val="00FA672A"/>
    <w:rsid w:val="00FB1EE2"/>
    <w:rsid w:val="00FB204D"/>
    <w:rsid w:val="00FB3EE8"/>
    <w:rsid w:val="00FB488A"/>
    <w:rsid w:val="00FB48B1"/>
    <w:rsid w:val="00FB5128"/>
    <w:rsid w:val="00FC0450"/>
    <w:rsid w:val="00FC155D"/>
    <w:rsid w:val="00FC3D67"/>
    <w:rsid w:val="00FC5BFA"/>
    <w:rsid w:val="00FC6CF8"/>
    <w:rsid w:val="00FC6EA7"/>
    <w:rsid w:val="00FD01FD"/>
    <w:rsid w:val="00FD0911"/>
    <w:rsid w:val="00FD4821"/>
    <w:rsid w:val="00FE2A7A"/>
    <w:rsid w:val="00FE4929"/>
    <w:rsid w:val="00FF0418"/>
    <w:rsid w:val="00FF3A67"/>
    <w:rsid w:val="00FF627D"/>
    <w:rsid w:val="00FF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42507"/>
    <w:rPr>
      <w:rFonts w:eastAsia="SimSun"/>
      <w:sz w:val="20"/>
      <w:lang w:eastAsia="en-AU"/>
    </w:rPr>
  </w:style>
  <w:style w:type="paragraph" w:styleId="Heading1">
    <w:name w:val="heading 1"/>
    <w:basedOn w:val="Normal"/>
    <w:next w:val="Normal"/>
    <w:link w:val="Heading1Char"/>
    <w:autoRedefine/>
    <w:uiPriority w:val="1"/>
    <w:unhideWhenUsed/>
    <w:qFormat/>
    <w:rsid w:val="00BB19E6"/>
    <w:pPr>
      <w:spacing w:before="120"/>
      <w:outlineLvl w:val="0"/>
    </w:pPr>
    <w:rPr>
      <w:b/>
      <w:sz w:val="40"/>
      <w:szCs w:val="40"/>
    </w:rPr>
  </w:style>
  <w:style w:type="paragraph" w:styleId="Heading2">
    <w:name w:val="heading 2"/>
    <w:basedOn w:val="Normal"/>
    <w:next w:val="Normal"/>
    <w:link w:val="Heading2Char"/>
    <w:autoRedefine/>
    <w:uiPriority w:val="9"/>
    <w:unhideWhenUsed/>
    <w:qFormat/>
    <w:rsid w:val="005C7336"/>
    <w:pPr>
      <w:tabs>
        <w:tab w:val="left" w:pos="3261"/>
      </w:tabs>
      <w:spacing w:before="120" w:after="60"/>
      <w:outlineLvl w:val="1"/>
    </w:pPr>
    <w:rPr>
      <w:b/>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locked/>
    <w:rsid w:val="00AF6EB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19E6"/>
    <w:rPr>
      <w:rFonts w:eastAsia="SimSun"/>
      <w:b/>
      <w:sz w:val="40"/>
      <w:szCs w:val="40"/>
      <w:lang w:eastAsia="en-AU"/>
    </w:rPr>
  </w:style>
  <w:style w:type="character" w:customStyle="1" w:styleId="Heading2Char">
    <w:name w:val="Heading 2 Char"/>
    <w:basedOn w:val="DefaultParagraphFont"/>
    <w:link w:val="Heading2"/>
    <w:uiPriority w:val="9"/>
    <w:rsid w:val="005C7336"/>
    <w:rPr>
      <w:rFonts w:eastAsia="SimSun"/>
      <w:b/>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AF6EBC"/>
    <w:rPr>
      <w:rFonts w:eastAsia="SimSun"/>
      <w:b/>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E10869"/>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5213F2"/>
    <w:pPr>
      <w:tabs>
        <w:tab w:val="right" w:leader="dot" w:pos="9742"/>
      </w:tabs>
      <w:spacing w:after="100"/>
    </w:pPr>
    <w:rPr>
      <w:noProof/>
    </w:rPr>
  </w:style>
  <w:style w:type="paragraph" w:styleId="TOC2">
    <w:name w:val="toc 2"/>
    <w:basedOn w:val="Normal"/>
    <w:next w:val="Normal"/>
    <w:autoRedefine/>
    <w:uiPriority w:val="39"/>
    <w:unhideWhenUsed/>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32A12"/>
    <w:pPr>
      <w:spacing w:before="40"/>
    </w:pPr>
    <w:rPr>
      <w:sz w:val="16"/>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 w:type="character" w:customStyle="1" w:styleId="HyperlinkBody">
    <w:name w:val="Hyperlink (Body)"/>
    <w:uiPriority w:val="99"/>
    <w:rsid w:val="00E41980"/>
    <w:rPr>
      <w:rFonts w:ascii="Arial" w:hAnsi="Arial" w:cs="Arial"/>
      <w:color w:val="001E5B"/>
      <w:sz w:val="20"/>
      <w:szCs w:val="20"/>
      <w:u w:val="thick" w:color="001E5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42507"/>
    <w:rPr>
      <w:rFonts w:eastAsia="SimSun"/>
      <w:sz w:val="20"/>
      <w:lang w:eastAsia="en-AU"/>
    </w:rPr>
  </w:style>
  <w:style w:type="paragraph" w:styleId="Heading1">
    <w:name w:val="heading 1"/>
    <w:basedOn w:val="Normal"/>
    <w:next w:val="Normal"/>
    <w:link w:val="Heading1Char"/>
    <w:autoRedefine/>
    <w:uiPriority w:val="1"/>
    <w:unhideWhenUsed/>
    <w:qFormat/>
    <w:rsid w:val="00BB19E6"/>
    <w:pPr>
      <w:spacing w:before="120"/>
      <w:outlineLvl w:val="0"/>
    </w:pPr>
    <w:rPr>
      <w:b/>
      <w:sz w:val="40"/>
      <w:szCs w:val="40"/>
    </w:rPr>
  </w:style>
  <w:style w:type="paragraph" w:styleId="Heading2">
    <w:name w:val="heading 2"/>
    <w:basedOn w:val="Normal"/>
    <w:next w:val="Normal"/>
    <w:link w:val="Heading2Char"/>
    <w:autoRedefine/>
    <w:uiPriority w:val="9"/>
    <w:unhideWhenUsed/>
    <w:qFormat/>
    <w:rsid w:val="005C7336"/>
    <w:pPr>
      <w:tabs>
        <w:tab w:val="left" w:pos="3261"/>
      </w:tabs>
      <w:spacing w:before="120" w:after="60"/>
      <w:outlineLvl w:val="1"/>
    </w:pPr>
    <w:rPr>
      <w:b/>
      <w:sz w:val="28"/>
      <w:szCs w:val="28"/>
    </w:rPr>
  </w:style>
  <w:style w:type="paragraph" w:styleId="Heading3">
    <w:name w:val="heading 3"/>
    <w:basedOn w:val="Normal"/>
    <w:next w:val="Normal"/>
    <w:link w:val="Heading3Char"/>
    <w:autoRedefine/>
    <w:uiPriority w:val="9"/>
    <w:unhideWhenUsed/>
    <w:qFormat/>
    <w:rsid w:val="00BB19E6"/>
    <w:pPr>
      <w:spacing w:before="120" w:after="40"/>
      <w:outlineLvl w:val="2"/>
    </w:pPr>
    <w:rPr>
      <w:b/>
      <w:sz w:val="24"/>
    </w:rPr>
  </w:style>
  <w:style w:type="paragraph" w:styleId="Heading4">
    <w:name w:val="heading 4"/>
    <w:aliases w:val="Tables and figures"/>
    <w:basedOn w:val="Normal"/>
    <w:next w:val="Normal"/>
    <w:link w:val="Heading4Char"/>
    <w:autoRedefine/>
    <w:uiPriority w:val="9"/>
    <w:unhideWhenUsed/>
    <w:locked/>
    <w:rsid w:val="00AF6EB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19E6"/>
    <w:rPr>
      <w:rFonts w:eastAsia="SimSun"/>
      <w:b/>
      <w:sz w:val="40"/>
      <w:szCs w:val="40"/>
      <w:lang w:eastAsia="en-AU"/>
    </w:rPr>
  </w:style>
  <w:style w:type="character" w:customStyle="1" w:styleId="Heading2Char">
    <w:name w:val="Heading 2 Char"/>
    <w:basedOn w:val="DefaultParagraphFont"/>
    <w:link w:val="Heading2"/>
    <w:uiPriority w:val="9"/>
    <w:rsid w:val="005C7336"/>
    <w:rPr>
      <w:rFonts w:eastAsia="SimSun"/>
      <w:b/>
      <w:sz w:val="28"/>
      <w:szCs w:val="28"/>
      <w:lang w:eastAsia="en-AU"/>
    </w:rPr>
  </w:style>
  <w:style w:type="character" w:customStyle="1" w:styleId="Heading3Char">
    <w:name w:val="Heading 3 Char"/>
    <w:basedOn w:val="DefaultParagraphFont"/>
    <w:link w:val="Heading3"/>
    <w:uiPriority w:val="9"/>
    <w:rsid w:val="00BB19E6"/>
    <w:rPr>
      <w:rFonts w:eastAsia="SimSun"/>
      <w:b/>
      <w:sz w:val="24"/>
      <w:lang w:eastAsia="en-AU"/>
    </w:rPr>
  </w:style>
  <w:style w:type="character" w:customStyle="1" w:styleId="Heading4Char">
    <w:name w:val="Heading 4 Char"/>
    <w:aliases w:val="Tables and figures Char"/>
    <w:basedOn w:val="DefaultParagraphFont"/>
    <w:link w:val="Heading4"/>
    <w:uiPriority w:val="9"/>
    <w:rsid w:val="00AF6EBC"/>
    <w:rPr>
      <w:rFonts w:eastAsia="SimSun"/>
      <w:b/>
      <w:sz w:val="20"/>
      <w:lang w:eastAsia="en-AU"/>
    </w:rPr>
  </w:style>
  <w:style w:type="paragraph" w:styleId="ListParagraph">
    <w:name w:val="List Paragraph"/>
    <w:basedOn w:val="Normal"/>
    <w:uiPriority w:val="34"/>
    <w:unhideWhenUsed/>
    <w:qFormat/>
    <w:locked/>
    <w:rsid w:val="008C7103"/>
    <w:pPr>
      <w:ind w:left="720"/>
      <w:contextualSpacing/>
    </w:pPr>
  </w:style>
  <w:style w:type="paragraph" w:styleId="BalloonText">
    <w:name w:val="Balloon Text"/>
    <w:basedOn w:val="Normal"/>
    <w:link w:val="BalloonTextChar"/>
    <w:uiPriority w:val="99"/>
    <w:semiHidden/>
    <w:unhideWhenUsed/>
    <w:locked/>
    <w:rsid w:val="00AC5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CA"/>
    <w:rPr>
      <w:rFonts w:ascii="Tahoma" w:eastAsia="SimSun" w:hAnsi="Tahoma" w:cs="Tahoma"/>
      <w:sz w:val="16"/>
      <w:szCs w:val="16"/>
      <w:lang w:eastAsia="en-AU"/>
    </w:rPr>
  </w:style>
  <w:style w:type="character" w:styleId="Hyperlink">
    <w:name w:val="Hyperlink"/>
    <w:basedOn w:val="DefaultParagraphFont"/>
    <w:uiPriority w:val="99"/>
    <w:unhideWhenUsed/>
    <w:locked/>
    <w:rsid w:val="00DA4D7F"/>
    <w:rPr>
      <w:color w:val="0000FF" w:themeColor="hyperlink"/>
      <w:u w:val="single"/>
    </w:rPr>
  </w:style>
  <w:style w:type="character" w:styleId="FollowedHyperlink">
    <w:name w:val="FollowedHyperlink"/>
    <w:basedOn w:val="DefaultParagraphFont"/>
    <w:uiPriority w:val="99"/>
    <w:semiHidden/>
    <w:unhideWhenUsed/>
    <w:locked/>
    <w:rsid w:val="0056526D"/>
    <w:rPr>
      <w:color w:val="800080" w:themeColor="followedHyperlink"/>
      <w:u w:val="single"/>
    </w:rPr>
  </w:style>
  <w:style w:type="table" w:styleId="TableGrid">
    <w:name w:val="Table Grid"/>
    <w:basedOn w:val="TableNormal"/>
    <w:uiPriority w:val="59"/>
    <w:locked/>
    <w:rsid w:val="00E10869"/>
    <w:pPr>
      <w:spacing w:after="0" w:line="240" w:lineRule="auto"/>
      <w:jc w:val="center"/>
    </w:pPr>
    <w:rPr>
      <w:rFonts w:eastAsia="Times New Roman" w:cstheme="minorBidi"/>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tblStylePr>
  </w:style>
  <w:style w:type="character" w:customStyle="1" w:styleId="BoldBody">
    <w:name w:val="Bold (Body)"/>
    <w:uiPriority w:val="99"/>
    <w:rsid w:val="001C17E7"/>
    <w:rPr>
      <w:b/>
      <w:bCs/>
      <w:lang w:val="en-GB"/>
    </w:rPr>
  </w:style>
  <w:style w:type="paragraph" w:styleId="TOCHeading">
    <w:name w:val="TOC Heading"/>
    <w:basedOn w:val="Heading1"/>
    <w:next w:val="Normal"/>
    <w:uiPriority w:val="39"/>
    <w:unhideWhenUsed/>
    <w:qFormat/>
    <w:locked/>
    <w:rsid w:val="00984880"/>
    <w:pPr>
      <w:keepNext/>
      <w:keepLines/>
      <w:spacing w:before="480" w:after="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locked/>
    <w:rsid w:val="005213F2"/>
    <w:pPr>
      <w:tabs>
        <w:tab w:val="right" w:leader="dot" w:pos="9742"/>
      </w:tabs>
      <w:spacing w:after="100"/>
    </w:pPr>
    <w:rPr>
      <w:noProof/>
    </w:rPr>
  </w:style>
  <w:style w:type="paragraph" w:styleId="TOC2">
    <w:name w:val="toc 2"/>
    <w:basedOn w:val="Normal"/>
    <w:next w:val="Normal"/>
    <w:autoRedefine/>
    <w:uiPriority w:val="39"/>
    <w:unhideWhenUsed/>
    <w:locked/>
    <w:rsid w:val="00984880"/>
    <w:pPr>
      <w:spacing w:after="100"/>
      <w:ind w:left="200"/>
    </w:pPr>
  </w:style>
  <w:style w:type="paragraph" w:styleId="TOC3">
    <w:name w:val="toc 3"/>
    <w:basedOn w:val="Normal"/>
    <w:next w:val="Normal"/>
    <w:autoRedefine/>
    <w:uiPriority w:val="39"/>
    <w:unhideWhenUsed/>
    <w:locked/>
    <w:rsid w:val="00984880"/>
    <w:pPr>
      <w:spacing w:after="100"/>
      <w:ind w:left="400"/>
    </w:pPr>
  </w:style>
  <w:style w:type="paragraph" w:styleId="Caption">
    <w:name w:val="caption"/>
    <w:basedOn w:val="Normal"/>
    <w:next w:val="Normal"/>
    <w:uiPriority w:val="35"/>
    <w:unhideWhenUsed/>
    <w:qFormat/>
    <w:locked/>
    <w:rsid w:val="005E6422"/>
    <w:pPr>
      <w:spacing w:after="200" w:line="240" w:lineRule="auto"/>
    </w:pPr>
    <w:rPr>
      <w:b/>
      <w:bCs/>
      <w:color w:val="4F81BD" w:themeColor="accent1"/>
      <w:sz w:val="18"/>
      <w:szCs w:val="18"/>
    </w:rPr>
  </w:style>
  <w:style w:type="paragraph" w:customStyle="1" w:styleId="Footnote">
    <w:name w:val="Footnote"/>
    <w:basedOn w:val="Normal"/>
    <w:qFormat/>
    <w:rsid w:val="00332A12"/>
    <w:pPr>
      <w:spacing w:before="40"/>
    </w:pPr>
    <w:rPr>
      <w:sz w:val="16"/>
      <w:szCs w:val="16"/>
    </w:rPr>
  </w:style>
  <w:style w:type="paragraph" w:styleId="Header">
    <w:name w:val="header"/>
    <w:basedOn w:val="Normal"/>
    <w:link w:val="HeaderChar"/>
    <w:uiPriority w:val="99"/>
    <w:unhideWhenUsed/>
    <w:locked/>
    <w:rsid w:val="00BB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FD"/>
    <w:rPr>
      <w:rFonts w:eastAsia="SimSun"/>
      <w:sz w:val="20"/>
      <w:lang w:eastAsia="en-AU"/>
    </w:rPr>
  </w:style>
  <w:style w:type="paragraph" w:styleId="Footer">
    <w:name w:val="footer"/>
    <w:basedOn w:val="Normal"/>
    <w:link w:val="FooterChar"/>
    <w:uiPriority w:val="99"/>
    <w:unhideWhenUsed/>
    <w:locked/>
    <w:rsid w:val="00BB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D"/>
    <w:rPr>
      <w:rFonts w:eastAsia="SimSun"/>
      <w:sz w:val="20"/>
      <w:lang w:eastAsia="en-AU"/>
    </w:rPr>
  </w:style>
  <w:style w:type="character" w:styleId="CommentReference">
    <w:name w:val="annotation reference"/>
    <w:basedOn w:val="DefaultParagraphFont"/>
    <w:uiPriority w:val="99"/>
    <w:semiHidden/>
    <w:unhideWhenUsed/>
    <w:locked/>
    <w:rsid w:val="008A12AE"/>
    <w:rPr>
      <w:sz w:val="16"/>
      <w:szCs w:val="16"/>
    </w:rPr>
  </w:style>
  <w:style w:type="paragraph" w:styleId="CommentText">
    <w:name w:val="annotation text"/>
    <w:basedOn w:val="Normal"/>
    <w:link w:val="CommentTextChar"/>
    <w:uiPriority w:val="99"/>
    <w:semiHidden/>
    <w:unhideWhenUsed/>
    <w:locked/>
    <w:rsid w:val="008A12AE"/>
    <w:pPr>
      <w:spacing w:line="240" w:lineRule="auto"/>
    </w:pPr>
    <w:rPr>
      <w:szCs w:val="20"/>
    </w:rPr>
  </w:style>
  <w:style w:type="character" w:customStyle="1" w:styleId="CommentTextChar">
    <w:name w:val="Comment Text Char"/>
    <w:basedOn w:val="DefaultParagraphFont"/>
    <w:link w:val="CommentText"/>
    <w:uiPriority w:val="99"/>
    <w:semiHidden/>
    <w:rsid w:val="008A12AE"/>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8A12AE"/>
    <w:rPr>
      <w:b/>
      <w:bCs/>
    </w:rPr>
  </w:style>
  <w:style w:type="character" w:customStyle="1" w:styleId="CommentSubjectChar">
    <w:name w:val="Comment Subject Char"/>
    <w:basedOn w:val="CommentTextChar"/>
    <w:link w:val="CommentSubject"/>
    <w:uiPriority w:val="99"/>
    <w:semiHidden/>
    <w:rsid w:val="008A12AE"/>
    <w:rPr>
      <w:rFonts w:eastAsia="SimSun"/>
      <w:b/>
      <w:bCs/>
      <w:sz w:val="20"/>
      <w:szCs w:val="20"/>
      <w:lang w:eastAsia="en-AU"/>
    </w:rPr>
  </w:style>
  <w:style w:type="paragraph" w:styleId="Revision">
    <w:name w:val="Revision"/>
    <w:hidden/>
    <w:uiPriority w:val="99"/>
    <w:semiHidden/>
    <w:rsid w:val="00686C3F"/>
    <w:pPr>
      <w:spacing w:after="0" w:line="240" w:lineRule="auto"/>
    </w:pPr>
    <w:rPr>
      <w:rFonts w:eastAsia="SimSun"/>
      <w:sz w:val="20"/>
      <w:lang w:eastAsia="en-AU"/>
    </w:rPr>
  </w:style>
  <w:style w:type="paragraph" w:customStyle="1" w:styleId="TextBody">
    <w:name w:val="Text (Body)"/>
    <w:basedOn w:val="Normal"/>
    <w:uiPriority w:val="99"/>
    <w:rsid w:val="00703538"/>
    <w:pPr>
      <w:suppressAutoHyphens/>
      <w:autoSpaceDE w:val="0"/>
      <w:autoSpaceDN w:val="0"/>
      <w:adjustRightInd w:val="0"/>
      <w:spacing w:before="57" w:after="57" w:line="288" w:lineRule="auto"/>
    </w:pPr>
    <w:rPr>
      <w:rFonts w:eastAsiaTheme="minorHAnsi"/>
      <w:color w:val="000000"/>
      <w:kern w:val="0"/>
      <w:szCs w:val="20"/>
      <w:lang w:val="en-GB" w:eastAsia="en-US"/>
    </w:rPr>
  </w:style>
  <w:style w:type="character" w:customStyle="1" w:styleId="HyperlinkBody">
    <w:name w:val="Hyperlink (Body)"/>
    <w:uiPriority w:val="99"/>
    <w:rsid w:val="00E41980"/>
    <w:rPr>
      <w:rFonts w:ascii="Arial" w:hAnsi="Arial" w:cs="Arial"/>
      <w:color w:val="001E5B"/>
      <w:sz w:val="20"/>
      <w:szCs w:val="20"/>
      <w:u w:val="thick" w:color="001E5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77">
      <w:bodyDiv w:val="1"/>
      <w:marLeft w:val="0"/>
      <w:marRight w:val="0"/>
      <w:marTop w:val="0"/>
      <w:marBottom w:val="0"/>
      <w:divBdr>
        <w:top w:val="none" w:sz="0" w:space="0" w:color="auto"/>
        <w:left w:val="none" w:sz="0" w:space="0" w:color="auto"/>
        <w:bottom w:val="none" w:sz="0" w:space="0" w:color="auto"/>
        <w:right w:val="none" w:sz="0" w:space="0" w:color="auto"/>
      </w:divBdr>
    </w:div>
    <w:div w:id="12731859">
      <w:bodyDiv w:val="1"/>
      <w:marLeft w:val="0"/>
      <w:marRight w:val="0"/>
      <w:marTop w:val="0"/>
      <w:marBottom w:val="0"/>
      <w:divBdr>
        <w:top w:val="none" w:sz="0" w:space="0" w:color="auto"/>
        <w:left w:val="none" w:sz="0" w:space="0" w:color="auto"/>
        <w:bottom w:val="none" w:sz="0" w:space="0" w:color="auto"/>
        <w:right w:val="none" w:sz="0" w:space="0" w:color="auto"/>
      </w:divBdr>
    </w:div>
    <w:div w:id="23679270">
      <w:bodyDiv w:val="1"/>
      <w:marLeft w:val="0"/>
      <w:marRight w:val="0"/>
      <w:marTop w:val="0"/>
      <w:marBottom w:val="0"/>
      <w:divBdr>
        <w:top w:val="none" w:sz="0" w:space="0" w:color="auto"/>
        <w:left w:val="none" w:sz="0" w:space="0" w:color="auto"/>
        <w:bottom w:val="none" w:sz="0" w:space="0" w:color="auto"/>
        <w:right w:val="none" w:sz="0" w:space="0" w:color="auto"/>
      </w:divBdr>
    </w:div>
    <w:div w:id="101649652">
      <w:bodyDiv w:val="1"/>
      <w:marLeft w:val="0"/>
      <w:marRight w:val="0"/>
      <w:marTop w:val="0"/>
      <w:marBottom w:val="0"/>
      <w:divBdr>
        <w:top w:val="none" w:sz="0" w:space="0" w:color="auto"/>
        <w:left w:val="none" w:sz="0" w:space="0" w:color="auto"/>
        <w:bottom w:val="none" w:sz="0" w:space="0" w:color="auto"/>
        <w:right w:val="none" w:sz="0" w:space="0" w:color="auto"/>
      </w:divBdr>
    </w:div>
    <w:div w:id="104664149">
      <w:bodyDiv w:val="1"/>
      <w:marLeft w:val="0"/>
      <w:marRight w:val="0"/>
      <w:marTop w:val="0"/>
      <w:marBottom w:val="0"/>
      <w:divBdr>
        <w:top w:val="none" w:sz="0" w:space="0" w:color="auto"/>
        <w:left w:val="none" w:sz="0" w:space="0" w:color="auto"/>
        <w:bottom w:val="none" w:sz="0" w:space="0" w:color="auto"/>
        <w:right w:val="none" w:sz="0" w:space="0" w:color="auto"/>
      </w:divBdr>
    </w:div>
    <w:div w:id="127600848">
      <w:bodyDiv w:val="1"/>
      <w:marLeft w:val="0"/>
      <w:marRight w:val="0"/>
      <w:marTop w:val="0"/>
      <w:marBottom w:val="0"/>
      <w:divBdr>
        <w:top w:val="none" w:sz="0" w:space="0" w:color="auto"/>
        <w:left w:val="none" w:sz="0" w:space="0" w:color="auto"/>
        <w:bottom w:val="none" w:sz="0" w:space="0" w:color="auto"/>
        <w:right w:val="none" w:sz="0" w:space="0" w:color="auto"/>
      </w:divBdr>
    </w:div>
    <w:div w:id="138041966">
      <w:bodyDiv w:val="1"/>
      <w:marLeft w:val="0"/>
      <w:marRight w:val="0"/>
      <w:marTop w:val="0"/>
      <w:marBottom w:val="0"/>
      <w:divBdr>
        <w:top w:val="none" w:sz="0" w:space="0" w:color="auto"/>
        <w:left w:val="none" w:sz="0" w:space="0" w:color="auto"/>
        <w:bottom w:val="none" w:sz="0" w:space="0" w:color="auto"/>
        <w:right w:val="none" w:sz="0" w:space="0" w:color="auto"/>
      </w:divBdr>
    </w:div>
    <w:div w:id="178274995">
      <w:bodyDiv w:val="1"/>
      <w:marLeft w:val="0"/>
      <w:marRight w:val="0"/>
      <w:marTop w:val="0"/>
      <w:marBottom w:val="0"/>
      <w:divBdr>
        <w:top w:val="none" w:sz="0" w:space="0" w:color="auto"/>
        <w:left w:val="none" w:sz="0" w:space="0" w:color="auto"/>
        <w:bottom w:val="none" w:sz="0" w:space="0" w:color="auto"/>
        <w:right w:val="none" w:sz="0" w:space="0" w:color="auto"/>
      </w:divBdr>
    </w:div>
    <w:div w:id="231088077">
      <w:bodyDiv w:val="1"/>
      <w:marLeft w:val="0"/>
      <w:marRight w:val="0"/>
      <w:marTop w:val="0"/>
      <w:marBottom w:val="0"/>
      <w:divBdr>
        <w:top w:val="none" w:sz="0" w:space="0" w:color="auto"/>
        <w:left w:val="none" w:sz="0" w:space="0" w:color="auto"/>
        <w:bottom w:val="none" w:sz="0" w:space="0" w:color="auto"/>
        <w:right w:val="none" w:sz="0" w:space="0" w:color="auto"/>
      </w:divBdr>
    </w:div>
    <w:div w:id="253442414">
      <w:bodyDiv w:val="1"/>
      <w:marLeft w:val="0"/>
      <w:marRight w:val="0"/>
      <w:marTop w:val="0"/>
      <w:marBottom w:val="0"/>
      <w:divBdr>
        <w:top w:val="none" w:sz="0" w:space="0" w:color="auto"/>
        <w:left w:val="none" w:sz="0" w:space="0" w:color="auto"/>
        <w:bottom w:val="none" w:sz="0" w:space="0" w:color="auto"/>
        <w:right w:val="none" w:sz="0" w:space="0" w:color="auto"/>
      </w:divBdr>
    </w:div>
    <w:div w:id="291592924">
      <w:bodyDiv w:val="1"/>
      <w:marLeft w:val="0"/>
      <w:marRight w:val="0"/>
      <w:marTop w:val="0"/>
      <w:marBottom w:val="0"/>
      <w:divBdr>
        <w:top w:val="none" w:sz="0" w:space="0" w:color="auto"/>
        <w:left w:val="none" w:sz="0" w:space="0" w:color="auto"/>
        <w:bottom w:val="none" w:sz="0" w:space="0" w:color="auto"/>
        <w:right w:val="none" w:sz="0" w:space="0" w:color="auto"/>
      </w:divBdr>
    </w:div>
    <w:div w:id="298148769">
      <w:bodyDiv w:val="1"/>
      <w:marLeft w:val="0"/>
      <w:marRight w:val="0"/>
      <w:marTop w:val="0"/>
      <w:marBottom w:val="0"/>
      <w:divBdr>
        <w:top w:val="none" w:sz="0" w:space="0" w:color="auto"/>
        <w:left w:val="none" w:sz="0" w:space="0" w:color="auto"/>
        <w:bottom w:val="none" w:sz="0" w:space="0" w:color="auto"/>
        <w:right w:val="none" w:sz="0" w:space="0" w:color="auto"/>
      </w:divBdr>
    </w:div>
    <w:div w:id="338123667">
      <w:bodyDiv w:val="1"/>
      <w:marLeft w:val="0"/>
      <w:marRight w:val="0"/>
      <w:marTop w:val="0"/>
      <w:marBottom w:val="0"/>
      <w:divBdr>
        <w:top w:val="none" w:sz="0" w:space="0" w:color="auto"/>
        <w:left w:val="none" w:sz="0" w:space="0" w:color="auto"/>
        <w:bottom w:val="none" w:sz="0" w:space="0" w:color="auto"/>
        <w:right w:val="none" w:sz="0" w:space="0" w:color="auto"/>
      </w:divBdr>
    </w:div>
    <w:div w:id="347757569">
      <w:bodyDiv w:val="1"/>
      <w:marLeft w:val="0"/>
      <w:marRight w:val="0"/>
      <w:marTop w:val="0"/>
      <w:marBottom w:val="0"/>
      <w:divBdr>
        <w:top w:val="none" w:sz="0" w:space="0" w:color="auto"/>
        <w:left w:val="none" w:sz="0" w:space="0" w:color="auto"/>
        <w:bottom w:val="none" w:sz="0" w:space="0" w:color="auto"/>
        <w:right w:val="none" w:sz="0" w:space="0" w:color="auto"/>
      </w:divBdr>
    </w:div>
    <w:div w:id="350306951">
      <w:bodyDiv w:val="1"/>
      <w:marLeft w:val="0"/>
      <w:marRight w:val="0"/>
      <w:marTop w:val="0"/>
      <w:marBottom w:val="0"/>
      <w:divBdr>
        <w:top w:val="none" w:sz="0" w:space="0" w:color="auto"/>
        <w:left w:val="none" w:sz="0" w:space="0" w:color="auto"/>
        <w:bottom w:val="none" w:sz="0" w:space="0" w:color="auto"/>
        <w:right w:val="none" w:sz="0" w:space="0" w:color="auto"/>
      </w:divBdr>
    </w:div>
    <w:div w:id="398406538">
      <w:bodyDiv w:val="1"/>
      <w:marLeft w:val="0"/>
      <w:marRight w:val="0"/>
      <w:marTop w:val="0"/>
      <w:marBottom w:val="0"/>
      <w:divBdr>
        <w:top w:val="none" w:sz="0" w:space="0" w:color="auto"/>
        <w:left w:val="none" w:sz="0" w:space="0" w:color="auto"/>
        <w:bottom w:val="none" w:sz="0" w:space="0" w:color="auto"/>
        <w:right w:val="none" w:sz="0" w:space="0" w:color="auto"/>
      </w:divBdr>
    </w:div>
    <w:div w:id="404501121">
      <w:bodyDiv w:val="1"/>
      <w:marLeft w:val="0"/>
      <w:marRight w:val="0"/>
      <w:marTop w:val="0"/>
      <w:marBottom w:val="0"/>
      <w:divBdr>
        <w:top w:val="none" w:sz="0" w:space="0" w:color="auto"/>
        <w:left w:val="none" w:sz="0" w:space="0" w:color="auto"/>
        <w:bottom w:val="none" w:sz="0" w:space="0" w:color="auto"/>
        <w:right w:val="none" w:sz="0" w:space="0" w:color="auto"/>
      </w:divBdr>
    </w:div>
    <w:div w:id="405536943">
      <w:bodyDiv w:val="1"/>
      <w:marLeft w:val="0"/>
      <w:marRight w:val="0"/>
      <w:marTop w:val="0"/>
      <w:marBottom w:val="0"/>
      <w:divBdr>
        <w:top w:val="none" w:sz="0" w:space="0" w:color="auto"/>
        <w:left w:val="none" w:sz="0" w:space="0" w:color="auto"/>
        <w:bottom w:val="none" w:sz="0" w:space="0" w:color="auto"/>
        <w:right w:val="none" w:sz="0" w:space="0" w:color="auto"/>
      </w:divBdr>
    </w:div>
    <w:div w:id="416485795">
      <w:bodyDiv w:val="1"/>
      <w:marLeft w:val="0"/>
      <w:marRight w:val="0"/>
      <w:marTop w:val="0"/>
      <w:marBottom w:val="0"/>
      <w:divBdr>
        <w:top w:val="none" w:sz="0" w:space="0" w:color="auto"/>
        <w:left w:val="none" w:sz="0" w:space="0" w:color="auto"/>
        <w:bottom w:val="none" w:sz="0" w:space="0" w:color="auto"/>
        <w:right w:val="none" w:sz="0" w:space="0" w:color="auto"/>
      </w:divBdr>
    </w:div>
    <w:div w:id="439842552">
      <w:bodyDiv w:val="1"/>
      <w:marLeft w:val="0"/>
      <w:marRight w:val="0"/>
      <w:marTop w:val="0"/>
      <w:marBottom w:val="0"/>
      <w:divBdr>
        <w:top w:val="none" w:sz="0" w:space="0" w:color="auto"/>
        <w:left w:val="none" w:sz="0" w:space="0" w:color="auto"/>
        <w:bottom w:val="none" w:sz="0" w:space="0" w:color="auto"/>
        <w:right w:val="none" w:sz="0" w:space="0" w:color="auto"/>
      </w:divBdr>
    </w:div>
    <w:div w:id="450906590">
      <w:bodyDiv w:val="1"/>
      <w:marLeft w:val="0"/>
      <w:marRight w:val="0"/>
      <w:marTop w:val="0"/>
      <w:marBottom w:val="0"/>
      <w:divBdr>
        <w:top w:val="none" w:sz="0" w:space="0" w:color="auto"/>
        <w:left w:val="none" w:sz="0" w:space="0" w:color="auto"/>
        <w:bottom w:val="none" w:sz="0" w:space="0" w:color="auto"/>
        <w:right w:val="none" w:sz="0" w:space="0" w:color="auto"/>
      </w:divBdr>
    </w:div>
    <w:div w:id="466900725">
      <w:bodyDiv w:val="1"/>
      <w:marLeft w:val="0"/>
      <w:marRight w:val="0"/>
      <w:marTop w:val="0"/>
      <w:marBottom w:val="0"/>
      <w:divBdr>
        <w:top w:val="none" w:sz="0" w:space="0" w:color="auto"/>
        <w:left w:val="none" w:sz="0" w:space="0" w:color="auto"/>
        <w:bottom w:val="none" w:sz="0" w:space="0" w:color="auto"/>
        <w:right w:val="none" w:sz="0" w:space="0" w:color="auto"/>
      </w:divBdr>
    </w:div>
    <w:div w:id="505443956">
      <w:bodyDiv w:val="1"/>
      <w:marLeft w:val="0"/>
      <w:marRight w:val="0"/>
      <w:marTop w:val="0"/>
      <w:marBottom w:val="0"/>
      <w:divBdr>
        <w:top w:val="none" w:sz="0" w:space="0" w:color="auto"/>
        <w:left w:val="none" w:sz="0" w:space="0" w:color="auto"/>
        <w:bottom w:val="none" w:sz="0" w:space="0" w:color="auto"/>
        <w:right w:val="none" w:sz="0" w:space="0" w:color="auto"/>
      </w:divBdr>
    </w:div>
    <w:div w:id="522014455">
      <w:bodyDiv w:val="1"/>
      <w:marLeft w:val="0"/>
      <w:marRight w:val="0"/>
      <w:marTop w:val="0"/>
      <w:marBottom w:val="0"/>
      <w:divBdr>
        <w:top w:val="none" w:sz="0" w:space="0" w:color="auto"/>
        <w:left w:val="none" w:sz="0" w:space="0" w:color="auto"/>
        <w:bottom w:val="none" w:sz="0" w:space="0" w:color="auto"/>
        <w:right w:val="none" w:sz="0" w:space="0" w:color="auto"/>
      </w:divBdr>
    </w:div>
    <w:div w:id="602417687">
      <w:bodyDiv w:val="1"/>
      <w:marLeft w:val="0"/>
      <w:marRight w:val="0"/>
      <w:marTop w:val="0"/>
      <w:marBottom w:val="0"/>
      <w:divBdr>
        <w:top w:val="none" w:sz="0" w:space="0" w:color="auto"/>
        <w:left w:val="none" w:sz="0" w:space="0" w:color="auto"/>
        <w:bottom w:val="none" w:sz="0" w:space="0" w:color="auto"/>
        <w:right w:val="none" w:sz="0" w:space="0" w:color="auto"/>
      </w:divBdr>
    </w:div>
    <w:div w:id="636297043">
      <w:bodyDiv w:val="1"/>
      <w:marLeft w:val="0"/>
      <w:marRight w:val="0"/>
      <w:marTop w:val="0"/>
      <w:marBottom w:val="0"/>
      <w:divBdr>
        <w:top w:val="none" w:sz="0" w:space="0" w:color="auto"/>
        <w:left w:val="none" w:sz="0" w:space="0" w:color="auto"/>
        <w:bottom w:val="none" w:sz="0" w:space="0" w:color="auto"/>
        <w:right w:val="none" w:sz="0" w:space="0" w:color="auto"/>
      </w:divBdr>
    </w:div>
    <w:div w:id="641154096">
      <w:bodyDiv w:val="1"/>
      <w:marLeft w:val="0"/>
      <w:marRight w:val="0"/>
      <w:marTop w:val="0"/>
      <w:marBottom w:val="0"/>
      <w:divBdr>
        <w:top w:val="none" w:sz="0" w:space="0" w:color="auto"/>
        <w:left w:val="none" w:sz="0" w:space="0" w:color="auto"/>
        <w:bottom w:val="none" w:sz="0" w:space="0" w:color="auto"/>
        <w:right w:val="none" w:sz="0" w:space="0" w:color="auto"/>
      </w:divBdr>
    </w:div>
    <w:div w:id="653066347">
      <w:bodyDiv w:val="1"/>
      <w:marLeft w:val="0"/>
      <w:marRight w:val="0"/>
      <w:marTop w:val="0"/>
      <w:marBottom w:val="0"/>
      <w:divBdr>
        <w:top w:val="none" w:sz="0" w:space="0" w:color="auto"/>
        <w:left w:val="none" w:sz="0" w:space="0" w:color="auto"/>
        <w:bottom w:val="none" w:sz="0" w:space="0" w:color="auto"/>
        <w:right w:val="none" w:sz="0" w:space="0" w:color="auto"/>
      </w:divBdr>
    </w:div>
    <w:div w:id="681275607">
      <w:bodyDiv w:val="1"/>
      <w:marLeft w:val="0"/>
      <w:marRight w:val="0"/>
      <w:marTop w:val="0"/>
      <w:marBottom w:val="0"/>
      <w:divBdr>
        <w:top w:val="none" w:sz="0" w:space="0" w:color="auto"/>
        <w:left w:val="none" w:sz="0" w:space="0" w:color="auto"/>
        <w:bottom w:val="none" w:sz="0" w:space="0" w:color="auto"/>
        <w:right w:val="none" w:sz="0" w:space="0" w:color="auto"/>
      </w:divBdr>
    </w:div>
    <w:div w:id="697899661">
      <w:bodyDiv w:val="1"/>
      <w:marLeft w:val="0"/>
      <w:marRight w:val="0"/>
      <w:marTop w:val="0"/>
      <w:marBottom w:val="0"/>
      <w:divBdr>
        <w:top w:val="none" w:sz="0" w:space="0" w:color="auto"/>
        <w:left w:val="none" w:sz="0" w:space="0" w:color="auto"/>
        <w:bottom w:val="none" w:sz="0" w:space="0" w:color="auto"/>
        <w:right w:val="none" w:sz="0" w:space="0" w:color="auto"/>
      </w:divBdr>
    </w:div>
    <w:div w:id="711609771">
      <w:bodyDiv w:val="1"/>
      <w:marLeft w:val="0"/>
      <w:marRight w:val="0"/>
      <w:marTop w:val="0"/>
      <w:marBottom w:val="0"/>
      <w:divBdr>
        <w:top w:val="none" w:sz="0" w:space="0" w:color="auto"/>
        <w:left w:val="none" w:sz="0" w:space="0" w:color="auto"/>
        <w:bottom w:val="none" w:sz="0" w:space="0" w:color="auto"/>
        <w:right w:val="none" w:sz="0" w:space="0" w:color="auto"/>
      </w:divBdr>
    </w:div>
    <w:div w:id="714891986">
      <w:bodyDiv w:val="1"/>
      <w:marLeft w:val="0"/>
      <w:marRight w:val="0"/>
      <w:marTop w:val="0"/>
      <w:marBottom w:val="0"/>
      <w:divBdr>
        <w:top w:val="none" w:sz="0" w:space="0" w:color="auto"/>
        <w:left w:val="none" w:sz="0" w:space="0" w:color="auto"/>
        <w:bottom w:val="none" w:sz="0" w:space="0" w:color="auto"/>
        <w:right w:val="none" w:sz="0" w:space="0" w:color="auto"/>
      </w:divBdr>
    </w:div>
    <w:div w:id="741679957">
      <w:bodyDiv w:val="1"/>
      <w:marLeft w:val="0"/>
      <w:marRight w:val="0"/>
      <w:marTop w:val="0"/>
      <w:marBottom w:val="0"/>
      <w:divBdr>
        <w:top w:val="none" w:sz="0" w:space="0" w:color="auto"/>
        <w:left w:val="none" w:sz="0" w:space="0" w:color="auto"/>
        <w:bottom w:val="none" w:sz="0" w:space="0" w:color="auto"/>
        <w:right w:val="none" w:sz="0" w:space="0" w:color="auto"/>
      </w:divBdr>
    </w:div>
    <w:div w:id="760564582">
      <w:bodyDiv w:val="1"/>
      <w:marLeft w:val="0"/>
      <w:marRight w:val="0"/>
      <w:marTop w:val="0"/>
      <w:marBottom w:val="0"/>
      <w:divBdr>
        <w:top w:val="none" w:sz="0" w:space="0" w:color="auto"/>
        <w:left w:val="none" w:sz="0" w:space="0" w:color="auto"/>
        <w:bottom w:val="none" w:sz="0" w:space="0" w:color="auto"/>
        <w:right w:val="none" w:sz="0" w:space="0" w:color="auto"/>
      </w:divBdr>
    </w:div>
    <w:div w:id="798379813">
      <w:bodyDiv w:val="1"/>
      <w:marLeft w:val="0"/>
      <w:marRight w:val="0"/>
      <w:marTop w:val="0"/>
      <w:marBottom w:val="0"/>
      <w:divBdr>
        <w:top w:val="none" w:sz="0" w:space="0" w:color="auto"/>
        <w:left w:val="none" w:sz="0" w:space="0" w:color="auto"/>
        <w:bottom w:val="none" w:sz="0" w:space="0" w:color="auto"/>
        <w:right w:val="none" w:sz="0" w:space="0" w:color="auto"/>
      </w:divBdr>
    </w:div>
    <w:div w:id="822893964">
      <w:bodyDiv w:val="1"/>
      <w:marLeft w:val="0"/>
      <w:marRight w:val="0"/>
      <w:marTop w:val="0"/>
      <w:marBottom w:val="0"/>
      <w:divBdr>
        <w:top w:val="none" w:sz="0" w:space="0" w:color="auto"/>
        <w:left w:val="none" w:sz="0" w:space="0" w:color="auto"/>
        <w:bottom w:val="none" w:sz="0" w:space="0" w:color="auto"/>
        <w:right w:val="none" w:sz="0" w:space="0" w:color="auto"/>
      </w:divBdr>
    </w:div>
    <w:div w:id="839350765">
      <w:bodyDiv w:val="1"/>
      <w:marLeft w:val="0"/>
      <w:marRight w:val="0"/>
      <w:marTop w:val="0"/>
      <w:marBottom w:val="0"/>
      <w:divBdr>
        <w:top w:val="none" w:sz="0" w:space="0" w:color="auto"/>
        <w:left w:val="none" w:sz="0" w:space="0" w:color="auto"/>
        <w:bottom w:val="none" w:sz="0" w:space="0" w:color="auto"/>
        <w:right w:val="none" w:sz="0" w:space="0" w:color="auto"/>
      </w:divBdr>
    </w:div>
    <w:div w:id="897546405">
      <w:bodyDiv w:val="1"/>
      <w:marLeft w:val="0"/>
      <w:marRight w:val="0"/>
      <w:marTop w:val="0"/>
      <w:marBottom w:val="0"/>
      <w:divBdr>
        <w:top w:val="none" w:sz="0" w:space="0" w:color="auto"/>
        <w:left w:val="none" w:sz="0" w:space="0" w:color="auto"/>
        <w:bottom w:val="none" w:sz="0" w:space="0" w:color="auto"/>
        <w:right w:val="none" w:sz="0" w:space="0" w:color="auto"/>
      </w:divBdr>
    </w:div>
    <w:div w:id="950011770">
      <w:bodyDiv w:val="1"/>
      <w:marLeft w:val="0"/>
      <w:marRight w:val="0"/>
      <w:marTop w:val="0"/>
      <w:marBottom w:val="0"/>
      <w:divBdr>
        <w:top w:val="none" w:sz="0" w:space="0" w:color="auto"/>
        <w:left w:val="none" w:sz="0" w:space="0" w:color="auto"/>
        <w:bottom w:val="none" w:sz="0" w:space="0" w:color="auto"/>
        <w:right w:val="none" w:sz="0" w:space="0" w:color="auto"/>
      </w:divBdr>
    </w:div>
    <w:div w:id="957495770">
      <w:bodyDiv w:val="1"/>
      <w:marLeft w:val="0"/>
      <w:marRight w:val="0"/>
      <w:marTop w:val="0"/>
      <w:marBottom w:val="0"/>
      <w:divBdr>
        <w:top w:val="none" w:sz="0" w:space="0" w:color="auto"/>
        <w:left w:val="none" w:sz="0" w:space="0" w:color="auto"/>
        <w:bottom w:val="none" w:sz="0" w:space="0" w:color="auto"/>
        <w:right w:val="none" w:sz="0" w:space="0" w:color="auto"/>
      </w:divBdr>
    </w:div>
    <w:div w:id="971909765">
      <w:bodyDiv w:val="1"/>
      <w:marLeft w:val="0"/>
      <w:marRight w:val="0"/>
      <w:marTop w:val="0"/>
      <w:marBottom w:val="0"/>
      <w:divBdr>
        <w:top w:val="none" w:sz="0" w:space="0" w:color="auto"/>
        <w:left w:val="none" w:sz="0" w:space="0" w:color="auto"/>
        <w:bottom w:val="none" w:sz="0" w:space="0" w:color="auto"/>
        <w:right w:val="none" w:sz="0" w:space="0" w:color="auto"/>
      </w:divBdr>
    </w:div>
    <w:div w:id="1014838783">
      <w:bodyDiv w:val="1"/>
      <w:marLeft w:val="0"/>
      <w:marRight w:val="0"/>
      <w:marTop w:val="0"/>
      <w:marBottom w:val="0"/>
      <w:divBdr>
        <w:top w:val="none" w:sz="0" w:space="0" w:color="auto"/>
        <w:left w:val="none" w:sz="0" w:space="0" w:color="auto"/>
        <w:bottom w:val="none" w:sz="0" w:space="0" w:color="auto"/>
        <w:right w:val="none" w:sz="0" w:space="0" w:color="auto"/>
      </w:divBdr>
    </w:div>
    <w:div w:id="1071122971">
      <w:bodyDiv w:val="1"/>
      <w:marLeft w:val="0"/>
      <w:marRight w:val="0"/>
      <w:marTop w:val="0"/>
      <w:marBottom w:val="0"/>
      <w:divBdr>
        <w:top w:val="none" w:sz="0" w:space="0" w:color="auto"/>
        <w:left w:val="none" w:sz="0" w:space="0" w:color="auto"/>
        <w:bottom w:val="none" w:sz="0" w:space="0" w:color="auto"/>
        <w:right w:val="none" w:sz="0" w:space="0" w:color="auto"/>
      </w:divBdr>
    </w:div>
    <w:div w:id="1071779004">
      <w:bodyDiv w:val="1"/>
      <w:marLeft w:val="0"/>
      <w:marRight w:val="0"/>
      <w:marTop w:val="0"/>
      <w:marBottom w:val="0"/>
      <w:divBdr>
        <w:top w:val="none" w:sz="0" w:space="0" w:color="auto"/>
        <w:left w:val="none" w:sz="0" w:space="0" w:color="auto"/>
        <w:bottom w:val="none" w:sz="0" w:space="0" w:color="auto"/>
        <w:right w:val="none" w:sz="0" w:space="0" w:color="auto"/>
      </w:divBdr>
    </w:div>
    <w:div w:id="1080641472">
      <w:bodyDiv w:val="1"/>
      <w:marLeft w:val="0"/>
      <w:marRight w:val="0"/>
      <w:marTop w:val="0"/>
      <w:marBottom w:val="0"/>
      <w:divBdr>
        <w:top w:val="none" w:sz="0" w:space="0" w:color="auto"/>
        <w:left w:val="none" w:sz="0" w:space="0" w:color="auto"/>
        <w:bottom w:val="none" w:sz="0" w:space="0" w:color="auto"/>
        <w:right w:val="none" w:sz="0" w:space="0" w:color="auto"/>
      </w:divBdr>
    </w:div>
    <w:div w:id="1107385231">
      <w:bodyDiv w:val="1"/>
      <w:marLeft w:val="0"/>
      <w:marRight w:val="0"/>
      <w:marTop w:val="0"/>
      <w:marBottom w:val="0"/>
      <w:divBdr>
        <w:top w:val="none" w:sz="0" w:space="0" w:color="auto"/>
        <w:left w:val="none" w:sz="0" w:space="0" w:color="auto"/>
        <w:bottom w:val="none" w:sz="0" w:space="0" w:color="auto"/>
        <w:right w:val="none" w:sz="0" w:space="0" w:color="auto"/>
      </w:divBdr>
    </w:div>
    <w:div w:id="1184979641">
      <w:bodyDiv w:val="1"/>
      <w:marLeft w:val="0"/>
      <w:marRight w:val="0"/>
      <w:marTop w:val="0"/>
      <w:marBottom w:val="0"/>
      <w:divBdr>
        <w:top w:val="none" w:sz="0" w:space="0" w:color="auto"/>
        <w:left w:val="none" w:sz="0" w:space="0" w:color="auto"/>
        <w:bottom w:val="none" w:sz="0" w:space="0" w:color="auto"/>
        <w:right w:val="none" w:sz="0" w:space="0" w:color="auto"/>
      </w:divBdr>
    </w:div>
    <w:div w:id="1319724620">
      <w:bodyDiv w:val="1"/>
      <w:marLeft w:val="0"/>
      <w:marRight w:val="0"/>
      <w:marTop w:val="0"/>
      <w:marBottom w:val="0"/>
      <w:divBdr>
        <w:top w:val="none" w:sz="0" w:space="0" w:color="auto"/>
        <w:left w:val="none" w:sz="0" w:space="0" w:color="auto"/>
        <w:bottom w:val="none" w:sz="0" w:space="0" w:color="auto"/>
        <w:right w:val="none" w:sz="0" w:space="0" w:color="auto"/>
      </w:divBdr>
    </w:div>
    <w:div w:id="1356006403">
      <w:bodyDiv w:val="1"/>
      <w:marLeft w:val="0"/>
      <w:marRight w:val="0"/>
      <w:marTop w:val="0"/>
      <w:marBottom w:val="0"/>
      <w:divBdr>
        <w:top w:val="none" w:sz="0" w:space="0" w:color="auto"/>
        <w:left w:val="none" w:sz="0" w:space="0" w:color="auto"/>
        <w:bottom w:val="none" w:sz="0" w:space="0" w:color="auto"/>
        <w:right w:val="none" w:sz="0" w:space="0" w:color="auto"/>
      </w:divBdr>
    </w:div>
    <w:div w:id="1365592661">
      <w:bodyDiv w:val="1"/>
      <w:marLeft w:val="0"/>
      <w:marRight w:val="0"/>
      <w:marTop w:val="0"/>
      <w:marBottom w:val="0"/>
      <w:divBdr>
        <w:top w:val="none" w:sz="0" w:space="0" w:color="auto"/>
        <w:left w:val="none" w:sz="0" w:space="0" w:color="auto"/>
        <w:bottom w:val="none" w:sz="0" w:space="0" w:color="auto"/>
        <w:right w:val="none" w:sz="0" w:space="0" w:color="auto"/>
      </w:divBdr>
    </w:div>
    <w:div w:id="1377244566">
      <w:bodyDiv w:val="1"/>
      <w:marLeft w:val="0"/>
      <w:marRight w:val="0"/>
      <w:marTop w:val="0"/>
      <w:marBottom w:val="0"/>
      <w:divBdr>
        <w:top w:val="none" w:sz="0" w:space="0" w:color="auto"/>
        <w:left w:val="none" w:sz="0" w:space="0" w:color="auto"/>
        <w:bottom w:val="none" w:sz="0" w:space="0" w:color="auto"/>
        <w:right w:val="none" w:sz="0" w:space="0" w:color="auto"/>
      </w:divBdr>
    </w:div>
    <w:div w:id="1409186324">
      <w:bodyDiv w:val="1"/>
      <w:marLeft w:val="0"/>
      <w:marRight w:val="0"/>
      <w:marTop w:val="0"/>
      <w:marBottom w:val="0"/>
      <w:divBdr>
        <w:top w:val="none" w:sz="0" w:space="0" w:color="auto"/>
        <w:left w:val="none" w:sz="0" w:space="0" w:color="auto"/>
        <w:bottom w:val="none" w:sz="0" w:space="0" w:color="auto"/>
        <w:right w:val="none" w:sz="0" w:space="0" w:color="auto"/>
      </w:divBdr>
    </w:div>
    <w:div w:id="1461651175">
      <w:bodyDiv w:val="1"/>
      <w:marLeft w:val="0"/>
      <w:marRight w:val="0"/>
      <w:marTop w:val="0"/>
      <w:marBottom w:val="0"/>
      <w:divBdr>
        <w:top w:val="none" w:sz="0" w:space="0" w:color="auto"/>
        <w:left w:val="none" w:sz="0" w:space="0" w:color="auto"/>
        <w:bottom w:val="none" w:sz="0" w:space="0" w:color="auto"/>
        <w:right w:val="none" w:sz="0" w:space="0" w:color="auto"/>
      </w:divBdr>
    </w:div>
    <w:div w:id="1469085263">
      <w:bodyDiv w:val="1"/>
      <w:marLeft w:val="0"/>
      <w:marRight w:val="0"/>
      <w:marTop w:val="0"/>
      <w:marBottom w:val="0"/>
      <w:divBdr>
        <w:top w:val="none" w:sz="0" w:space="0" w:color="auto"/>
        <w:left w:val="none" w:sz="0" w:space="0" w:color="auto"/>
        <w:bottom w:val="none" w:sz="0" w:space="0" w:color="auto"/>
        <w:right w:val="none" w:sz="0" w:space="0" w:color="auto"/>
      </w:divBdr>
    </w:div>
    <w:div w:id="1527644453">
      <w:bodyDiv w:val="1"/>
      <w:marLeft w:val="0"/>
      <w:marRight w:val="0"/>
      <w:marTop w:val="0"/>
      <w:marBottom w:val="0"/>
      <w:divBdr>
        <w:top w:val="none" w:sz="0" w:space="0" w:color="auto"/>
        <w:left w:val="none" w:sz="0" w:space="0" w:color="auto"/>
        <w:bottom w:val="none" w:sz="0" w:space="0" w:color="auto"/>
        <w:right w:val="none" w:sz="0" w:space="0" w:color="auto"/>
      </w:divBdr>
    </w:div>
    <w:div w:id="1531919003">
      <w:bodyDiv w:val="1"/>
      <w:marLeft w:val="0"/>
      <w:marRight w:val="0"/>
      <w:marTop w:val="0"/>
      <w:marBottom w:val="0"/>
      <w:divBdr>
        <w:top w:val="none" w:sz="0" w:space="0" w:color="auto"/>
        <w:left w:val="none" w:sz="0" w:space="0" w:color="auto"/>
        <w:bottom w:val="none" w:sz="0" w:space="0" w:color="auto"/>
        <w:right w:val="none" w:sz="0" w:space="0" w:color="auto"/>
      </w:divBdr>
    </w:div>
    <w:div w:id="1559125373">
      <w:bodyDiv w:val="1"/>
      <w:marLeft w:val="0"/>
      <w:marRight w:val="0"/>
      <w:marTop w:val="0"/>
      <w:marBottom w:val="0"/>
      <w:divBdr>
        <w:top w:val="none" w:sz="0" w:space="0" w:color="auto"/>
        <w:left w:val="none" w:sz="0" w:space="0" w:color="auto"/>
        <w:bottom w:val="none" w:sz="0" w:space="0" w:color="auto"/>
        <w:right w:val="none" w:sz="0" w:space="0" w:color="auto"/>
      </w:divBdr>
    </w:div>
    <w:div w:id="1587301398">
      <w:bodyDiv w:val="1"/>
      <w:marLeft w:val="0"/>
      <w:marRight w:val="0"/>
      <w:marTop w:val="0"/>
      <w:marBottom w:val="0"/>
      <w:divBdr>
        <w:top w:val="none" w:sz="0" w:space="0" w:color="auto"/>
        <w:left w:val="none" w:sz="0" w:space="0" w:color="auto"/>
        <w:bottom w:val="none" w:sz="0" w:space="0" w:color="auto"/>
        <w:right w:val="none" w:sz="0" w:space="0" w:color="auto"/>
      </w:divBdr>
    </w:div>
    <w:div w:id="1665477687">
      <w:bodyDiv w:val="1"/>
      <w:marLeft w:val="0"/>
      <w:marRight w:val="0"/>
      <w:marTop w:val="0"/>
      <w:marBottom w:val="0"/>
      <w:divBdr>
        <w:top w:val="none" w:sz="0" w:space="0" w:color="auto"/>
        <w:left w:val="none" w:sz="0" w:space="0" w:color="auto"/>
        <w:bottom w:val="none" w:sz="0" w:space="0" w:color="auto"/>
        <w:right w:val="none" w:sz="0" w:space="0" w:color="auto"/>
      </w:divBdr>
    </w:div>
    <w:div w:id="1667971499">
      <w:bodyDiv w:val="1"/>
      <w:marLeft w:val="0"/>
      <w:marRight w:val="0"/>
      <w:marTop w:val="0"/>
      <w:marBottom w:val="0"/>
      <w:divBdr>
        <w:top w:val="none" w:sz="0" w:space="0" w:color="auto"/>
        <w:left w:val="none" w:sz="0" w:space="0" w:color="auto"/>
        <w:bottom w:val="none" w:sz="0" w:space="0" w:color="auto"/>
        <w:right w:val="none" w:sz="0" w:space="0" w:color="auto"/>
      </w:divBdr>
    </w:div>
    <w:div w:id="1668628722">
      <w:bodyDiv w:val="1"/>
      <w:marLeft w:val="0"/>
      <w:marRight w:val="0"/>
      <w:marTop w:val="0"/>
      <w:marBottom w:val="0"/>
      <w:divBdr>
        <w:top w:val="none" w:sz="0" w:space="0" w:color="auto"/>
        <w:left w:val="none" w:sz="0" w:space="0" w:color="auto"/>
        <w:bottom w:val="none" w:sz="0" w:space="0" w:color="auto"/>
        <w:right w:val="none" w:sz="0" w:space="0" w:color="auto"/>
      </w:divBdr>
    </w:div>
    <w:div w:id="1676883865">
      <w:bodyDiv w:val="1"/>
      <w:marLeft w:val="0"/>
      <w:marRight w:val="0"/>
      <w:marTop w:val="0"/>
      <w:marBottom w:val="0"/>
      <w:divBdr>
        <w:top w:val="none" w:sz="0" w:space="0" w:color="auto"/>
        <w:left w:val="none" w:sz="0" w:space="0" w:color="auto"/>
        <w:bottom w:val="none" w:sz="0" w:space="0" w:color="auto"/>
        <w:right w:val="none" w:sz="0" w:space="0" w:color="auto"/>
      </w:divBdr>
    </w:div>
    <w:div w:id="1679576879">
      <w:bodyDiv w:val="1"/>
      <w:marLeft w:val="0"/>
      <w:marRight w:val="0"/>
      <w:marTop w:val="0"/>
      <w:marBottom w:val="0"/>
      <w:divBdr>
        <w:top w:val="none" w:sz="0" w:space="0" w:color="auto"/>
        <w:left w:val="none" w:sz="0" w:space="0" w:color="auto"/>
        <w:bottom w:val="none" w:sz="0" w:space="0" w:color="auto"/>
        <w:right w:val="none" w:sz="0" w:space="0" w:color="auto"/>
      </w:divBdr>
    </w:div>
    <w:div w:id="1690911935">
      <w:bodyDiv w:val="1"/>
      <w:marLeft w:val="0"/>
      <w:marRight w:val="0"/>
      <w:marTop w:val="0"/>
      <w:marBottom w:val="0"/>
      <w:divBdr>
        <w:top w:val="none" w:sz="0" w:space="0" w:color="auto"/>
        <w:left w:val="none" w:sz="0" w:space="0" w:color="auto"/>
        <w:bottom w:val="none" w:sz="0" w:space="0" w:color="auto"/>
        <w:right w:val="none" w:sz="0" w:space="0" w:color="auto"/>
      </w:divBdr>
    </w:div>
    <w:div w:id="1702198853">
      <w:bodyDiv w:val="1"/>
      <w:marLeft w:val="0"/>
      <w:marRight w:val="0"/>
      <w:marTop w:val="0"/>
      <w:marBottom w:val="0"/>
      <w:divBdr>
        <w:top w:val="none" w:sz="0" w:space="0" w:color="auto"/>
        <w:left w:val="none" w:sz="0" w:space="0" w:color="auto"/>
        <w:bottom w:val="none" w:sz="0" w:space="0" w:color="auto"/>
        <w:right w:val="none" w:sz="0" w:space="0" w:color="auto"/>
      </w:divBdr>
    </w:div>
    <w:div w:id="1708987250">
      <w:bodyDiv w:val="1"/>
      <w:marLeft w:val="0"/>
      <w:marRight w:val="0"/>
      <w:marTop w:val="0"/>
      <w:marBottom w:val="0"/>
      <w:divBdr>
        <w:top w:val="none" w:sz="0" w:space="0" w:color="auto"/>
        <w:left w:val="none" w:sz="0" w:space="0" w:color="auto"/>
        <w:bottom w:val="none" w:sz="0" w:space="0" w:color="auto"/>
        <w:right w:val="none" w:sz="0" w:space="0" w:color="auto"/>
      </w:divBdr>
    </w:div>
    <w:div w:id="1716081254">
      <w:bodyDiv w:val="1"/>
      <w:marLeft w:val="0"/>
      <w:marRight w:val="0"/>
      <w:marTop w:val="0"/>
      <w:marBottom w:val="0"/>
      <w:divBdr>
        <w:top w:val="none" w:sz="0" w:space="0" w:color="auto"/>
        <w:left w:val="none" w:sz="0" w:space="0" w:color="auto"/>
        <w:bottom w:val="none" w:sz="0" w:space="0" w:color="auto"/>
        <w:right w:val="none" w:sz="0" w:space="0" w:color="auto"/>
      </w:divBdr>
    </w:div>
    <w:div w:id="1775595262">
      <w:bodyDiv w:val="1"/>
      <w:marLeft w:val="0"/>
      <w:marRight w:val="0"/>
      <w:marTop w:val="0"/>
      <w:marBottom w:val="0"/>
      <w:divBdr>
        <w:top w:val="none" w:sz="0" w:space="0" w:color="auto"/>
        <w:left w:val="none" w:sz="0" w:space="0" w:color="auto"/>
        <w:bottom w:val="none" w:sz="0" w:space="0" w:color="auto"/>
        <w:right w:val="none" w:sz="0" w:space="0" w:color="auto"/>
      </w:divBdr>
    </w:div>
    <w:div w:id="1796563017">
      <w:bodyDiv w:val="1"/>
      <w:marLeft w:val="0"/>
      <w:marRight w:val="0"/>
      <w:marTop w:val="0"/>
      <w:marBottom w:val="0"/>
      <w:divBdr>
        <w:top w:val="none" w:sz="0" w:space="0" w:color="auto"/>
        <w:left w:val="none" w:sz="0" w:space="0" w:color="auto"/>
        <w:bottom w:val="none" w:sz="0" w:space="0" w:color="auto"/>
        <w:right w:val="none" w:sz="0" w:space="0" w:color="auto"/>
      </w:divBdr>
    </w:div>
    <w:div w:id="1853031856">
      <w:bodyDiv w:val="1"/>
      <w:marLeft w:val="0"/>
      <w:marRight w:val="0"/>
      <w:marTop w:val="0"/>
      <w:marBottom w:val="0"/>
      <w:divBdr>
        <w:top w:val="none" w:sz="0" w:space="0" w:color="auto"/>
        <w:left w:val="none" w:sz="0" w:space="0" w:color="auto"/>
        <w:bottom w:val="none" w:sz="0" w:space="0" w:color="auto"/>
        <w:right w:val="none" w:sz="0" w:space="0" w:color="auto"/>
      </w:divBdr>
    </w:div>
    <w:div w:id="1884440650">
      <w:bodyDiv w:val="1"/>
      <w:marLeft w:val="0"/>
      <w:marRight w:val="0"/>
      <w:marTop w:val="0"/>
      <w:marBottom w:val="0"/>
      <w:divBdr>
        <w:top w:val="none" w:sz="0" w:space="0" w:color="auto"/>
        <w:left w:val="none" w:sz="0" w:space="0" w:color="auto"/>
        <w:bottom w:val="none" w:sz="0" w:space="0" w:color="auto"/>
        <w:right w:val="none" w:sz="0" w:space="0" w:color="auto"/>
      </w:divBdr>
    </w:div>
    <w:div w:id="1949002003">
      <w:bodyDiv w:val="1"/>
      <w:marLeft w:val="0"/>
      <w:marRight w:val="0"/>
      <w:marTop w:val="0"/>
      <w:marBottom w:val="0"/>
      <w:divBdr>
        <w:top w:val="none" w:sz="0" w:space="0" w:color="auto"/>
        <w:left w:val="none" w:sz="0" w:space="0" w:color="auto"/>
        <w:bottom w:val="none" w:sz="0" w:space="0" w:color="auto"/>
        <w:right w:val="none" w:sz="0" w:space="0" w:color="auto"/>
      </w:divBdr>
    </w:div>
    <w:div w:id="2039156739">
      <w:bodyDiv w:val="1"/>
      <w:marLeft w:val="0"/>
      <w:marRight w:val="0"/>
      <w:marTop w:val="0"/>
      <w:marBottom w:val="0"/>
      <w:divBdr>
        <w:top w:val="none" w:sz="0" w:space="0" w:color="auto"/>
        <w:left w:val="none" w:sz="0" w:space="0" w:color="auto"/>
        <w:bottom w:val="none" w:sz="0" w:space="0" w:color="auto"/>
        <w:right w:val="none" w:sz="0" w:space="0" w:color="auto"/>
      </w:divBdr>
    </w:div>
    <w:div w:id="21018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safeworkaustralia.gov.au/sites/swa/about/publications/pages/australian-work-health-and-safety-strategy-2012-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pyrightrequests@swa.gov.au" TargetMode="External"/><Relationship Id="rId17" Type="http://schemas.openxmlformats.org/officeDocument/2006/relationships/hyperlink" Target="http://www.safeworkaustralia.gov.au/sites/swa/about/publications/pages/sr20080501toocs3rdeditionrevision" TargetMode="External"/><Relationship Id="rId2" Type="http://schemas.openxmlformats.org/officeDocument/2006/relationships/numbering" Target="numbering.xml"/><Relationship Id="rId16" Type="http://schemas.openxmlformats.org/officeDocument/2006/relationships/hyperlink" Target="http://www.safeworkaustralia.gov.au/sites/swa/about/publications/pages/explanatory-notes-datase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prodapp\stats_data\Data%20and%20Analysis\Publications\Australian%20Strategy%20Publications\Priority%20disorders\Musculoskeletal%20disorders\nature,%202000-01%20to%202013-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rodapp\stats_data\Data%20and%20Analysis\Publications\Australian%20Strategy%20Publications\Priority%20disorders\Musculoskeletal%20disorders\nature,%202000-01%20to%202013-1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prodapp\stats_data\Data%20and%20Analysis\Publications\Australian%20Strategy%20Publications\Priority%20disorders\Musculoskeletal%20disorders\time%20lost%20and%20compensation%20paid,%202000-01%20to%202012-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2174103237095"/>
          <c:y val="5.0925925925925923E-2"/>
          <c:w val="0.84612270341207352"/>
          <c:h val="0.80169145523476237"/>
        </c:manualLayout>
      </c:layout>
      <c:lineChart>
        <c:grouping val="standard"/>
        <c:varyColors val="0"/>
        <c:ser>
          <c:idx val="0"/>
          <c:order val="0"/>
          <c:tx>
            <c:strRef>
              <c:f>Trends!$A$25</c:f>
              <c:strCache>
                <c:ptCount val="1"/>
                <c:pt idx="0">
                  <c:v>Percentage of MSDs</c:v>
                </c:pt>
              </c:strCache>
            </c:strRef>
          </c:tx>
          <c:spPr>
            <a:ln w="28575">
              <a:solidFill>
                <a:srgbClr val="00B050"/>
              </a:solidFill>
              <a:prstDash val="solid"/>
            </a:ln>
          </c:spPr>
          <c:marker>
            <c:symbol val="none"/>
          </c:marker>
          <c:dPt>
            <c:idx val="13"/>
            <c:bubble3D val="0"/>
            <c:spPr>
              <a:ln w="28575">
                <a:solidFill>
                  <a:srgbClr val="00B050"/>
                </a:solidFill>
                <a:prstDash val="sysDot"/>
              </a:ln>
            </c:spPr>
          </c:dPt>
          <c:cat>
            <c:strRef>
              <c:f>Trends!$B$23:$O$23</c:f>
              <c:strCache>
                <c:ptCount val="14"/>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2013-14p</c:v>
                </c:pt>
              </c:strCache>
            </c:strRef>
          </c:cat>
          <c:val>
            <c:numRef>
              <c:f>Trends!$B$25:$O$25</c:f>
              <c:numCache>
                <c:formatCode>0%</c:formatCode>
                <c:ptCount val="14"/>
                <c:pt idx="0">
                  <c:v>0.60667327728744525</c:v>
                </c:pt>
                <c:pt idx="1">
                  <c:v>0.61043459960083757</c:v>
                </c:pt>
                <c:pt idx="2">
                  <c:v>0.60163624780517888</c:v>
                </c:pt>
                <c:pt idx="3">
                  <c:v>0.60349907278520742</c:v>
                </c:pt>
                <c:pt idx="4">
                  <c:v>0.59696346590520755</c:v>
                </c:pt>
                <c:pt idx="5">
                  <c:v>0.59663466866825876</c:v>
                </c:pt>
                <c:pt idx="6">
                  <c:v>0.59528784029137349</c:v>
                </c:pt>
                <c:pt idx="7">
                  <c:v>0.5923561463182595</c:v>
                </c:pt>
                <c:pt idx="8">
                  <c:v>0.60032325844024481</c:v>
                </c:pt>
                <c:pt idx="9">
                  <c:v>0.60411959298652773</c:v>
                </c:pt>
                <c:pt idx="10">
                  <c:v>0.59568809348576246</c:v>
                </c:pt>
                <c:pt idx="11">
                  <c:v>0.60889606593733703</c:v>
                </c:pt>
                <c:pt idx="12">
                  <c:v>0.60456035050599854</c:v>
                </c:pt>
                <c:pt idx="13">
                  <c:v>0.60425568077245206</c:v>
                </c:pt>
              </c:numCache>
            </c:numRef>
          </c:val>
          <c:smooth val="0"/>
        </c:ser>
        <c:dLbls>
          <c:showLegendKey val="0"/>
          <c:showVal val="0"/>
          <c:showCatName val="0"/>
          <c:showSerName val="0"/>
          <c:showPercent val="0"/>
          <c:showBubbleSize val="0"/>
        </c:dLbls>
        <c:marker val="1"/>
        <c:smooth val="0"/>
        <c:axId val="47123840"/>
        <c:axId val="47125632"/>
      </c:lineChart>
      <c:catAx>
        <c:axId val="47123840"/>
        <c:scaling>
          <c:orientation val="minMax"/>
        </c:scaling>
        <c:delete val="0"/>
        <c:axPos val="b"/>
        <c:majorTickMark val="none"/>
        <c:minorTickMark val="out"/>
        <c:tickLblPos val="nextTo"/>
        <c:txPr>
          <a:bodyPr rot="-1500000"/>
          <a:lstStyle/>
          <a:p>
            <a:pPr>
              <a:defRPr/>
            </a:pPr>
            <a:endParaRPr lang="en-US"/>
          </a:p>
        </c:txPr>
        <c:crossAx val="47125632"/>
        <c:crosses val="autoZero"/>
        <c:auto val="1"/>
        <c:lblAlgn val="ctr"/>
        <c:lblOffset val="100"/>
        <c:noMultiLvlLbl val="0"/>
      </c:catAx>
      <c:valAx>
        <c:axId val="47125632"/>
        <c:scaling>
          <c:orientation val="minMax"/>
          <c:min val="0"/>
        </c:scaling>
        <c:delete val="0"/>
        <c:axPos val="l"/>
        <c:majorGridlines/>
        <c:title>
          <c:tx>
            <c:rich>
              <a:bodyPr rot="-5400000" vert="horz"/>
              <a:lstStyle/>
              <a:p>
                <a:pPr>
                  <a:defRPr/>
                </a:pPr>
                <a:r>
                  <a:rPr lang="en-AU"/>
                  <a:t>Percentage</a:t>
                </a:r>
                <a:r>
                  <a:rPr lang="en-AU" baseline="0"/>
                  <a:t> of serious claims that involved MSDs</a:t>
                </a:r>
                <a:endParaRPr lang="en-AU"/>
              </a:p>
            </c:rich>
          </c:tx>
          <c:layout>
            <c:manualLayout>
              <c:xMode val="edge"/>
              <c:yMode val="edge"/>
              <c:x val="1.1775868055555555E-2"/>
              <c:y val="0.1139966049382716"/>
            </c:manualLayout>
          </c:layout>
          <c:overlay val="0"/>
        </c:title>
        <c:numFmt formatCode="0%" sourceLinked="1"/>
        <c:majorTickMark val="out"/>
        <c:minorTickMark val="none"/>
        <c:tickLblPos val="nextTo"/>
        <c:crossAx val="47123840"/>
        <c:crosses val="autoZero"/>
        <c:crossBetween val="between"/>
      </c:valAx>
    </c:plotArea>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2174103237095"/>
          <c:y val="5.0925925925925923E-2"/>
          <c:w val="0.84612270341207352"/>
          <c:h val="0.80169145523476237"/>
        </c:manualLayout>
      </c:layout>
      <c:lineChart>
        <c:grouping val="standard"/>
        <c:varyColors val="0"/>
        <c:ser>
          <c:idx val="0"/>
          <c:order val="0"/>
          <c:tx>
            <c:strRef>
              <c:f>Trends!$A$30</c:f>
              <c:strCache>
                <c:ptCount val="1"/>
                <c:pt idx="0">
                  <c:v>MSD-involved serious claims per million hours worked</c:v>
                </c:pt>
              </c:strCache>
            </c:strRef>
          </c:tx>
          <c:spPr>
            <a:ln>
              <a:solidFill>
                <a:srgbClr val="00B050"/>
              </a:solidFill>
            </a:ln>
          </c:spPr>
          <c:marker>
            <c:symbol val="none"/>
          </c:marker>
          <c:dPt>
            <c:idx val="13"/>
            <c:bubble3D val="0"/>
            <c:spPr>
              <a:ln>
                <a:solidFill>
                  <a:srgbClr val="00B050"/>
                </a:solidFill>
                <a:prstDash val="sysDot"/>
              </a:ln>
            </c:spPr>
          </c:dPt>
          <c:cat>
            <c:strRef>
              <c:f>Trends!$B$23:$O$23</c:f>
              <c:strCache>
                <c:ptCount val="14"/>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2013-14p</c:v>
                </c:pt>
              </c:strCache>
            </c:strRef>
          </c:cat>
          <c:val>
            <c:numRef>
              <c:f>Trends!$B$30:$O$30</c:f>
              <c:numCache>
                <c:formatCode>#,##0.0</c:formatCode>
                <c:ptCount val="14"/>
                <c:pt idx="0">
                  <c:v>5.7447899215007645</c:v>
                </c:pt>
                <c:pt idx="1">
                  <c:v>5.6396419472471608</c:v>
                </c:pt>
                <c:pt idx="2">
                  <c:v>5.5292399158627532</c:v>
                </c:pt>
                <c:pt idx="3">
                  <c:v>5.5490741992684613</c:v>
                </c:pt>
                <c:pt idx="4">
                  <c:v>5.3342265751788194</c:v>
                </c:pt>
                <c:pt idx="5">
                  <c:v>5.0715617010098599</c:v>
                </c:pt>
                <c:pt idx="6">
                  <c:v>4.8258884425101005</c:v>
                </c:pt>
                <c:pt idx="7">
                  <c:v>4.6886338182516143</c:v>
                </c:pt>
                <c:pt idx="8">
                  <c:v>4.5921860565357919</c:v>
                </c:pt>
                <c:pt idx="9">
                  <c:v>4.5080943819959804</c:v>
                </c:pt>
                <c:pt idx="10">
                  <c:v>4.3936187403619344</c:v>
                </c:pt>
                <c:pt idx="11">
                  <c:v>4.3761056640575537</c:v>
                </c:pt>
                <c:pt idx="12">
                  <c:v>3.9767095162131363</c:v>
                </c:pt>
                <c:pt idx="13">
                  <c:v>3.5523156878448261</c:v>
                </c:pt>
              </c:numCache>
            </c:numRef>
          </c:val>
          <c:smooth val="0"/>
        </c:ser>
        <c:ser>
          <c:idx val="1"/>
          <c:order val="1"/>
          <c:tx>
            <c:strRef>
              <c:f>Trends!$A$31</c:f>
              <c:strCache>
                <c:ptCount val="1"/>
                <c:pt idx="0">
                  <c:v>Serious claims per million hours worked</c:v>
                </c:pt>
              </c:strCache>
            </c:strRef>
          </c:tx>
          <c:spPr>
            <a:ln>
              <a:solidFill>
                <a:schemeClr val="accent1"/>
              </a:solidFill>
            </a:ln>
          </c:spPr>
          <c:marker>
            <c:symbol val="none"/>
          </c:marker>
          <c:dPt>
            <c:idx val="13"/>
            <c:bubble3D val="0"/>
            <c:spPr>
              <a:ln>
                <a:solidFill>
                  <a:schemeClr val="accent1"/>
                </a:solidFill>
                <a:prstDash val="sysDot"/>
              </a:ln>
            </c:spPr>
          </c:dPt>
          <c:cat>
            <c:strRef>
              <c:f>Trends!$B$23:$O$23</c:f>
              <c:strCache>
                <c:ptCount val="14"/>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2013-14p</c:v>
                </c:pt>
              </c:strCache>
            </c:strRef>
          </c:cat>
          <c:val>
            <c:numRef>
              <c:f>Trends!$B$31:$O$31</c:f>
              <c:numCache>
                <c:formatCode>#,##0.0</c:formatCode>
                <c:ptCount val="14"/>
                <c:pt idx="0">
                  <c:v>9.4693307527683483</c:v>
                </c:pt>
                <c:pt idx="1">
                  <c:v>9.2387324554258807</c:v>
                </c:pt>
                <c:pt idx="2">
                  <c:v>9.1903370783158422</c:v>
                </c:pt>
                <c:pt idx="3">
                  <c:v>9.1948346725023757</c:v>
                </c:pt>
                <c:pt idx="4">
                  <c:v>8.9355997139460559</c:v>
                </c:pt>
                <c:pt idx="5">
                  <c:v>8.5002799323244727</c:v>
                </c:pt>
                <c:pt idx="6">
                  <c:v>8.1068150831839425</c:v>
                </c:pt>
                <c:pt idx="7">
                  <c:v>7.915227768621004</c:v>
                </c:pt>
                <c:pt idx="8">
                  <c:v>7.6495221399003839</c:v>
                </c:pt>
                <c:pt idx="9">
                  <c:v>7.4622548818682564</c:v>
                </c:pt>
                <c:pt idx="10">
                  <c:v>7.3757034736954106</c:v>
                </c:pt>
                <c:pt idx="11">
                  <c:v>7.1869501362616948</c:v>
                </c:pt>
                <c:pt idx="12">
                  <c:v>6.5778536632194813</c:v>
                </c:pt>
                <c:pt idx="13">
                  <c:v>5.8788287820541676</c:v>
                </c:pt>
              </c:numCache>
            </c:numRef>
          </c:val>
          <c:smooth val="0"/>
        </c:ser>
        <c:dLbls>
          <c:showLegendKey val="0"/>
          <c:showVal val="0"/>
          <c:showCatName val="0"/>
          <c:showSerName val="0"/>
          <c:showPercent val="0"/>
          <c:showBubbleSize val="0"/>
        </c:dLbls>
        <c:marker val="1"/>
        <c:smooth val="0"/>
        <c:axId val="47159936"/>
        <c:axId val="47161728"/>
      </c:lineChart>
      <c:catAx>
        <c:axId val="47159936"/>
        <c:scaling>
          <c:orientation val="minMax"/>
        </c:scaling>
        <c:delete val="0"/>
        <c:axPos val="b"/>
        <c:majorTickMark val="none"/>
        <c:minorTickMark val="out"/>
        <c:tickLblPos val="nextTo"/>
        <c:txPr>
          <a:bodyPr rot="-1500000"/>
          <a:lstStyle/>
          <a:p>
            <a:pPr>
              <a:defRPr/>
            </a:pPr>
            <a:endParaRPr lang="en-US"/>
          </a:p>
        </c:txPr>
        <c:crossAx val="47161728"/>
        <c:crosses val="autoZero"/>
        <c:auto val="1"/>
        <c:lblAlgn val="ctr"/>
        <c:lblOffset val="100"/>
        <c:noMultiLvlLbl val="0"/>
      </c:catAx>
      <c:valAx>
        <c:axId val="47161728"/>
        <c:scaling>
          <c:orientation val="minMax"/>
          <c:min val="0"/>
        </c:scaling>
        <c:delete val="0"/>
        <c:axPos val="l"/>
        <c:majorGridlines/>
        <c:title>
          <c:tx>
            <c:rich>
              <a:bodyPr rot="-5400000" vert="horz"/>
              <a:lstStyle/>
              <a:p>
                <a:pPr>
                  <a:defRPr/>
                </a:pPr>
                <a:r>
                  <a:rPr lang="en-AU"/>
                  <a:t>Serious claims per million hours worked</a:t>
                </a:r>
              </a:p>
            </c:rich>
          </c:tx>
          <c:layout>
            <c:manualLayout>
              <c:xMode val="edge"/>
              <c:yMode val="edge"/>
              <c:x val="1.3980729166666667E-2"/>
              <c:y val="0.16887314814814816"/>
            </c:manualLayout>
          </c:layout>
          <c:overlay val="0"/>
        </c:title>
        <c:numFmt formatCode="#,##0.0" sourceLinked="1"/>
        <c:majorTickMark val="out"/>
        <c:minorTickMark val="none"/>
        <c:tickLblPos val="nextTo"/>
        <c:crossAx val="47159936"/>
        <c:crosses val="autoZero"/>
        <c:crossBetween val="between"/>
      </c:valAx>
    </c:plotArea>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53281249999999"/>
          <c:y val="5.0925925925925923E-2"/>
          <c:w val="0.74028940972222224"/>
          <c:h val="0.80169145523476237"/>
        </c:manualLayout>
      </c:layout>
      <c:lineChart>
        <c:grouping val="standard"/>
        <c:varyColors val="0"/>
        <c:ser>
          <c:idx val="0"/>
          <c:order val="0"/>
          <c:spPr>
            <a:ln>
              <a:solidFill>
                <a:srgbClr val="00B050"/>
              </a:solidFill>
            </a:ln>
          </c:spPr>
          <c:marker>
            <c:symbol val="none"/>
          </c:marker>
          <c:cat>
            <c:strRef>
              <c:f>Trends!$B$1:$N$1</c:f>
              <c:strCache>
                <c:ptCount val="1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strCache>
            </c:strRef>
          </c:cat>
          <c:val>
            <c:numRef>
              <c:f>Trends!$B$2:$N$2</c:f>
              <c:numCache>
                <c:formatCode>"$"#,##0</c:formatCode>
                <c:ptCount val="13"/>
                <c:pt idx="0">
                  <c:v>5600</c:v>
                </c:pt>
                <c:pt idx="1">
                  <c:v>5800</c:v>
                </c:pt>
                <c:pt idx="2">
                  <c:v>5800</c:v>
                </c:pt>
                <c:pt idx="3">
                  <c:v>5200</c:v>
                </c:pt>
                <c:pt idx="4">
                  <c:v>5900</c:v>
                </c:pt>
                <c:pt idx="5">
                  <c:v>5800</c:v>
                </c:pt>
                <c:pt idx="6">
                  <c:v>6300</c:v>
                </c:pt>
                <c:pt idx="7">
                  <c:v>6900</c:v>
                </c:pt>
                <c:pt idx="8">
                  <c:v>8100</c:v>
                </c:pt>
                <c:pt idx="9">
                  <c:v>8500</c:v>
                </c:pt>
                <c:pt idx="10">
                  <c:v>9300</c:v>
                </c:pt>
                <c:pt idx="11">
                  <c:v>9700</c:v>
                </c:pt>
                <c:pt idx="12">
                  <c:v>8900</c:v>
                </c:pt>
              </c:numCache>
            </c:numRef>
          </c:val>
          <c:smooth val="0"/>
        </c:ser>
        <c:dLbls>
          <c:showLegendKey val="0"/>
          <c:showVal val="0"/>
          <c:showCatName val="0"/>
          <c:showSerName val="0"/>
          <c:showPercent val="0"/>
          <c:showBubbleSize val="0"/>
        </c:dLbls>
        <c:marker val="1"/>
        <c:smooth val="0"/>
        <c:axId val="47598208"/>
        <c:axId val="47604096"/>
      </c:lineChart>
      <c:lineChart>
        <c:grouping val="standard"/>
        <c:varyColors val="0"/>
        <c:ser>
          <c:idx val="1"/>
          <c:order val="1"/>
          <c:spPr>
            <a:ln>
              <a:solidFill>
                <a:schemeClr val="accent1"/>
              </a:solidFill>
            </a:ln>
          </c:spPr>
          <c:marker>
            <c:symbol val="none"/>
          </c:marker>
          <c:cat>
            <c:strRef>
              <c:f>Trends!$B$1:$N$1</c:f>
              <c:strCache>
                <c:ptCount val="1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strCache>
            </c:strRef>
          </c:cat>
          <c:val>
            <c:numRef>
              <c:f>Trends!$B$3:$N$3</c:f>
              <c:numCache>
                <c:formatCode>#,##0.0</c:formatCode>
                <c:ptCount val="13"/>
                <c:pt idx="0">
                  <c:v>4.3</c:v>
                </c:pt>
                <c:pt idx="1">
                  <c:v>4.4000000000000004</c:v>
                </c:pt>
                <c:pt idx="2">
                  <c:v>4.3</c:v>
                </c:pt>
                <c:pt idx="3">
                  <c:v>4</c:v>
                </c:pt>
                <c:pt idx="4">
                  <c:v>4</c:v>
                </c:pt>
                <c:pt idx="5">
                  <c:v>4.3</c:v>
                </c:pt>
                <c:pt idx="6">
                  <c:v>4.5999999999999996</c:v>
                </c:pt>
                <c:pt idx="7">
                  <c:v>5</c:v>
                </c:pt>
                <c:pt idx="8">
                  <c:v>5.2</c:v>
                </c:pt>
                <c:pt idx="9">
                  <c:v>5.3</c:v>
                </c:pt>
                <c:pt idx="10">
                  <c:v>5.8</c:v>
                </c:pt>
                <c:pt idx="11">
                  <c:v>5.9</c:v>
                </c:pt>
                <c:pt idx="12">
                  <c:v>5.8</c:v>
                </c:pt>
              </c:numCache>
            </c:numRef>
          </c:val>
          <c:smooth val="0"/>
        </c:ser>
        <c:dLbls>
          <c:showLegendKey val="0"/>
          <c:showVal val="0"/>
          <c:showCatName val="0"/>
          <c:showSerName val="0"/>
          <c:showPercent val="0"/>
          <c:showBubbleSize val="0"/>
        </c:dLbls>
        <c:marker val="1"/>
        <c:smooth val="0"/>
        <c:axId val="47608192"/>
        <c:axId val="47606016"/>
      </c:lineChart>
      <c:catAx>
        <c:axId val="47598208"/>
        <c:scaling>
          <c:orientation val="minMax"/>
        </c:scaling>
        <c:delete val="0"/>
        <c:axPos val="b"/>
        <c:numFmt formatCode="#,##0" sourceLinked="1"/>
        <c:majorTickMark val="none"/>
        <c:minorTickMark val="out"/>
        <c:tickLblPos val="nextTo"/>
        <c:txPr>
          <a:bodyPr rot="-1500000"/>
          <a:lstStyle/>
          <a:p>
            <a:pPr>
              <a:defRPr/>
            </a:pPr>
            <a:endParaRPr lang="en-US"/>
          </a:p>
        </c:txPr>
        <c:crossAx val="47604096"/>
        <c:crosses val="autoZero"/>
        <c:auto val="1"/>
        <c:lblAlgn val="ctr"/>
        <c:lblOffset val="100"/>
        <c:noMultiLvlLbl val="0"/>
      </c:catAx>
      <c:valAx>
        <c:axId val="47604096"/>
        <c:scaling>
          <c:orientation val="minMax"/>
          <c:min val="0"/>
        </c:scaling>
        <c:delete val="0"/>
        <c:axPos val="l"/>
        <c:majorGridlines/>
        <c:title>
          <c:tx>
            <c:rich>
              <a:bodyPr rot="-5400000" vert="horz"/>
              <a:lstStyle/>
              <a:p>
                <a:pPr>
                  <a:defRPr/>
                </a:pPr>
                <a:r>
                  <a:rPr lang="en-AU"/>
                  <a:t>Median compensation paid</a:t>
                </a:r>
              </a:p>
            </c:rich>
          </c:tx>
          <c:layout>
            <c:manualLayout>
              <c:xMode val="edge"/>
              <c:yMode val="edge"/>
              <c:x val="1.3980729166666667E-2"/>
              <c:y val="0.23158919753086421"/>
            </c:manualLayout>
          </c:layout>
          <c:overlay val="0"/>
        </c:title>
        <c:numFmt formatCode="&quot;$&quot;#,##0" sourceLinked="1"/>
        <c:majorTickMark val="out"/>
        <c:minorTickMark val="none"/>
        <c:tickLblPos val="nextTo"/>
        <c:crossAx val="47598208"/>
        <c:crosses val="autoZero"/>
        <c:crossBetween val="between"/>
      </c:valAx>
      <c:valAx>
        <c:axId val="47606016"/>
        <c:scaling>
          <c:orientation val="minMax"/>
        </c:scaling>
        <c:delete val="0"/>
        <c:axPos val="r"/>
        <c:title>
          <c:tx>
            <c:rich>
              <a:bodyPr rot="-5400000" vert="horz"/>
              <a:lstStyle/>
              <a:p>
                <a:pPr>
                  <a:defRPr/>
                </a:pPr>
                <a:r>
                  <a:rPr lang="en-AU"/>
                  <a:t>Median time lost from work (working weeks)</a:t>
                </a:r>
              </a:p>
            </c:rich>
          </c:tx>
          <c:layout>
            <c:manualLayout>
              <c:xMode val="edge"/>
              <c:yMode val="edge"/>
              <c:x val="0.94708333333333339"/>
              <c:y val="0.13765246913580248"/>
            </c:manualLayout>
          </c:layout>
          <c:overlay val="0"/>
        </c:title>
        <c:numFmt formatCode="#,##0.0" sourceLinked="1"/>
        <c:majorTickMark val="out"/>
        <c:minorTickMark val="none"/>
        <c:tickLblPos val="nextTo"/>
        <c:crossAx val="47608192"/>
        <c:crosses val="max"/>
        <c:crossBetween val="between"/>
      </c:valAx>
      <c:catAx>
        <c:axId val="47608192"/>
        <c:scaling>
          <c:orientation val="minMax"/>
        </c:scaling>
        <c:delete val="1"/>
        <c:axPos val="b"/>
        <c:majorTickMark val="out"/>
        <c:minorTickMark val="none"/>
        <c:tickLblPos val="nextTo"/>
        <c:crossAx val="47606016"/>
        <c:crosses val="autoZero"/>
        <c:auto val="1"/>
        <c:lblAlgn val="ctr"/>
        <c:lblOffset val="100"/>
        <c:noMultiLvlLbl val="0"/>
      </c:catAx>
    </c:plotArea>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0.45475</cdr:x>
      <cdr:y>0.391</cdr:y>
    </cdr:from>
    <cdr:to>
      <cdr:x>0.92108</cdr:x>
      <cdr:y>0.44685</cdr:y>
    </cdr:to>
    <cdr:sp macro="" textlink="">
      <cdr:nvSpPr>
        <cdr:cNvPr id="2" name="TextBox 1"/>
        <cdr:cNvSpPr txBox="1"/>
      </cdr:nvSpPr>
      <cdr:spPr>
        <a:xfrm xmlns:a="http://schemas.openxmlformats.org/drawingml/2006/main">
          <a:off x="2619375" y="1266825"/>
          <a:ext cx="2686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Serious MSD claims per million</a:t>
          </a:r>
          <a:r>
            <a:rPr lang="en-AU" sz="800" baseline="0">
              <a:latin typeface="Arial" panose="020B0604020202020204" pitchFamily="34" charset="0"/>
              <a:cs typeface="Arial" panose="020B0604020202020204" pitchFamily="34" charset="0"/>
            </a:rPr>
            <a:t> </a:t>
          </a:r>
          <a:r>
            <a:rPr lang="en-AU" sz="800">
              <a:latin typeface="Arial" panose="020B0604020202020204" pitchFamily="34" charset="0"/>
              <a:cs typeface="Arial" panose="020B0604020202020204" pitchFamily="34" charset="0"/>
            </a:rPr>
            <a:t>hours worked</a:t>
          </a:r>
        </a:p>
      </cdr:txBody>
    </cdr:sp>
  </cdr:relSizeAnchor>
  <cdr:relSizeAnchor xmlns:cdr="http://schemas.openxmlformats.org/drawingml/2006/chartDrawing">
    <cdr:from>
      <cdr:x>0.50822</cdr:x>
      <cdr:y>0.13621</cdr:y>
    </cdr:from>
    <cdr:to>
      <cdr:x>0.8847</cdr:x>
      <cdr:y>0.19697</cdr:y>
    </cdr:to>
    <cdr:sp macro="" textlink="">
      <cdr:nvSpPr>
        <cdr:cNvPr id="3" name="TextBox 1"/>
        <cdr:cNvSpPr txBox="1"/>
      </cdr:nvSpPr>
      <cdr:spPr>
        <a:xfrm xmlns:a="http://schemas.openxmlformats.org/drawingml/2006/main">
          <a:off x="2927350" y="441325"/>
          <a:ext cx="2168525" cy="1968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Serious claims per million hours worked</a:t>
          </a:r>
        </a:p>
      </cdr:txBody>
    </cdr:sp>
  </cdr:relSizeAnchor>
</c:userShapes>
</file>

<file path=word/drawings/drawing2.xml><?xml version="1.0" encoding="utf-8"?>
<c:userShapes xmlns:c="http://schemas.openxmlformats.org/drawingml/2006/chart">
  <cdr:relSizeAnchor xmlns:cdr="http://schemas.openxmlformats.org/drawingml/2006/chartDrawing">
    <cdr:from>
      <cdr:x>0.31254</cdr:x>
      <cdr:y>0.51447</cdr:y>
    </cdr:from>
    <cdr:to>
      <cdr:x>0.635</cdr:x>
      <cdr:y>0.57032</cdr:y>
    </cdr:to>
    <cdr:sp macro="" textlink="">
      <cdr:nvSpPr>
        <cdr:cNvPr id="4" name="TextBox 1"/>
        <cdr:cNvSpPr txBox="1"/>
      </cdr:nvSpPr>
      <cdr:spPr>
        <a:xfrm xmlns:a="http://schemas.openxmlformats.org/drawingml/2006/main">
          <a:off x="1800211" y="1666890"/>
          <a:ext cx="1857390" cy="1809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Median compensation paid (left axis)</a:t>
          </a:r>
        </a:p>
      </cdr:txBody>
    </cdr:sp>
  </cdr:relSizeAnchor>
  <cdr:relSizeAnchor xmlns:cdr="http://schemas.openxmlformats.org/drawingml/2006/chartDrawing">
    <cdr:from>
      <cdr:x>0.31309</cdr:x>
      <cdr:y>0.18913</cdr:y>
    </cdr:from>
    <cdr:to>
      <cdr:x>0.66477</cdr:x>
      <cdr:y>0.24988</cdr:y>
    </cdr:to>
    <cdr:sp macro="" textlink="">
      <cdr:nvSpPr>
        <cdr:cNvPr id="5" name="TextBox 1"/>
        <cdr:cNvSpPr txBox="1"/>
      </cdr:nvSpPr>
      <cdr:spPr>
        <a:xfrm xmlns:a="http://schemas.openxmlformats.org/drawingml/2006/main">
          <a:off x="1803398" y="612770"/>
          <a:ext cx="2025652" cy="1968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Median time lost from work  (right</a:t>
          </a:r>
          <a:r>
            <a:rPr lang="en-AU" sz="800" baseline="0">
              <a:latin typeface="Arial" panose="020B0604020202020204" pitchFamily="34" charset="0"/>
              <a:cs typeface="Arial" panose="020B0604020202020204" pitchFamily="34" charset="0"/>
            </a:rPr>
            <a:t> axis)</a:t>
          </a:r>
          <a:endParaRPr lang="en-AU" sz="8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978-1-76028-826-6</PublicationIdentifier>
    <ParentFolderID xmlns="http://schemas.microsoft.com/sharepoint/v3/fields">974</ParentFolderID>
  </documentManagement>
</p:properties>
</file>

<file path=customXml/itemProps1.xml><?xml version="1.0" encoding="utf-8"?>
<ds:datastoreItem xmlns:ds="http://schemas.openxmlformats.org/officeDocument/2006/customXml" ds:itemID="{3852A732-DE73-4500-86C6-63BBD1042744}"/>
</file>

<file path=customXml/itemProps2.xml><?xml version="1.0" encoding="utf-8"?>
<ds:datastoreItem xmlns:ds="http://schemas.openxmlformats.org/officeDocument/2006/customXml" ds:itemID="{E001CFF7-6095-4B59-8001-A7A8915B071A}"/>
</file>

<file path=customXml/itemProps3.xml><?xml version="1.0" encoding="utf-8"?>
<ds:datastoreItem xmlns:ds="http://schemas.openxmlformats.org/officeDocument/2006/customXml" ds:itemID="{8BF88AD0-13E5-4628-BEE8-6B37375C2EF3}"/>
</file>

<file path=docProps/app.xml><?xml version="1.0" encoding="utf-8"?>
<Properties xmlns="http://schemas.openxmlformats.org/officeDocument/2006/extended-properties" xmlns:vt="http://schemas.openxmlformats.org/officeDocument/2006/docPropsVTypes">
  <Template>A79EE047</Template>
  <TotalTime>54</TotalTime>
  <Pages>12</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on Work-Related Musculoskeletal Disorders</dc:title>
  <cp:lastPrinted>2016-05-24T22:36:00Z</cp:lastPrinted>
  <dcterms:created xsi:type="dcterms:W3CDTF">2016-08-04T01:33:00Z</dcterms:created>
  <dcterms:modified xsi:type="dcterms:W3CDTF">2016-08-10T22:55:00Z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