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6.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4.xml" ContentType="application/vnd.openxmlformats-officedocument.drawingml.chart+xml"/>
  <Override PartName="/word/charts/chart3.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CAB" w:rsidRDefault="00311A8F" w:rsidP="00106AAC">
      <w:pPr>
        <w:spacing w:after="3600"/>
        <w:jc w:val="center"/>
        <w:rPr>
          <w:rFonts w:ascii="Arial" w:hAnsi="Arial" w:cs="Arial"/>
          <w:sz w:val="72"/>
          <w:szCs w:val="72"/>
        </w:rPr>
      </w:pPr>
      <w:r>
        <w:rPr>
          <w:rFonts w:ascii="Arial" w:hAnsi="Arial" w:cs="Arial"/>
          <w:sz w:val="72"/>
          <w:szCs w:val="72"/>
        </w:rPr>
        <w:t>Work health and safety in the r</w:t>
      </w:r>
      <w:r w:rsidR="002C5CB9" w:rsidRPr="0030662C">
        <w:rPr>
          <w:rFonts w:ascii="Arial" w:hAnsi="Arial" w:cs="Arial"/>
          <w:sz w:val="72"/>
          <w:szCs w:val="72"/>
        </w:rPr>
        <w:t>oad freight transport industry</w:t>
      </w:r>
    </w:p>
    <w:p w:rsidR="00610D14" w:rsidRPr="00FF690A" w:rsidRDefault="00610D14" w:rsidP="003A2CAB">
      <w:pPr>
        <w:spacing w:after="6600"/>
        <w:jc w:val="center"/>
        <w:rPr>
          <w:rFonts w:ascii="Arial" w:hAnsi="Arial" w:cs="Arial"/>
          <w:b/>
          <w:sz w:val="56"/>
          <w:szCs w:val="56"/>
        </w:rPr>
      </w:pPr>
      <w:r w:rsidRPr="00FF690A">
        <w:rPr>
          <w:rFonts w:ascii="Arial" w:hAnsi="Arial" w:cs="Arial"/>
          <w:b/>
          <w:color w:val="FF0000"/>
          <w:sz w:val="56"/>
          <w:szCs w:val="56"/>
        </w:rPr>
        <w:t>Safe Work Australia</w:t>
      </w:r>
    </w:p>
    <w:p w:rsidR="00610D14" w:rsidRPr="00610D14" w:rsidRDefault="00610D14" w:rsidP="00610D14">
      <w:pPr>
        <w:jc w:val="center"/>
        <w:rPr>
          <w:rFonts w:ascii="Arial" w:hAnsi="Arial" w:cs="Arial"/>
          <w:sz w:val="44"/>
          <w:szCs w:val="44"/>
        </w:rPr>
      </w:pPr>
      <w:r w:rsidRPr="00610D14">
        <w:rPr>
          <w:rFonts w:ascii="Arial" w:hAnsi="Arial" w:cs="Arial"/>
          <w:sz w:val="44"/>
          <w:szCs w:val="44"/>
        </w:rPr>
        <w:t>October 2013</w:t>
      </w:r>
    </w:p>
    <w:p w:rsidR="002C5CB9" w:rsidRDefault="002C5CB9" w:rsidP="002C5CB9">
      <w:pPr>
        <w:pStyle w:val="Heading1"/>
      </w:pPr>
      <w:r>
        <w:lastRenderedPageBreak/>
        <w:t>Disclaimer</w:t>
      </w:r>
    </w:p>
    <w:p w:rsidR="002C5CB9" w:rsidRDefault="002C5CB9" w:rsidP="002C5CB9">
      <w:pPr>
        <w:pStyle w:val="BodyText"/>
      </w:pPr>
      <w:r>
        <w:t>The information provided in this document can only assist you in the most general way. This document does not replace any statutory requirements under any relevant State and Territory legislation. Safe Work Australia is not liable for any loss resulting from any action taken or reliance made by you on the information or material contained on this document. Before relying on the material, users should carefully make their own assessment as to its accuracy, currency, completeness and relevance for their purposes, and should obtain any appropriate professional advice relevant to their particular circumstances.</w:t>
      </w:r>
    </w:p>
    <w:p w:rsidR="002C5CB9" w:rsidRDefault="002C5CB9" w:rsidP="002C5CB9">
      <w:pPr>
        <w:pStyle w:val="BodyText"/>
      </w:pPr>
      <w:r>
        <w:t>To the extent that the material on this document includes views or recommendations of third parties, such views or recommendations do not necessarily reflect the views of Safe Work Australia or indicate its commitment to a particular course of action.</w:t>
      </w:r>
    </w:p>
    <w:p w:rsidR="002C5CB9" w:rsidRDefault="002C5CB9" w:rsidP="002C5CB9">
      <w:pPr>
        <w:pStyle w:val="Heading1"/>
      </w:pPr>
      <w:r>
        <w:t>Creative Commons</w:t>
      </w:r>
    </w:p>
    <w:p w:rsidR="002C5CB9" w:rsidRDefault="00F815D1" w:rsidP="002C5CB9">
      <w:pPr>
        <w:pStyle w:val="BodyText"/>
      </w:pPr>
      <w:r>
        <w:t xml:space="preserve">ISBN </w:t>
      </w:r>
      <w:r w:rsidR="008E1931" w:rsidRPr="008E1931">
        <w:t>978-1-74361-179-1</w:t>
      </w:r>
      <w:r w:rsidR="008E1931">
        <w:rPr>
          <w:sz w:val="20"/>
          <w:szCs w:val="20"/>
        </w:rPr>
        <w:t> </w:t>
      </w:r>
      <w:r w:rsidR="002C5CB9">
        <w:t>(Online PDF)</w:t>
      </w:r>
    </w:p>
    <w:p w:rsidR="002C5CB9" w:rsidRDefault="00F815D1" w:rsidP="002C5CB9">
      <w:pPr>
        <w:pStyle w:val="BodyText"/>
      </w:pPr>
      <w:r>
        <w:t xml:space="preserve">ISBN </w:t>
      </w:r>
      <w:r w:rsidR="008E1931" w:rsidRPr="008E1931">
        <w:t>978-1-74361-180-7</w:t>
      </w:r>
      <w:r w:rsidR="008E1931">
        <w:rPr>
          <w:sz w:val="20"/>
          <w:szCs w:val="20"/>
        </w:rPr>
        <w:t> </w:t>
      </w:r>
      <w:r w:rsidR="002C5CB9">
        <w:t xml:space="preserve">(Online DOC) </w:t>
      </w:r>
    </w:p>
    <w:p w:rsidR="002C5CB9" w:rsidRDefault="002C5CB9" w:rsidP="002C5CB9">
      <w:pPr>
        <w:pStyle w:val="BodyText"/>
      </w:pPr>
      <w:r>
        <w:t xml:space="preserve">With the exception of the Safe Work Australia logo and front cover image, this report is licensed by Safe Work Australia under a Creative Commons 3.0 Australia Licence.  To view a copy of this licence, visit </w:t>
      </w:r>
    </w:p>
    <w:p w:rsidR="002C5CB9" w:rsidRDefault="002C5CB9" w:rsidP="002C5CB9">
      <w:pPr>
        <w:pStyle w:val="BodyText"/>
      </w:pPr>
      <w:r>
        <w:rPr>
          <w:rStyle w:val="Hyperlink"/>
        </w:rPr>
        <w:t>http://creativecommons.org/licenses/by/3.0/au/deed.en</w:t>
      </w:r>
    </w:p>
    <w:p w:rsidR="002C5CB9" w:rsidRDefault="002C5CB9" w:rsidP="002C5CB9">
      <w:pPr>
        <w:pStyle w:val="BodyText"/>
        <w:rPr>
          <w:rStyle w:val="Classificationitalics"/>
        </w:rPr>
      </w:pPr>
      <w:r>
        <w:t xml:space="preserve">In essence, you are free to copy, communicate and adapt the work, as long as you attribute the work to Safe Work Australia and abide by the other licensing terms. The report should be attributed as the </w:t>
      </w:r>
      <w:r>
        <w:rPr>
          <w:rStyle w:val="Classificationitalics"/>
        </w:rPr>
        <w:t>Work health and safety in the Road freight transport industry, 2013.</w:t>
      </w:r>
    </w:p>
    <w:p w:rsidR="002C5CB9" w:rsidRDefault="002C5CB9" w:rsidP="002C5CB9">
      <w:pPr>
        <w:pStyle w:val="BodyText"/>
      </w:pPr>
      <w:r>
        <w:t>Enquiries regarding the licence and any use of the report are welcome at:</w:t>
      </w:r>
    </w:p>
    <w:p w:rsidR="002C5CB9" w:rsidRDefault="002C5CB9" w:rsidP="002C5CB9">
      <w:pPr>
        <w:pStyle w:val="BodyText"/>
      </w:pPr>
      <w:r>
        <w:t>Copyright Officer</w:t>
      </w:r>
    </w:p>
    <w:p w:rsidR="002C5CB9" w:rsidRDefault="002C5CB9" w:rsidP="002C5CB9">
      <w:pPr>
        <w:pStyle w:val="BodyText"/>
      </w:pPr>
      <w:r>
        <w:t>Stakeholder Engagement</w:t>
      </w:r>
    </w:p>
    <w:p w:rsidR="002C5CB9" w:rsidRDefault="002C5CB9" w:rsidP="002C5CB9">
      <w:pPr>
        <w:pStyle w:val="BodyText"/>
      </w:pPr>
      <w:r>
        <w:t xml:space="preserve">Safe Work Australia </w:t>
      </w:r>
    </w:p>
    <w:p w:rsidR="002C5CB9" w:rsidRDefault="002C5CB9" w:rsidP="002C5CB9">
      <w:pPr>
        <w:pStyle w:val="BodyText"/>
      </w:pPr>
      <w:r>
        <w:t>GPO Box 641 Canberra ACT 2601</w:t>
      </w:r>
    </w:p>
    <w:p w:rsidR="002C5CB9" w:rsidRDefault="002C5CB9" w:rsidP="002C5CB9">
      <w:pPr>
        <w:pStyle w:val="BodyText"/>
      </w:pPr>
      <w:r>
        <w:t xml:space="preserve">Email: </w:t>
      </w:r>
      <w:r>
        <w:rPr>
          <w:rStyle w:val="Hyperlink"/>
        </w:rPr>
        <w:t>cop</w:t>
      </w:r>
      <w:r w:rsidR="008E1931">
        <w:rPr>
          <w:rStyle w:val="Hyperlink"/>
        </w:rPr>
        <w:t>yrightrequests@swa</w:t>
      </w:r>
      <w:r>
        <w:rPr>
          <w:rStyle w:val="Hyperlink"/>
        </w:rPr>
        <w:t>.gov.au</w:t>
      </w:r>
    </w:p>
    <w:p w:rsidR="002C5CB9" w:rsidRDefault="002C5CB9">
      <w:r>
        <w:br w:type="page"/>
      </w:r>
    </w:p>
    <w:p w:rsidR="002C5CB9" w:rsidRDefault="002C5CB9" w:rsidP="002C5CB9">
      <w:pPr>
        <w:pStyle w:val="ChapterTitle-withunderrule"/>
      </w:pPr>
      <w:r>
        <w:t>Contents</w:t>
      </w:r>
    </w:p>
    <w:p w:rsidR="002C5CB9" w:rsidRDefault="00580C1E" w:rsidP="002C5CB9">
      <w:pPr>
        <w:pStyle w:val="TOCLevel1"/>
      </w:pPr>
      <w:r>
        <w:t>Key findings</w:t>
      </w:r>
      <w:r>
        <w:tab/>
        <w:t>4</w:t>
      </w:r>
    </w:p>
    <w:p w:rsidR="002C5CB9" w:rsidRDefault="00580C1E" w:rsidP="002C5CB9">
      <w:pPr>
        <w:pStyle w:val="TOCLevel1"/>
      </w:pPr>
      <w:r>
        <w:t>Introduction</w:t>
      </w:r>
      <w:r>
        <w:tab/>
        <w:t>6</w:t>
      </w:r>
    </w:p>
    <w:p w:rsidR="002C5CB9" w:rsidRDefault="002C5CB9" w:rsidP="002C5CB9">
      <w:pPr>
        <w:pStyle w:val="TOCLevel1"/>
      </w:pPr>
      <w:r>
        <w:t>Road freig</w:t>
      </w:r>
      <w:r w:rsidR="00580C1E">
        <w:t>ht transport worker fatalities</w:t>
      </w:r>
      <w:r w:rsidR="00580C1E">
        <w:tab/>
        <w:t>10</w:t>
      </w:r>
    </w:p>
    <w:p w:rsidR="002C5CB9" w:rsidRDefault="002C5CB9" w:rsidP="002C5CB9">
      <w:pPr>
        <w:pStyle w:val="TOCLevel1"/>
      </w:pPr>
      <w:r>
        <w:t xml:space="preserve">Road freight transport non-fatal </w:t>
      </w:r>
      <w:r>
        <w:br/>
        <w:t>serious</w:t>
      </w:r>
      <w:r w:rsidR="00580C1E">
        <w:t xml:space="preserve"> workers’ compensation claims</w:t>
      </w:r>
      <w:r w:rsidR="00580C1E">
        <w:tab/>
        <w:t>17</w:t>
      </w:r>
    </w:p>
    <w:p w:rsidR="002C5CB9" w:rsidRDefault="00580C1E" w:rsidP="002C5CB9">
      <w:pPr>
        <w:pStyle w:val="TOCLevel1"/>
      </w:pPr>
      <w:r>
        <w:t>Explanatory notes</w:t>
      </w:r>
      <w:r>
        <w:tab/>
        <w:t>27</w:t>
      </w:r>
    </w:p>
    <w:p w:rsidR="002C5CB9" w:rsidRDefault="00580C1E" w:rsidP="0030662C">
      <w:pPr>
        <w:pStyle w:val="TOCLevel1"/>
      </w:pPr>
      <w:r>
        <w:t>References</w:t>
      </w:r>
      <w:r>
        <w:tab/>
        <w:t>28</w:t>
      </w:r>
    </w:p>
    <w:p w:rsidR="002C5CB9" w:rsidRDefault="002C5CB9" w:rsidP="0030662C">
      <w:pPr>
        <w:pStyle w:val="TOCLevel1"/>
      </w:pPr>
      <w:r>
        <w:br w:type="page"/>
      </w:r>
    </w:p>
    <w:p w:rsidR="002C5CB9" w:rsidRDefault="002C5CB9" w:rsidP="00F815D1">
      <w:pPr>
        <w:pStyle w:val="ChapterSectionTitle"/>
      </w:pPr>
      <w:r>
        <w:t>Key findings</w:t>
      </w:r>
    </w:p>
    <w:p w:rsidR="002C5CB9" w:rsidRPr="0030662C" w:rsidRDefault="002C5CB9" w:rsidP="00F815D1">
      <w:pPr>
        <w:pStyle w:val="Colourheadingtoplevel"/>
      </w:pPr>
      <w:r w:rsidRPr="0030662C">
        <w:t>Road freight transport worker fatalities</w:t>
      </w:r>
    </w:p>
    <w:p w:rsidR="002C5CB9" w:rsidRDefault="002C5CB9" w:rsidP="002C5CB9">
      <w:pPr>
        <w:pStyle w:val="BodyText"/>
      </w:pPr>
      <w:r>
        <w:t>The annual number of work-related fatalities resulting from injury in the Road freight transport industry has decreased from 58 in both 2006–07 and 2007–08 to 30 in 2010–11.</w:t>
      </w:r>
    </w:p>
    <w:p w:rsidR="002C5CB9" w:rsidRDefault="002C5CB9" w:rsidP="002C5CB9">
      <w:pPr>
        <w:pStyle w:val="BodyText"/>
      </w:pPr>
      <w:r>
        <w:t xml:space="preserve">This decrease in the annual number of fatalities reduced the fatality incidence rate from 38 fatalities per 100 000 Road freight transport workers in 2006–07 to 19 in 2010–11. </w:t>
      </w:r>
    </w:p>
    <w:p w:rsidR="002C5CB9" w:rsidRDefault="002C5CB9" w:rsidP="002C5CB9">
      <w:pPr>
        <w:pStyle w:val="BodyText"/>
      </w:pPr>
      <w:r>
        <w:t>The fatality rates in the Road freight transport industry were roughly ten times higher than those for all industries across the eight year period</w:t>
      </w:r>
      <w:r>
        <w:br/>
        <w:t>2003–04 to 2010–11.</w:t>
      </w:r>
    </w:p>
    <w:p w:rsidR="002C5CB9" w:rsidRDefault="002C5CB9" w:rsidP="002C5CB9">
      <w:pPr>
        <w:pStyle w:val="BodyText"/>
      </w:pPr>
      <w:r>
        <w:t xml:space="preserve">There were 352 work-related fatalities resulting from injury in the Road freight transport industry over the eight-year period 2003–04 to 2010–11. </w:t>
      </w:r>
    </w:p>
    <w:p w:rsidR="002C5CB9" w:rsidRDefault="002C5CB9" w:rsidP="002C5CB9">
      <w:pPr>
        <w:pStyle w:val="BodyText"/>
      </w:pPr>
      <w:r>
        <w:t>Of these fatalities:</w:t>
      </w:r>
    </w:p>
    <w:p w:rsidR="002C5CB9" w:rsidRDefault="002C5CB9" w:rsidP="002A5489">
      <w:pPr>
        <w:pStyle w:val="Bodytextbullett"/>
        <w:numPr>
          <w:ilvl w:val="0"/>
          <w:numId w:val="1"/>
        </w:numPr>
      </w:pPr>
      <w:r>
        <w:t>275 (78%) occurred while the decedent was driving or being driven in a vehicle on a public road. Of these fatalities:</w:t>
      </w:r>
    </w:p>
    <w:p w:rsidR="002C5CB9" w:rsidRDefault="002C5CB9" w:rsidP="002A5489">
      <w:pPr>
        <w:pStyle w:val="Bodytextbullett2"/>
        <w:numPr>
          <w:ilvl w:val="1"/>
          <w:numId w:val="1"/>
        </w:numPr>
      </w:pPr>
      <w:r>
        <w:t xml:space="preserve">173 fatalities were the result of single vehicle incidents classified as either </w:t>
      </w:r>
      <w:r>
        <w:rPr>
          <w:rStyle w:val="Classificationitalics"/>
          <w:rFonts w:eastAsiaTheme="majorEastAsia"/>
        </w:rPr>
        <w:t>Rollover</w:t>
      </w:r>
      <w:r>
        <w:t xml:space="preserve"> or </w:t>
      </w:r>
      <w:r>
        <w:rPr>
          <w:rStyle w:val="Classificationitalics"/>
          <w:rFonts w:eastAsiaTheme="majorEastAsia"/>
        </w:rPr>
        <w:t>Hit stationary object</w:t>
      </w:r>
      <w:r>
        <w:t>.</w:t>
      </w:r>
    </w:p>
    <w:p w:rsidR="002C5CB9" w:rsidRDefault="002C5CB9" w:rsidP="002A5489">
      <w:pPr>
        <w:pStyle w:val="Bodytextbullett"/>
        <w:numPr>
          <w:ilvl w:val="0"/>
          <w:numId w:val="1"/>
        </w:numPr>
      </w:pPr>
      <w:r>
        <w:t>77 (22%) occurred at a location other than a public road. Of these fatalities:</w:t>
      </w:r>
    </w:p>
    <w:p w:rsidR="002C5CB9" w:rsidRDefault="002C5CB9" w:rsidP="002A5489">
      <w:pPr>
        <w:pStyle w:val="Bodytextbullett2"/>
        <w:numPr>
          <w:ilvl w:val="1"/>
          <w:numId w:val="1"/>
        </w:numPr>
      </w:pPr>
      <w:r>
        <w:t xml:space="preserve">49 fatalities occurred while </w:t>
      </w:r>
      <w:r>
        <w:rPr>
          <w:rStyle w:val="Classificationitalics"/>
          <w:rFonts w:eastAsiaTheme="majorEastAsia"/>
        </w:rPr>
        <w:t>Loading and unloading</w:t>
      </w:r>
      <w:r>
        <w:t xml:space="preserve">, and </w:t>
      </w:r>
    </w:p>
    <w:p w:rsidR="002C5CB9" w:rsidRDefault="002C5CB9" w:rsidP="002A5489">
      <w:pPr>
        <w:pStyle w:val="Bodytextbullett2"/>
        <w:numPr>
          <w:ilvl w:val="1"/>
          <w:numId w:val="1"/>
        </w:numPr>
        <w:rPr>
          <w:spacing w:val="-2"/>
        </w:rPr>
      </w:pPr>
      <w:r>
        <w:rPr>
          <w:spacing w:val="-2"/>
        </w:rPr>
        <w:t xml:space="preserve">12 occurred while undertaking </w:t>
      </w:r>
      <w:r>
        <w:rPr>
          <w:rStyle w:val="Classificationitalics"/>
          <w:rFonts w:eastAsiaTheme="majorEastAsia"/>
          <w:spacing w:val="-2"/>
        </w:rPr>
        <w:t>Repair and maintenance</w:t>
      </w:r>
      <w:r>
        <w:rPr>
          <w:spacing w:val="-2"/>
        </w:rPr>
        <w:t xml:space="preserve"> tasks.</w:t>
      </w:r>
    </w:p>
    <w:p w:rsidR="002C5CB9" w:rsidRDefault="002C5CB9" w:rsidP="00F815D1">
      <w:pPr>
        <w:pStyle w:val="Colourheadingtoplevel"/>
      </w:pPr>
      <w:r>
        <w:t>Road freight transport non-fatal serious workers’ compensation claims</w:t>
      </w:r>
    </w:p>
    <w:p w:rsidR="002C5CB9" w:rsidRDefault="002C5CB9" w:rsidP="002C5CB9">
      <w:pPr>
        <w:pStyle w:val="BodyText"/>
        <w:rPr>
          <w:spacing w:val="-2"/>
        </w:rPr>
      </w:pPr>
      <w:r>
        <w:rPr>
          <w:spacing w:val="-2"/>
        </w:rPr>
        <w:t xml:space="preserve">Employees in the Road freight transport industry made around 4000 non-fatal serious compensation claims a year over the period </w:t>
      </w:r>
      <w:r>
        <w:t xml:space="preserve">2002–03 to </w:t>
      </w:r>
      <w:r w:rsidR="007056CB">
        <w:br/>
      </w:r>
      <w:r>
        <w:t xml:space="preserve">2010–11. Non-fatal serious claims </w:t>
      </w:r>
      <w:r>
        <w:rPr>
          <w:spacing w:val="-2"/>
        </w:rPr>
        <w:t>involve either a permanent incapacity or a temporary incapacity that required a week or more away from work</w:t>
      </w:r>
      <w:r>
        <w:t>.</w:t>
      </w:r>
    </w:p>
    <w:p w:rsidR="002C5CB9" w:rsidRDefault="002C5CB9" w:rsidP="002C5CB9">
      <w:pPr>
        <w:pStyle w:val="BodyText"/>
      </w:pPr>
      <w:r>
        <w:t>The incidence rate of non-fatal serious clai</w:t>
      </w:r>
      <w:r w:rsidR="007056CB">
        <w:t xml:space="preserve">ms has ranged between 36.8 </w:t>
      </w:r>
      <w:r>
        <w:t>(2002–03) and 29.8 (2009–10) claims per 1000 Road freight transport employees.</w:t>
      </w:r>
    </w:p>
    <w:p w:rsidR="002C5CB9" w:rsidRDefault="002C5CB9" w:rsidP="002C5CB9">
      <w:pPr>
        <w:pStyle w:val="BodyText"/>
        <w:rPr>
          <w:spacing w:val="-2"/>
        </w:rPr>
      </w:pPr>
      <w:r>
        <w:rPr>
          <w:spacing w:val="-2"/>
        </w:rPr>
        <w:t>Over the five-year period 2006–07 to 2010–11p:</w:t>
      </w:r>
    </w:p>
    <w:p w:rsidR="002C5CB9" w:rsidRDefault="002C5CB9" w:rsidP="008E5F26">
      <w:pPr>
        <w:pStyle w:val="Bodytextbullett"/>
        <w:numPr>
          <w:ilvl w:val="0"/>
          <w:numId w:val="2"/>
        </w:numPr>
        <w:rPr>
          <w:spacing w:val="-2"/>
        </w:rPr>
      </w:pPr>
      <w:r>
        <w:rPr>
          <w:spacing w:val="-2"/>
        </w:rPr>
        <w:t>Male employees made nearly all (97%) of the non-fatal serious workers’ compensation claims in the Road freight transport industry, reflecting the male dominance of the industry.</w:t>
      </w:r>
    </w:p>
    <w:p w:rsidR="002C5CB9" w:rsidRDefault="002C5CB9" w:rsidP="008E5F26">
      <w:pPr>
        <w:pStyle w:val="Bodytextbullett"/>
        <w:numPr>
          <w:ilvl w:val="0"/>
          <w:numId w:val="2"/>
        </w:numPr>
        <w:rPr>
          <w:spacing w:val="-5"/>
        </w:rPr>
      </w:pPr>
      <w:r>
        <w:rPr>
          <w:spacing w:val="-5"/>
        </w:rPr>
        <w:t>The rate of non-fatal serious claims for male employees in the Road freight transport industry increased with age. Male employees aged under 25 years had the lowest incidence rate (32 claims per 1000 workers) while males aged 65 years and over had the highest rate (41).</w:t>
      </w:r>
    </w:p>
    <w:p w:rsidR="002C5CB9" w:rsidRDefault="002C5CB9" w:rsidP="008E5F26">
      <w:pPr>
        <w:pStyle w:val="Bodytextbullett"/>
        <w:numPr>
          <w:ilvl w:val="0"/>
          <w:numId w:val="2"/>
        </w:numPr>
      </w:pPr>
      <w:r>
        <w:t>The most common types of injuries were:</w:t>
      </w:r>
    </w:p>
    <w:p w:rsidR="002C5CB9" w:rsidRDefault="002C5CB9" w:rsidP="008E5F26">
      <w:pPr>
        <w:pStyle w:val="Bodytextbullett2"/>
        <w:numPr>
          <w:ilvl w:val="1"/>
          <w:numId w:val="2"/>
        </w:numPr>
      </w:pPr>
      <w:r>
        <w:rPr>
          <w:rStyle w:val="Classificationitalics"/>
          <w:rFonts w:eastAsiaTheme="majorEastAsia"/>
        </w:rPr>
        <w:t>sprains and strains of joints and adjacent muscles</w:t>
      </w:r>
      <w:r>
        <w:t xml:space="preserve"> (45%)</w:t>
      </w:r>
    </w:p>
    <w:p w:rsidR="002C5CB9" w:rsidRDefault="002C5CB9" w:rsidP="008E5F26">
      <w:pPr>
        <w:pStyle w:val="Bodytextbullett2"/>
        <w:numPr>
          <w:ilvl w:val="1"/>
          <w:numId w:val="2"/>
        </w:numPr>
      </w:pPr>
      <w:r>
        <w:rPr>
          <w:i/>
          <w:iCs/>
        </w:rPr>
        <w:t>fractures</w:t>
      </w:r>
      <w:r>
        <w:t xml:space="preserve"> (13%)</w:t>
      </w:r>
    </w:p>
    <w:p w:rsidR="002C5CB9" w:rsidRDefault="002C5CB9" w:rsidP="008E5F26">
      <w:pPr>
        <w:pStyle w:val="Bodytextbullett2"/>
        <w:numPr>
          <w:ilvl w:val="1"/>
          <w:numId w:val="2"/>
        </w:numPr>
      </w:pPr>
      <w:r>
        <w:rPr>
          <w:rStyle w:val="Classificationitalics"/>
          <w:rFonts w:eastAsiaTheme="majorEastAsia"/>
        </w:rPr>
        <w:t>contusions with intact skin surface and crushing injury excluding those with fracture</w:t>
      </w:r>
      <w:r>
        <w:t xml:space="preserve"> (8%), and</w:t>
      </w:r>
    </w:p>
    <w:p w:rsidR="002C5CB9" w:rsidRDefault="002C5CB9" w:rsidP="008E5F26">
      <w:pPr>
        <w:pStyle w:val="Bodytextbullett2"/>
        <w:numPr>
          <w:ilvl w:val="1"/>
          <w:numId w:val="2"/>
        </w:numPr>
      </w:pPr>
      <w:r>
        <w:rPr>
          <w:rStyle w:val="Classificationitalics"/>
          <w:rFonts w:eastAsiaTheme="majorEastAsia"/>
        </w:rPr>
        <w:t>open wound not involving amputation</w:t>
      </w:r>
      <w:r>
        <w:t xml:space="preserve"> (6%).</w:t>
      </w:r>
    </w:p>
    <w:p w:rsidR="002C5CB9" w:rsidRDefault="002C5CB9" w:rsidP="008E5F26">
      <w:pPr>
        <w:pStyle w:val="Bodytextbullett"/>
        <w:numPr>
          <w:ilvl w:val="0"/>
          <w:numId w:val="3"/>
        </w:numPr>
      </w:pPr>
      <w:r>
        <w:t>The most common causes of injury were:</w:t>
      </w:r>
    </w:p>
    <w:p w:rsidR="002C5CB9" w:rsidRDefault="002C5CB9" w:rsidP="008E5F26">
      <w:pPr>
        <w:pStyle w:val="Bodytextbullett2"/>
        <w:numPr>
          <w:ilvl w:val="1"/>
          <w:numId w:val="3"/>
        </w:numPr>
      </w:pPr>
      <w:r>
        <w:rPr>
          <w:rStyle w:val="Classificationitalics"/>
          <w:rFonts w:eastAsiaTheme="majorEastAsia"/>
        </w:rPr>
        <w:t xml:space="preserve">muscular stress while lifting, carrying, or putting down objects </w:t>
      </w:r>
      <w:r>
        <w:t xml:space="preserve">(19%) </w:t>
      </w:r>
    </w:p>
    <w:p w:rsidR="002C5CB9" w:rsidRDefault="002C5CB9" w:rsidP="008E5F26">
      <w:pPr>
        <w:pStyle w:val="Bodytextbullett2"/>
        <w:numPr>
          <w:ilvl w:val="1"/>
          <w:numId w:val="3"/>
        </w:numPr>
      </w:pPr>
      <w:r>
        <w:rPr>
          <w:rStyle w:val="Classificationitalics"/>
          <w:rFonts w:eastAsiaTheme="majorEastAsia"/>
        </w:rPr>
        <w:t xml:space="preserve">muscular stress while handling objects other than lifting, carrying or putting down </w:t>
      </w:r>
      <w:r>
        <w:t xml:space="preserve">(15%) </w:t>
      </w:r>
    </w:p>
    <w:p w:rsidR="002C5CB9" w:rsidRDefault="002C5CB9" w:rsidP="008E5F26">
      <w:pPr>
        <w:pStyle w:val="Bodytextbullett2"/>
        <w:numPr>
          <w:ilvl w:val="1"/>
          <w:numId w:val="3"/>
        </w:numPr>
      </w:pPr>
      <w:r>
        <w:rPr>
          <w:rStyle w:val="Classificationitalics"/>
          <w:rFonts w:eastAsiaTheme="majorEastAsia"/>
        </w:rPr>
        <w:t xml:space="preserve">falls from a height </w:t>
      </w:r>
      <w:r>
        <w:t>(13%)</w:t>
      </w:r>
    </w:p>
    <w:p w:rsidR="002C5CB9" w:rsidRDefault="002C5CB9" w:rsidP="008E5F26">
      <w:pPr>
        <w:pStyle w:val="Bodytextbullett2"/>
        <w:numPr>
          <w:ilvl w:val="1"/>
          <w:numId w:val="3"/>
        </w:numPr>
      </w:pPr>
      <w:r>
        <w:rPr>
          <w:rStyle w:val="Classificationitalics"/>
          <w:rFonts w:eastAsiaTheme="majorEastAsia"/>
        </w:rPr>
        <w:t>falls on the same level</w:t>
      </w:r>
      <w:r>
        <w:t xml:space="preserve"> (12%), and</w:t>
      </w:r>
    </w:p>
    <w:p w:rsidR="002C5CB9" w:rsidRDefault="002C5CB9" w:rsidP="008E5F26">
      <w:pPr>
        <w:pStyle w:val="Bodytextbullett2"/>
        <w:numPr>
          <w:ilvl w:val="1"/>
          <w:numId w:val="3"/>
        </w:numPr>
      </w:pPr>
      <w:r>
        <w:rPr>
          <w:rStyle w:val="Classificationitalics"/>
          <w:rFonts w:eastAsiaTheme="majorEastAsia"/>
        </w:rPr>
        <w:t>vehicle incidents</w:t>
      </w:r>
      <w:r>
        <w:t xml:space="preserve"> (8%).</w:t>
      </w:r>
    </w:p>
    <w:p w:rsidR="002C5CB9" w:rsidRDefault="002C5CB9" w:rsidP="002C5CB9">
      <w:pPr>
        <w:pStyle w:val="BodyText"/>
        <w:spacing w:before="283"/>
      </w:pPr>
      <w:r>
        <w:t xml:space="preserve">The median time lost from work increased slightly over the period 2002–03 to 2010–11, from a minimum of 4.8 weeks in 2003–04 to a maximum of 5.8 weeks in both 2007–08 and 2008–09. </w:t>
      </w:r>
    </w:p>
    <w:p w:rsidR="002C5CB9" w:rsidRDefault="002C5CB9" w:rsidP="002C5CB9">
      <w:pPr>
        <w:pStyle w:val="BodyText"/>
      </w:pPr>
      <w:r>
        <w:t>The median time lost from work for employees in the Road freight transport industry was consistently higher than the all industries figure by between 1 and 1.8 weeks over the period.</w:t>
      </w:r>
    </w:p>
    <w:p w:rsidR="002C5CB9" w:rsidRDefault="002C5CB9" w:rsidP="002C5CB9">
      <w:pPr>
        <w:pStyle w:val="BodyText"/>
      </w:pPr>
      <w:r>
        <w:t xml:space="preserve">The median cost of a claim also increased from $5800 in 2003–04 to $8700 in both 2007–08 and 2008–09. </w:t>
      </w:r>
    </w:p>
    <w:p w:rsidR="002C5CB9" w:rsidRDefault="002C5CB9" w:rsidP="002C5CB9">
      <w:pPr>
        <w:pStyle w:val="BodyText"/>
      </w:pPr>
      <w:r>
        <w:t>The median cost of a claim for the Road freight transport industry was consistently higher than the all industries figure by between $300 and $1500 over the period.</w:t>
      </w:r>
    </w:p>
    <w:p w:rsidR="002C5CB9" w:rsidRDefault="002C5CB9">
      <w:r>
        <w:br w:type="page"/>
      </w:r>
    </w:p>
    <w:p w:rsidR="002C5CB9" w:rsidRDefault="002C5CB9" w:rsidP="00F815D1">
      <w:pPr>
        <w:pStyle w:val="ChapterSectionTitle"/>
      </w:pPr>
      <w:r>
        <w:t>Introduction</w:t>
      </w:r>
    </w:p>
    <w:p w:rsidR="002C5CB9" w:rsidRDefault="002C5CB9" w:rsidP="002C5CB9">
      <w:pPr>
        <w:pStyle w:val="BodyText"/>
      </w:pPr>
      <w:r>
        <w:t xml:space="preserve">The </w:t>
      </w:r>
      <w:r>
        <w:rPr>
          <w:i/>
          <w:iCs/>
        </w:rPr>
        <w:t>Australian Work Health and Safety Strategy 2012–2022</w:t>
      </w:r>
      <w:r>
        <w:t xml:space="preserve"> sets out a broad range of activities and strategies to improve the health and safety of Australian workers. The strategy framework highlights many areas for attention, including broad “Priority industries” — that is, industries identified as a national priority for prevention activities. In addition, to focus attention on areas requiring the greatest improvement, relevant sub-sectors from within the broad priority industries will be chosen by the jurisdictions for particular scrutiny. Because of their high numbers of fatalities, the Australian Strategy selected the two industry sub-sectors of Agriculture and Road </w:t>
      </w:r>
      <w:bookmarkStart w:id="0" w:name="_GoBack"/>
      <w:bookmarkEnd w:id="0"/>
      <w:r>
        <w:t xml:space="preserve">transport for particular attention during the first five years of the Australian Strategy. In response to this Safe Work Australia recently published an overview of work health and safety in the Agriculture sector — </w:t>
      </w:r>
      <w:r>
        <w:rPr>
          <w:i/>
          <w:iCs/>
        </w:rPr>
        <w:t>Work-related injuries and fatalities on Australian farms</w:t>
      </w:r>
      <w:r>
        <w:t xml:space="preserve">. This report provides a similar overview of the work health and safety status within the Road freight transport industry — an industry primarily engaged in transporting freight using trucks on public roads. </w:t>
      </w:r>
    </w:p>
    <w:p w:rsidR="002C5CB9" w:rsidRDefault="002C5CB9" w:rsidP="002C5CB9">
      <w:pPr>
        <w:pStyle w:val="BodyText"/>
      </w:pPr>
      <w:r>
        <w:t xml:space="preserve">The Australian Bureau of Statistics industry classification, </w:t>
      </w:r>
      <w:r>
        <w:rPr>
          <w:rStyle w:val="Classificationitalics"/>
        </w:rPr>
        <w:t>Australian and New Zealand Standard Industrial Classification, 1993</w:t>
      </w:r>
      <w:r>
        <w:t xml:space="preserve">, lists the primary activities of the Road freight transport industry as businesses that are “mainly engaged in the transportation of freight by road” but can also include business “mainly engaged in renting trucks with drivers for road freight transport’. The primary categories listed are delivery service (road); furniture removal service (road); log haulage service (road); road freight transport service; taxi truck service (with driver); and truck hire service (with driver). </w:t>
      </w:r>
    </w:p>
    <w:p w:rsidR="002C5CB9" w:rsidRDefault="002C5CB9" w:rsidP="002C5CB9">
      <w:pPr>
        <w:pStyle w:val="BodyText"/>
      </w:pPr>
      <w:r>
        <w:t xml:space="preserve">Restricting the report to the Road freight transport industry means not all truck drivers are covered since an employee of a retail company that had their own truck or truck fleet would be recorded under the relevant Retail trade industry group. The same would apply to a truck drivers employed by a construction company or a mining company. </w:t>
      </w:r>
    </w:p>
    <w:p w:rsidR="002C5CB9" w:rsidRDefault="002C5CB9" w:rsidP="002C5CB9">
      <w:pPr>
        <w:pStyle w:val="BodyText"/>
      </w:pPr>
      <w:r>
        <w:t>The high number of fatalities associated with the Road freight transport industry has not just drawn the attention of work health and safety authorities. The broader issue of heavy transport road safety has long been a focus of attention from police and road transport authorities. For example, some particularly tragic incidents involving heavy vehicles in 2012 led to a recent series of coordinated ‘blitzes’ on the road worthiness of vehicles and the operational safety of some companies.</w:t>
      </w:r>
    </w:p>
    <w:p w:rsidR="002C5CB9" w:rsidRDefault="002C5CB9" w:rsidP="002C5CB9">
      <w:pPr>
        <w:pStyle w:val="BodyText"/>
        <w:spacing w:after="57"/>
      </w:pPr>
      <w:r>
        <w:t xml:space="preserve">Figure 1 shows the number of fatal crashes (an incident in which at least one person died) on Australian roads involving either an Articulated truck (from 1989) or a Rigid truck (from 2002). The most notable feature of the graph is the large number of incidents involving Articulated trucks in 1989 (250 fatal crashes) and 1990 (205 fatal crashes) and the subsequent stabilisation of the number at around 150-160 fatal crashes. Relatively recent improvements since 2003 have brought the annual number of fatal crashes involving Articulated trucks closer to around 120. </w:t>
      </w:r>
    </w:p>
    <w:p w:rsidR="002C5CB9" w:rsidRDefault="002C5CB9" w:rsidP="002C5CB9">
      <w:pPr>
        <w:pStyle w:val="FigureHeadingwithoutIndent"/>
      </w:pPr>
      <w:r>
        <w:t>Figure 1  Fatal crashes: articulated and rigid trucks</w:t>
      </w:r>
    </w:p>
    <w:p w:rsidR="002C5CB9" w:rsidRPr="002C5CB9" w:rsidRDefault="002C5CB9" w:rsidP="002C5CB9">
      <w:pPr>
        <w:pStyle w:val="BodyText"/>
      </w:pPr>
      <w:r>
        <w:rPr>
          <w:noProof/>
          <w:lang w:val="en-AU"/>
        </w:rPr>
        <w:drawing>
          <wp:inline distT="0" distB="0" distL="0" distR="0" wp14:anchorId="2DECA2C1" wp14:editId="4A24264A">
            <wp:extent cx="4682394" cy="2793023"/>
            <wp:effectExtent l="0" t="0" r="4445" b="7620"/>
            <wp:docPr id="1" name="Chart 1" descr="Fatal crashes: articulated and rigid trucks. Data discussed in text commentary." title="Figur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C5CB9" w:rsidRPr="002C5CB9" w:rsidRDefault="002C5CB9" w:rsidP="002C5CB9">
      <w:pPr>
        <w:pStyle w:val="FigureTableFootnote"/>
        <w:spacing w:after="170"/>
        <w:rPr>
          <w:sz w:val="16"/>
          <w:szCs w:val="16"/>
        </w:rPr>
      </w:pPr>
      <w:r w:rsidRPr="002C5CB9">
        <w:rPr>
          <w:sz w:val="16"/>
          <w:szCs w:val="16"/>
        </w:rPr>
        <w:t>Source: Australian Road Deaths Database (</w:t>
      </w:r>
      <w:r w:rsidRPr="002C5CB9">
        <w:rPr>
          <w:rStyle w:val="Hyperlink"/>
          <w:sz w:val="16"/>
          <w:szCs w:val="16"/>
        </w:rPr>
        <w:t>http://www.bitre.gov.au/statistics/safety/fatal_road_crash_database.aspx</w:t>
      </w:r>
      <w:r w:rsidRPr="002C5CB9">
        <w:rPr>
          <w:sz w:val="16"/>
          <w:szCs w:val="16"/>
        </w:rPr>
        <w:t xml:space="preserve">), 22 February 2013. Bureau of Infrastructure, Transport and Regional Economics, Canberra. </w:t>
      </w:r>
    </w:p>
    <w:p w:rsidR="002C5CB9" w:rsidRDefault="002C5CB9" w:rsidP="002C5CB9">
      <w:pPr>
        <w:pStyle w:val="BodyText"/>
      </w:pPr>
      <w:r>
        <w:t xml:space="preserve">The data available for Rigid trucks are restricted to a more limited eleven-year period. During that time the number of fatal crashes averaged around 75, with only a slight trend downwards. </w:t>
      </w:r>
    </w:p>
    <w:p w:rsidR="002C5CB9" w:rsidRDefault="002C5CB9" w:rsidP="002C5CB9">
      <w:pPr>
        <w:pStyle w:val="BodyText"/>
      </w:pPr>
      <w:r>
        <w:t>The number of deaths associated with each fatal crash can be more than one. Consequently, although there were 122 fatal crashes of Articulated trucks in 2011, the number of deaths associated with these incidents was 138. Similarly, for Rigid trucks, the number of fatal crashes in 2011 was 60, while the number of associated deaths was 72.</w:t>
      </w:r>
    </w:p>
    <w:p w:rsidR="002C5CB9" w:rsidRDefault="002C5CB9" w:rsidP="002C5CB9">
      <w:pPr>
        <w:pStyle w:val="BodyText"/>
      </w:pPr>
      <w:r>
        <w:t>The majority of these fatal crashes involve more than one vehicle and the resultant deaths are most likely the drivers and passengers of other, often lighter vehicles, rather the driver of the heavy vehicle. Where the working driver of the heavy vehicle was at fault, the death of a driver or passenger in the other vehicle would be considered work-related and classified as a ‘Bystander’ death. However, because of the difficulty in establishing fault this issue is not covered in this report.</w:t>
      </w:r>
    </w:p>
    <w:p w:rsidR="002C5CB9" w:rsidRDefault="002C5CB9" w:rsidP="002C5CB9">
      <w:pPr>
        <w:pStyle w:val="BodyText"/>
      </w:pPr>
      <w:r>
        <w:t>The focus of this report is on the work health and safety issues affecting the Road freight transport industry and thus primarily on the workers within that industry. At the broad level, the industry is notable as having one of the highest fatality rates of all industries. In 2010-11, the fatality rate was 18.6 deaths per 100 000 workers — this sits starkly with an overall Australian fatality rate of 1.9 deaths per 100 000 workers (see Table 1).</w:t>
      </w:r>
    </w:p>
    <w:p w:rsidR="002C5CB9" w:rsidRDefault="002C5CB9" w:rsidP="002C5CB9">
      <w:pPr>
        <w:pStyle w:val="BodyText"/>
      </w:pPr>
      <w:r>
        <w:t xml:space="preserve">The majority of deaths in the industry happen to drivers working on the open road who become involved in a vehicle incident: either as a single vehicle when, for example, the vehicle rolls-over or leaves the road, or in a multiple vehicle incident. Table 1 shows the number of worker deaths attributed to the Road freight transport industry over the period 2003–04 to 2010–11. Over this period the number of worker fatalities has ranged between a minimum of 30 (in 2010–11) and a maximum of 58 (in both 2006–07 and 2007–08). </w:t>
      </w:r>
    </w:p>
    <w:p w:rsidR="002C5CB9" w:rsidRDefault="002C5CB9" w:rsidP="002C5CB9">
      <w:pPr>
        <w:pStyle w:val="BodyText"/>
        <w:rPr>
          <w:spacing w:val="-1"/>
        </w:rPr>
      </w:pPr>
      <w:r>
        <w:rPr>
          <w:spacing w:val="-1"/>
        </w:rPr>
        <w:t>In contrast to fatalities, most workers’ compensation claims for injury in the Road freight transport industry are the result of hazards other than those found on the open road, such as body stressing and falls from a height while carrying out such tasks as loading and unloading goods and covering loads.</w:t>
      </w:r>
    </w:p>
    <w:p w:rsidR="002C5CB9" w:rsidRDefault="002C5CB9" w:rsidP="002C5CB9">
      <w:pPr>
        <w:pStyle w:val="BodyText"/>
      </w:pPr>
      <w:r>
        <w:t xml:space="preserve">The main work health and safety hazards impacting on drivers who have to deliver their load over long distances are fatigue and tight schedules that may encourage speeding. The National Transport Insurance Company regularly reports on the circumstances of major heavy truck incidents occurring under their scheme. Their latest report, </w:t>
      </w:r>
      <w:r>
        <w:rPr>
          <w:i/>
          <w:iCs/>
        </w:rPr>
        <w:t>Major Accident Research Report, 2013</w:t>
      </w:r>
      <w:r>
        <w:t xml:space="preserve">, highlights both inappropriate speed and fatigue as dominant causes of incidents. Their analysis of 461 heavy vehicle crashes involving losses of more than $50 000 determined that inappropriate speed accounted for one-quarter of the crashes and fatigue caused a further 12%. This observation is supported by an analysis of the circumstances surrounding heavy vehicle speeding in New South Wales between 1 January 2003 and 2 April 2011 that reported that 12 107 heavy vehicles were issued at least one strike for speeding at or more than 15 km/h over the posted limit (AIC, 2012). </w:t>
      </w:r>
    </w:p>
    <w:p w:rsidR="002C5CB9" w:rsidRDefault="002C5CB9" w:rsidP="002C5CB9">
      <w:pPr>
        <w:pStyle w:val="BodyText"/>
      </w:pPr>
      <w:r>
        <w:t>Although Australian Design Rules have required all vehicles over 12 tonnes gross vehicle mass to be speed limited to 100 km/h since 1 January 1991 (DOTRS, 1990), a large proportion of heavy vehicle incidents occur at lower speeds. For rigid trucks, the Bureau of Infrastructure, Transport and Regional Economics reports that in recent years around 60% of fatal crashes occurred on roads where the posted speed limit was 90 km/hour or less (BITRE, 2012). Research suggests that “total elimination of heavy vehicle speeding might prevent roughly one-quarter of serious casualties involving a heavy vehicle” (Brooks, 2002).</w:t>
      </w:r>
    </w:p>
    <w:p w:rsidR="002C5CB9" w:rsidRDefault="002C5CB9" w:rsidP="002C5CB9">
      <w:pPr>
        <w:pStyle w:val="BodyText"/>
      </w:pPr>
      <w:r>
        <w:t>Recent heavy vehicle safety initiatives include the establishment of a National Heavy Vehicle Regulator (</w:t>
      </w:r>
      <w:r>
        <w:rPr>
          <w:rStyle w:val="Hyperlink"/>
        </w:rPr>
        <w:t>www.nhvr.gov.au)</w:t>
      </w:r>
      <w:r>
        <w:t xml:space="preserve"> to administer new regulations, including fatigue management, for specific types of heavy vehicle; the introduction of the Road Safety Remuneration Bill 2012 and </w:t>
      </w:r>
      <w:r>
        <w:rPr>
          <w:spacing w:val="-1"/>
        </w:rPr>
        <w:t>the creation of the Road Safety Remuneration Tribunal (</w:t>
      </w:r>
      <w:r>
        <w:rPr>
          <w:rStyle w:val="Hyperlink"/>
          <w:spacing w:val="-1"/>
        </w:rPr>
        <w:t>www.rsrt.gov.au</w:t>
      </w:r>
      <w:r>
        <w:rPr>
          <w:spacing w:val="-1"/>
        </w:rPr>
        <w:t>)</w:t>
      </w:r>
      <w:r>
        <w:t xml:space="preserve"> to make decisions about pay and related conditions for road transport drivers and hear and help resolve disputes between road transport drivers and their hirers or employers; and at a practical level, the construction of new roadside rest areas and other road freight related infrastructure funded under the federal Nation Building fund (</w:t>
      </w:r>
      <w:r>
        <w:rPr>
          <w:rStyle w:val="Hyperlink"/>
        </w:rPr>
        <w:t>www.nationbuildingprogram.gov.au</w:t>
      </w:r>
      <w:r>
        <w:t>). These measures add to the existing heavy vehicle safety activities carried out by road traffic and law enforcement authorities such as roadside heavy vehicle checking stations and average trip speed safety cameras.</w:t>
      </w:r>
    </w:p>
    <w:p w:rsidR="002C5CB9" w:rsidRDefault="002C5CB9" w:rsidP="002C5CB9">
      <w:pPr>
        <w:pStyle w:val="BodyText"/>
      </w:pPr>
      <w:r>
        <w:t>The following two sections of this report present the most detailed data currently available on death and injury in the Road freight transport sector. The first section presents information on fatalities in the Road freight transport industry that were identified through a combination of notifications from jurisdictional work health and safety authorities; the National Coronial Information System (NCIS) and workers’ compensation data. The second section presents information about Road freight transport industry employees who made a workers’ compensation claim for a non-fatal injury or disease.</w:t>
      </w:r>
    </w:p>
    <w:p w:rsidR="002C5CB9" w:rsidRDefault="002C5CB9" w:rsidP="002C5CB9">
      <w:pPr>
        <w:pStyle w:val="BodyText"/>
      </w:pPr>
      <w:r>
        <w:t>There may be differences in the degree of accuracy with which deaths and injuries were assigned to the Road freight transport industry. For non-fatal injuries the industry of employer determinations come solely from the worker’s compensation authorities. For fatalities, industry of employment was generally identified either by the worker’s compensation authority or by the notifying work health and safety authority. Where a fatality was neither compensated nor notified to Safe Work Australia information in the NCIS or the media may be used to best determine industry of employment.</w:t>
      </w:r>
    </w:p>
    <w:p w:rsidR="002C5CB9" w:rsidRDefault="002C5CB9">
      <w:pPr>
        <w:rPr>
          <w:rFonts w:ascii="Arial" w:hAnsi="Arial" w:cs="Arial"/>
          <w:color w:val="000000"/>
          <w:sz w:val="22"/>
          <w:szCs w:val="22"/>
          <w:lang w:val="en-US"/>
        </w:rPr>
      </w:pPr>
      <w:r>
        <w:br w:type="page"/>
      </w:r>
    </w:p>
    <w:p w:rsidR="002C5CB9" w:rsidRDefault="002C5CB9" w:rsidP="00F815D1">
      <w:pPr>
        <w:pStyle w:val="ChapterSectionTitle"/>
      </w:pPr>
      <w:r>
        <w:t>Road freight transport worker fatalities</w:t>
      </w:r>
    </w:p>
    <w:p w:rsidR="002C5CB9" w:rsidRDefault="002C5CB9" w:rsidP="002C5CB9">
      <w:pPr>
        <w:pStyle w:val="BodyText"/>
      </w:pPr>
      <w:r>
        <w:t>The information in this section on work-related fatalities has been extracted from the Work-related Traumatic Injury Fatalities (TIF) database compiled by Safe Work Australia. This database compiles data from notifications from jurisdictional work health and safety and workers’ compensation authorities and information accessed through the National Coronial Information System. The discussion is restricted to workers who died while working and excludes bystanders who lost their life as a result of a workers’ work-related activity.</w:t>
      </w:r>
    </w:p>
    <w:p w:rsidR="002C5CB9" w:rsidRPr="0030662C" w:rsidRDefault="002C5CB9" w:rsidP="0030662C">
      <w:pPr>
        <w:pStyle w:val="Colourheadingtoplevel"/>
      </w:pPr>
      <w:r w:rsidRPr="0030662C">
        <w:t>Work-related fatalities due to injuries 2003–04 to 2010–11</w:t>
      </w:r>
    </w:p>
    <w:p w:rsidR="002C5CB9" w:rsidRDefault="002C5CB9" w:rsidP="002C5CB9">
      <w:pPr>
        <w:pStyle w:val="BodyText"/>
      </w:pPr>
      <w:r>
        <w:t>Table 1 shows the number of work-related fatalities in the Road freight transport industry by state and territory of incident, the number of fatalities for all industries and the resulting fatality incidence rates over the eight-year period 2003–04 to 2010–11. Although the number of work-related fatalities in the Road freight transport industry is high, the table shows that in recent years there has been a notable and consistent decrease in the number of work-related fatalities in the Road freight transport industry — from 58 in both 2006–07 and 2007–08 to 30 in 2010–11. This decrease is reflected in the declining fatality incidence rates over the same period — from 38 fatalities per 100 000 Road freight transport workers in 2006–07 to 19 in 2010–11. However, despite the recent decrease, the fatality rates in the Road freight transport industry were roughly ten times higher than those for all industries across the eight year period.</w:t>
      </w:r>
    </w:p>
    <w:p w:rsidR="00482A58" w:rsidRDefault="002C5CB9" w:rsidP="002C5CB9">
      <w:pPr>
        <w:pStyle w:val="BodyText"/>
      </w:pPr>
      <w:r>
        <w:t>Table 1 also shows the underlying number of compensated fatalities, these were workers that were employees in the industry and thus covered under the workers’ compensation system. Over the eight-year period around 70% of work-related fatalities due to injury in the Road freight transport industry were compensated.</w:t>
      </w:r>
    </w:p>
    <w:p w:rsidR="00482A58" w:rsidRDefault="00482A58">
      <w:pPr>
        <w:rPr>
          <w:rFonts w:ascii="Arial" w:hAnsi="Arial" w:cs="Arial"/>
          <w:color w:val="000000"/>
          <w:sz w:val="22"/>
          <w:szCs w:val="22"/>
          <w:lang w:val="en-US"/>
        </w:rPr>
      </w:pPr>
      <w:r>
        <w:br w:type="page"/>
      </w:r>
    </w:p>
    <w:p w:rsidR="002C5CB9" w:rsidRDefault="002C5CB9" w:rsidP="002C5CB9">
      <w:pPr>
        <w:pStyle w:val="TableHeadingwithoutIndent"/>
      </w:pPr>
      <w:r>
        <w:t xml:space="preserve"> Table 1      Road freight transport worker fatalities: number and rate by industry and state or territory of incident</w:t>
      </w:r>
      <w:r>
        <w:rPr>
          <w:vertAlign w:val="superscript"/>
        </w:rPr>
        <w:t>a</w:t>
      </w:r>
    </w:p>
    <w:tbl>
      <w:tblPr>
        <w:tblW w:w="0" w:type="auto"/>
        <w:tblInd w:w="8" w:type="dxa"/>
        <w:tblLayout w:type="fixed"/>
        <w:tblCellMar>
          <w:left w:w="0" w:type="dxa"/>
          <w:right w:w="0" w:type="dxa"/>
        </w:tblCellMar>
        <w:tblLook w:val="0000" w:firstRow="0" w:lastRow="0" w:firstColumn="0" w:lastColumn="0" w:noHBand="0" w:noVBand="0"/>
      </w:tblPr>
      <w:tblGrid>
        <w:gridCol w:w="2537"/>
        <w:gridCol w:w="850"/>
        <w:gridCol w:w="851"/>
        <w:gridCol w:w="850"/>
        <w:gridCol w:w="851"/>
        <w:gridCol w:w="850"/>
        <w:gridCol w:w="850"/>
        <w:gridCol w:w="851"/>
        <w:gridCol w:w="850"/>
      </w:tblGrid>
      <w:tr w:rsidR="002C5CB9">
        <w:trPr>
          <w:trHeight w:hRule="exact" w:val="340"/>
          <w:tblHeader/>
        </w:trPr>
        <w:tc>
          <w:tcPr>
            <w:tcW w:w="2537" w:type="dxa"/>
            <w:tcBorders>
              <w:top w:val="single" w:sz="11" w:space="0" w:color="001E5B"/>
              <w:left w:val="single" w:sz="6" w:space="0" w:color="auto"/>
              <w:bottom w:val="single" w:sz="11" w:space="0" w:color="001E5B"/>
              <w:right w:val="single" w:sz="6" w:space="0" w:color="auto"/>
            </w:tcBorders>
            <w:tcMar>
              <w:top w:w="57" w:type="dxa"/>
              <w:left w:w="0" w:type="dxa"/>
              <w:bottom w:w="57" w:type="dxa"/>
              <w:right w:w="0" w:type="dxa"/>
            </w:tcMar>
            <w:vAlign w:val="center"/>
          </w:tcPr>
          <w:p w:rsidR="002C5CB9" w:rsidRDefault="002C5CB9">
            <w:pPr>
              <w:pStyle w:val="StubheadingTable"/>
            </w:pPr>
            <w:r>
              <w:t>Industry of employer</w:t>
            </w:r>
          </w:p>
        </w:tc>
        <w:tc>
          <w:tcPr>
            <w:tcW w:w="850" w:type="dxa"/>
            <w:tcBorders>
              <w:top w:val="single" w:sz="11" w:space="0" w:color="001E5B"/>
              <w:left w:val="single" w:sz="6" w:space="0" w:color="auto"/>
              <w:bottom w:val="single" w:sz="11" w:space="0" w:color="001E5B"/>
              <w:right w:val="single" w:sz="6" w:space="0" w:color="auto"/>
            </w:tcBorders>
            <w:tcMar>
              <w:top w:w="57" w:type="dxa"/>
              <w:left w:w="0" w:type="dxa"/>
              <w:bottom w:w="57" w:type="dxa"/>
              <w:right w:w="0" w:type="dxa"/>
            </w:tcMar>
            <w:vAlign w:val="center"/>
          </w:tcPr>
          <w:p w:rsidR="002C5CB9" w:rsidRDefault="002C5CB9">
            <w:pPr>
              <w:pStyle w:val="ColumnHeadingTable"/>
              <w:jc w:val="center"/>
            </w:pPr>
            <w:r>
              <w:t>2003–04</w:t>
            </w:r>
          </w:p>
        </w:tc>
        <w:tc>
          <w:tcPr>
            <w:tcW w:w="851" w:type="dxa"/>
            <w:tcBorders>
              <w:top w:val="single" w:sz="11" w:space="0" w:color="001E5B"/>
              <w:left w:val="single" w:sz="6" w:space="0" w:color="auto"/>
              <w:bottom w:val="single" w:sz="11" w:space="0" w:color="001E5B"/>
              <w:right w:val="single" w:sz="6" w:space="0" w:color="auto"/>
            </w:tcBorders>
            <w:tcMar>
              <w:top w:w="57" w:type="dxa"/>
              <w:left w:w="0" w:type="dxa"/>
              <w:bottom w:w="57" w:type="dxa"/>
              <w:right w:w="0" w:type="dxa"/>
            </w:tcMar>
            <w:vAlign w:val="center"/>
          </w:tcPr>
          <w:p w:rsidR="002C5CB9" w:rsidRDefault="002C5CB9">
            <w:pPr>
              <w:pStyle w:val="ColumnHeadingTable"/>
              <w:jc w:val="center"/>
            </w:pPr>
            <w:r>
              <w:t>2004–05</w:t>
            </w:r>
          </w:p>
        </w:tc>
        <w:tc>
          <w:tcPr>
            <w:tcW w:w="850" w:type="dxa"/>
            <w:tcBorders>
              <w:top w:val="single" w:sz="11" w:space="0" w:color="001E5B"/>
              <w:left w:val="single" w:sz="6" w:space="0" w:color="auto"/>
              <w:bottom w:val="single" w:sz="11" w:space="0" w:color="001E5B"/>
              <w:right w:val="single" w:sz="6" w:space="0" w:color="auto"/>
            </w:tcBorders>
            <w:tcMar>
              <w:top w:w="57" w:type="dxa"/>
              <w:left w:w="0" w:type="dxa"/>
              <w:bottom w:w="57" w:type="dxa"/>
              <w:right w:w="0" w:type="dxa"/>
            </w:tcMar>
            <w:vAlign w:val="center"/>
          </w:tcPr>
          <w:p w:rsidR="002C5CB9" w:rsidRDefault="002C5CB9">
            <w:pPr>
              <w:pStyle w:val="ColumnHeadingTable"/>
              <w:jc w:val="center"/>
            </w:pPr>
            <w:r>
              <w:t>2005–06</w:t>
            </w:r>
          </w:p>
        </w:tc>
        <w:tc>
          <w:tcPr>
            <w:tcW w:w="851" w:type="dxa"/>
            <w:tcBorders>
              <w:top w:val="single" w:sz="11" w:space="0" w:color="001E5B"/>
              <w:left w:val="single" w:sz="6" w:space="0" w:color="auto"/>
              <w:bottom w:val="single" w:sz="11" w:space="0" w:color="001E5B"/>
              <w:right w:val="single" w:sz="6" w:space="0" w:color="auto"/>
            </w:tcBorders>
            <w:tcMar>
              <w:top w:w="57" w:type="dxa"/>
              <w:left w:w="0" w:type="dxa"/>
              <w:bottom w:w="57" w:type="dxa"/>
              <w:right w:w="0" w:type="dxa"/>
            </w:tcMar>
            <w:vAlign w:val="center"/>
          </w:tcPr>
          <w:p w:rsidR="002C5CB9" w:rsidRDefault="002C5CB9">
            <w:pPr>
              <w:pStyle w:val="ColumnHeadingTable"/>
              <w:jc w:val="center"/>
            </w:pPr>
            <w:r>
              <w:t>2006–07</w:t>
            </w:r>
          </w:p>
        </w:tc>
        <w:tc>
          <w:tcPr>
            <w:tcW w:w="850" w:type="dxa"/>
            <w:tcBorders>
              <w:top w:val="single" w:sz="11" w:space="0" w:color="001E5B"/>
              <w:left w:val="single" w:sz="6" w:space="0" w:color="auto"/>
              <w:bottom w:val="single" w:sz="11" w:space="0" w:color="001E5B"/>
              <w:right w:val="single" w:sz="6" w:space="0" w:color="auto"/>
            </w:tcBorders>
            <w:tcMar>
              <w:top w:w="57" w:type="dxa"/>
              <w:left w:w="0" w:type="dxa"/>
              <w:bottom w:w="57" w:type="dxa"/>
              <w:right w:w="0" w:type="dxa"/>
            </w:tcMar>
            <w:vAlign w:val="center"/>
          </w:tcPr>
          <w:p w:rsidR="002C5CB9" w:rsidRDefault="002C5CB9">
            <w:pPr>
              <w:pStyle w:val="ColumnHeadingTable"/>
              <w:jc w:val="center"/>
            </w:pPr>
            <w:r>
              <w:t>2007-08</w:t>
            </w:r>
          </w:p>
        </w:tc>
        <w:tc>
          <w:tcPr>
            <w:tcW w:w="850" w:type="dxa"/>
            <w:tcBorders>
              <w:top w:val="single" w:sz="11" w:space="0" w:color="001E5B"/>
              <w:left w:val="single" w:sz="6" w:space="0" w:color="auto"/>
              <w:bottom w:val="single" w:sz="11" w:space="0" w:color="001E5B"/>
              <w:right w:val="single" w:sz="6" w:space="0" w:color="auto"/>
            </w:tcBorders>
            <w:tcMar>
              <w:top w:w="57" w:type="dxa"/>
              <w:left w:w="0" w:type="dxa"/>
              <w:bottom w:w="57" w:type="dxa"/>
              <w:right w:w="0" w:type="dxa"/>
            </w:tcMar>
            <w:vAlign w:val="center"/>
          </w:tcPr>
          <w:p w:rsidR="002C5CB9" w:rsidRDefault="002C5CB9">
            <w:pPr>
              <w:pStyle w:val="ColumnHeadingTable"/>
              <w:jc w:val="center"/>
            </w:pPr>
            <w:r>
              <w:t>2008–09</w:t>
            </w:r>
          </w:p>
        </w:tc>
        <w:tc>
          <w:tcPr>
            <w:tcW w:w="851" w:type="dxa"/>
            <w:tcBorders>
              <w:top w:val="single" w:sz="11" w:space="0" w:color="001E5B"/>
              <w:left w:val="single" w:sz="6" w:space="0" w:color="auto"/>
              <w:bottom w:val="single" w:sz="11" w:space="0" w:color="001E5B"/>
              <w:right w:val="single" w:sz="6" w:space="0" w:color="auto"/>
            </w:tcBorders>
            <w:tcMar>
              <w:top w:w="57" w:type="dxa"/>
              <w:left w:w="0" w:type="dxa"/>
              <w:bottom w:w="57" w:type="dxa"/>
              <w:right w:w="0" w:type="dxa"/>
            </w:tcMar>
            <w:vAlign w:val="center"/>
          </w:tcPr>
          <w:p w:rsidR="002C5CB9" w:rsidRDefault="002C5CB9">
            <w:pPr>
              <w:pStyle w:val="ColumnHeadingTable"/>
              <w:jc w:val="center"/>
            </w:pPr>
            <w:r>
              <w:t>2009–10</w:t>
            </w:r>
          </w:p>
        </w:tc>
        <w:tc>
          <w:tcPr>
            <w:tcW w:w="850" w:type="dxa"/>
            <w:tcBorders>
              <w:top w:val="single" w:sz="11" w:space="0" w:color="001E5B"/>
              <w:left w:val="single" w:sz="6" w:space="0" w:color="auto"/>
              <w:bottom w:val="single" w:sz="11" w:space="0" w:color="001E5B"/>
              <w:right w:val="single" w:sz="6" w:space="0" w:color="auto"/>
            </w:tcBorders>
            <w:tcMar>
              <w:top w:w="57" w:type="dxa"/>
              <w:left w:w="0" w:type="dxa"/>
              <w:bottom w:w="57" w:type="dxa"/>
              <w:right w:w="0" w:type="dxa"/>
            </w:tcMar>
            <w:vAlign w:val="center"/>
          </w:tcPr>
          <w:p w:rsidR="002C5CB9" w:rsidRDefault="002C5CB9">
            <w:pPr>
              <w:pStyle w:val="ColumnHeadingTable"/>
              <w:jc w:val="center"/>
            </w:pPr>
            <w:r>
              <w:t>2010–11</w:t>
            </w:r>
          </w:p>
        </w:tc>
      </w:tr>
      <w:tr w:rsidR="002C5CB9">
        <w:trPr>
          <w:trHeight w:val="283"/>
        </w:trPr>
        <w:tc>
          <w:tcPr>
            <w:tcW w:w="253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2C5CB9" w:rsidRDefault="002C5CB9">
            <w:pPr>
              <w:pStyle w:val="NoParagraphStyle"/>
              <w:spacing w:line="240" w:lineRule="auto"/>
              <w:textAlignment w:val="auto"/>
              <w:rPr>
                <w:rFonts w:cs="Times New Roman"/>
                <w:color w:val="auto"/>
                <w:lang w:val="en-AU"/>
              </w:rPr>
            </w:pPr>
          </w:p>
        </w:tc>
        <w:tc>
          <w:tcPr>
            <w:tcW w:w="6803" w:type="dxa"/>
            <w:gridSpan w:val="8"/>
            <w:tcBorders>
              <w:top w:val="single" w:sz="6" w:space="0" w:color="auto"/>
              <w:left w:val="single" w:sz="6" w:space="0" w:color="auto"/>
              <w:bottom w:val="single" w:sz="11" w:space="0" w:color="001E5B"/>
              <w:right w:val="single" w:sz="6" w:space="0" w:color="auto"/>
            </w:tcBorders>
            <w:tcMar>
              <w:top w:w="80" w:type="dxa"/>
              <w:left w:w="80" w:type="dxa"/>
              <w:bottom w:w="80" w:type="dxa"/>
              <w:right w:w="80" w:type="dxa"/>
            </w:tcMar>
          </w:tcPr>
          <w:p w:rsidR="002C5CB9" w:rsidRPr="008E35E7" w:rsidRDefault="002C5CB9">
            <w:pPr>
              <w:pStyle w:val="TablestubTable"/>
              <w:jc w:val="center"/>
              <w:rPr>
                <w:b/>
                <w:sz w:val="18"/>
                <w:szCs w:val="18"/>
              </w:rPr>
            </w:pPr>
            <w:r w:rsidRPr="008E35E7">
              <w:rPr>
                <w:b/>
                <w:sz w:val="18"/>
                <w:szCs w:val="18"/>
              </w:rPr>
              <w:t>Number of fatalities while working</w:t>
            </w:r>
          </w:p>
        </w:tc>
      </w:tr>
      <w:tr w:rsidR="002C5CB9">
        <w:trPr>
          <w:trHeight w:hRule="exact" w:val="255"/>
        </w:trPr>
        <w:tc>
          <w:tcPr>
            <w:tcW w:w="2537"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TablestubTable"/>
            </w:pPr>
            <w:r>
              <w:t>New South Wales</w:t>
            </w:r>
          </w:p>
        </w:tc>
        <w:tc>
          <w:tcPr>
            <w:tcW w:w="850" w:type="dxa"/>
            <w:tcBorders>
              <w:top w:val="single" w:sz="11" w:space="0" w:color="001E5B"/>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22</w:t>
            </w:r>
          </w:p>
        </w:tc>
        <w:tc>
          <w:tcPr>
            <w:tcW w:w="851" w:type="dxa"/>
            <w:tcBorders>
              <w:top w:val="single" w:sz="11" w:space="0" w:color="001E5B"/>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12</w:t>
            </w:r>
          </w:p>
        </w:tc>
        <w:tc>
          <w:tcPr>
            <w:tcW w:w="850" w:type="dxa"/>
            <w:tcBorders>
              <w:top w:val="single" w:sz="11" w:space="0" w:color="001E5B"/>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14</w:t>
            </w:r>
          </w:p>
        </w:tc>
        <w:tc>
          <w:tcPr>
            <w:tcW w:w="851" w:type="dxa"/>
            <w:tcBorders>
              <w:top w:val="single" w:sz="11" w:space="0" w:color="001E5B"/>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20</w:t>
            </w:r>
          </w:p>
        </w:tc>
        <w:tc>
          <w:tcPr>
            <w:tcW w:w="850" w:type="dxa"/>
            <w:tcBorders>
              <w:top w:val="single" w:sz="11" w:space="0" w:color="001E5B"/>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16</w:t>
            </w:r>
          </w:p>
        </w:tc>
        <w:tc>
          <w:tcPr>
            <w:tcW w:w="850" w:type="dxa"/>
            <w:tcBorders>
              <w:top w:val="single" w:sz="11" w:space="0" w:color="001E5B"/>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18</w:t>
            </w:r>
          </w:p>
        </w:tc>
        <w:tc>
          <w:tcPr>
            <w:tcW w:w="851" w:type="dxa"/>
            <w:tcBorders>
              <w:top w:val="single" w:sz="11" w:space="0" w:color="001E5B"/>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10</w:t>
            </w:r>
          </w:p>
        </w:tc>
        <w:tc>
          <w:tcPr>
            <w:tcW w:w="850" w:type="dxa"/>
            <w:tcBorders>
              <w:top w:val="single" w:sz="11" w:space="0" w:color="001E5B"/>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11</w:t>
            </w:r>
          </w:p>
        </w:tc>
      </w:tr>
      <w:tr w:rsidR="002C5CB9">
        <w:trPr>
          <w:trHeight w:hRule="exact" w:val="249"/>
        </w:trPr>
        <w:tc>
          <w:tcPr>
            <w:tcW w:w="2537"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TablestubTable"/>
            </w:pPr>
            <w:r>
              <w:t>Queensland</w:t>
            </w: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3</w:t>
            </w:r>
          </w:p>
        </w:tc>
        <w:tc>
          <w:tcPr>
            <w:tcW w:w="851"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10</w:t>
            </w: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13</w:t>
            </w:r>
          </w:p>
        </w:tc>
        <w:tc>
          <w:tcPr>
            <w:tcW w:w="851"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17</w:t>
            </w: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20</w:t>
            </w: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12</w:t>
            </w:r>
          </w:p>
        </w:tc>
        <w:tc>
          <w:tcPr>
            <w:tcW w:w="851"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10</w:t>
            </w: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4</w:t>
            </w:r>
          </w:p>
        </w:tc>
      </w:tr>
      <w:tr w:rsidR="002C5CB9">
        <w:trPr>
          <w:trHeight w:hRule="exact" w:val="249"/>
        </w:trPr>
        <w:tc>
          <w:tcPr>
            <w:tcW w:w="2537"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TablestubTable"/>
            </w:pPr>
            <w:r>
              <w:t>Victoria</w:t>
            </w: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13</w:t>
            </w:r>
          </w:p>
        </w:tc>
        <w:tc>
          <w:tcPr>
            <w:tcW w:w="851"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6</w:t>
            </w: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12</w:t>
            </w:r>
          </w:p>
        </w:tc>
        <w:tc>
          <w:tcPr>
            <w:tcW w:w="851"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13</w:t>
            </w: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8</w:t>
            </w: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10</w:t>
            </w:r>
          </w:p>
        </w:tc>
        <w:tc>
          <w:tcPr>
            <w:tcW w:w="851"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7</w:t>
            </w: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6</w:t>
            </w:r>
          </w:p>
        </w:tc>
      </w:tr>
      <w:tr w:rsidR="002C5CB9">
        <w:trPr>
          <w:trHeight w:hRule="exact" w:val="249"/>
        </w:trPr>
        <w:tc>
          <w:tcPr>
            <w:tcW w:w="2537"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TablestubTable"/>
            </w:pPr>
            <w:r>
              <w:t>Western Australia</w:t>
            </w: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2</w:t>
            </w:r>
          </w:p>
        </w:tc>
        <w:tc>
          <w:tcPr>
            <w:tcW w:w="851"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4</w:t>
            </w: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oParagraphStyle"/>
              <w:spacing w:line="240" w:lineRule="auto"/>
              <w:textAlignment w:val="auto"/>
              <w:rPr>
                <w:rFonts w:cs="Times New Roman"/>
                <w:color w:val="auto"/>
                <w:lang w:val="en-AU"/>
              </w:rPr>
            </w:pPr>
          </w:p>
        </w:tc>
        <w:tc>
          <w:tcPr>
            <w:tcW w:w="851"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4</w:t>
            </w: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7</w:t>
            </w: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4</w:t>
            </w:r>
          </w:p>
        </w:tc>
        <w:tc>
          <w:tcPr>
            <w:tcW w:w="851"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4</w:t>
            </w: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6</w:t>
            </w:r>
          </w:p>
        </w:tc>
      </w:tr>
      <w:tr w:rsidR="002C5CB9">
        <w:trPr>
          <w:trHeight w:hRule="exact" w:val="249"/>
        </w:trPr>
        <w:tc>
          <w:tcPr>
            <w:tcW w:w="2537"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TablestubTable"/>
            </w:pPr>
            <w:r>
              <w:t>South Australia</w:t>
            </w: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4</w:t>
            </w:r>
          </w:p>
        </w:tc>
        <w:tc>
          <w:tcPr>
            <w:tcW w:w="851"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oParagraphStyle"/>
              <w:spacing w:line="240" w:lineRule="auto"/>
              <w:textAlignment w:val="auto"/>
              <w:rPr>
                <w:rFonts w:cs="Times New Roman"/>
                <w:color w:val="auto"/>
                <w:lang w:val="en-AU"/>
              </w:rPr>
            </w:pP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1</w:t>
            </w:r>
          </w:p>
        </w:tc>
        <w:tc>
          <w:tcPr>
            <w:tcW w:w="851"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3</w:t>
            </w: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4</w:t>
            </w: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3</w:t>
            </w:r>
          </w:p>
        </w:tc>
        <w:tc>
          <w:tcPr>
            <w:tcW w:w="851"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5</w:t>
            </w: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3</w:t>
            </w:r>
          </w:p>
        </w:tc>
      </w:tr>
      <w:tr w:rsidR="002C5CB9">
        <w:trPr>
          <w:trHeight w:hRule="exact" w:val="249"/>
        </w:trPr>
        <w:tc>
          <w:tcPr>
            <w:tcW w:w="2537"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TablestubTable"/>
            </w:pPr>
            <w:r>
              <w:t>Tasmania</w:t>
            </w: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1</w:t>
            </w:r>
          </w:p>
        </w:tc>
        <w:tc>
          <w:tcPr>
            <w:tcW w:w="851"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2</w:t>
            </w: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2</w:t>
            </w:r>
          </w:p>
        </w:tc>
        <w:tc>
          <w:tcPr>
            <w:tcW w:w="851"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1</w:t>
            </w: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1</w:t>
            </w: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1</w:t>
            </w:r>
          </w:p>
        </w:tc>
        <w:tc>
          <w:tcPr>
            <w:tcW w:w="851"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1</w:t>
            </w: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oParagraphStyle"/>
              <w:spacing w:line="240" w:lineRule="auto"/>
              <w:textAlignment w:val="auto"/>
              <w:rPr>
                <w:rFonts w:cs="Times New Roman"/>
                <w:color w:val="auto"/>
                <w:lang w:val="en-AU"/>
              </w:rPr>
            </w:pPr>
          </w:p>
        </w:tc>
      </w:tr>
      <w:tr w:rsidR="002C5CB9">
        <w:trPr>
          <w:trHeight w:hRule="exact" w:val="249"/>
        </w:trPr>
        <w:tc>
          <w:tcPr>
            <w:tcW w:w="2537"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TablestubTable"/>
            </w:pPr>
            <w:r>
              <w:t>Northern Territory</w:t>
            </w: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oParagraphStyle"/>
              <w:spacing w:line="240" w:lineRule="auto"/>
              <w:textAlignment w:val="auto"/>
              <w:rPr>
                <w:rFonts w:cs="Times New Roman"/>
                <w:color w:val="auto"/>
                <w:lang w:val="en-AU"/>
              </w:rPr>
            </w:pPr>
          </w:p>
        </w:tc>
        <w:tc>
          <w:tcPr>
            <w:tcW w:w="851"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oParagraphStyle"/>
              <w:spacing w:line="240" w:lineRule="auto"/>
              <w:textAlignment w:val="auto"/>
              <w:rPr>
                <w:rFonts w:cs="Times New Roman"/>
                <w:color w:val="auto"/>
                <w:lang w:val="en-AU"/>
              </w:rPr>
            </w:pP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oParagraphStyle"/>
              <w:spacing w:line="240" w:lineRule="auto"/>
              <w:textAlignment w:val="auto"/>
              <w:rPr>
                <w:rFonts w:cs="Times New Roman"/>
                <w:color w:val="auto"/>
                <w:lang w:val="en-AU"/>
              </w:rPr>
            </w:pPr>
          </w:p>
        </w:tc>
        <w:tc>
          <w:tcPr>
            <w:tcW w:w="851"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oParagraphStyle"/>
              <w:spacing w:line="240" w:lineRule="auto"/>
              <w:textAlignment w:val="auto"/>
              <w:rPr>
                <w:rFonts w:cs="Times New Roman"/>
                <w:color w:val="auto"/>
                <w:lang w:val="en-AU"/>
              </w:rPr>
            </w:pP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regularTable"/>
            </w:pPr>
            <w:r>
              <w:t>2</w:t>
            </w: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oParagraphStyle"/>
              <w:spacing w:line="240" w:lineRule="auto"/>
              <w:textAlignment w:val="auto"/>
              <w:rPr>
                <w:rFonts w:cs="Times New Roman"/>
                <w:color w:val="auto"/>
                <w:lang w:val="en-AU"/>
              </w:rPr>
            </w:pPr>
          </w:p>
        </w:tc>
        <w:tc>
          <w:tcPr>
            <w:tcW w:w="851"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oParagraphStyle"/>
              <w:spacing w:line="240" w:lineRule="auto"/>
              <w:textAlignment w:val="auto"/>
              <w:rPr>
                <w:rFonts w:cs="Times New Roman"/>
                <w:color w:val="auto"/>
                <w:lang w:val="en-AU"/>
              </w:rPr>
            </w:pP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oParagraphStyle"/>
              <w:spacing w:line="240" w:lineRule="auto"/>
              <w:textAlignment w:val="auto"/>
              <w:rPr>
                <w:rFonts w:cs="Times New Roman"/>
                <w:color w:val="auto"/>
                <w:lang w:val="en-AU"/>
              </w:rPr>
            </w:pPr>
          </w:p>
        </w:tc>
      </w:tr>
      <w:tr w:rsidR="002C5CB9">
        <w:trPr>
          <w:trHeight w:hRule="exact" w:val="260"/>
        </w:trPr>
        <w:tc>
          <w:tcPr>
            <w:tcW w:w="2537"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TotalHeadingTable"/>
            </w:pPr>
            <w:r>
              <w:t>Road freight transport</w:t>
            </w: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boldTable"/>
            </w:pPr>
            <w:r>
              <w:t>45</w:t>
            </w:r>
          </w:p>
        </w:tc>
        <w:tc>
          <w:tcPr>
            <w:tcW w:w="851"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boldTable"/>
            </w:pPr>
            <w:r>
              <w:t>34</w:t>
            </w: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boldTable"/>
            </w:pPr>
            <w:r>
              <w:t>42</w:t>
            </w:r>
          </w:p>
        </w:tc>
        <w:tc>
          <w:tcPr>
            <w:tcW w:w="851"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boldTable"/>
            </w:pPr>
            <w:r>
              <w:t>58</w:t>
            </w: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boldTable"/>
            </w:pPr>
            <w:r>
              <w:t>58</w:t>
            </w: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boldTable"/>
            </w:pPr>
            <w:r>
              <w:t>48</w:t>
            </w:r>
          </w:p>
        </w:tc>
        <w:tc>
          <w:tcPr>
            <w:tcW w:w="851"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boldTable"/>
            </w:pPr>
            <w:r>
              <w:t>37</w:t>
            </w:r>
          </w:p>
        </w:tc>
        <w:tc>
          <w:tcPr>
            <w:tcW w:w="850"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boldTable"/>
            </w:pPr>
            <w:r>
              <w:t>30</w:t>
            </w:r>
          </w:p>
        </w:tc>
      </w:tr>
      <w:tr w:rsidR="002C5CB9" w:rsidTr="008E35E7">
        <w:trPr>
          <w:trHeight w:val="226"/>
        </w:trPr>
        <w:tc>
          <w:tcPr>
            <w:tcW w:w="253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2C5CB9" w:rsidRDefault="002C5CB9">
            <w:pPr>
              <w:pStyle w:val="RowStubitalics4mmindentTable"/>
            </w:pPr>
            <w:r>
              <w:t>Number compensated</w:t>
            </w:r>
            <w:r>
              <w:rPr>
                <w:vertAlign w:val="superscript"/>
              </w:rPr>
              <w:t>b</w:t>
            </w:r>
          </w:p>
        </w:tc>
        <w:tc>
          <w:tcPr>
            <w:tcW w:w="85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2C5CB9" w:rsidRDefault="002C5CB9">
            <w:pPr>
              <w:pStyle w:val="NumberitalicsTable"/>
            </w:pPr>
            <w:r>
              <w:t>30</w:t>
            </w:r>
          </w:p>
        </w:tc>
        <w:tc>
          <w:tcPr>
            <w:tcW w:w="85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2C5CB9" w:rsidRDefault="002C5CB9">
            <w:pPr>
              <w:pStyle w:val="NumberitalicsTable"/>
            </w:pPr>
            <w:r>
              <w:t>26</w:t>
            </w:r>
          </w:p>
        </w:tc>
        <w:tc>
          <w:tcPr>
            <w:tcW w:w="85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2C5CB9" w:rsidRDefault="002C5CB9">
            <w:pPr>
              <w:pStyle w:val="NumberitalicsTable"/>
            </w:pPr>
            <w:r>
              <w:t>26</w:t>
            </w:r>
          </w:p>
        </w:tc>
        <w:tc>
          <w:tcPr>
            <w:tcW w:w="85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2C5CB9" w:rsidRDefault="002C5CB9">
            <w:pPr>
              <w:pStyle w:val="NumberitalicsTable"/>
            </w:pPr>
            <w:r>
              <w:t>38</w:t>
            </w:r>
          </w:p>
        </w:tc>
        <w:tc>
          <w:tcPr>
            <w:tcW w:w="85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2C5CB9" w:rsidRDefault="002C5CB9">
            <w:pPr>
              <w:pStyle w:val="NumberitalicsTable"/>
            </w:pPr>
            <w:r>
              <w:t>47</w:t>
            </w:r>
          </w:p>
        </w:tc>
        <w:tc>
          <w:tcPr>
            <w:tcW w:w="85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2C5CB9" w:rsidRDefault="002C5CB9">
            <w:pPr>
              <w:pStyle w:val="NumberitalicsTable"/>
            </w:pPr>
            <w:r>
              <w:t>29</w:t>
            </w:r>
          </w:p>
        </w:tc>
        <w:tc>
          <w:tcPr>
            <w:tcW w:w="85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2C5CB9" w:rsidRDefault="002C5CB9">
            <w:pPr>
              <w:pStyle w:val="NumberitalicsTable"/>
            </w:pPr>
            <w:r>
              <w:t>24</w:t>
            </w:r>
          </w:p>
        </w:tc>
        <w:tc>
          <w:tcPr>
            <w:tcW w:w="85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2C5CB9" w:rsidRDefault="002C5CB9">
            <w:pPr>
              <w:pStyle w:val="NumberitalicsTable"/>
            </w:pPr>
            <w:r>
              <w:t>14</w:t>
            </w:r>
          </w:p>
        </w:tc>
      </w:tr>
      <w:tr w:rsidR="008E35E7" w:rsidTr="008E35E7">
        <w:trPr>
          <w:trHeight w:hRule="exact" w:val="283"/>
        </w:trPr>
        <w:tc>
          <w:tcPr>
            <w:tcW w:w="2537"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80" w:type="dxa"/>
            </w:tcMar>
            <w:vAlign w:val="center"/>
          </w:tcPr>
          <w:p w:rsidR="002C5CB9" w:rsidRDefault="002C5CB9">
            <w:pPr>
              <w:pStyle w:val="TotalHeadingTable"/>
            </w:pPr>
            <w:r>
              <w:t>All industries</w:t>
            </w:r>
          </w:p>
        </w:tc>
        <w:tc>
          <w:tcPr>
            <w:tcW w:w="850"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80" w:type="dxa"/>
            </w:tcMar>
            <w:vAlign w:val="center"/>
          </w:tcPr>
          <w:p w:rsidR="002C5CB9" w:rsidRDefault="002C5CB9">
            <w:pPr>
              <w:pStyle w:val="NumberboldTable"/>
            </w:pPr>
            <w:r>
              <w:t>267</w:t>
            </w:r>
          </w:p>
        </w:tc>
        <w:tc>
          <w:tcPr>
            <w:tcW w:w="851"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80" w:type="dxa"/>
            </w:tcMar>
            <w:vAlign w:val="center"/>
          </w:tcPr>
          <w:p w:rsidR="002C5CB9" w:rsidRDefault="002C5CB9">
            <w:pPr>
              <w:pStyle w:val="NumberboldTable"/>
            </w:pPr>
            <w:r>
              <w:t>253</w:t>
            </w:r>
          </w:p>
        </w:tc>
        <w:tc>
          <w:tcPr>
            <w:tcW w:w="850"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80" w:type="dxa"/>
            </w:tcMar>
            <w:vAlign w:val="center"/>
          </w:tcPr>
          <w:p w:rsidR="002C5CB9" w:rsidRDefault="002C5CB9">
            <w:pPr>
              <w:pStyle w:val="NumberboldTable"/>
            </w:pPr>
            <w:r>
              <w:t>287</w:t>
            </w:r>
          </w:p>
        </w:tc>
        <w:tc>
          <w:tcPr>
            <w:tcW w:w="851"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80" w:type="dxa"/>
            </w:tcMar>
            <w:vAlign w:val="center"/>
          </w:tcPr>
          <w:p w:rsidR="002C5CB9" w:rsidRDefault="002C5CB9">
            <w:pPr>
              <w:pStyle w:val="NumberboldTable"/>
            </w:pPr>
            <w:r>
              <w:t>298</w:t>
            </w:r>
          </w:p>
        </w:tc>
        <w:tc>
          <w:tcPr>
            <w:tcW w:w="850"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80" w:type="dxa"/>
            </w:tcMar>
            <w:vAlign w:val="center"/>
          </w:tcPr>
          <w:p w:rsidR="002C5CB9" w:rsidRDefault="002C5CB9">
            <w:pPr>
              <w:pStyle w:val="NumberboldTable"/>
            </w:pPr>
            <w:r>
              <w:t>291</w:t>
            </w:r>
          </w:p>
        </w:tc>
        <w:tc>
          <w:tcPr>
            <w:tcW w:w="850"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80" w:type="dxa"/>
            </w:tcMar>
            <w:vAlign w:val="center"/>
          </w:tcPr>
          <w:p w:rsidR="002C5CB9" w:rsidRDefault="002C5CB9">
            <w:pPr>
              <w:pStyle w:val="NumberboldTable"/>
            </w:pPr>
            <w:r>
              <w:t>285</w:t>
            </w:r>
          </w:p>
        </w:tc>
        <w:tc>
          <w:tcPr>
            <w:tcW w:w="851"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80" w:type="dxa"/>
            </w:tcMar>
            <w:vAlign w:val="center"/>
          </w:tcPr>
          <w:p w:rsidR="002C5CB9" w:rsidRDefault="002C5CB9">
            <w:pPr>
              <w:pStyle w:val="NumberboldTable"/>
            </w:pPr>
            <w:r>
              <w:t>222</w:t>
            </w:r>
          </w:p>
        </w:tc>
        <w:tc>
          <w:tcPr>
            <w:tcW w:w="850"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80" w:type="dxa"/>
            </w:tcMar>
            <w:vAlign w:val="center"/>
          </w:tcPr>
          <w:p w:rsidR="002C5CB9" w:rsidRDefault="002C5CB9">
            <w:pPr>
              <w:pStyle w:val="NumberboldTable"/>
            </w:pPr>
            <w:r>
              <w:t>223</w:t>
            </w:r>
          </w:p>
        </w:tc>
      </w:tr>
      <w:tr w:rsidR="002C5CB9">
        <w:trPr>
          <w:trHeight w:val="283"/>
        </w:trPr>
        <w:tc>
          <w:tcPr>
            <w:tcW w:w="253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2C5CB9" w:rsidRDefault="002C5CB9">
            <w:pPr>
              <w:pStyle w:val="NoParagraphStyle"/>
              <w:spacing w:line="240" w:lineRule="auto"/>
              <w:textAlignment w:val="auto"/>
              <w:rPr>
                <w:rFonts w:cs="Times New Roman"/>
                <w:color w:val="auto"/>
                <w:lang w:val="en-AU"/>
              </w:rPr>
            </w:pPr>
          </w:p>
        </w:tc>
        <w:tc>
          <w:tcPr>
            <w:tcW w:w="6803" w:type="dxa"/>
            <w:gridSpan w:val="8"/>
            <w:tcBorders>
              <w:top w:val="single" w:sz="6" w:space="0" w:color="auto"/>
              <w:left w:val="single" w:sz="6" w:space="0" w:color="auto"/>
              <w:bottom w:val="single" w:sz="11" w:space="0" w:color="001E5B"/>
              <w:right w:val="single" w:sz="6" w:space="0" w:color="auto"/>
            </w:tcBorders>
            <w:tcMar>
              <w:top w:w="80" w:type="dxa"/>
              <w:left w:w="80" w:type="dxa"/>
              <w:bottom w:w="80" w:type="dxa"/>
              <w:right w:w="80" w:type="dxa"/>
            </w:tcMar>
          </w:tcPr>
          <w:p w:rsidR="002C5CB9" w:rsidRPr="008E35E7" w:rsidRDefault="002C5CB9">
            <w:pPr>
              <w:pStyle w:val="TablestubTable"/>
              <w:jc w:val="center"/>
              <w:rPr>
                <w:b/>
                <w:sz w:val="18"/>
                <w:szCs w:val="18"/>
              </w:rPr>
            </w:pPr>
            <w:r w:rsidRPr="008E35E7">
              <w:rPr>
                <w:b/>
                <w:sz w:val="18"/>
                <w:szCs w:val="18"/>
              </w:rPr>
              <w:t>Fatality incidence rate (deaths per 100 000 workers)</w:t>
            </w:r>
          </w:p>
        </w:tc>
      </w:tr>
      <w:tr w:rsidR="002C5CB9" w:rsidTr="008E35E7">
        <w:trPr>
          <w:trHeight w:val="283"/>
        </w:trPr>
        <w:tc>
          <w:tcPr>
            <w:tcW w:w="253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2C5CB9" w:rsidRDefault="002C5CB9">
            <w:pPr>
              <w:pStyle w:val="TotalHeadingTable"/>
            </w:pPr>
            <w:r>
              <w:t>Road freight transport</w:t>
            </w:r>
          </w:p>
        </w:tc>
        <w:tc>
          <w:tcPr>
            <w:tcW w:w="850" w:type="dxa"/>
            <w:tcBorders>
              <w:top w:val="single" w:sz="11" w:space="0" w:color="001E5B"/>
              <w:left w:val="single" w:sz="6" w:space="0" w:color="auto"/>
              <w:bottom w:val="single" w:sz="6" w:space="0" w:color="auto"/>
              <w:right w:val="single" w:sz="6" w:space="0" w:color="auto"/>
            </w:tcBorders>
            <w:tcMar>
              <w:top w:w="80" w:type="dxa"/>
              <w:left w:w="80" w:type="dxa"/>
              <w:bottom w:w="80" w:type="dxa"/>
              <w:right w:w="80" w:type="dxa"/>
            </w:tcMar>
          </w:tcPr>
          <w:p w:rsidR="002C5CB9" w:rsidRDefault="002C5CB9">
            <w:pPr>
              <w:pStyle w:val="NumberregularTable"/>
            </w:pPr>
            <w:r>
              <w:t>28.4</w:t>
            </w:r>
          </w:p>
        </w:tc>
        <w:tc>
          <w:tcPr>
            <w:tcW w:w="851" w:type="dxa"/>
            <w:tcBorders>
              <w:top w:val="single" w:sz="11" w:space="0" w:color="001E5B"/>
              <w:left w:val="single" w:sz="6" w:space="0" w:color="auto"/>
              <w:bottom w:val="single" w:sz="6" w:space="0" w:color="auto"/>
              <w:right w:val="single" w:sz="6" w:space="0" w:color="auto"/>
            </w:tcBorders>
            <w:tcMar>
              <w:top w:w="80" w:type="dxa"/>
              <w:left w:w="80" w:type="dxa"/>
              <w:bottom w:w="80" w:type="dxa"/>
              <w:right w:w="80" w:type="dxa"/>
            </w:tcMar>
          </w:tcPr>
          <w:p w:rsidR="002C5CB9" w:rsidRDefault="002C5CB9">
            <w:pPr>
              <w:pStyle w:val="NumberregularTable"/>
            </w:pPr>
            <w:r>
              <w:t>25.0</w:t>
            </w:r>
          </w:p>
        </w:tc>
        <w:tc>
          <w:tcPr>
            <w:tcW w:w="850" w:type="dxa"/>
            <w:tcBorders>
              <w:top w:val="single" w:sz="11" w:space="0" w:color="001E5B"/>
              <w:left w:val="single" w:sz="6" w:space="0" w:color="auto"/>
              <w:bottom w:val="single" w:sz="6" w:space="0" w:color="auto"/>
              <w:right w:val="single" w:sz="6" w:space="0" w:color="auto"/>
            </w:tcBorders>
            <w:tcMar>
              <w:top w:w="80" w:type="dxa"/>
              <w:left w:w="80" w:type="dxa"/>
              <w:bottom w:w="80" w:type="dxa"/>
              <w:right w:w="80" w:type="dxa"/>
            </w:tcMar>
          </w:tcPr>
          <w:p w:rsidR="002C5CB9" w:rsidRDefault="002C5CB9">
            <w:pPr>
              <w:pStyle w:val="NumberregularTable"/>
            </w:pPr>
            <w:r>
              <w:t>29.4</w:t>
            </w:r>
          </w:p>
        </w:tc>
        <w:tc>
          <w:tcPr>
            <w:tcW w:w="851" w:type="dxa"/>
            <w:tcBorders>
              <w:top w:val="single" w:sz="11" w:space="0" w:color="001E5B"/>
              <w:left w:val="single" w:sz="6" w:space="0" w:color="auto"/>
              <w:bottom w:val="single" w:sz="6" w:space="0" w:color="auto"/>
              <w:right w:val="single" w:sz="6" w:space="0" w:color="auto"/>
            </w:tcBorders>
            <w:tcMar>
              <w:top w:w="80" w:type="dxa"/>
              <w:left w:w="80" w:type="dxa"/>
              <w:bottom w:w="80" w:type="dxa"/>
              <w:right w:w="80" w:type="dxa"/>
            </w:tcMar>
          </w:tcPr>
          <w:p w:rsidR="002C5CB9" w:rsidRDefault="002C5CB9">
            <w:pPr>
              <w:pStyle w:val="NumberregularTable"/>
            </w:pPr>
            <w:r>
              <w:t>38.2</w:t>
            </w:r>
          </w:p>
        </w:tc>
        <w:tc>
          <w:tcPr>
            <w:tcW w:w="850" w:type="dxa"/>
            <w:tcBorders>
              <w:top w:val="single" w:sz="11" w:space="0" w:color="001E5B"/>
              <w:left w:val="single" w:sz="6" w:space="0" w:color="auto"/>
              <w:bottom w:val="single" w:sz="6" w:space="0" w:color="auto"/>
              <w:right w:val="single" w:sz="6" w:space="0" w:color="auto"/>
            </w:tcBorders>
            <w:tcMar>
              <w:top w:w="80" w:type="dxa"/>
              <w:left w:w="80" w:type="dxa"/>
              <w:bottom w:w="80" w:type="dxa"/>
              <w:right w:w="80" w:type="dxa"/>
            </w:tcMar>
          </w:tcPr>
          <w:p w:rsidR="002C5CB9" w:rsidRDefault="002C5CB9">
            <w:pPr>
              <w:pStyle w:val="NumberregularTable"/>
            </w:pPr>
            <w:r>
              <w:t>35.7</w:t>
            </w:r>
          </w:p>
        </w:tc>
        <w:tc>
          <w:tcPr>
            <w:tcW w:w="850" w:type="dxa"/>
            <w:tcBorders>
              <w:top w:val="single" w:sz="11" w:space="0" w:color="001E5B"/>
              <w:left w:val="single" w:sz="6" w:space="0" w:color="auto"/>
              <w:bottom w:val="single" w:sz="6" w:space="0" w:color="auto"/>
              <w:right w:val="single" w:sz="6" w:space="0" w:color="auto"/>
            </w:tcBorders>
            <w:tcMar>
              <w:top w:w="80" w:type="dxa"/>
              <w:left w:w="80" w:type="dxa"/>
              <w:bottom w:w="80" w:type="dxa"/>
              <w:right w:w="80" w:type="dxa"/>
            </w:tcMar>
          </w:tcPr>
          <w:p w:rsidR="002C5CB9" w:rsidRDefault="002C5CB9">
            <w:pPr>
              <w:pStyle w:val="NumberregularTable"/>
            </w:pPr>
            <w:r>
              <w:t>27.3</w:t>
            </w:r>
          </w:p>
        </w:tc>
        <w:tc>
          <w:tcPr>
            <w:tcW w:w="851" w:type="dxa"/>
            <w:tcBorders>
              <w:top w:val="single" w:sz="11" w:space="0" w:color="001E5B"/>
              <w:left w:val="single" w:sz="6" w:space="0" w:color="auto"/>
              <w:bottom w:val="single" w:sz="6" w:space="0" w:color="auto"/>
              <w:right w:val="single" w:sz="6" w:space="0" w:color="auto"/>
            </w:tcBorders>
            <w:tcMar>
              <w:top w:w="80" w:type="dxa"/>
              <w:left w:w="80" w:type="dxa"/>
              <w:bottom w:w="80" w:type="dxa"/>
              <w:right w:w="80" w:type="dxa"/>
            </w:tcMar>
          </w:tcPr>
          <w:p w:rsidR="002C5CB9" w:rsidRDefault="002C5CB9">
            <w:pPr>
              <w:pStyle w:val="NumberregularTable"/>
            </w:pPr>
            <w:r>
              <w:t>22.2</w:t>
            </w:r>
          </w:p>
        </w:tc>
        <w:tc>
          <w:tcPr>
            <w:tcW w:w="850" w:type="dxa"/>
            <w:tcBorders>
              <w:top w:val="single" w:sz="11" w:space="0" w:color="001E5B"/>
              <w:left w:val="single" w:sz="6" w:space="0" w:color="auto"/>
              <w:bottom w:val="single" w:sz="6" w:space="0" w:color="auto"/>
              <w:right w:val="single" w:sz="6" w:space="0" w:color="auto"/>
            </w:tcBorders>
            <w:tcMar>
              <w:top w:w="80" w:type="dxa"/>
              <w:left w:w="80" w:type="dxa"/>
              <w:bottom w:w="80" w:type="dxa"/>
              <w:right w:w="80" w:type="dxa"/>
            </w:tcMar>
          </w:tcPr>
          <w:p w:rsidR="002C5CB9" w:rsidRDefault="002C5CB9">
            <w:pPr>
              <w:pStyle w:val="NumberregularTable"/>
            </w:pPr>
            <w:r>
              <w:t>18.6</w:t>
            </w:r>
          </w:p>
        </w:tc>
      </w:tr>
      <w:tr w:rsidR="002C5CB9" w:rsidTr="003A2CAB">
        <w:trPr>
          <w:trHeight w:val="283"/>
        </w:trPr>
        <w:tc>
          <w:tcPr>
            <w:tcW w:w="2537" w:type="dxa"/>
            <w:tcBorders>
              <w:top w:val="single" w:sz="6" w:space="0" w:color="auto"/>
              <w:left w:val="single" w:sz="6" w:space="0" w:color="auto"/>
              <w:bottom w:val="single" w:sz="24" w:space="0" w:color="001E5B"/>
              <w:right w:val="single" w:sz="6" w:space="0" w:color="auto"/>
            </w:tcBorders>
            <w:shd w:val="clear" w:color="001E5B" w:fill="auto"/>
            <w:tcMar>
              <w:top w:w="80" w:type="dxa"/>
              <w:left w:w="80" w:type="dxa"/>
              <w:bottom w:w="80" w:type="dxa"/>
              <w:right w:w="80" w:type="dxa"/>
            </w:tcMar>
          </w:tcPr>
          <w:p w:rsidR="002C5CB9" w:rsidRDefault="002C5CB9">
            <w:pPr>
              <w:pStyle w:val="TotalHeadingTable"/>
            </w:pPr>
            <w:r>
              <w:t>All industries</w:t>
            </w:r>
          </w:p>
        </w:tc>
        <w:tc>
          <w:tcPr>
            <w:tcW w:w="850" w:type="dxa"/>
            <w:tcBorders>
              <w:top w:val="single" w:sz="6" w:space="0" w:color="auto"/>
              <w:left w:val="single" w:sz="6" w:space="0" w:color="auto"/>
              <w:bottom w:val="single" w:sz="24" w:space="0" w:color="001E5B"/>
              <w:right w:val="single" w:sz="6" w:space="0" w:color="auto"/>
            </w:tcBorders>
            <w:shd w:val="clear" w:color="001E5B" w:fill="auto"/>
            <w:tcMar>
              <w:top w:w="80" w:type="dxa"/>
              <w:left w:w="80" w:type="dxa"/>
              <w:bottom w:w="80" w:type="dxa"/>
              <w:right w:w="80" w:type="dxa"/>
            </w:tcMar>
          </w:tcPr>
          <w:p w:rsidR="002C5CB9" w:rsidRDefault="002C5CB9">
            <w:pPr>
              <w:pStyle w:val="NumberregularTable"/>
            </w:pPr>
            <w:r>
              <w:t>2.8</w:t>
            </w:r>
          </w:p>
        </w:tc>
        <w:tc>
          <w:tcPr>
            <w:tcW w:w="851" w:type="dxa"/>
            <w:tcBorders>
              <w:top w:val="single" w:sz="6" w:space="0" w:color="auto"/>
              <w:left w:val="single" w:sz="6" w:space="0" w:color="auto"/>
              <w:bottom w:val="single" w:sz="24" w:space="0" w:color="001E5B"/>
              <w:right w:val="single" w:sz="6" w:space="0" w:color="auto"/>
            </w:tcBorders>
            <w:shd w:val="clear" w:color="001E5B" w:fill="auto"/>
            <w:tcMar>
              <w:top w:w="80" w:type="dxa"/>
              <w:left w:w="80" w:type="dxa"/>
              <w:bottom w:w="80" w:type="dxa"/>
              <w:right w:w="80" w:type="dxa"/>
            </w:tcMar>
          </w:tcPr>
          <w:p w:rsidR="002C5CB9" w:rsidRDefault="002C5CB9">
            <w:pPr>
              <w:pStyle w:val="NumberregularTable"/>
            </w:pPr>
            <w:r>
              <w:t>2.6</w:t>
            </w:r>
          </w:p>
        </w:tc>
        <w:tc>
          <w:tcPr>
            <w:tcW w:w="850" w:type="dxa"/>
            <w:tcBorders>
              <w:top w:val="single" w:sz="6" w:space="0" w:color="auto"/>
              <w:left w:val="single" w:sz="6" w:space="0" w:color="auto"/>
              <w:bottom w:val="single" w:sz="24" w:space="0" w:color="001E5B"/>
              <w:right w:val="single" w:sz="6" w:space="0" w:color="auto"/>
            </w:tcBorders>
            <w:shd w:val="clear" w:color="001E5B" w:fill="auto"/>
            <w:tcMar>
              <w:top w:w="80" w:type="dxa"/>
              <w:left w:w="80" w:type="dxa"/>
              <w:bottom w:w="80" w:type="dxa"/>
              <w:right w:w="80" w:type="dxa"/>
            </w:tcMar>
          </w:tcPr>
          <w:p w:rsidR="002C5CB9" w:rsidRDefault="002C5CB9">
            <w:pPr>
              <w:pStyle w:val="NumberregularTable"/>
            </w:pPr>
            <w:r>
              <w:t>2.9</w:t>
            </w:r>
          </w:p>
        </w:tc>
        <w:tc>
          <w:tcPr>
            <w:tcW w:w="851" w:type="dxa"/>
            <w:tcBorders>
              <w:top w:val="single" w:sz="6" w:space="0" w:color="auto"/>
              <w:left w:val="single" w:sz="6" w:space="0" w:color="auto"/>
              <w:bottom w:val="single" w:sz="24" w:space="0" w:color="001E5B"/>
              <w:right w:val="single" w:sz="6" w:space="0" w:color="auto"/>
            </w:tcBorders>
            <w:shd w:val="clear" w:color="001E5B" w:fill="auto"/>
            <w:tcMar>
              <w:top w:w="80" w:type="dxa"/>
              <w:left w:w="80" w:type="dxa"/>
              <w:bottom w:w="80" w:type="dxa"/>
              <w:right w:w="80" w:type="dxa"/>
            </w:tcMar>
          </w:tcPr>
          <w:p w:rsidR="002C5CB9" w:rsidRDefault="002C5CB9">
            <w:pPr>
              <w:pStyle w:val="NumberregularTable"/>
            </w:pPr>
            <w:r>
              <w:t>2.9</w:t>
            </w:r>
          </w:p>
        </w:tc>
        <w:tc>
          <w:tcPr>
            <w:tcW w:w="850" w:type="dxa"/>
            <w:tcBorders>
              <w:top w:val="single" w:sz="6" w:space="0" w:color="auto"/>
              <w:left w:val="single" w:sz="6" w:space="0" w:color="auto"/>
              <w:bottom w:val="single" w:sz="24" w:space="0" w:color="001E5B"/>
              <w:right w:val="single" w:sz="6" w:space="0" w:color="auto"/>
            </w:tcBorders>
            <w:shd w:val="clear" w:color="001E5B" w:fill="auto"/>
            <w:tcMar>
              <w:top w:w="80" w:type="dxa"/>
              <w:left w:w="80" w:type="dxa"/>
              <w:bottom w:w="80" w:type="dxa"/>
              <w:right w:w="80" w:type="dxa"/>
            </w:tcMar>
          </w:tcPr>
          <w:p w:rsidR="002C5CB9" w:rsidRDefault="002C5CB9">
            <w:pPr>
              <w:pStyle w:val="NumberregularTable"/>
            </w:pPr>
            <w:r>
              <w:t>2.7</w:t>
            </w:r>
          </w:p>
        </w:tc>
        <w:tc>
          <w:tcPr>
            <w:tcW w:w="850" w:type="dxa"/>
            <w:tcBorders>
              <w:top w:val="single" w:sz="6" w:space="0" w:color="auto"/>
              <w:left w:val="single" w:sz="6" w:space="0" w:color="auto"/>
              <w:bottom w:val="single" w:sz="24" w:space="0" w:color="001E5B"/>
              <w:right w:val="single" w:sz="6" w:space="0" w:color="auto"/>
            </w:tcBorders>
            <w:shd w:val="clear" w:color="001E5B" w:fill="auto"/>
            <w:tcMar>
              <w:top w:w="80" w:type="dxa"/>
              <w:left w:w="80" w:type="dxa"/>
              <w:bottom w:w="80" w:type="dxa"/>
              <w:right w:w="80" w:type="dxa"/>
            </w:tcMar>
          </w:tcPr>
          <w:p w:rsidR="002C5CB9" w:rsidRDefault="002C5CB9">
            <w:pPr>
              <w:pStyle w:val="NumberregularTable"/>
            </w:pPr>
            <w:r>
              <w:t>2.6</w:t>
            </w:r>
          </w:p>
        </w:tc>
        <w:tc>
          <w:tcPr>
            <w:tcW w:w="851" w:type="dxa"/>
            <w:tcBorders>
              <w:top w:val="single" w:sz="6" w:space="0" w:color="auto"/>
              <w:left w:val="single" w:sz="6" w:space="0" w:color="auto"/>
              <w:bottom w:val="single" w:sz="24" w:space="0" w:color="001E5B"/>
              <w:right w:val="single" w:sz="6" w:space="0" w:color="auto"/>
            </w:tcBorders>
            <w:shd w:val="clear" w:color="001E5B" w:fill="auto"/>
            <w:tcMar>
              <w:top w:w="80" w:type="dxa"/>
              <w:left w:w="80" w:type="dxa"/>
              <w:bottom w:w="80" w:type="dxa"/>
              <w:right w:w="80" w:type="dxa"/>
            </w:tcMar>
          </w:tcPr>
          <w:p w:rsidR="002C5CB9" w:rsidRDefault="002C5CB9">
            <w:pPr>
              <w:pStyle w:val="NumberregularTable"/>
            </w:pPr>
            <w:r>
              <w:t>2.0</w:t>
            </w:r>
          </w:p>
        </w:tc>
        <w:tc>
          <w:tcPr>
            <w:tcW w:w="850" w:type="dxa"/>
            <w:tcBorders>
              <w:top w:val="single" w:sz="6" w:space="0" w:color="auto"/>
              <w:left w:val="single" w:sz="6" w:space="0" w:color="auto"/>
              <w:bottom w:val="single" w:sz="24" w:space="0" w:color="001E5B"/>
              <w:right w:val="single" w:sz="6" w:space="0" w:color="auto"/>
            </w:tcBorders>
            <w:shd w:val="clear" w:color="001E5B" w:fill="auto"/>
            <w:tcMar>
              <w:top w:w="80" w:type="dxa"/>
              <w:left w:w="80" w:type="dxa"/>
              <w:bottom w:w="80" w:type="dxa"/>
              <w:right w:w="80" w:type="dxa"/>
            </w:tcMar>
          </w:tcPr>
          <w:p w:rsidR="002C5CB9" w:rsidRDefault="002C5CB9">
            <w:pPr>
              <w:pStyle w:val="NumberregularTable"/>
            </w:pPr>
            <w:r>
              <w:t>1.9</w:t>
            </w:r>
          </w:p>
        </w:tc>
      </w:tr>
      <w:tr w:rsidR="002C5CB9" w:rsidTr="003A2CAB">
        <w:trPr>
          <w:trHeight w:hRule="exact" w:val="1351"/>
        </w:trPr>
        <w:tc>
          <w:tcPr>
            <w:tcW w:w="9340" w:type="dxa"/>
            <w:gridSpan w:val="9"/>
            <w:tcBorders>
              <w:top w:val="single" w:sz="24" w:space="0" w:color="001E5B"/>
            </w:tcBorders>
            <w:tcMar>
              <w:top w:w="80" w:type="dxa"/>
              <w:left w:w="80" w:type="dxa"/>
              <w:bottom w:w="80" w:type="dxa"/>
              <w:right w:w="80" w:type="dxa"/>
            </w:tcMar>
          </w:tcPr>
          <w:p w:rsidR="002C5CB9" w:rsidRDefault="002C5CB9">
            <w:pPr>
              <w:pStyle w:val="FigureTableFootnote"/>
            </w:pPr>
            <w:r>
              <w:t>a The state or territory where the incident that caused the fatality occurred.</w:t>
            </w:r>
          </w:p>
          <w:p w:rsidR="002C5CB9" w:rsidRDefault="002C5CB9">
            <w:pPr>
              <w:pStyle w:val="FigureTableFootnote"/>
            </w:pPr>
            <w:r>
              <w:t>b Compensated fatalities due to injuries based on financial year of incident rather than of claim lodgement.</w:t>
            </w:r>
          </w:p>
          <w:p w:rsidR="002C5CB9" w:rsidRDefault="002C5CB9">
            <w:pPr>
              <w:pStyle w:val="FigureTableFootnote"/>
            </w:pPr>
            <w:r>
              <w:t>Source: Safe Work Australia Work-related Traumatic Injury Fatalities database and National Data Set for Compensation-based statistics.</w:t>
            </w:r>
          </w:p>
        </w:tc>
      </w:tr>
    </w:tbl>
    <w:p w:rsidR="002C5CB9" w:rsidRDefault="002C5CB9" w:rsidP="002C5CB9">
      <w:pPr>
        <w:pStyle w:val="BodyText"/>
      </w:pPr>
      <w:r>
        <w:t>The state or territory where the incident that caused the fatality occurred is also shown in Table 1. However, the distribution of incidents primarily reflects the population dominance and the patterns of freight movement in eastern Australia. In 2000 about one-third of all road freight (on a tonnage basis) in Australia either moved within NSW; from another state or territory to NSW: from NSW to another state or territory; or travelled through NSW in transit between other states or territories (ABS 2001).</w:t>
      </w:r>
    </w:p>
    <w:p w:rsidR="002C5CB9" w:rsidRDefault="002C5CB9" w:rsidP="0030662C">
      <w:pPr>
        <w:pStyle w:val="Colourheadingtoplevel"/>
      </w:pPr>
      <w:r>
        <w:t>Demographic characteristics</w:t>
      </w:r>
    </w:p>
    <w:p w:rsidR="00D00B98" w:rsidRDefault="002C5CB9" w:rsidP="002C5CB9">
      <w:pPr>
        <w:pStyle w:val="BodyText"/>
      </w:pPr>
      <w:r>
        <w:t>Figure 2 shows the combined number of work-related deaths in the Road freight transport industry by age and sex over the period 2003–04 to 2010–11. Since only 5 of the 352 deaths over the eight-year period in the industry were of female workers the graph is dominated by male workers, particularly in the middle to older age groups. The most common age group of deceased males with 97 deaths (28% of fatalities) was 35–44 years. Notably, there were 82 deaths of male workers aged 55–64 years and 17 aged 65 years and over — together representing just over one-quarter (28%) of all work-related fatalities in the industry. The age sex profile of all workers employed in the Road freight transport industry is not available at this level of detail from the Australian Bureau of Statistics so fatality rates are not presented.</w:t>
      </w:r>
    </w:p>
    <w:p w:rsidR="00D00B98" w:rsidRDefault="00D00B98">
      <w:pPr>
        <w:rPr>
          <w:rFonts w:ascii="Arial" w:hAnsi="Arial" w:cs="Arial"/>
          <w:color w:val="000000"/>
          <w:sz w:val="22"/>
          <w:szCs w:val="22"/>
          <w:lang w:val="en-US"/>
        </w:rPr>
      </w:pPr>
      <w:r>
        <w:br w:type="page"/>
      </w:r>
    </w:p>
    <w:p w:rsidR="002C5CB9" w:rsidRDefault="002C5CB9" w:rsidP="002C5CB9">
      <w:pPr>
        <w:pStyle w:val="FigureHeadingwithoutIndent"/>
      </w:pPr>
      <w:r>
        <w:t>Figure 2       Road freight transport worker fatalities: number by age group and sex 2003–04 to 2010–11 combined</w:t>
      </w:r>
    </w:p>
    <w:p w:rsidR="003D1E58" w:rsidRPr="003D1E58" w:rsidRDefault="003D1E58" w:rsidP="003D1E58">
      <w:pPr>
        <w:pStyle w:val="BodyText"/>
      </w:pPr>
      <w:r>
        <w:rPr>
          <w:noProof/>
          <w:lang w:val="en-AU"/>
        </w:rPr>
        <w:drawing>
          <wp:inline distT="0" distB="0" distL="0" distR="0" wp14:anchorId="59192B81" wp14:editId="35A6D7BE">
            <wp:extent cx="4867275" cy="2628900"/>
            <wp:effectExtent l="0" t="0" r="0" b="0"/>
            <wp:docPr id="2" name="Chart 2" descr=" Road freight transport worker fatalities: number by age group and sex 2003–04 to 2010–11 combined. Data discussed in text commentary." title="Figur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C5CB9" w:rsidRDefault="002C5CB9" w:rsidP="0030662C">
      <w:pPr>
        <w:pStyle w:val="Colourheadingtoplevel"/>
      </w:pPr>
      <w:r>
        <w:t>Fatalities while driving on a public road</w:t>
      </w:r>
    </w:p>
    <w:p w:rsidR="002C5CB9" w:rsidRDefault="002C5CB9" w:rsidP="002C5CB9">
      <w:pPr>
        <w:pStyle w:val="BodyText"/>
      </w:pPr>
      <w:r>
        <w:t>Over the period 2003–04 to 2010–11 there were 352 work-related fatalities resulting from injury in the Road freight transport industry. Of these fatalities 275 (78%) occurred while the decedent was driving or being driven in a vehicle on a public road.</w:t>
      </w:r>
    </w:p>
    <w:p w:rsidR="002C5CB9" w:rsidRDefault="002C5CB9" w:rsidP="002C5CB9">
      <w:pPr>
        <w:pStyle w:val="BodyText"/>
      </w:pPr>
      <w:r>
        <w:rPr>
          <w:spacing w:val="-2"/>
        </w:rPr>
        <w:t xml:space="preserve">Figure 3 shows the types of incident that led to the death of the driver or, in a few cases, a passenger. The most common cause, accounting for 97 fatalities, was </w:t>
      </w:r>
      <w:r>
        <w:rPr>
          <w:rStyle w:val="Classificationitalics"/>
          <w:spacing w:val="-2"/>
        </w:rPr>
        <w:t>Hit stationary object</w:t>
      </w:r>
      <w:r>
        <w:rPr>
          <w:spacing w:val="-2"/>
        </w:rPr>
        <w:t>. A typical example of such an incident was:</w:t>
      </w:r>
    </w:p>
    <w:p w:rsidR="002C5CB9" w:rsidRDefault="002C5CB9" w:rsidP="00EA5A2D">
      <w:pPr>
        <w:pStyle w:val="Narrative"/>
      </w:pPr>
      <w:r>
        <w:t>The decedent was driving a semi-trailer and as he approached the top of the ranges the road has a slight left hand curve. He continued to travel in a straight line driving into the right hand barrier rail pushing approximately thirty five metres of rail to the ground and driving across the top of the flattened railing. The prime mover and trailer continued over the railing and down a steep embankment of approximately twelve metres and through approximately thirty eight metres of trees and bushes. The decedent was not wearing a seat belt at the time and was ejected from the vehicle and sustained fatal injuries.</w:t>
      </w:r>
    </w:p>
    <w:p w:rsidR="002C5CB9" w:rsidRDefault="002C5CB9" w:rsidP="002C5CB9">
      <w:pPr>
        <w:pStyle w:val="BodyText"/>
      </w:pPr>
      <w:r>
        <w:t xml:space="preserve">The second most common type of incident, accounting for 76 fatalities, was a vehicle </w:t>
      </w:r>
      <w:r>
        <w:rPr>
          <w:rStyle w:val="Classificationitalics"/>
        </w:rPr>
        <w:t>Rollover</w:t>
      </w:r>
      <w:r>
        <w:t>. A typical example of such an incident was:</w:t>
      </w:r>
    </w:p>
    <w:p w:rsidR="002C5CB9" w:rsidRDefault="002C5CB9" w:rsidP="00EA5A2D">
      <w:pPr>
        <w:pStyle w:val="Narrative"/>
      </w:pPr>
      <w:r>
        <w:t>The vehicle was negotiating a 45 degree corner when the rear wheels of the trailer lifted off the road. This action carried onto the vehicle prime mover and subsequently caused the vehicle to roll-over.</w:t>
      </w:r>
    </w:p>
    <w:p w:rsidR="002C5CB9" w:rsidRDefault="002C5CB9" w:rsidP="002C5CB9">
      <w:pPr>
        <w:pStyle w:val="BodyText"/>
      </w:pPr>
      <w:r>
        <w:t xml:space="preserve">These two categories of single vehicle incidents together accounted for two-thirds (173 fatalities) of the Road freight transport public road incidents. In many of these cases the vehicle being driven by the decedent both collided with a stationary object and then rolled, or conversely, rolled and then hit a stationary object— in these cases the first occurrence was used to classify the incident. </w:t>
      </w:r>
    </w:p>
    <w:p w:rsidR="002C5CB9" w:rsidRDefault="002C5CB9" w:rsidP="002C5CB9">
      <w:pPr>
        <w:pStyle w:val="BodyText"/>
      </w:pPr>
      <w:r>
        <w:t>Most of the other incidents on public roads involved the decedent’s vehicle either being hit by another vehicle (52 fatalities) or colliding with another moving (31 fatalities) or stationary vehicle (9 fatalities).</w:t>
      </w:r>
    </w:p>
    <w:p w:rsidR="002C5CB9" w:rsidRDefault="002C5CB9" w:rsidP="002C5CB9">
      <w:pPr>
        <w:pStyle w:val="FigureHeadingwithoutIndent"/>
      </w:pPr>
      <w:r>
        <w:t>Figure 3       Worker fatalities while driving on a public road: type</w:t>
      </w:r>
      <w:r w:rsidR="00743AF2">
        <w:t xml:space="preserve"> of incident 2003–04 to 2010–11 </w:t>
      </w:r>
      <w:r>
        <w:t>combined</w:t>
      </w:r>
    </w:p>
    <w:p w:rsidR="003D1E58" w:rsidRPr="003D1E58" w:rsidRDefault="003D1E58" w:rsidP="003D1E58">
      <w:pPr>
        <w:pStyle w:val="BodyText"/>
      </w:pPr>
      <w:r>
        <w:rPr>
          <w:noProof/>
          <w:lang w:val="en-AU"/>
        </w:rPr>
        <w:drawing>
          <wp:inline distT="0" distB="0" distL="0" distR="0" wp14:anchorId="324E1CF2" wp14:editId="79B92B67">
            <wp:extent cx="4572000" cy="2543175"/>
            <wp:effectExtent l="0" t="0" r="0" b="0"/>
            <wp:docPr id="3" name="Chart 3" descr="Worker fatalities while driving on a public road: type of incident 2003–04 to 2010–11 combined. Data discussed in text commentary." title="Figur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C5CB9" w:rsidRDefault="002C5CB9" w:rsidP="0030662C">
      <w:pPr>
        <w:pStyle w:val="Colourheadingtoplevel"/>
      </w:pPr>
      <w:r>
        <w:t>Fatalities other than those on public roads</w:t>
      </w:r>
    </w:p>
    <w:p w:rsidR="002C5CB9" w:rsidRDefault="002C5CB9" w:rsidP="002C5CB9">
      <w:pPr>
        <w:pStyle w:val="BodyText"/>
      </w:pPr>
      <w:r>
        <w:t>Over the period 2003–04 to 2010–11 there were 77 work-related fatalities resulting from injury in the Road freight transport industry that occurred at a location other than a public road. Table 2 shows a breakdown of these incidents by the activity the decedent was undertaking at the time and the mechanism of the incident.</w:t>
      </w:r>
    </w:p>
    <w:p w:rsidR="002C5CB9" w:rsidRDefault="002C5CB9" w:rsidP="0030662C">
      <w:pPr>
        <w:pStyle w:val="Colourheading1"/>
      </w:pPr>
      <w:r>
        <w:t>Loading and unloading</w:t>
      </w:r>
    </w:p>
    <w:p w:rsidR="002C5CB9" w:rsidRDefault="002C5CB9" w:rsidP="002C5CB9">
      <w:pPr>
        <w:pStyle w:val="BodyText"/>
        <w:rPr>
          <w:spacing w:val="-2"/>
        </w:rPr>
      </w:pPr>
      <w:r>
        <w:rPr>
          <w:spacing w:val="-2"/>
        </w:rPr>
        <w:t xml:space="preserve">The most common activity undertaken at the time of the incident was </w:t>
      </w:r>
      <w:r>
        <w:rPr>
          <w:rStyle w:val="Classificationitalics"/>
          <w:spacing w:val="-2"/>
        </w:rPr>
        <w:t>Loading and unloading</w:t>
      </w:r>
      <w:r>
        <w:rPr>
          <w:spacing w:val="-2"/>
        </w:rPr>
        <w:t>. Overall, 49 fatalities occurred while carrying out this activity — accounting for nearly two-thirds (64%) of the Road freight transport industry fatalities that occurred at a location other than on a public road.</w:t>
      </w:r>
    </w:p>
    <w:p w:rsidR="00743AF2" w:rsidRDefault="002C5CB9" w:rsidP="003A2CAB">
      <w:pPr>
        <w:pStyle w:val="BodyText"/>
        <w:spacing w:after="240"/>
        <w:ind w:left="1985"/>
      </w:pPr>
      <w:r>
        <w:t xml:space="preserve">The most common mechanism of incident that occurred while </w:t>
      </w:r>
      <w:r>
        <w:rPr>
          <w:rStyle w:val="Classificationitalics"/>
        </w:rPr>
        <w:t>Loading and unloading</w:t>
      </w:r>
      <w:r>
        <w:t xml:space="preserve"> was </w:t>
      </w:r>
      <w:r>
        <w:rPr>
          <w:rStyle w:val="Classificationitalics"/>
        </w:rPr>
        <w:t>Being hit by falling objects</w:t>
      </w:r>
      <w:r>
        <w:t>. This mechanism caused 15 fatalities. Most of these fatalities involved a truck driver being struck by an</w:t>
      </w:r>
      <w:r w:rsidR="00743AF2">
        <w:t xml:space="preserve"> object falling from the truck being unloaded or from the forklift being used. In 4 cases, the object clearly fell after the worker released the load bindings on an unstable load. An example of these incidents is as follows:</w:t>
      </w:r>
    </w:p>
    <w:p w:rsidR="00743AF2" w:rsidRDefault="00743AF2" w:rsidP="00743AF2">
      <w:pPr>
        <w:pStyle w:val="Narrative"/>
      </w:pPr>
      <w:r>
        <w:t xml:space="preserve">A truck driver was unloading a semi-trailer loaded with large round bales of hay. While undertaking this task he released a load binder which resulted in a bale falling from the top of the load to the ground inflicting fatal crush injuries </w:t>
      </w:r>
    </w:p>
    <w:p w:rsidR="00743AF2" w:rsidRDefault="00743AF2">
      <w:pPr>
        <w:rPr>
          <w:rFonts w:ascii="Arial Narrow" w:hAnsi="Arial Narrow" w:cs="Arial Narrow"/>
          <w:i/>
          <w:iCs/>
          <w:color w:val="E36C0A" w:themeColor="accent6" w:themeShade="BF"/>
          <w:sz w:val="22"/>
          <w:szCs w:val="22"/>
          <w:lang w:val="en-US"/>
        </w:rPr>
      </w:pPr>
      <w:r>
        <w:br w:type="page"/>
      </w:r>
    </w:p>
    <w:p w:rsidR="002C5CB9" w:rsidRDefault="002C5CB9" w:rsidP="002C5CB9">
      <w:pPr>
        <w:pStyle w:val="TableHeading"/>
      </w:pPr>
      <w:r>
        <w:t>Table 2     Road freight transport worker fatalities other than those on a</w:t>
      </w:r>
      <w:r w:rsidR="008E35E7">
        <w:t xml:space="preserve"> </w:t>
      </w:r>
      <w:r w:rsidR="005E6AC9">
        <w:t xml:space="preserve">  </w:t>
      </w:r>
      <w:r>
        <w:t>public</w:t>
      </w:r>
      <w:r w:rsidR="008E35E7">
        <w:t xml:space="preserve"> </w:t>
      </w:r>
      <w:r>
        <w:t>road: number by activity of decedent and mechanism of</w:t>
      </w:r>
      <w:r w:rsidR="008E35E7">
        <w:t xml:space="preserve"> </w:t>
      </w:r>
      <w:r>
        <w:t>incident</w:t>
      </w:r>
    </w:p>
    <w:tbl>
      <w:tblPr>
        <w:tblW w:w="0" w:type="auto"/>
        <w:jc w:val="right"/>
        <w:tblLayout w:type="fixed"/>
        <w:tblCellMar>
          <w:left w:w="0" w:type="dxa"/>
          <w:right w:w="0" w:type="dxa"/>
        </w:tblCellMar>
        <w:tblLook w:val="0000" w:firstRow="0" w:lastRow="0" w:firstColumn="0" w:lastColumn="0" w:noHBand="0" w:noVBand="0"/>
      </w:tblPr>
      <w:tblGrid>
        <w:gridCol w:w="5428"/>
        <w:gridCol w:w="1942"/>
      </w:tblGrid>
      <w:tr w:rsidR="002C5CB9" w:rsidTr="006F39CB">
        <w:trPr>
          <w:cantSplit/>
          <w:trHeight w:hRule="exact" w:val="312"/>
          <w:jc w:val="right"/>
        </w:trPr>
        <w:tc>
          <w:tcPr>
            <w:tcW w:w="5428" w:type="dxa"/>
            <w:tcBorders>
              <w:top w:val="single" w:sz="11" w:space="0" w:color="001E5B"/>
              <w:left w:val="single" w:sz="6" w:space="0" w:color="auto"/>
              <w:bottom w:val="single" w:sz="12" w:space="0" w:color="001E5B"/>
              <w:right w:val="single" w:sz="6" w:space="0" w:color="auto"/>
            </w:tcBorders>
            <w:tcMar>
              <w:top w:w="80" w:type="dxa"/>
              <w:left w:w="80" w:type="dxa"/>
              <w:bottom w:w="80" w:type="dxa"/>
              <w:right w:w="80" w:type="dxa"/>
            </w:tcMar>
            <w:vAlign w:val="bottom"/>
          </w:tcPr>
          <w:p w:rsidR="002C5CB9" w:rsidRDefault="002C5CB9" w:rsidP="003039F2">
            <w:pPr>
              <w:pStyle w:val="ColumnHeadingTable"/>
            </w:pPr>
            <w:r>
              <w:t>Activity of decedent by mechanism of incident</w:t>
            </w:r>
          </w:p>
        </w:tc>
        <w:tc>
          <w:tcPr>
            <w:tcW w:w="1942" w:type="dxa"/>
            <w:tcBorders>
              <w:top w:val="single" w:sz="11" w:space="0" w:color="001E5B"/>
              <w:left w:val="single" w:sz="6" w:space="0" w:color="auto"/>
              <w:bottom w:val="single" w:sz="12" w:space="0" w:color="001E5B"/>
              <w:right w:val="single" w:sz="6" w:space="0" w:color="auto"/>
            </w:tcBorders>
            <w:tcMar>
              <w:top w:w="80" w:type="dxa"/>
              <w:left w:w="80" w:type="dxa"/>
              <w:bottom w:w="80" w:type="dxa"/>
              <w:right w:w="57" w:type="dxa"/>
            </w:tcMar>
            <w:vAlign w:val="bottom"/>
          </w:tcPr>
          <w:p w:rsidR="002C5CB9" w:rsidRDefault="002C5CB9" w:rsidP="003039F2">
            <w:pPr>
              <w:pStyle w:val="ColumnHeadingTable"/>
              <w:jc w:val="right"/>
            </w:pPr>
            <w:r>
              <w:t>Number of fatalities</w:t>
            </w:r>
          </w:p>
        </w:tc>
      </w:tr>
      <w:tr w:rsidR="002C5CB9" w:rsidTr="006F39CB">
        <w:trPr>
          <w:cantSplit/>
          <w:trHeight w:hRule="exact" w:val="312"/>
          <w:jc w:val="right"/>
        </w:trPr>
        <w:tc>
          <w:tcPr>
            <w:tcW w:w="5428" w:type="dxa"/>
            <w:tcBorders>
              <w:top w:val="single" w:sz="12" w:space="0" w:color="001E5B"/>
              <w:left w:val="single" w:sz="6" w:space="0" w:color="auto"/>
              <w:bottom w:val="single" w:sz="6" w:space="0" w:color="auto"/>
              <w:right w:val="single" w:sz="6" w:space="0" w:color="auto"/>
            </w:tcBorders>
            <w:shd w:val="clear" w:color="001E5B" w:fill="auto"/>
            <w:tcMar>
              <w:top w:w="80" w:type="dxa"/>
              <w:left w:w="80" w:type="dxa"/>
              <w:bottom w:w="80" w:type="dxa"/>
              <w:right w:w="80" w:type="dxa"/>
            </w:tcMar>
            <w:vAlign w:val="bottom"/>
          </w:tcPr>
          <w:p w:rsidR="002C5CB9" w:rsidRDefault="002C5CB9" w:rsidP="003039F2">
            <w:pPr>
              <w:pStyle w:val="TablestubTable"/>
            </w:pPr>
            <w:r>
              <w:t>Loading and unloading</w:t>
            </w:r>
          </w:p>
        </w:tc>
        <w:tc>
          <w:tcPr>
            <w:tcW w:w="1942" w:type="dxa"/>
            <w:tcBorders>
              <w:top w:val="single" w:sz="12" w:space="0" w:color="001E5B"/>
              <w:left w:val="single" w:sz="6" w:space="0" w:color="auto"/>
              <w:bottom w:val="single" w:sz="6" w:space="0" w:color="auto"/>
              <w:right w:val="single" w:sz="6" w:space="0" w:color="auto"/>
            </w:tcBorders>
            <w:shd w:val="clear" w:color="001E5B" w:fill="auto"/>
            <w:tcMar>
              <w:top w:w="80" w:type="dxa"/>
              <w:left w:w="80" w:type="dxa"/>
              <w:bottom w:w="80" w:type="dxa"/>
              <w:right w:w="80" w:type="dxa"/>
            </w:tcMar>
            <w:vAlign w:val="bottom"/>
          </w:tcPr>
          <w:p w:rsidR="002C5CB9" w:rsidRDefault="002C5CB9" w:rsidP="003039F2">
            <w:pPr>
              <w:pStyle w:val="NumberregularTable"/>
            </w:pPr>
            <w:r>
              <w:t>49</w:t>
            </w:r>
          </w:p>
        </w:tc>
      </w:tr>
      <w:tr w:rsidR="002C5CB9" w:rsidTr="006F39CB">
        <w:trPr>
          <w:cantSplit/>
          <w:trHeight w:hRule="exact" w:val="312"/>
          <w:jc w:val="right"/>
        </w:trPr>
        <w:tc>
          <w:tcPr>
            <w:tcW w:w="542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RowStubitalics4mmindentTable"/>
            </w:pPr>
            <w:r>
              <w:t>Being hit by falling objects</w:t>
            </w:r>
          </w:p>
        </w:tc>
        <w:tc>
          <w:tcPr>
            <w:tcW w:w="194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NumberitalicsTable"/>
            </w:pPr>
            <w:r>
              <w:t>15</w:t>
            </w:r>
          </w:p>
        </w:tc>
      </w:tr>
      <w:tr w:rsidR="002C5CB9" w:rsidTr="006F39CB">
        <w:trPr>
          <w:cantSplit/>
          <w:trHeight w:hRule="exact" w:val="312"/>
          <w:jc w:val="right"/>
        </w:trPr>
        <w:tc>
          <w:tcPr>
            <w:tcW w:w="542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RowStubitalics4mmindentTable"/>
            </w:pPr>
            <w:r>
              <w:t>Being trapped between stationary and moving objects</w:t>
            </w:r>
          </w:p>
        </w:tc>
        <w:tc>
          <w:tcPr>
            <w:tcW w:w="194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NumberitalicsTable"/>
            </w:pPr>
            <w:r>
              <w:t>13</w:t>
            </w:r>
          </w:p>
        </w:tc>
      </w:tr>
      <w:tr w:rsidR="002C5CB9" w:rsidTr="006F39CB">
        <w:trPr>
          <w:cantSplit/>
          <w:trHeight w:hRule="exact" w:val="312"/>
          <w:jc w:val="right"/>
        </w:trPr>
        <w:tc>
          <w:tcPr>
            <w:tcW w:w="542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RowStubitalics4mmindentTable"/>
            </w:pPr>
            <w:r>
              <w:t>Being hit by moving objects</w:t>
            </w:r>
          </w:p>
        </w:tc>
        <w:tc>
          <w:tcPr>
            <w:tcW w:w="194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NumberitalicsTable"/>
            </w:pPr>
            <w:r>
              <w:t>8</w:t>
            </w:r>
          </w:p>
        </w:tc>
      </w:tr>
      <w:tr w:rsidR="002C5CB9" w:rsidTr="006F39CB">
        <w:trPr>
          <w:cantSplit/>
          <w:trHeight w:hRule="exact" w:val="312"/>
          <w:jc w:val="right"/>
        </w:trPr>
        <w:tc>
          <w:tcPr>
            <w:tcW w:w="542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RowStubitalics4mmindentTable"/>
            </w:pPr>
            <w:r>
              <w:t>Falls from a height</w:t>
            </w:r>
          </w:p>
        </w:tc>
        <w:tc>
          <w:tcPr>
            <w:tcW w:w="194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NumberitalicsTable"/>
            </w:pPr>
            <w:r>
              <w:t>6</w:t>
            </w:r>
          </w:p>
        </w:tc>
      </w:tr>
      <w:tr w:rsidR="002C5CB9" w:rsidTr="006F39CB">
        <w:trPr>
          <w:cantSplit/>
          <w:trHeight w:hRule="exact" w:val="312"/>
          <w:jc w:val="right"/>
        </w:trPr>
        <w:tc>
          <w:tcPr>
            <w:tcW w:w="542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RowStubitalics4mmindentTable"/>
            </w:pPr>
            <w:r>
              <w:t>Vehicle incident</w:t>
            </w:r>
          </w:p>
        </w:tc>
        <w:tc>
          <w:tcPr>
            <w:tcW w:w="194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NumberitalicsTable"/>
            </w:pPr>
            <w:r>
              <w:t>3</w:t>
            </w:r>
          </w:p>
        </w:tc>
      </w:tr>
      <w:tr w:rsidR="002C5CB9" w:rsidTr="006F39CB">
        <w:trPr>
          <w:cantSplit/>
          <w:trHeight w:hRule="exact" w:val="312"/>
          <w:jc w:val="right"/>
        </w:trPr>
        <w:tc>
          <w:tcPr>
            <w:tcW w:w="542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RowStubitalics4mmindentTable"/>
            </w:pPr>
            <w:r>
              <w:t>Contact with electricity</w:t>
            </w:r>
          </w:p>
        </w:tc>
        <w:tc>
          <w:tcPr>
            <w:tcW w:w="194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NumberitalicsTable"/>
            </w:pPr>
            <w:r>
              <w:t>3</w:t>
            </w:r>
          </w:p>
        </w:tc>
      </w:tr>
      <w:tr w:rsidR="002C5CB9" w:rsidTr="006F39CB">
        <w:trPr>
          <w:cantSplit/>
          <w:trHeight w:hRule="exact" w:val="312"/>
          <w:jc w:val="right"/>
        </w:trPr>
        <w:tc>
          <w:tcPr>
            <w:tcW w:w="542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RowStubitalics4mmindentTable"/>
            </w:pPr>
            <w:r>
              <w:t>Explosion</w:t>
            </w:r>
          </w:p>
        </w:tc>
        <w:tc>
          <w:tcPr>
            <w:tcW w:w="194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NumberregularTable"/>
            </w:pPr>
            <w:r>
              <w:t>1</w:t>
            </w:r>
          </w:p>
        </w:tc>
      </w:tr>
      <w:tr w:rsidR="002C5CB9" w:rsidTr="006F39CB">
        <w:trPr>
          <w:cantSplit/>
          <w:trHeight w:hRule="exact" w:val="312"/>
          <w:jc w:val="right"/>
        </w:trPr>
        <w:tc>
          <w:tcPr>
            <w:tcW w:w="5428" w:type="dxa"/>
            <w:tcBorders>
              <w:top w:val="single" w:sz="6" w:space="0" w:color="auto"/>
              <w:left w:val="single" w:sz="6" w:space="0" w:color="auto"/>
              <w:bottom w:val="single" w:sz="6" w:space="0" w:color="auto"/>
              <w:right w:val="single" w:sz="6" w:space="0" w:color="auto"/>
            </w:tcBorders>
            <w:shd w:val="clear" w:color="001E5B" w:fill="auto"/>
            <w:tcMar>
              <w:top w:w="80" w:type="dxa"/>
              <w:left w:w="80" w:type="dxa"/>
              <w:bottom w:w="80" w:type="dxa"/>
              <w:right w:w="80" w:type="dxa"/>
            </w:tcMar>
            <w:vAlign w:val="bottom"/>
          </w:tcPr>
          <w:p w:rsidR="002C5CB9" w:rsidRDefault="002C5CB9" w:rsidP="003039F2">
            <w:pPr>
              <w:pStyle w:val="TablestubTable"/>
            </w:pPr>
            <w:r>
              <w:t>Repair and maintenance</w:t>
            </w:r>
          </w:p>
        </w:tc>
        <w:tc>
          <w:tcPr>
            <w:tcW w:w="1942" w:type="dxa"/>
            <w:tcBorders>
              <w:top w:val="single" w:sz="6" w:space="0" w:color="auto"/>
              <w:left w:val="single" w:sz="6" w:space="0" w:color="auto"/>
              <w:bottom w:val="single" w:sz="6" w:space="0" w:color="auto"/>
              <w:right w:val="single" w:sz="6" w:space="0" w:color="auto"/>
            </w:tcBorders>
            <w:shd w:val="clear" w:color="001E5B" w:fill="auto"/>
            <w:tcMar>
              <w:top w:w="80" w:type="dxa"/>
              <w:left w:w="80" w:type="dxa"/>
              <w:bottom w:w="80" w:type="dxa"/>
              <w:right w:w="80" w:type="dxa"/>
            </w:tcMar>
            <w:vAlign w:val="bottom"/>
          </w:tcPr>
          <w:p w:rsidR="002C5CB9" w:rsidRDefault="002C5CB9" w:rsidP="003039F2">
            <w:pPr>
              <w:pStyle w:val="NumberregularTable"/>
            </w:pPr>
            <w:r>
              <w:t>12</w:t>
            </w:r>
          </w:p>
        </w:tc>
      </w:tr>
      <w:tr w:rsidR="002C5CB9" w:rsidTr="006F39CB">
        <w:trPr>
          <w:cantSplit/>
          <w:trHeight w:hRule="exact" w:val="312"/>
          <w:jc w:val="right"/>
        </w:trPr>
        <w:tc>
          <w:tcPr>
            <w:tcW w:w="542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RowStubitalics4mmindentTable"/>
            </w:pPr>
            <w:r>
              <w:t>Being hit by moving objects</w:t>
            </w:r>
          </w:p>
        </w:tc>
        <w:tc>
          <w:tcPr>
            <w:tcW w:w="194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NumberitalicsTable"/>
            </w:pPr>
            <w:r>
              <w:t>4</w:t>
            </w:r>
          </w:p>
        </w:tc>
      </w:tr>
      <w:tr w:rsidR="002C5CB9" w:rsidTr="006F39CB">
        <w:trPr>
          <w:cantSplit/>
          <w:trHeight w:hRule="exact" w:val="312"/>
          <w:jc w:val="right"/>
        </w:trPr>
        <w:tc>
          <w:tcPr>
            <w:tcW w:w="542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RowStubitalics4mmindentTable"/>
            </w:pPr>
            <w:r>
              <w:t>Being trapped between stationary and moving objects</w:t>
            </w:r>
          </w:p>
        </w:tc>
        <w:tc>
          <w:tcPr>
            <w:tcW w:w="194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NumberitalicsTable"/>
            </w:pPr>
            <w:r>
              <w:t>3</w:t>
            </w:r>
          </w:p>
        </w:tc>
      </w:tr>
      <w:tr w:rsidR="002C5CB9" w:rsidTr="006F39CB">
        <w:trPr>
          <w:cantSplit/>
          <w:trHeight w:hRule="exact" w:val="312"/>
          <w:jc w:val="right"/>
        </w:trPr>
        <w:tc>
          <w:tcPr>
            <w:tcW w:w="542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RowStubitalics4mmindentTable"/>
            </w:pPr>
            <w:r>
              <w:t>Contact with electricity</w:t>
            </w:r>
          </w:p>
        </w:tc>
        <w:tc>
          <w:tcPr>
            <w:tcW w:w="194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NumberitalicsTable"/>
            </w:pPr>
            <w:r>
              <w:t>1</w:t>
            </w:r>
          </w:p>
        </w:tc>
      </w:tr>
      <w:tr w:rsidR="002C5CB9" w:rsidTr="006F39CB">
        <w:trPr>
          <w:cantSplit/>
          <w:trHeight w:hRule="exact" w:val="312"/>
          <w:jc w:val="right"/>
        </w:trPr>
        <w:tc>
          <w:tcPr>
            <w:tcW w:w="542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RowStubitalics4mmindentTable"/>
            </w:pPr>
            <w:r>
              <w:t>Contact with hot objects</w:t>
            </w:r>
          </w:p>
        </w:tc>
        <w:tc>
          <w:tcPr>
            <w:tcW w:w="194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NumberitalicsTable"/>
            </w:pPr>
            <w:r>
              <w:t>1</w:t>
            </w:r>
          </w:p>
        </w:tc>
      </w:tr>
      <w:tr w:rsidR="002C5CB9" w:rsidTr="006F39CB">
        <w:trPr>
          <w:cantSplit/>
          <w:trHeight w:hRule="exact" w:val="312"/>
          <w:jc w:val="right"/>
        </w:trPr>
        <w:tc>
          <w:tcPr>
            <w:tcW w:w="542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RowStubitalics4mmindentTable"/>
            </w:pPr>
            <w:r>
              <w:t xml:space="preserve">Falls from a height                                   </w:t>
            </w:r>
          </w:p>
        </w:tc>
        <w:tc>
          <w:tcPr>
            <w:tcW w:w="194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NumberitalicsTable"/>
            </w:pPr>
            <w:r>
              <w:t>1</w:t>
            </w:r>
          </w:p>
        </w:tc>
      </w:tr>
      <w:tr w:rsidR="002C5CB9" w:rsidTr="006F39CB">
        <w:trPr>
          <w:cantSplit/>
          <w:trHeight w:hRule="exact" w:val="312"/>
          <w:jc w:val="right"/>
        </w:trPr>
        <w:tc>
          <w:tcPr>
            <w:tcW w:w="542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RowStubitalics4mmindentTable"/>
            </w:pPr>
            <w:r>
              <w:t>Being hit by falling objects</w:t>
            </w:r>
          </w:p>
        </w:tc>
        <w:tc>
          <w:tcPr>
            <w:tcW w:w="194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NumberitalicsTable"/>
            </w:pPr>
            <w:r>
              <w:t>1</w:t>
            </w:r>
          </w:p>
        </w:tc>
      </w:tr>
      <w:tr w:rsidR="002C5CB9" w:rsidTr="006F39CB">
        <w:trPr>
          <w:cantSplit/>
          <w:trHeight w:hRule="exact" w:val="312"/>
          <w:jc w:val="right"/>
        </w:trPr>
        <w:tc>
          <w:tcPr>
            <w:tcW w:w="542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RowStubitalics4mmindentTable"/>
            </w:pPr>
            <w:r>
              <w:t>Being trapped by moving machinery</w:t>
            </w:r>
          </w:p>
        </w:tc>
        <w:tc>
          <w:tcPr>
            <w:tcW w:w="194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NumberitalicsTable"/>
            </w:pPr>
            <w:r>
              <w:t>1</w:t>
            </w:r>
          </w:p>
        </w:tc>
      </w:tr>
      <w:tr w:rsidR="002C5CB9" w:rsidTr="006F39CB">
        <w:trPr>
          <w:cantSplit/>
          <w:trHeight w:hRule="exact" w:val="312"/>
          <w:jc w:val="right"/>
        </w:trPr>
        <w:tc>
          <w:tcPr>
            <w:tcW w:w="5428" w:type="dxa"/>
            <w:tcBorders>
              <w:top w:val="single" w:sz="6" w:space="0" w:color="auto"/>
              <w:left w:val="single" w:sz="6" w:space="0" w:color="auto"/>
              <w:bottom w:val="single" w:sz="6" w:space="0" w:color="auto"/>
              <w:right w:val="single" w:sz="6" w:space="0" w:color="auto"/>
            </w:tcBorders>
            <w:shd w:val="clear" w:color="001E5B" w:fill="auto"/>
            <w:tcMar>
              <w:top w:w="80" w:type="dxa"/>
              <w:left w:w="80" w:type="dxa"/>
              <w:bottom w:w="80" w:type="dxa"/>
              <w:right w:w="80" w:type="dxa"/>
            </w:tcMar>
            <w:vAlign w:val="bottom"/>
          </w:tcPr>
          <w:p w:rsidR="002C5CB9" w:rsidRDefault="002C5CB9" w:rsidP="003039F2">
            <w:pPr>
              <w:pStyle w:val="TablestubTable"/>
            </w:pPr>
            <w:r>
              <w:t xml:space="preserve">Driving </w:t>
            </w:r>
          </w:p>
        </w:tc>
        <w:tc>
          <w:tcPr>
            <w:tcW w:w="1942" w:type="dxa"/>
            <w:tcBorders>
              <w:top w:val="single" w:sz="6" w:space="0" w:color="auto"/>
              <w:left w:val="single" w:sz="6" w:space="0" w:color="auto"/>
              <w:bottom w:val="single" w:sz="6" w:space="0" w:color="auto"/>
              <w:right w:val="single" w:sz="6" w:space="0" w:color="auto"/>
            </w:tcBorders>
            <w:shd w:val="clear" w:color="001E5B" w:fill="auto"/>
            <w:tcMar>
              <w:top w:w="80" w:type="dxa"/>
              <w:left w:w="80" w:type="dxa"/>
              <w:bottom w:w="80" w:type="dxa"/>
              <w:right w:w="80" w:type="dxa"/>
            </w:tcMar>
            <w:vAlign w:val="bottom"/>
          </w:tcPr>
          <w:p w:rsidR="002C5CB9" w:rsidRDefault="002C5CB9" w:rsidP="003039F2">
            <w:pPr>
              <w:pStyle w:val="NumberregularTable"/>
            </w:pPr>
            <w:r>
              <w:t>5</w:t>
            </w:r>
          </w:p>
        </w:tc>
      </w:tr>
      <w:tr w:rsidR="002C5CB9" w:rsidTr="006F39CB">
        <w:trPr>
          <w:cantSplit/>
          <w:trHeight w:hRule="exact" w:val="312"/>
          <w:jc w:val="right"/>
        </w:trPr>
        <w:tc>
          <w:tcPr>
            <w:tcW w:w="542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RowStubitalics4mmindentTable"/>
            </w:pPr>
            <w:r>
              <w:t>Vehicle incident</w:t>
            </w:r>
          </w:p>
        </w:tc>
        <w:tc>
          <w:tcPr>
            <w:tcW w:w="194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NumberitalicsTable"/>
            </w:pPr>
            <w:r>
              <w:t>3</w:t>
            </w:r>
          </w:p>
        </w:tc>
      </w:tr>
      <w:tr w:rsidR="002C5CB9" w:rsidTr="006F39CB">
        <w:trPr>
          <w:cantSplit/>
          <w:trHeight w:hRule="exact" w:val="312"/>
          <w:jc w:val="right"/>
        </w:trPr>
        <w:tc>
          <w:tcPr>
            <w:tcW w:w="542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RowStubitalics4mmindentTable"/>
            </w:pPr>
            <w:r>
              <w:t>Contact with hot objects</w:t>
            </w:r>
          </w:p>
        </w:tc>
        <w:tc>
          <w:tcPr>
            <w:tcW w:w="194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NumberitalicsTable"/>
            </w:pPr>
            <w:r>
              <w:t>1</w:t>
            </w:r>
          </w:p>
        </w:tc>
      </w:tr>
      <w:tr w:rsidR="002C5CB9" w:rsidTr="006F39CB">
        <w:trPr>
          <w:cantSplit/>
          <w:trHeight w:hRule="exact" w:val="312"/>
          <w:jc w:val="right"/>
        </w:trPr>
        <w:tc>
          <w:tcPr>
            <w:tcW w:w="542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RowStubitalics4mmindentTable"/>
            </w:pPr>
            <w:r>
              <w:t>Rollover of non-road vehicle</w:t>
            </w:r>
          </w:p>
        </w:tc>
        <w:tc>
          <w:tcPr>
            <w:tcW w:w="194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NumberitalicsTable"/>
            </w:pPr>
            <w:r>
              <w:t>1</w:t>
            </w:r>
          </w:p>
        </w:tc>
      </w:tr>
      <w:tr w:rsidR="002C5CB9" w:rsidTr="006F39CB">
        <w:trPr>
          <w:cantSplit/>
          <w:trHeight w:hRule="exact" w:val="312"/>
          <w:jc w:val="right"/>
        </w:trPr>
        <w:tc>
          <w:tcPr>
            <w:tcW w:w="5428" w:type="dxa"/>
            <w:tcBorders>
              <w:top w:val="single" w:sz="6" w:space="0" w:color="auto"/>
              <w:left w:val="single" w:sz="6" w:space="0" w:color="auto"/>
              <w:bottom w:val="single" w:sz="6" w:space="0" w:color="auto"/>
              <w:right w:val="single" w:sz="6" w:space="0" w:color="auto"/>
            </w:tcBorders>
            <w:shd w:val="clear" w:color="001E5B" w:fill="auto"/>
            <w:tcMar>
              <w:top w:w="80" w:type="dxa"/>
              <w:left w:w="80" w:type="dxa"/>
              <w:bottom w:w="80" w:type="dxa"/>
              <w:right w:w="80" w:type="dxa"/>
            </w:tcMar>
            <w:vAlign w:val="bottom"/>
          </w:tcPr>
          <w:p w:rsidR="002C5CB9" w:rsidRDefault="002C5CB9" w:rsidP="003039F2">
            <w:pPr>
              <w:pStyle w:val="TablestubTable"/>
            </w:pPr>
            <w:r>
              <w:t xml:space="preserve">Other activity </w:t>
            </w:r>
          </w:p>
        </w:tc>
        <w:tc>
          <w:tcPr>
            <w:tcW w:w="1942" w:type="dxa"/>
            <w:tcBorders>
              <w:top w:val="single" w:sz="6" w:space="0" w:color="auto"/>
              <w:left w:val="single" w:sz="6" w:space="0" w:color="auto"/>
              <w:bottom w:val="single" w:sz="6" w:space="0" w:color="auto"/>
              <w:right w:val="single" w:sz="6" w:space="0" w:color="auto"/>
            </w:tcBorders>
            <w:shd w:val="clear" w:color="001E5B" w:fill="auto"/>
            <w:tcMar>
              <w:top w:w="80" w:type="dxa"/>
              <w:left w:w="80" w:type="dxa"/>
              <w:bottom w:w="80" w:type="dxa"/>
              <w:right w:w="80" w:type="dxa"/>
            </w:tcMar>
            <w:vAlign w:val="bottom"/>
          </w:tcPr>
          <w:p w:rsidR="002C5CB9" w:rsidRDefault="002C5CB9" w:rsidP="003039F2">
            <w:pPr>
              <w:pStyle w:val="NumberregularTable"/>
            </w:pPr>
            <w:r>
              <w:t>11</w:t>
            </w:r>
          </w:p>
        </w:tc>
      </w:tr>
      <w:tr w:rsidR="002C5CB9" w:rsidTr="006F39CB">
        <w:trPr>
          <w:cantSplit/>
          <w:trHeight w:hRule="exact" w:val="312"/>
          <w:jc w:val="right"/>
        </w:trPr>
        <w:tc>
          <w:tcPr>
            <w:tcW w:w="542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RowStubitalics4mmindentTable"/>
            </w:pPr>
            <w:r>
              <w:t>Being hit by moving objects</w:t>
            </w:r>
          </w:p>
        </w:tc>
        <w:tc>
          <w:tcPr>
            <w:tcW w:w="194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NumberitalicsTable"/>
            </w:pPr>
            <w:r>
              <w:t>3</w:t>
            </w:r>
          </w:p>
        </w:tc>
      </w:tr>
      <w:tr w:rsidR="002C5CB9" w:rsidTr="006F39CB">
        <w:trPr>
          <w:cantSplit/>
          <w:trHeight w:hRule="exact" w:val="312"/>
          <w:jc w:val="right"/>
        </w:trPr>
        <w:tc>
          <w:tcPr>
            <w:tcW w:w="542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RowStubitalics4mmindentTable"/>
            </w:pPr>
            <w:r>
              <w:t>Being trapped between stationary and moving objects</w:t>
            </w:r>
          </w:p>
        </w:tc>
        <w:tc>
          <w:tcPr>
            <w:tcW w:w="194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NumberitalicsTable"/>
            </w:pPr>
            <w:r>
              <w:t>2</w:t>
            </w:r>
          </w:p>
        </w:tc>
      </w:tr>
      <w:tr w:rsidR="002C5CB9" w:rsidTr="006F39CB">
        <w:trPr>
          <w:cantSplit/>
          <w:trHeight w:hRule="exact" w:val="312"/>
          <w:jc w:val="right"/>
        </w:trPr>
        <w:tc>
          <w:tcPr>
            <w:tcW w:w="542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RowStubitalics4mmindentTable"/>
            </w:pPr>
            <w:r>
              <w:t xml:space="preserve">Falls from a height                                   </w:t>
            </w:r>
          </w:p>
        </w:tc>
        <w:tc>
          <w:tcPr>
            <w:tcW w:w="194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NumberitalicsTable"/>
            </w:pPr>
            <w:r>
              <w:t>1</w:t>
            </w:r>
          </w:p>
        </w:tc>
      </w:tr>
      <w:tr w:rsidR="002C5CB9" w:rsidTr="006F39CB">
        <w:trPr>
          <w:cantSplit/>
          <w:trHeight w:hRule="exact" w:val="312"/>
          <w:jc w:val="right"/>
        </w:trPr>
        <w:tc>
          <w:tcPr>
            <w:tcW w:w="542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RowStubitalics4mmindentTable"/>
            </w:pPr>
            <w:r>
              <w:t>Being assaulted by a person or persons</w:t>
            </w:r>
          </w:p>
        </w:tc>
        <w:tc>
          <w:tcPr>
            <w:tcW w:w="194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NumberitalicsTable"/>
            </w:pPr>
            <w:r>
              <w:t>1</w:t>
            </w:r>
          </w:p>
        </w:tc>
      </w:tr>
      <w:tr w:rsidR="002C5CB9" w:rsidTr="006F39CB">
        <w:trPr>
          <w:cantSplit/>
          <w:trHeight w:hRule="exact" w:val="312"/>
          <w:jc w:val="right"/>
        </w:trPr>
        <w:tc>
          <w:tcPr>
            <w:tcW w:w="542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RowStubitalics4mmindentTable"/>
            </w:pPr>
            <w:r>
              <w:t>Single contact with chemical or substance</w:t>
            </w:r>
          </w:p>
        </w:tc>
        <w:tc>
          <w:tcPr>
            <w:tcW w:w="194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NumberitalicsTable"/>
            </w:pPr>
            <w:r>
              <w:t>1</w:t>
            </w:r>
          </w:p>
        </w:tc>
      </w:tr>
      <w:tr w:rsidR="002C5CB9" w:rsidTr="006F39CB">
        <w:trPr>
          <w:cantSplit/>
          <w:trHeight w:hRule="exact" w:val="312"/>
          <w:jc w:val="right"/>
        </w:trPr>
        <w:tc>
          <w:tcPr>
            <w:tcW w:w="542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RowStubitalics4mmindentTable"/>
            </w:pPr>
            <w:r>
              <w:t>Being bitten by an animal</w:t>
            </w:r>
          </w:p>
        </w:tc>
        <w:tc>
          <w:tcPr>
            <w:tcW w:w="194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NumberitalicsTable"/>
            </w:pPr>
            <w:r>
              <w:t>1</w:t>
            </w:r>
          </w:p>
        </w:tc>
      </w:tr>
      <w:tr w:rsidR="002C5CB9" w:rsidTr="006F39CB">
        <w:trPr>
          <w:cantSplit/>
          <w:trHeight w:hRule="exact" w:val="312"/>
          <w:jc w:val="right"/>
        </w:trPr>
        <w:tc>
          <w:tcPr>
            <w:tcW w:w="542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RowStubitalics4mmindentTable"/>
            </w:pPr>
            <w:r>
              <w:t>Exposure to environmental heat</w:t>
            </w:r>
          </w:p>
        </w:tc>
        <w:tc>
          <w:tcPr>
            <w:tcW w:w="194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NumberitalicsTable"/>
            </w:pPr>
            <w:r>
              <w:t>1</w:t>
            </w:r>
          </w:p>
        </w:tc>
      </w:tr>
      <w:tr w:rsidR="002C5CB9" w:rsidTr="006F39CB">
        <w:trPr>
          <w:cantSplit/>
          <w:trHeight w:hRule="exact" w:val="312"/>
          <w:jc w:val="right"/>
        </w:trPr>
        <w:tc>
          <w:tcPr>
            <w:tcW w:w="542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RowStubitalics4mmindentTable"/>
            </w:pPr>
            <w:r>
              <w:t>Single contact with chemical or substance</w:t>
            </w:r>
          </w:p>
        </w:tc>
        <w:tc>
          <w:tcPr>
            <w:tcW w:w="194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rsidR="002C5CB9" w:rsidRDefault="002C5CB9" w:rsidP="003039F2">
            <w:pPr>
              <w:pStyle w:val="NumberitalicsTable"/>
            </w:pPr>
            <w:r>
              <w:t>1</w:t>
            </w:r>
          </w:p>
        </w:tc>
      </w:tr>
      <w:tr w:rsidR="002C5CB9" w:rsidTr="006F39CB">
        <w:trPr>
          <w:cantSplit/>
          <w:trHeight w:hRule="exact" w:val="312"/>
          <w:jc w:val="right"/>
        </w:trPr>
        <w:tc>
          <w:tcPr>
            <w:tcW w:w="5428" w:type="dxa"/>
            <w:tcBorders>
              <w:top w:val="single" w:sz="6" w:space="0" w:color="auto"/>
              <w:left w:val="single" w:sz="6" w:space="0" w:color="auto"/>
              <w:bottom w:val="single" w:sz="22" w:space="0" w:color="001E5B"/>
              <w:right w:val="single" w:sz="6" w:space="0" w:color="auto"/>
            </w:tcBorders>
            <w:tcMar>
              <w:top w:w="80" w:type="dxa"/>
              <w:left w:w="80" w:type="dxa"/>
              <w:bottom w:w="80" w:type="dxa"/>
              <w:right w:w="80" w:type="dxa"/>
            </w:tcMar>
            <w:vAlign w:val="bottom"/>
          </w:tcPr>
          <w:p w:rsidR="002C5CB9" w:rsidRDefault="002C5CB9" w:rsidP="003039F2">
            <w:pPr>
              <w:pStyle w:val="TotalHeadingTable"/>
            </w:pPr>
            <w:r>
              <w:t>Total non-public road fatalities</w:t>
            </w:r>
          </w:p>
        </w:tc>
        <w:tc>
          <w:tcPr>
            <w:tcW w:w="1942" w:type="dxa"/>
            <w:tcBorders>
              <w:top w:val="single" w:sz="6" w:space="0" w:color="auto"/>
              <w:left w:val="single" w:sz="6" w:space="0" w:color="auto"/>
              <w:bottom w:val="single" w:sz="22" w:space="0" w:color="001E5B"/>
              <w:right w:val="single" w:sz="6" w:space="0" w:color="auto"/>
            </w:tcBorders>
            <w:tcMar>
              <w:top w:w="80" w:type="dxa"/>
              <w:left w:w="80" w:type="dxa"/>
              <w:bottom w:w="80" w:type="dxa"/>
              <w:right w:w="80" w:type="dxa"/>
            </w:tcMar>
            <w:vAlign w:val="bottom"/>
          </w:tcPr>
          <w:p w:rsidR="002C5CB9" w:rsidRDefault="002C5CB9" w:rsidP="003039F2">
            <w:pPr>
              <w:pStyle w:val="NumberboldTable"/>
            </w:pPr>
            <w:r>
              <w:t>77</w:t>
            </w:r>
          </w:p>
        </w:tc>
      </w:tr>
    </w:tbl>
    <w:p w:rsidR="003A2CAB" w:rsidRDefault="003A2CAB">
      <w:pPr>
        <w:rPr>
          <w:rFonts w:ascii="Arial" w:hAnsi="Arial" w:cs="Arial"/>
          <w:color w:val="000000"/>
          <w:sz w:val="22"/>
          <w:szCs w:val="22"/>
          <w:lang w:val="en-US"/>
        </w:rPr>
      </w:pPr>
      <w:r>
        <w:br w:type="page"/>
      </w:r>
    </w:p>
    <w:p w:rsidR="002C5CB9" w:rsidRDefault="002C5CB9" w:rsidP="002C5CB9">
      <w:pPr>
        <w:pStyle w:val="BodyText"/>
      </w:pPr>
      <w:r>
        <w:t xml:space="preserve">The next most common mechanism was </w:t>
      </w:r>
      <w:r>
        <w:rPr>
          <w:rStyle w:val="Classificationitalics"/>
        </w:rPr>
        <w:t>Being trapped between stationary and moving objects</w:t>
      </w:r>
      <w:r>
        <w:t>. This mechanism caused 13 fatalities. These incidents were quite varied but were primarily related to the hazards of manoeuvering prime-movers and trailers, the presence of other vehicles in the vicinity, the use of loading bays and ramps, and vehicle mounted cranes. A more atypical example of these incidents is as follows:</w:t>
      </w:r>
    </w:p>
    <w:p w:rsidR="002C5CB9" w:rsidRDefault="002C5CB9" w:rsidP="00EA5A2D">
      <w:pPr>
        <w:pStyle w:val="Narrative"/>
      </w:pPr>
      <w:r>
        <w:t>A truck driver was removing a 3.4 tonne steel coil from a semi-trailer parked next to his crane truck using the rear mounted crane on his vehicle, when the crane truck overbalanced tilted towards the semi and crushed the deceased between the two trucks.</w:t>
      </w:r>
    </w:p>
    <w:p w:rsidR="002C5CB9" w:rsidRDefault="002C5CB9" w:rsidP="002C5CB9">
      <w:pPr>
        <w:pStyle w:val="BodyText"/>
        <w:rPr>
          <w:rFonts w:ascii="Arial Narrow" w:hAnsi="Arial Narrow" w:cs="Arial Narrow"/>
          <w:b/>
          <w:bCs/>
        </w:rPr>
      </w:pPr>
      <w:r>
        <w:rPr>
          <w:rStyle w:val="Classificationitalics"/>
        </w:rPr>
        <w:t>Being hit by moving objects</w:t>
      </w:r>
      <w:r>
        <w:t xml:space="preserve"> caused 8 fatalities. These incidents were also quite varied but primarily related to workers on foot in the vicinity of operating vehicles or vehicles that were out of control due to a brake failure of some form. An example of such an incident is as follows:</w:t>
      </w:r>
    </w:p>
    <w:p w:rsidR="002C5CB9" w:rsidRDefault="002C5CB9" w:rsidP="00EA5A2D">
      <w:pPr>
        <w:pStyle w:val="Narrative"/>
      </w:pPr>
      <w:r>
        <w:rPr>
          <w:b/>
          <w:bCs/>
          <w:color w:val="000000"/>
        </w:rPr>
        <w:t xml:space="preserve"> </w:t>
      </w:r>
      <w:r>
        <w:t>A worker was detaching a dog trailer from a tipper truck when the truck started to roll backward crushing the worker and causing fatal injuries.</w:t>
      </w:r>
    </w:p>
    <w:p w:rsidR="002C5CB9" w:rsidRDefault="002C5CB9" w:rsidP="002C5CB9">
      <w:pPr>
        <w:pStyle w:val="BodyText"/>
      </w:pPr>
      <w:r>
        <w:rPr>
          <w:rStyle w:val="Classificationitalics"/>
        </w:rPr>
        <w:t>Falls from a height</w:t>
      </w:r>
      <w:r>
        <w:t xml:space="preserve"> was the cause of 6 fatalities while </w:t>
      </w:r>
      <w:r>
        <w:rPr>
          <w:rStyle w:val="Classificationitalics"/>
        </w:rPr>
        <w:t>Loading and unloading</w:t>
      </w:r>
      <w:r>
        <w:t>. Most of these incidents involved the truck driver falling from the truck in some way while loading or unloading or inspecting the load. An example of such an incident is as follows:</w:t>
      </w:r>
    </w:p>
    <w:p w:rsidR="002C5CB9" w:rsidRDefault="002C5CB9" w:rsidP="00EA5A2D">
      <w:pPr>
        <w:pStyle w:val="Narrative"/>
      </w:pPr>
      <w:r>
        <w:t>A self-employed truck driver was loading wool bales onto a truck with the assistance of a farmer and farmhand when he fell from the load sustaining fatal injuries.</w:t>
      </w:r>
    </w:p>
    <w:p w:rsidR="002C5CB9" w:rsidRDefault="002C5CB9" w:rsidP="0030662C">
      <w:pPr>
        <w:pStyle w:val="Colourheading1"/>
      </w:pPr>
      <w:r>
        <w:t>Repair and maintenance</w:t>
      </w:r>
    </w:p>
    <w:p w:rsidR="002C5CB9" w:rsidRDefault="002C5CB9" w:rsidP="002C5CB9">
      <w:pPr>
        <w:pStyle w:val="BodyText"/>
      </w:pPr>
      <w:r>
        <w:t xml:space="preserve">The second most common activity carried out at the time of a work-related fatality was </w:t>
      </w:r>
      <w:r>
        <w:rPr>
          <w:rStyle w:val="Classificationitalics"/>
        </w:rPr>
        <w:t>Repair and maintenance</w:t>
      </w:r>
      <w:r>
        <w:t>. This activity accounted for 12 (16%) of the 77 fatalities that occurred at a location other than on a public road.</w:t>
      </w:r>
    </w:p>
    <w:p w:rsidR="002C5CB9" w:rsidRDefault="002C5CB9" w:rsidP="002C5CB9">
      <w:pPr>
        <w:pStyle w:val="BodyText"/>
      </w:pPr>
      <w:r>
        <w:t xml:space="preserve">The most common cause of </w:t>
      </w:r>
      <w:r>
        <w:rPr>
          <w:rStyle w:val="Classificationitalics"/>
        </w:rPr>
        <w:t xml:space="preserve">Repair and maintenance </w:t>
      </w:r>
      <w:r>
        <w:t xml:space="preserve">incidents was </w:t>
      </w:r>
      <w:r>
        <w:rPr>
          <w:rStyle w:val="Classificationitalics"/>
        </w:rPr>
        <w:t xml:space="preserve">Being hit by moving objects </w:t>
      </w:r>
      <w:r>
        <w:rPr>
          <w:rStyle w:val="Classificationitalics"/>
          <w:i w:val="0"/>
          <w:iCs w:val="0"/>
        </w:rPr>
        <w:t>(4 fatalities). Of</w:t>
      </w:r>
      <w:r>
        <w:t xml:space="preserve"> these, 3 incidents involved the truck moving unexpectedly while the driver was working on the vehicle. The other mechanisms of incident were quite varied and although not necessarily ‘typical’, these three narratives illustrate some of the hazards of maintenance work on heavy vehicles:</w:t>
      </w:r>
    </w:p>
    <w:p w:rsidR="002C5CB9" w:rsidRDefault="002C5CB9" w:rsidP="00EA5A2D">
      <w:pPr>
        <w:pStyle w:val="Narrative"/>
      </w:pPr>
      <w:r>
        <w:t>The deceased conducted a log hauling business and was working alone in a shed on his property removing a truck engine from the truck body when the engine fell sideways on to him inflicting fatal crush injuries.</w:t>
      </w:r>
    </w:p>
    <w:p w:rsidR="002C5CB9" w:rsidRDefault="002C5CB9" w:rsidP="00EA5A2D">
      <w:pPr>
        <w:pStyle w:val="Narrative"/>
      </w:pPr>
      <w:r>
        <w:t>It appears as though the deceased was in the process of adjusting the brakes on a truck. It appears as though the truck was still operating at this time and has built up air and caused the brake to release and strike the deceased.</w:t>
      </w:r>
    </w:p>
    <w:p w:rsidR="005853BD" w:rsidRDefault="002C5CB9" w:rsidP="00EA5A2D">
      <w:pPr>
        <w:pStyle w:val="Narrative"/>
      </w:pPr>
      <w:r>
        <w:t>The deceased fell off truck while cleaning. The deceased was on top of one of the trailers using a fire hose to wash down a trailer. The deceased has then fallen and landed head first on the bitumen drive way. This is a fall of approximately 3.4 m.</w:t>
      </w:r>
    </w:p>
    <w:p w:rsidR="005853BD" w:rsidRDefault="005853BD">
      <w:pPr>
        <w:rPr>
          <w:rFonts w:ascii="Arial Narrow" w:hAnsi="Arial Narrow" w:cs="Arial Narrow"/>
          <w:i/>
          <w:iCs/>
          <w:color w:val="E36C0A" w:themeColor="accent6" w:themeShade="BF"/>
          <w:sz w:val="22"/>
          <w:szCs w:val="22"/>
          <w:lang w:val="en-US"/>
        </w:rPr>
      </w:pPr>
      <w:r>
        <w:br w:type="page"/>
      </w:r>
    </w:p>
    <w:p w:rsidR="002C5CB9" w:rsidRDefault="002C5CB9" w:rsidP="0030662C">
      <w:pPr>
        <w:pStyle w:val="Colourheading1"/>
      </w:pPr>
      <w:r>
        <w:t>Other activities</w:t>
      </w:r>
    </w:p>
    <w:p w:rsidR="00FE4502" w:rsidRDefault="002C5CB9" w:rsidP="00FE4502">
      <w:pPr>
        <w:pStyle w:val="BodyText"/>
      </w:pPr>
      <w:r>
        <w:t xml:space="preserve">There were 5 fatalities associated with the activity of </w:t>
      </w:r>
      <w:r>
        <w:rPr>
          <w:rStyle w:val="Classificationitalics"/>
        </w:rPr>
        <w:t>Driving</w:t>
      </w:r>
      <w:r>
        <w:t xml:space="preserve">, which mainly involved vehicle incidents on private roads. There were a further 11 fatalities associated with the </w:t>
      </w:r>
      <w:r>
        <w:rPr>
          <w:rStyle w:val="Classificationitalics"/>
        </w:rPr>
        <w:t>Other activity</w:t>
      </w:r>
      <w:r>
        <w:t xml:space="preserve"> category. The mechanisms of incident for this category were very varied and, other than 2 incidents where the worker was stuck by their own vehicle while opening a gate, involved few common characteristics.</w:t>
      </w:r>
      <w:r w:rsidR="00FE4502">
        <w:br w:type="page"/>
      </w:r>
    </w:p>
    <w:p w:rsidR="002C5CB9" w:rsidRDefault="002C5CB9" w:rsidP="005853BD">
      <w:pPr>
        <w:pStyle w:val="ChapterSectionTitle"/>
      </w:pPr>
      <w:r>
        <w:t>Road freight transport non-fatal serious workers’ compensation claims</w:t>
      </w:r>
    </w:p>
    <w:p w:rsidR="002C5CB9" w:rsidRDefault="002C5CB9" w:rsidP="002C5CB9">
      <w:pPr>
        <w:pStyle w:val="BodyText"/>
      </w:pPr>
      <w:r>
        <w:t xml:space="preserve">The most comprehensive and detailed source of national information on work-related injury and disease in Australia is the National Data Set for Compensation-based Statistics (NDS), which is compiled and maintained by Safe Work Australia from datasets supplied by jurisdictional workers’ compensation authorities. The insight that this source of information can give into work-related injury and disease is restricted since only employees are covered by the workers’ compensation schemes. The exclusion of self-employed workers can be problematic when examining the work health and safety situation of industry or occupation groups where self-employment is common. However, Australian Bureau of Statistics Labour force survey data show that over the period 2002–03 to 2010–11 the large majority (82%) of workers in the Road freight transport industry were employees. </w:t>
      </w:r>
    </w:p>
    <w:p w:rsidR="002C5CB9" w:rsidRDefault="002C5CB9" w:rsidP="0030662C">
      <w:pPr>
        <w:pStyle w:val="Colourheadingtoplevel"/>
      </w:pPr>
      <w:r>
        <w:t>Claims and rates by jurisdiction</w:t>
      </w:r>
    </w:p>
    <w:p w:rsidR="00346BFE" w:rsidRDefault="002C5CB9" w:rsidP="00346BFE">
      <w:pPr>
        <w:pStyle w:val="BodyText"/>
        <w:rPr>
          <w:spacing w:val="-1"/>
        </w:rPr>
      </w:pPr>
      <w:r>
        <w:rPr>
          <w:spacing w:val="-3"/>
        </w:rPr>
        <w:t>Table 3 shows the number and rate of non-fatal serious claims (see explanatory notes) for injury and disease in the Road freight transport industry by the larger jurisdictions over a nine year period up to and including the preliminary</w:t>
      </w:r>
      <w:r>
        <w:rPr>
          <w:spacing w:val="-3"/>
          <w:vertAlign w:val="superscript"/>
        </w:rPr>
        <w:t>1</w:t>
      </w:r>
      <w:r>
        <w:rPr>
          <w:spacing w:val="-3"/>
        </w:rPr>
        <w:t xml:space="preserve"> figures for 2010–11. The table shows that employees in the Road freight transport industry made around 4000 non-fatal serious compensation claims a year involving either a permanent incapacity or a temporary incapacity that required a week or more away from work over this period.</w:t>
      </w:r>
      <w:r w:rsidR="00346BFE" w:rsidRPr="00346BFE">
        <w:rPr>
          <w:spacing w:val="-1"/>
        </w:rPr>
        <w:t xml:space="preserve"> </w:t>
      </w:r>
    </w:p>
    <w:p w:rsidR="00346BFE" w:rsidRDefault="00346BFE" w:rsidP="00346BFE">
      <w:pPr>
        <w:pStyle w:val="BodyText"/>
        <w:rPr>
          <w:spacing w:val="-1"/>
        </w:rPr>
      </w:pPr>
      <w:r>
        <w:rPr>
          <w:spacing w:val="-1"/>
        </w:rPr>
        <w:t>The rates of non-fatal claims per 1000 employees in the Road freight transport industry are among the highest of all industry groups. Table 3 shows that over the nine year period the rate has ranged between 36.8 (2002–03) and 29.8 (2009–10) non-fatal serious claims per 1000 employees (the preliminary year data for 2010–11p are not used when assessing changes over time). To place the incidence rates for the Road freight transport industry in perspective, the overall rate of non-fatal serious claims in Australia in 2009–10 was 12.9 serious claims per 1000 employees.</w:t>
      </w:r>
    </w:p>
    <w:p w:rsidR="005853BD" w:rsidRDefault="00346BFE" w:rsidP="00346BFE">
      <w:pPr>
        <w:pStyle w:val="BodyText"/>
      </w:pPr>
      <w:r>
        <w:t>The rates of serious non-fatal claims by jurisdiction show that over the nine-year period Victoria consistently had rates below the Australian average while Queensland and South Australia consistently had rates above the Australian average.</w:t>
      </w:r>
    </w:p>
    <w:p w:rsidR="007056CB" w:rsidRDefault="007056CB" w:rsidP="00346BFE">
      <w:pPr>
        <w:pStyle w:val="BodyText"/>
      </w:pPr>
    </w:p>
    <w:p w:rsidR="007056CB" w:rsidRPr="0073447D" w:rsidRDefault="007056CB" w:rsidP="0073447D">
      <w:pPr>
        <w:rPr>
          <w:rFonts w:ascii="Arial" w:hAnsi="Arial" w:cs="Arial"/>
          <w:sz w:val="20"/>
          <w:szCs w:val="20"/>
        </w:rPr>
      </w:pPr>
      <w:r w:rsidRPr="0073447D">
        <w:rPr>
          <w:rFonts w:ascii="Arial" w:hAnsi="Arial" w:cs="Arial"/>
          <w:sz w:val="20"/>
          <w:szCs w:val="20"/>
        </w:rPr>
        <w:t>1. Throughout this section the letter “p” is used to indicate that claims data for 2010–11 is preliminary.</w:t>
      </w:r>
    </w:p>
    <w:p w:rsidR="007056CB" w:rsidRDefault="007056CB" w:rsidP="00346BFE">
      <w:pPr>
        <w:pStyle w:val="BodyText"/>
        <w:rPr>
          <w:spacing w:val="-3"/>
        </w:rPr>
      </w:pPr>
    </w:p>
    <w:p w:rsidR="005853BD" w:rsidRDefault="005853BD">
      <w:pPr>
        <w:rPr>
          <w:rFonts w:ascii="Arial" w:hAnsi="Arial" w:cs="Arial"/>
          <w:color w:val="000000"/>
          <w:spacing w:val="-3"/>
          <w:sz w:val="22"/>
          <w:szCs w:val="22"/>
          <w:lang w:val="en-US"/>
        </w:rPr>
      </w:pPr>
      <w:r>
        <w:rPr>
          <w:spacing w:val="-3"/>
        </w:rPr>
        <w:br w:type="page"/>
      </w:r>
    </w:p>
    <w:p w:rsidR="002C5CB9" w:rsidRDefault="002C5CB9" w:rsidP="002C5CB9">
      <w:pPr>
        <w:pStyle w:val="BodyText"/>
        <w:rPr>
          <w:spacing w:val="-2"/>
        </w:rPr>
      </w:pPr>
      <w:r>
        <w:rPr>
          <w:spacing w:val="-3"/>
        </w:rPr>
        <w:t xml:space="preserve"> </w:t>
      </w:r>
    </w:p>
    <w:p w:rsidR="002C5CB9" w:rsidRDefault="002C5CB9" w:rsidP="002C5CB9">
      <w:pPr>
        <w:pStyle w:val="TableHeadingwithoutIndent"/>
      </w:pPr>
      <w:r>
        <w:t>Table 3      Road freight transport industry: number and rates</w:t>
      </w:r>
      <w:r>
        <w:rPr>
          <w:vertAlign w:val="superscript"/>
        </w:rPr>
        <w:t xml:space="preserve"> </w:t>
      </w:r>
      <w:r>
        <w:t>of serious non-fatal</w:t>
      </w:r>
      <w:r>
        <w:br/>
        <w:t>workers’ compensation claims by jurisdiction</w:t>
      </w:r>
      <w:r>
        <w:rPr>
          <w:vertAlign w:val="superscript"/>
        </w:rPr>
        <w:t>a</w:t>
      </w:r>
      <w:r>
        <w:t>, 2002–03 to 2010–11p</w:t>
      </w:r>
    </w:p>
    <w:tbl>
      <w:tblPr>
        <w:tblW w:w="9427" w:type="dxa"/>
        <w:tblInd w:w="80" w:type="dxa"/>
        <w:tblLayout w:type="fixed"/>
        <w:tblCellMar>
          <w:left w:w="0" w:type="dxa"/>
          <w:right w:w="0" w:type="dxa"/>
        </w:tblCellMar>
        <w:tblLook w:val="0000" w:firstRow="0" w:lastRow="0" w:firstColumn="0" w:lastColumn="0" w:noHBand="0" w:noVBand="0"/>
      </w:tblPr>
      <w:tblGrid>
        <w:gridCol w:w="2454"/>
        <w:gridCol w:w="764"/>
        <w:gridCol w:w="777"/>
        <w:gridCol w:w="742"/>
        <w:gridCol w:w="776"/>
        <w:gridCol w:w="776"/>
        <w:gridCol w:w="764"/>
        <w:gridCol w:w="776"/>
        <w:gridCol w:w="765"/>
        <w:gridCol w:w="833"/>
      </w:tblGrid>
      <w:tr w:rsidR="002C5CB9" w:rsidTr="003A2CAB">
        <w:trPr>
          <w:trHeight w:hRule="exact" w:val="299"/>
        </w:trPr>
        <w:tc>
          <w:tcPr>
            <w:tcW w:w="2454" w:type="dxa"/>
            <w:tcBorders>
              <w:top w:val="single" w:sz="11" w:space="0" w:color="000000"/>
              <w:left w:val="single" w:sz="6" w:space="0" w:color="auto"/>
              <w:bottom w:val="single" w:sz="11" w:space="0" w:color="000000"/>
              <w:right w:val="single" w:sz="6" w:space="0" w:color="auto"/>
            </w:tcBorders>
            <w:tcMar>
              <w:top w:w="57" w:type="dxa"/>
              <w:left w:w="80" w:type="dxa"/>
              <w:bottom w:w="113" w:type="dxa"/>
              <w:right w:w="80" w:type="dxa"/>
            </w:tcMar>
            <w:vAlign w:val="center"/>
          </w:tcPr>
          <w:p w:rsidR="002C5CB9" w:rsidRDefault="002C5CB9">
            <w:pPr>
              <w:pStyle w:val="ColumnHeadingTable"/>
            </w:pPr>
            <w:r>
              <w:t>Jurisdiction</w:t>
            </w:r>
          </w:p>
        </w:tc>
        <w:tc>
          <w:tcPr>
            <w:tcW w:w="764" w:type="dxa"/>
            <w:tcBorders>
              <w:top w:val="single" w:sz="11" w:space="0" w:color="000000"/>
              <w:left w:val="single" w:sz="6" w:space="0" w:color="auto"/>
              <w:bottom w:val="single" w:sz="11" w:space="0" w:color="000000"/>
              <w:right w:val="single" w:sz="6" w:space="0" w:color="auto"/>
            </w:tcBorders>
            <w:tcMar>
              <w:top w:w="57" w:type="dxa"/>
              <w:left w:w="0" w:type="dxa"/>
              <w:bottom w:w="113" w:type="dxa"/>
              <w:right w:w="0" w:type="dxa"/>
            </w:tcMar>
            <w:vAlign w:val="center"/>
          </w:tcPr>
          <w:p w:rsidR="002C5CB9" w:rsidRDefault="002C5CB9">
            <w:pPr>
              <w:pStyle w:val="ColumnHeadingTable"/>
              <w:jc w:val="center"/>
            </w:pPr>
            <w:r>
              <w:rPr>
                <w:spacing w:val="-2"/>
              </w:rPr>
              <w:t>2002–03</w:t>
            </w:r>
          </w:p>
        </w:tc>
        <w:tc>
          <w:tcPr>
            <w:tcW w:w="777" w:type="dxa"/>
            <w:tcBorders>
              <w:top w:val="single" w:sz="11" w:space="0" w:color="000000"/>
              <w:left w:val="single" w:sz="6" w:space="0" w:color="auto"/>
              <w:bottom w:val="single" w:sz="11" w:space="0" w:color="000000"/>
              <w:right w:val="single" w:sz="6" w:space="0" w:color="auto"/>
            </w:tcBorders>
            <w:tcMar>
              <w:top w:w="57" w:type="dxa"/>
              <w:left w:w="0" w:type="dxa"/>
              <w:bottom w:w="113" w:type="dxa"/>
              <w:right w:w="0" w:type="dxa"/>
            </w:tcMar>
            <w:vAlign w:val="center"/>
          </w:tcPr>
          <w:p w:rsidR="002C5CB9" w:rsidRDefault="002C5CB9">
            <w:pPr>
              <w:pStyle w:val="ColumnHeadingTable"/>
              <w:jc w:val="center"/>
            </w:pPr>
            <w:r>
              <w:rPr>
                <w:spacing w:val="-2"/>
              </w:rPr>
              <w:t>2003–04</w:t>
            </w:r>
          </w:p>
        </w:tc>
        <w:tc>
          <w:tcPr>
            <w:tcW w:w="742" w:type="dxa"/>
            <w:tcBorders>
              <w:top w:val="single" w:sz="11" w:space="0" w:color="000000"/>
              <w:left w:val="single" w:sz="6" w:space="0" w:color="auto"/>
              <w:bottom w:val="single" w:sz="11" w:space="0" w:color="000000"/>
              <w:right w:val="single" w:sz="6" w:space="0" w:color="auto"/>
            </w:tcBorders>
            <w:tcMar>
              <w:top w:w="57" w:type="dxa"/>
              <w:left w:w="0" w:type="dxa"/>
              <w:bottom w:w="113" w:type="dxa"/>
              <w:right w:w="0" w:type="dxa"/>
            </w:tcMar>
            <w:vAlign w:val="center"/>
          </w:tcPr>
          <w:p w:rsidR="002C5CB9" w:rsidRDefault="002C5CB9">
            <w:pPr>
              <w:pStyle w:val="ColumnHeadingTable"/>
              <w:jc w:val="center"/>
            </w:pPr>
            <w:r>
              <w:rPr>
                <w:spacing w:val="-2"/>
              </w:rPr>
              <w:t>2004–05</w:t>
            </w:r>
          </w:p>
        </w:tc>
        <w:tc>
          <w:tcPr>
            <w:tcW w:w="776" w:type="dxa"/>
            <w:tcBorders>
              <w:top w:val="single" w:sz="11" w:space="0" w:color="000000"/>
              <w:left w:val="single" w:sz="6" w:space="0" w:color="auto"/>
              <w:bottom w:val="single" w:sz="11" w:space="0" w:color="000000"/>
              <w:right w:val="single" w:sz="6" w:space="0" w:color="auto"/>
            </w:tcBorders>
            <w:tcMar>
              <w:top w:w="57" w:type="dxa"/>
              <w:left w:w="0" w:type="dxa"/>
              <w:bottom w:w="113" w:type="dxa"/>
              <w:right w:w="0" w:type="dxa"/>
            </w:tcMar>
            <w:vAlign w:val="center"/>
          </w:tcPr>
          <w:p w:rsidR="002C5CB9" w:rsidRDefault="002C5CB9">
            <w:pPr>
              <w:pStyle w:val="ColumnHeadingTable"/>
              <w:jc w:val="center"/>
            </w:pPr>
            <w:r>
              <w:rPr>
                <w:spacing w:val="-2"/>
              </w:rPr>
              <w:t>2005–06</w:t>
            </w:r>
          </w:p>
        </w:tc>
        <w:tc>
          <w:tcPr>
            <w:tcW w:w="776" w:type="dxa"/>
            <w:tcBorders>
              <w:top w:val="single" w:sz="11" w:space="0" w:color="000000"/>
              <w:left w:val="single" w:sz="6" w:space="0" w:color="auto"/>
              <w:bottom w:val="single" w:sz="11" w:space="0" w:color="000000"/>
              <w:right w:val="single" w:sz="6" w:space="0" w:color="auto"/>
            </w:tcBorders>
            <w:tcMar>
              <w:top w:w="57" w:type="dxa"/>
              <w:left w:w="0" w:type="dxa"/>
              <w:bottom w:w="113" w:type="dxa"/>
              <w:right w:w="0" w:type="dxa"/>
            </w:tcMar>
            <w:vAlign w:val="center"/>
          </w:tcPr>
          <w:p w:rsidR="002C5CB9" w:rsidRDefault="002C5CB9">
            <w:pPr>
              <w:pStyle w:val="ColumnHeadingTable"/>
              <w:jc w:val="center"/>
            </w:pPr>
            <w:r>
              <w:rPr>
                <w:spacing w:val="-2"/>
              </w:rPr>
              <w:t>2006–07</w:t>
            </w:r>
          </w:p>
        </w:tc>
        <w:tc>
          <w:tcPr>
            <w:tcW w:w="764" w:type="dxa"/>
            <w:tcBorders>
              <w:top w:val="single" w:sz="11" w:space="0" w:color="000000"/>
              <w:left w:val="single" w:sz="6" w:space="0" w:color="auto"/>
              <w:bottom w:val="single" w:sz="11" w:space="0" w:color="000000"/>
              <w:right w:val="single" w:sz="6" w:space="0" w:color="auto"/>
            </w:tcBorders>
            <w:tcMar>
              <w:top w:w="57" w:type="dxa"/>
              <w:left w:w="0" w:type="dxa"/>
              <w:bottom w:w="113" w:type="dxa"/>
              <w:right w:w="0" w:type="dxa"/>
            </w:tcMar>
            <w:vAlign w:val="center"/>
          </w:tcPr>
          <w:p w:rsidR="002C5CB9" w:rsidRDefault="002C5CB9">
            <w:pPr>
              <w:pStyle w:val="ColumnHeadingTable"/>
              <w:jc w:val="center"/>
            </w:pPr>
            <w:r>
              <w:rPr>
                <w:spacing w:val="-2"/>
              </w:rPr>
              <w:t>2007–08</w:t>
            </w:r>
          </w:p>
        </w:tc>
        <w:tc>
          <w:tcPr>
            <w:tcW w:w="776" w:type="dxa"/>
            <w:tcBorders>
              <w:top w:val="single" w:sz="11" w:space="0" w:color="000000"/>
              <w:left w:val="single" w:sz="6" w:space="0" w:color="auto"/>
              <w:bottom w:val="single" w:sz="11" w:space="0" w:color="000000"/>
              <w:right w:val="single" w:sz="6" w:space="0" w:color="auto"/>
            </w:tcBorders>
            <w:tcMar>
              <w:top w:w="57" w:type="dxa"/>
              <w:left w:w="0" w:type="dxa"/>
              <w:bottom w:w="113" w:type="dxa"/>
              <w:right w:w="0" w:type="dxa"/>
            </w:tcMar>
            <w:vAlign w:val="center"/>
          </w:tcPr>
          <w:p w:rsidR="002C5CB9" w:rsidRDefault="002C5CB9">
            <w:pPr>
              <w:pStyle w:val="ColumnHeadingTable"/>
              <w:jc w:val="center"/>
            </w:pPr>
            <w:r>
              <w:rPr>
                <w:spacing w:val="-2"/>
              </w:rPr>
              <w:t>2008–09</w:t>
            </w:r>
          </w:p>
        </w:tc>
        <w:tc>
          <w:tcPr>
            <w:tcW w:w="765" w:type="dxa"/>
            <w:tcBorders>
              <w:top w:val="single" w:sz="11" w:space="0" w:color="000000"/>
              <w:left w:val="single" w:sz="6" w:space="0" w:color="auto"/>
              <w:bottom w:val="single" w:sz="11" w:space="0" w:color="000000"/>
              <w:right w:val="single" w:sz="6" w:space="0" w:color="auto"/>
            </w:tcBorders>
            <w:tcMar>
              <w:top w:w="57" w:type="dxa"/>
              <w:left w:w="0" w:type="dxa"/>
              <w:bottom w:w="113" w:type="dxa"/>
              <w:right w:w="0" w:type="dxa"/>
            </w:tcMar>
            <w:vAlign w:val="center"/>
          </w:tcPr>
          <w:p w:rsidR="002C5CB9" w:rsidRDefault="002C5CB9">
            <w:pPr>
              <w:pStyle w:val="ColumnHeadingTable"/>
              <w:jc w:val="center"/>
            </w:pPr>
            <w:r>
              <w:rPr>
                <w:spacing w:val="-2"/>
              </w:rPr>
              <w:t>2009–10</w:t>
            </w:r>
          </w:p>
        </w:tc>
        <w:tc>
          <w:tcPr>
            <w:tcW w:w="833" w:type="dxa"/>
            <w:tcBorders>
              <w:top w:val="single" w:sz="11" w:space="0" w:color="000000"/>
              <w:left w:val="single" w:sz="6" w:space="0" w:color="auto"/>
              <w:bottom w:val="single" w:sz="11" w:space="0" w:color="000000"/>
              <w:right w:val="single" w:sz="6" w:space="0" w:color="auto"/>
            </w:tcBorders>
            <w:tcMar>
              <w:top w:w="57" w:type="dxa"/>
              <w:left w:w="0" w:type="dxa"/>
              <w:bottom w:w="113" w:type="dxa"/>
              <w:right w:w="0" w:type="dxa"/>
            </w:tcMar>
            <w:vAlign w:val="center"/>
          </w:tcPr>
          <w:p w:rsidR="002C5CB9" w:rsidRDefault="002C5CB9">
            <w:pPr>
              <w:pStyle w:val="ColumnHeadingTable"/>
              <w:jc w:val="center"/>
            </w:pPr>
            <w:r>
              <w:rPr>
                <w:spacing w:val="-2"/>
              </w:rPr>
              <w:t>2010–11p</w:t>
            </w:r>
          </w:p>
        </w:tc>
      </w:tr>
      <w:tr w:rsidR="002C5CB9" w:rsidTr="003A2CAB">
        <w:trPr>
          <w:trHeight w:hRule="exact" w:val="299"/>
        </w:trPr>
        <w:tc>
          <w:tcPr>
            <w:tcW w:w="2454" w:type="dxa"/>
            <w:tcBorders>
              <w:top w:val="single" w:sz="11" w:space="0" w:color="000000"/>
              <w:left w:val="single" w:sz="6" w:space="0" w:color="auto"/>
              <w:bottom w:val="single" w:sz="11" w:space="0" w:color="000000"/>
              <w:right w:val="single" w:sz="6" w:space="0" w:color="auto"/>
            </w:tcBorders>
            <w:tcMar>
              <w:top w:w="57" w:type="dxa"/>
              <w:left w:w="57" w:type="dxa"/>
              <w:bottom w:w="57" w:type="dxa"/>
              <w:right w:w="57" w:type="dxa"/>
            </w:tcMar>
            <w:vAlign w:val="center"/>
          </w:tcPr>
          <w:p w:rsidR="002C5CB9" w:rsidRDefault="002C5CB9">
            <w:pPr>
              <w:pStyle w:val="NoParagraphStyle"/>
              <w:spacing w:line="240" w:lineRule="auto"/>
              <w:textAlignment w:val="auto"/>
              <w:rPr>
                <w:rFonts w:cs="Times New Roman"/>
                <w:color w:val="auto"/>
                <w:lang w:val="en-AU"/>
              </w:rPr>
            </w:pPr>
          </w:p>
        </w:tc>
        <w:tc>
          <w:tcPr>
            <w:tcW w:w="6972" w:type="dxa"/>
            <w:gridSpan w:val="9"/>
            <w:tcBorders>
              <w:top w:val="single" w:sz="11" w:space="0" w:color="000000"/>
              <w:left w:val="single" w:sz="6" w:space="0" w:color="auto"/>
              <w:bottom w:val="single" w:sz="11" w:space="0" w:color="000000"/>
              <w:right w:val="single" w:sz="6" w:space="0" w:color="auto"/>
            </w:tcBorders>
            <w:tcMar>
              <w:top w:w="57" w:type="dxa"/>
              <w:left w:w="57" w:type="dxa"/>
              <w:bottom w:w="57" w:type="dxa"/>
              <w:right w:w="57" w:type="dxa"/>
            </w:tcMar>
            <w:vAlign w:val="center"/>
          </w:tcPr>
          <w:p w:rsidR="002C5CB9" w:rsidRDefault="002C5CB9">
            <w:pPr>
              <w:pStyle w:val="ColumnHeadingTable"/>
              <w:jc w:val="center"/>
            </w:pPr>
            <w:r>
              <w:t>Number of serious non-fatal claims</w:t>
            </w:r>
          </w:p>
        </w:tc>
      </w:tr>
      <w:tr w:rsidR="002C5CB9" w:rsidTr="003A2CAB">
        <w:trPr>
          <w:trHeight w:hRule="exact" w:val="299"/>
        </w:trPr>
        <w:tc>
          <w:tcPr>
            <w:tcW w:w="2454" w:type="dxa"/>
            <w:tcBorders>
              <w:top w:val="single" w:sz="11" w:space="0" w:color="000000"/>
              <w:left w:val="single" w:sz="6" w:space="0" w:color="auto"/>
              <w:bottom w:val="single" w:sz="6" w:space="0" w:color="auto"/>
              <w:right w:val="single" w:sz="6" w:space="0" w:color="auto"/>
            </w:tcBorders>
            <w:tcMar>
              <w:top w:w="57" w:type="dxa"/>
              <w:left w:w="57" w:type="dxa"/>
              <w:bottom w:w="57" w:type="dxa"/>
              <w:right w:w="80" w:type="dxa"/>
            </w:tcMar>
            <w:vAlign w:val="center"/>
          </w:tcPr>
          <w:p w:rsidR="002C5CB9" w:rsidRDefault="002C5CB9">
            <w:pPr>
              <w:pStyle w:val="TablestubTable"/>
            </w:pPr>
            <w:r>
              <w:t>New South Wales</w:t>
            </w:r>
          </w:p>
        </w:tc>
        <w:tc>
          <w:tcPr>
            <w:tcW w:w="764" w:type="dxa"/>
            <w:tcBorders>
              <w:top w:val="single" w:sz="11" w:space="0" w:color="000000"/>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1 440 </w:t>
            </w:r>
          </w:p>
        </w:tc>
        <w:tc>
          <w:tcPr>
            <w:tcW w:w="777" w:type="dxa"/>
            <w:tcBorders>
              <w:top w:val="single" w:sz="11" w:space="0" w:color="000000"/>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1 260 </w:t>
            </w:r>
          </w:p>
        </w:tc>
        <w:tc>
          <w:tcPr>
            <w:tcW w:w="742" w:type="dxa"/>
            <w:tcBorders>
              <w:top w:val="single" w:sz="11" w:space="0" w:color="000000"/>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1 185 </w:t>
            </w:r>
          </w:p>
        </w:tc>
        <w:tc>
          <w:tcPr>
            <w:tcW w:w="776" w:type="dxa"/>
            <w:tcBorders>
              <w:top w:val="single" w:sz="11" w:space="0" w:color="000000"/>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1 120 </w:t>
            </w:r>
          </w:p>
        </w:tc>
        <w:tc>
          <w:tcPr>
            <w:tcW w:w="776" w:type="dxa"/>
            <w:tcBorders>
              <w:top w:val="single" w:sz="11" w:space="0" w:color="000000"/>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1 055 </w:t>
            </w:r>
          </w:p>
        </w:tc>
        <w:tc>
          <w:tcPr>
            <w:tcW w:w="764" w:type="dxa"/>
            <w:tcBorders>
              <w:top w:val="single" w:sz="11" w:space="0" w:color="000000"/>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1 165 </w:t>
            </w:r>
          </w:p>
        </w:tc>
        <w:tc>
          <w:tcPr>
            <w:tcW w:w="776" w:type="dxa"/>
            <w:tcBorders>
              <w:top w:val="single" w:sz="11" w:space="0" w:color="000000"/>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1 275 </w:t>
            </w:r>
          </w:p>
        </w:tc>
        <w:tc>
          <w:tcPr>
            <w:tcW w:w="765" w:type="dxa"/>
            <w:tcBorders>
              <w:top w:val="single" w:sz="11" w:space="0" w:color="000000"/>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1 290 </w:t>
            </w:r>
          </w:p>
        </w:tc>
        <w:tc>
          <w:tcPr>
            <w:tcW w:w="833" w:type="dxa"/>
            <w:tcBorders>
              <w:top w:val="single" w:sz="11" w:space="0" w:color="000000"/>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1 135 </w:t>
            </w:r>
          </w:p>
        </w:tc>
      </w:tr>
      <w:tr w:rsidR="002C5CB9" w:rsidTr="003A2CAB">
        <w:trPr>
          <w:trHeight w:hRule="exact" w:val="299"/>
        </w:trPr>
        <w:tc>
          <w:tcPr>
            <w:tcW w:w="2454" w:type="dxa"/>
            <w:tcBorders>
              <w:top w:val="single" w:sz="6" w:space="0" w:color="auto"/>
              <w:left w:val="single" w:sz="6" w:space="0" w:color="auto"/>
              <w:bottom w:val="single" w:sz="6" w:space="0" w:color="auto"/>
              <w:right w:val="single" w:sz="6" w:space="0" w:color="auto"/>
            </w:tcBorders>
            <w:tcMar>
              <w:top w:w="57" w:type="dxa"/>
              <w:left w:w="57" w:type="dxa"/>
              <w:bottom w:w="57" w:type="dxa"/>
              <w:right w:w="80" w:type="dxa"/>
            </w:tcMar>
            <w:vAlign w:val="center"/>
          </w:tcPr>
          <w:p w:rsidR="002C5CB9" w:rsidRDefault="002C5CB9">
            <w:pPr>
              <w:pStyle w:val="TablestubTable"/>
            </w:pPr>
            <w:r>
              <w:t>Queensland</w:t>
            </w:r>
          </w:p>
        </w:tc>
        <w:tc>
          <w:tcPr>
            <w:tcW w:w="76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865 </w:t>
            </w:r>
          </w:p>
        </w:tc>
        <w:tc>
          <w:tcPr>
            <w:tcW w:w="777"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970 </w:t>
            </w:r>
          </w:p>
        </w:tc>
        <w:tc>
          <w:tcPr>
            <w:tcW w:w="742"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975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1 065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1 045 </w:t>
            </w:r>
          </w:p>
        </w:tc>
        <w:tc>
          <w:tcPr>
            <w:tcW w:w="76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1 185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1 200 </w:t>
            </w:r>
          </w:p>
        </w:tc>
        <w:tc>
          <w:tcPr>
            <w:tcW w:w="765"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1 105 </w:t>
            </w:r>
          </w:p>
        </w:tc>
        <w:tc>
          <w:tcPr>
            <w:tcW w:w="833"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1 140 </w:t>
            </w:r>
          </w:p>
        </w:tc>
      </w:tr>
      <w:tr w:rsidR="002C5CB9" w:rsidTr="003A2CAB">
        <w:trPr>
          <w:trHeight w:hRule="exact" w:val="299"/>
        </w:trPr>
        <w:tc>
          <w:tcPr>
            <w:tcW w:w="2454" w:type="dxa"/>
            <w:tcBorders>
              <w:top w:val="single" w:sz="6" w:space="0" w:color="auto"/>
              <w:left w:val="single" w:sz="6" w:space="0" w:color="auto"/>
              <w:bottom w:val="single" w:sz="6" w:space="0" w:color="auto"/>
              <w:right w:val="single" w:sz="6" w:space="0" w:color="auto"/>
            </w:tcBorders>
            <w:tcMar>
              <w:top w:w="57" w:type="dxa"/>
              <w:left w:w="57" w:type="dxa"/>
              <w:bottom w:w="57" w:type="dxa"/>
              <w:right w:w="80" w:type="dxa"/>
            </w:tcMar>
            <w:vAlign w:val="center"/>
          </w:tcPr>
          <w:p w:rsidR="002C5CB9" w:rsidRDefault="002C5CB9">
            <w:pPr>
              <w:pStyle w:val="TablestubTable"/>
            </w:pPr>
            <w:r>
              <w:t>Victoria</w:t>
            </w:r>
          </w:p>
        </w:tc>
        <w:tc>
          <w:tcPr>
            <w:tcW w:w="76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1 040 </w:t>
            </w:r>
          </w:p>
        </w:tc>
        <w:tc>
          <w:tcPr>
            <w:tcW w:w="777"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945 </w:t>
            </w:r>
          </w:p>
        </w:tc>
        <w:tc>
          <w:tcPr>
            <w:tcW w:w="742"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1 000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855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870 </w:t>
            </w:r>
          </w:p>
        </w:tc>
        <w:tc>
          <w:tcPr>
            <w:tcW w:w="76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925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855 </w:t>
            </w:r>
          </w:p>
        </w:tc>
        <w:tc>
          <w:tcPr>
            <w:tcW w:w="765"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800 </w:t>
            </w:r>
          </w:p>
        </w:tc>
        <w:tc>
          <w:tcPr>
            <w:tcW w:w="833"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740 </w:t>
            </w:r>
          </w:p>
        </w:tc>
      </w:tr>
      <w:tr w:rsidR="002C5CB9" w:rsidTr="003A2CAB">
        <w:trPr>
          <w:trHeight w:hRule="exact" w:val="299"/>
        </w:trPr>
        <w:tc>
          <w:tcPr>
            <w:tcW w:w="2454" w:type="dxa"/>
            <w:tcBorders>
              <w:top w:val="single" w:sz="6" w:space="0" w:color="auto"/>
              <w:left w:val="single" w:sz="6" w:space="0" w:color="auto"/>
              <w:bottom w:val="single" w:sz="6" w:space="0" w:color="auto"/>
              <w:right w:val="single" w:sz="6" w:space="0" w:color="auto"/>
            </w:tcBorders>
            <w:tcMar>
              <w:top w:w="57" w:type="dxa"/>
              <w:left w:w="57" w:type="dxa"/>
              <w:bottom w:w="57" w:type="dxa"/>
              <w:right w:w="80" w:type="dxa"/>
            </w:tcMar>
            <w:vAlign w:val="center"/>
          </w:tcPr>
          <w:p w:rsidR="002C5CB9" w:rsidRDefault="002C5CB9">
            <w:pPr>
              <w:pStyle w:val="TablestubTable"/>
            </w:pPr>
            <w:r>
              <w:t>Western Australia</w:t>
            </w:r>
          </w:p>
        </w:tc>
        <w:tc>
          <w:tcPr>
            <w:tcW w:w="76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350 </w:t>
            </w:r>
          </w:p>
        </w:tc>
        <w:tc>
          <w:tcPr>
            <w:tcW w:w="777"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360 </w:t>
            </w:r>
          </w:p>
        </w:tc>
        <w:tc>
          <w:tcPr>
            <w:tcW w:w="742"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425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390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415 </w:t>
            </w:r>
          </w:p>
        </w:tc>
        <w:tc>
          <w:tcPr>
            <w:tcW w:w="76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465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415 </w:t>
            </w:r>
          </w:p>
        </w:tc>
        <w:tc>
          <w:tcPr>
            <w:tcW w:w="765"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390 </w:t>
            </w:r>
          </w:p>
        </w:tc>
        <w:tc>
          <w:tcPr>
            <w:tcW w:w="833"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420 </w:t>
            </w:r>
          </w:p>
        </w:tc>
      </w:tr>
      <w:tr w:rsidR="002C5CB9" w:rsidTr="003A2CAB">
        <w:trPr>
          <w:trHeight w:hRule="exact" w:val="299"/>
        </w:trPr>
        <w:tc>
          <w:tcPr>
            <w:tcW w:w="2454" w:type="dxa"/>
            <w:tcBorders>
              <w:top w:val="single" w:sz="6" w:space="0" w:color="auto"/>
              <w:left w:val="single" w:sz="6" w:space="0" w:color="auto"/>
              <w:bottom w:val="single" w:sz="6" w:space="0" w:color="auto"/>
              <w:right w:val="single" w:sz="6" w:space="0" w:color="auto"/>
            </w:tcBorders>
            <w:tcMar>
              <w:top w:w="57" w:type="dxa"/>
              <w:left w:w="57" w:type="dxa"/>
              <w:bottom w:w="57" w:type="dxa"/>
              <w:right w:w="80" w:type="dxa"/>
            </w:tcMar>
            <w:vAlign w:val="center"/>
          </w:tcPr>
          <w:p w:rsidR="002C5CB9" w:rsidRDefault="002C5CB9">
            <w:pPr>
              <w:pStyle w:val="TablestubTable"/>
            </w:pPr>
            <w:r>
              <w:t>South Australia</w:t>
            </w:r>
          </w:p>
        </w:tc>
        <w:tc>
          <w:tcPr>
            <w:tcW w:w="76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365 </w:t>
            </w:r>
          </w:p>
        </w:tc>
        <w:tc>
          <w:tcPr>
            <w:tcW w:w="777"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405 </w:t>
            </w:r>
          </w:p>
        </w:tc>
        <w:tc>
          <w:tcPr>
            <w:tcW w:w="742"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425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415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390 </w:t>
            </w:r>
          </w:p>
        </w:tc>
        <w:tc>
          <w:tcPr>
            <w:tcW w:w="76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350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330 </w:t>
            </w:r>
          </w:p>
        </w:tc>
        <w:tc>
          <w:tcPr>
            <w:tcW w:w="765"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315 </w:t>
            </w:r>
          </w:p>
        </w:tc>
        <w:tc>
          <w:tcPr>
            <w:tcW w:w="833"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355 </w:t>
            </w:r>
          </w:p>
        </w:tc>
      </w:tr>
      <w:tr w:rsidR="002C5CB9" w:rsidTr="003A2CAB">
        <w:trPr>
          <w:trHeight w:hRule="exact" w:val="299"/>
        </w:trPr>
        <w:tc>
          <w:tcPr>
            <w:tcW w:w="2454" w:type="dxa"/>
            <w:tcBorders>
              <w:top w:val="single" w:sz="6" w:space="0" w:color="auto"/>
              <w:left w:val="single" w:sz="6" w:space="0" w:color="auto"/>
              <w:bottom w:val="single" w:sz="6" w:space="0" w:color="auto"/>
              <w:right w:val="single" w:sz="6" w:space="0" w:color="auto"/>
            </w:tcBorders>
            <w:tcMar>
              <w:top w:w="57" w:type="dxa"/>
              <w:left w:w="57" w:type="dxa"/>
              <w:bottom w:w="57" w:type="dxa"/>
              <w:right w:w="80" w:type="dxa"/>
            </w:tcMar>
            <w:vAlign w:val="center"/>
          </w:tcPr>
          <w:p w:rsidR="002C5CB9" w:rsidRDefault="002C5CB9">
            <w:pPr>
              <w:pStyle w:val="TablestubTable"/>
            </w:pPr>
            <w:r>
              <w:t>Tasmania</w:t>
            </w:r>
          </w:p>
        </w:tc>
        <w:tc>
          <w:tcPr>
            <w:tcW w:w="76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95 </w:t>
            </w:r>
          </w:p>
        </w:tc>
        <w:tc>
          <w:tcPr>
            <w:tcW w:w="777"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115 </w:t>
            </w:r>
          </w:p>
        </w:tc>
        <w:tc>
          <w:tcPr>
            <w:tcW w:w="742"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110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110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100 </w:t>
            </w:r>
          </w:p>
        </w:tc>
        <w:tc>
          <w:tcPr>
            <w:tcW w:w="76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125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150 </w:t>
            </w:r>
          </w:p>
        </w:tc>
        <w:tc>
          <w:tcPr>
            <w:tcW w:w="765"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125 </w:t>
            </w:r>
          </w:p>
        </w:tc>
        <w:tc>
          <w:tcPr>
            <w:tcW w:w="833"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115 </w:t>
            </w:r>
          </w:p>
        </w:tc>
      </w:tr>
      <w:tr w:rsidR="002C5CB9" w:rsidTr="003A2CAB">
        <w:trPr>
          <w:trHeight w:hRule="exact" w:val="299"/>
        </w:trPr>
        <w:tc>
          <w:tcPr>
            <w:tcW w:w="2454" w:type="dxa"/>
            <w:tcBorders>
              <w:top w:val="single" w:sz="6" w:space="0" w:color="auto"/>
              <w:left w:val="single" w:sz="6" w:space="0" w:color="auto"/>
              <w:bottom w:val="single" w:sz="11" w:space="0" w:color="000000"/>
              <w:right w:val="single" w:sz="6" w:space="0" w:color="auto"/>
            </w:tcBorders>
            <w:tcMar>
              <w:top w:w="57" w:type="dxa"/>
              <w:left w:w="57" w:type="dxa"/>
              <w:bottom w:w="57" w:type="dxa"/>
              <w:right w:w="80" w:type="dxa"/>
            </w:tcMar>
            <w:vAlign w:val="center"/>
          </w:tcPr>
          <w:p w:rsidR="002C5CB9" w:rsidRDefault="002C5CB9">
            <w:pPr>
              <w:pStyle w:val="TotalHeadingTable"/>
            </w:pPr>
            <w:r>
              <w:t>Total serious non-fatal claims</w:t>
            </w:r>
          </w:p>
        </w:tc>
        <w:tc>
          <w:tcPr>
            <w:tcW w:w="764" w:type="dxa"/>
            <w:tcBorders>
              <w:top w:val="single" w:sz="6" w:space="0" w:color="auto"/>
              <w:left w:val="single" w:sz="6" w:space="0" w:color="auto"/>
              <w:bottom w:val="single" w:sz="11" w:space="0" w:color="000000"/>
              <w:right w:val="single" w:sz="6" w:space="0" w:color="auto"/>
            </w:tcBorders>
            <w:tcMar>
              <w:top w:w="57" w:type="dxa"/>
              <w:left w:w="80" w:type="dxa"/>
              <w:bottom w:w="57" w:type="dxa"/>
              <w:right w:w="80" w:type="dxa"/>
            </w:tcMar>
            <w:vAlign w:val="center"/>
          </w:tcPr>
          <w:p w:rsidR="002C5CB9" w:rsidRDefault="002C5CB9">
            <w:pPr>
              <w:pStyle w:val="TotalCellTable"/>
            </w:pPr>
            <w:r>
              <w:t xml:space="preserve"> 4 210 </w:t>
            </w:r>
          </w:p>
        </w:tc>
        <w:tc>
          <w:tcPr>
            <w:tcW w:w="777" w:type="dxa"/>
            <w:tcBorders>
              <w:top w:val="single" w:sz="6" w:space="0" w:color="auto"/>
              <w:left w:val="single" w:sz="6" w:space="0" w:color="auto"/>
              <w:bottom w:val="single" w:sz="11" w:space="0" w:color="000000"/>
              <w:right w:val="single" w:sz="6" w:space="0" w:color="auto"/>
            </w:tcBorders>
            <w:tcMar>
              <w:top w:w="57" w:type="dxa"/>
              <w:left w:w="80" w:type="dxa"/>
              <w:bottom w:w="57" w:type="dxa"/>
              <w:right w:w="80" w:type="dxa"/>
            </w:tcMar>
            <w:vAlign w:val="center"/>
          </w:tcPr>
          <w:p w:rsidR="002C5CB9" w:rsidRDefault="002C5CB9">
            <w:pPr>
              <w:pStyle w:val="TotalCellTable"/>
            </w:pPr>
            <w:r>
              <w:t xml:space="preserve"> 4 120 </w:t>
            </w:r>
          </w:p>
        </w:tc>
        <w:tc>
          <w:tcPr>
            <w:tcW w:w="742" w:type="dxa"/>
            <w:tcBorders>
              <w:top w:val="single" w:sz="6" w:space="0" w:color="auto"/>
              <w:left w:val="single" w:sz="6" w:space="0" w:color="auto"/>
              <w:bottom w:val="single" w:sz="11" w:space="0" w:color="000000"/>
              <w:right w:val="single" w:sz="6" w:space="0" w:color="auto"/>
            </w:tcBorders>
            <w:tcMar>
              <w:top w:w="57" w:type="dxa"/>
              <w:left w:w="80" w:type="dxa"/>
              <w:bottom w:w="57" w:type="dxa"/>
              <w:right w:w="80" w:type="dxa"/>
            </w:tcMar>
            <w:vAlign w:val="center"/>
          </w:tcPr>
          <w:p w:rsidR="002C5CB9" w:rsidRDefault="002C5CB9">
            <w:pPr>
              <w:pStyle w:val="TotalCellTable"/>
            </w:pPr>
            <w:r>
              <w:t xml:space="preserve"> 4 195 </w:t>
            </w:r>
          </w:p>
        </w:tc>
        <w:tc>
          <w:tcPr>
            <w:tcW w:w="776" w:type="dxa"/>
            <w:tcBorders>
              <w:top w:val="single" w:sz="6" w:space="0" w:color="auto"/>
              <w:left w:val="single" w:sz="6" w:space="0" w:color="auto"/>
              <w:bottom w:val="single" w:sz="11" w:space="0" w:color="000000"/>
              <w:right w:val="single" w:sz="6" w:space="0" w:color="auto"/>
            </w:tcBorders>
            <w:tcMar>
              <w:top w:w="57" w:type="dxa"/>
              <w:left w:w="80" w:type="dxa"/>
              <w:bottom w:w="57" w:type="dxa"/>
              <w:right w:w="80" w:type="dxa"/>
            </w:tcMar>
            <w:vAlign w:val="center"/>
          </w:tcPr>
          <w:p w:rsidR="002C5CB9" w:rsidRDefault="002C5CB9">
            <w:pPr>
              <w:pStyle w:val="TotalCellTable"/>
            </w:pPr>
            <w:r>
              <w:t xml:space="preserve"> 4 060 </w:t>
            </w:r>
          </w:p>
        </w:tc>
        <w:tc>
          <w:tcPr>
            <w:tcW w:w="776" w:type="dxa"/>
            <w:tcBorders>
              <w:top w:val="single" w:sz="6" w:space="0" w:color="auto"/>
              <w:left w:val="single" w:sz="6" w:space="0" w:color="auto"/>
              <w:bottom w:val="single" w:sz="11" w:space="0" w:color="000000"/>
              <w:right w:val="single" w:sz="6" w:space="0" w:color="auto"/>
            </w:tcBorders>
            <w:tcMar>
              <w:top w:w="57" w:type="dxa"/>
              <w:left w:w="80" w:type="dxa"/>
              <w:bottom w:w="57" w:type="dxa"/>
              <w:right w:w="80" w:type="dxa"/>
            </w:tcMar>
            <w:vAlign w:val="center"/>
          </w:tcPr>
          <w:p w:rsidR="002C5CB9" w:rsidRDefault="002C5CB9">
            <w:pPr>
              <w:pStyle w:val="TotalCellTable"/>
            </w:pPr>
            <w:r>
              <w:t xml:space="preserve"> 3 930 </w:t>
            </w:r>
          </w:p>
        </w:tc>
        <w:tc>
          <w:tcPr>
            <w:tcW w:w="764" w:type="dxa"/>
            <w:tcBorders>
              <w:top w:val="single" w:sz="6" w:space="0" w:color="auto"/>
              <w:left w:val="single" w:sz="6" w:space="0" w:color="auto"/>
              <w:bottom w:val="single" w:sz="11" w:space="0" w:color="000000"/>
              <w:right w:val="single" w:sz="6" w:space="0" w:color="auto"/>
            </w:tcBorders>
            <w:tcMar>
              <w:top w:w="57" w:type="dxa"/>
              <w:left w:w="80" w:type="dxa"/>
              <w:bottom w:w="57" w:type="dxa"/>
              <w:right w:w="80" w:type="dxa"/>
            </w:tcMar>
            <w:vAlign w:val="center"/>
          </w:tcPr>
          <w:p w:rsidR="002C5CB9" w:rsidRDefault="002C5CB9">
            <w:pPr>
              <w:pStyle w:val="TotalCellTable"/>
            </w:pPr>
            <w:r>
              <w:t xml:space="preserve"> 4 260 </w:t>
            </w:r>
          </w:p>
        </w:tc>
        <w:tc>
          <w:tcPr>
            <w:tcW w:w="776" w:type="dxa"/>
            <w:tcBorders>
              <w:top w:val="single" w:sz="6" w:space="0" w:color="auto"/>
              <w:left w:val="single" w:sz="6" w:space="0" w:color="auto"/>
              <w:bottom w:val="single" w:sz="11" w:space="0" w:color="000000"/>
              <w:right w:val="single" w:sz="6" w:space="0" w:color="auto"/>
            </w:tcBorders>
            <w:tcMar>
              <w:top w:w="57" w:type="dxa"/>
              <w:left w:w="80" w:type="dxa"/>
              <w:bottom w:w="57" w:type="dxa"/>
              <w:right w:w="80" w:type="dxa"/>
            </w:tcMar>
            <w:vAlign w:val="center"/>
          </w:tcPr>
          <w:p w:rsidR="002C5CB9" w:rsidRDefault="002C5CB9">
            <w:pPr>
              <w:pStyle w:val="TotalCellTable"/>
            </w:pPr>
            <w:r>
              <w:t xml:space="preserve"> 4 275 </w:t>
            </w:r>
          </w:p>
        </w:tc>
        <w:tc>
          <w:tcPr>
            <w:tcW w:w="765" w:type="dxa"/>
            <w:tcBorders>
              <w:top w:val="single" w:sz="6" w:space="0" w:color="auto"/>
              <w:left w:val="single" w:sz="6" w:space="0" w:color="auto"/>
              <w:bottom w:val="single" w:sz="11" w:space="0" w:color="000000"/>
              <w:right w:val="single" w:sz="6" w:space="0" w:color="auto"/>
            </w:tcBorders>
            <w:tcMar>
              <w:top w:w="57" w:type="dxa"/>
              <w:left w:w="80" w:type="dxa"/>
              <w:bottom w:w="57" w:type="dxa"/>
              <w:right w:w="80" w:type="dxa"/>
            </w:tcMar>
            <w:vAlign w:val="center"/>
          </w:tcPr>
          <w:p w:rsidR="002C5CB9" w:rsidRDefault="002C5CB9">
            <w:pPr>
              <w:pStyle w:val="TotalCellTable"/>
            </w:pPr>
            <w:r>
              <w:t xml:space="preserve"> 4 090 </w:t>
            </w:r>
          </w:p>
        </w:tc>
        <w:tc>
          <w:tcPr>
            <w:tcW w:w="833" w:type="dxa"/>
            <w:tcBorders>
              <w:top w:val="single" w:sz="6" w:space="0" w:color="auto"/>
              <w:left w:val="single" w:sz="6" w:space="0" w:color="auto"/>
              <w:bottom w:val="single" w:sz="11" w:space="0" w:color="000000"/>
              <w:right w:val="single" w:sz="6" w:space="0" w:color="auto"/>
            </w:tcBorders>
            <w:tcMar>
              <w:top w:w="57" w:type="dxa"/>
              <w:left w:w="80" w:type="dxa"/>
              <w:bottom w:w="57" w:type="dxa"/>
              <w:right w:w="80" w:type="dxa"/>
            </w:tcMar>
            <w:vAlign w:val="center"/>
          </w:tcPr>
          <w:p w:rsidR="002C5CB9" w:rsidRDefault="002C5CB9">
            <w:pPr>
              <w:pStyle w:val="TotalCellTable"/>
            </w:pPr>
            <w:r>
              <w:t xml:space="preserve"> 3 970 </w:t>
            </w:r>
          </w:p>
        </w:tc>
      </w:tr>
      <w:tr w:rsidR="002C5CB9" w:rsidTr="003A2CAB">
        <w:trPr>
          <w:trHeight w:hRule="exact" w:val="299"/>
        </w:trPr>
        <w:tc>
          <w:tcPr>
            <w:tcW w:w="2454" w:type="dxa"/>
            <w:tcBorders>
              <w:top w:val="single" w:sz="11" w:space="0" w:color="000000"/>
              <w:left w:val="single" w:sz="6" w:space="0" w:color="auto"/>
              <w:bottom w:val="single" w:sz="11" w:space="0" w:color="000000"/>
              <w:right w:val="single" w:sz="6" w:space="0" w:color="auto"/>
            </w:tcBorders>
            <w:tcMar>
              <w:top w:w="57" w:type="dxa"/>
              <w:left w:w="57" w:type="dxa"/>
              <w:bottom w:w="57" w:type="dxa"/>
              <w:right w:w="80" w:type="dxa"/>
            </w:tcMar>
            <w:vAlign w:val="center"/>
          </w:tcPr>
          <w:p w:rsidR="002C5CB9" w:rsidRDefault="002C5CB9">
            <w:pPr>
              <w:pStyle w:val="NoParagraphStyle"/>
              <w:spacing w:line="240" w:lineRule="auto"/>
              <w:textAlignment w:val="auto"/>
              <w:rPr>
                <w:rFonts w:cs="Times New Roman"/>
                <w:color w:val="auto"/>
                <w:lang w:val="en-AU"/>
              </w:rPr>
            </w:pPr>
          </w:p>
        </w:tc>
        <w:tc>
          <w:tcPr>
            <w:tcW w:w="6972" w:type="dxa"/>
            <w:gridSpan w:val="9"/>
            <w:tcBorders>
              <w:top w:val="single" w:sz="11" w:space="0" w:color="000000"/>
              <w:left w:val="single" w:sz="6" w:space="0" w:color="auto"/>
              <w:bottom w:val="single" w:sz="11" w:space="0" w:color="000000"/>
              <w:right w:val="single" w:sz="6" w:space="0" w:color="auto"/>
            </w:tcBorders>
            <w:tcMar>
              <w:top w:w="57" w:type="dxa"/>
              <w:left w:w="80" w:type="dxa"/>
              <w:bottom w:w="57" w:type="dxa"/>
              <w:right w:w="80" w:type="dxa"/>
            </w:tcMar>
            <w:vAlign w:val="center"/>
          </w:tcPr>
          <w:p w:rsidR="002C5CB9" w:rsidRDefault="002C5CB9">
            <w:pPr>
              <w:pStyle w:val="ColumnHeadingTable"/>
              <w:jc w:val="center"/>
            </w:pPr>
            <w:r>
              <w:t>Rate of serious non-fatal claims per 1000 employees</w:t>
            </w:r>
          </w:p>
        </w:tc>
      </w:tr>
      <w:tr w:rsidR="002C5CB9" w:rsidTr="003A2CAB">
        <w:trPr>
          <w:trHeight w:hRule="exact" w:val="299"/>
        </w:trPr>
        <w:tc>
          <w:tcPr>
            <w:tcW w:w="2454" w:type="dxa"/>
            <w:tcBorders>
              <w:top w:val="single" w:sz="11" w:space="0" w:color="000000"/>
              <w:left w:val="single" w:sz="6" w:space="0" w:color="auto"/>
              <w:bottom w:val="single" w:sz="6" w:space="0" w:color="auto"/>
              <w:right w:val="single" w:sz="6" w:space="0" w:color="auto"/>
            </w:tcBorders>
            <w:tcMar>
              <w:top w:w="57" w:type="dxa"/>
              <w:left w:w="57" w:type="dxa"/>
              <w:bottom w:w="57" w:type="dxa"/>
              <w:right w:w="80" w:type="dxa"/>
            </w:tcMar>
            <w:vAlign w:val="center"/>
          </w:tcPr>
          <w:p w:rsidR="002C5CB9" w:rsidRDefault="002C5CB9">
            <w:pPr>
              <w:pStyle w:val="TablestubTable"/>
            </w:pPr>
            <w:r>
              <w:t>New South Wales</w:t>
            </w:r>
          </w:p>
        </w:tc>
        <w:tc>
          <w:tcPr>
            <w:tcW w:w="764" w:type="dxa"/>
            <w:tcBorders>
              <w:top w:val="single" w:sz="11" w:space="0" w:color="000000"/>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37.7 </w:t>
            </w:r>
          </w:p>
        </w:tc>
        <w:tc>
          <w:tcPr>
            <w:tcW w:w="777" w:type="dxa"/>
            <w:tcBorders>
              <w:top w:val="single" w:sz="11" w:space="0" w:color="000000"/>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30.8 </w:t>
            </w:r>
          </w:p>
        </w:tc>
        <w:tc>
          <w:tcPr>
            <w:tcW w:w="742" w:type="dxa"/>
            <w:tcBorders>
              <w:top w:val="single" w:sz="11" w:space="0" w:color="000000"/>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32.8 </w:t>
            </w:r>
          </w:p>
        </w:tc>
        <w:tc>
          <w:tcPr>
            <w:tcW w:w="776" w:type="dxa"/>
            <w:tcBorders>
              <w:top w:val="single" w:sz="11" w:space="0" w:color="000000"/>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32.2 </w:t>
            </w:r>
          </w:p>
        </w:tc>
        <w:tc>
          <w:tcPr>
            <w:tcW w:w="776" w:type="dxa"/>
            <w:tcBorders>
              <w:top w:val="single" w:sz="11" w:space="0" w:color="000000"/>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31.3 </w:t>
            </w:r>
          </w:p>
        </w:tc>
        <w:tc>
          <w:tcPr>
            <w:tcW w:w="764" w:type="dxa"/>
            <w:tcBorders>
              <w:top w:val="single" w:sz="11" w:space="0" w:color="000000"/>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28.8 </w:t>
            </w:r>
          </w:p>
        </w:tc>
        <w:tc>
          <w:tcPr>
            <w:tcW w:w="776" w:type="dxa"/>
            <w:tcBorders>
              <w:top w:val="single" w:sz="11" w:space="0" w:color="000000"/>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33.3 </w:t>
            </w:r>
          </w:p>
        </w:tc>
        <w:tc>
          <w:tcPr>
            <w:tcW w:w="765" w:type="dxa"/>
            <w:tcBorders>
              <w:top w:val="single" w:sz="11" w:space="0" w:color="000000"/>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32.2 </w:t>
            </w:r>
          </w:p>
        </w:tc>
        <w:tc>
          <w:tcPr>
            <w:tcW w:w="833" w:type="dxa"/>
            <w:tcBorders>
              <w:top w:val="single" w:sz="11" w:space="0" w:color="000000"/>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27.7 </w:t>
            </w:r>
          </w:p>
        </w:tc>
      </w:tr>
      <w:tr w:rsidR="002C5CB9" w:rsidTr="003A2CAB">
        <w:trPr>
          <w:trHeight w:hRule="exact" w:val="299"/>
        </w:trPr>
        <w:tc>
          <w:tcPr>
            <w:tcW w:w="2454" w:type="dxa"/>
            <w:tcBorders>
              <w:top w:val="single" w:sz="6" w:space="0" w:color="auto"/>
              <w:left w:val="single" w:sz="6" w:space="0" w:color="auto"/>
              <w:bottom w:val="single" w:sz="6" w:space="0" w:color="auto"/>
              <w:right w:val="single" w:sz="6" w:space="0" w:color="auto"/>
            </w:tcBorders>
            <w:tcMar>
              <w:top w:w="57" w:type="dxa"/>
              <w:left w:w="57" w:type="dxa"/>
              <w:bottom w:w="57" w:type="dxa"/>
              <w:right w:w="80" w:type="dxa"/>
            </w:tcMar>
            <w:vAlign w:val="center"/>
          </w:tcPr>
          <w:p w:rsidR="002C5CB9" w:rsidRDefault="002C5CB9">
            <w:pPr>
              <w:pStyle w:val="TablestubTable"/>
            </w:pPr>
            <w:r>
              <w:t>Queensland</w:t>
            </w:r>
          </w:p>
        </w:tc>
        <w:tc>
          <w:tcPr>
            <w:tcW w:w="76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46.0 </w:t>
            </w:r>
          </w:p>
        </w:tc>
        <w:tc>
          <w:tcPr>
            <w:tcW w:w="777"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40.5 </w:t>
            </w:r>
          </w:p>
        </w:tc>
        <w:tc>
          <w:tcPr>
            <w:tcW w:w="742"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43.6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51.0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43.0 </w:t>
            </w:r>
          </w:p>
        </w:tc>
        <w:tc>
          <w:tcPr>
            <w:tcW w:w="76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46.0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45.9 </w:t>
            </w:r>
          </w:p>
        </w:tc>
        <w:tc>
          <w:tcPr>
            <w:tcW w:w="765"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38.2 </w:t>
            </w:r>
          </w:p>
        </w:tc>
        <w:tc>
          <w:tcPr>
            <w:tcW w:w="833"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43.2 </w:t>
            </w:r>
          </w:p>
        </w:tc>
      </w:tr>
      <w:tr w:rsidR="002C5CB9" w:rsidTr="003A2CAB">
        <w:trPr>
          <w:trHeight w:hRule="exact" w:val="299"/>
        </w:trPr>
        <w:tc>
          <w:tcPr>
            <w:tcW w:w="2454" w:type="dxa"/>
            <w:tcBorders>
              <w:top w:val="single" w:sz="6" w:space="0" w:color="auto"/>
              <w:left w:val="single" w:sz="6" w:space="0" w:color="auto"/>
              <w:bottom w:val="single" w:sz="6" w:space="0" w:color="auto"/>
              <w:right w:val="single" w:sz="6" w:space="0" w:color="auto"/>
            </w:tcBorders>
            <w:tcMar>
              <w:top w:w="57" w:type="dxa"/>
              <w:left w:w="57" w:type="dxa"/>
              <w:bottom w:w="57" w:type="dxa"/>
              <w:right w:w="80" w:type="dxa"/>
            </w:tcMar>
            <w:vAlign w:val="center"/>
          </w:tcPr>
          <w:p w:rsidR="002C5CB9" w:rsidRDefault="002C5CB9">
            <w:pPr>
              <w:pStyle w:val="TablestubTable"/>
            </w:pPr>
            <w:r>
              <w:t>Victoria</w:t>
            </w:r>
          </w:p>
        </w:tc>
        <w:tc>
          <w:tcPr>
            <w:tcW w:w="76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32.3 </w:t>
            </w:r>
          </w:p>
        </w:tc>
        <w:tc>
          <w:tcPr>
            <w:tcW w:w="777"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26.8 </w:t>
            </w:r>
          </w:p>
        </w:tc>
        <w:tc>
          <w:tcPr>
            <w:tcW w:w="742"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33.9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25.8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28.8 </w:t>
            </w:r>
          </w:p>
        </w:tc>
        <w:tc>
          <w:tcPr>
            <w:tcW w:w="76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26.6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21.9 </w:t>
            </w:r>
          </w:p>
        </w:tc>
        <w:tc>
          <w:tcPr>
            <w:tcW w:w="765"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22.5 </w:t>
            </w:r>
          </w:p>
        </w:tc>
        <w:tc>
          <w:tcPr>
            <w:tcW w:w="833"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21.3 </w:t>
            </w:r>
          </w:p>
        </w:tc>
      </w:tr>
      <w:tr w:rsidR="002C5CB9" w:rsidTr="003A2CAB">
        <w:trPr>
          <w:trHeight w:hRule="exact" w:val="299"/>
        </w:trPr>
        <w:tc>
          <w:tcPr>
            <w:tcW w:w="2454" w:type="dxa"/>
            <w:tcBorders>
              <w:top w:val="single" w:sz="6" w:space="0" w:color="auto"/>
              <w:left w:val="single" w:sz="6" w:space="0" w:color="auto"/>
              <w:bottom w:val="single" w:sz="6" w:space="0" w:color="auto"/>
              <w:right w:val="single" w:sz="6" w:space="0" w:color="auto"/>
            </w:tcBorders>
            <w:tcMar>
              <w:top w:w="57" w:type="dxa"/>
              <w:left w:w="57" w:type="dxa"/>
              <w:bottom w:w="57" w:type="dxa"/>
              <w:right w:w="80" w:type="dxa"/>
            </w:tcMar>
            <w:vAlign w:val="center"/>
          </w:tcPr>
          <w:p w:rsidR="002C5CB9" w:rsidRDefault="002C5CB9">
            <w:pPr>
              <w:pStyle w:val="TablestubTable"/>
            </w:pPr>
            <w:r>
              <w:t>Western Australia</w:t>
            </w:r>
          </w:p>
        </w:tc>
        <w:tc>
          <w:tcPr>
            <w:tcW w:w="76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30.6 </w:t>
            </w:r>
          </w:p>
        </w:tc>
        <w:tc>
          <w:tcPr>
            <w:tcW w:w="777"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30.8 </w:t>
            </w:r>
          </w:p>
        </w:tc>
        <w:tc>
          <w:tcPr>
            <w:tcW w:w="742"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35.7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34.0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29.7 </w:t>
            </w:r>
          </w:p>
        </w:tc>
        <w:tc>
          <w:tcPr>
            <w:tcW w:w="76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30.7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31.3 </w:t>
            </w:r>
          </w:p>
        </w:tc>
        <w:tc>
          <w:tcPr>
            <w:tcW w:w="765"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23.6 </w:t>
            </w:r>
          </w:p>
        </w:tc>
        <w:tc>
          <w:tcPr>
            <w:tcW w:w="833"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31.8 </w:t>
            </w:r>
          </w:p>
        </w:tc>
      </w:tr>
      <w:tr w:rsidR="002C5CB9" w:rsidTr="003A2CAB">
        <w:trPr>
          <w:trHeight w:hRule="exact" w:val="299"/>
        </w:trPr>
        <w:tc>
          <w:tcPr>
            <w:tcW w:w="2454" w:type="dxa"/>
            <w:tcBorders>
              <w:top w:val="single" w:sz="6" w:space="0" w:color="auto"/>
              <w:left w:val="single" w:sz="6" w:space="0" w:color="auto"/>
              <w:bottom w:val="single" w:sz="6" w:space="0" w:color="auto"/>
              <w:right w:val="single" w:sz="6" w:space="0" w:color="auto"/>
            </w:tcBorders>
            <w:tcMar>
              <w:top w:w="57" w:type="dxa"/>
              <w:left w:w="57" w:type="dxa"/>
              <w:bottom w:w="57" w:type="dxa"/>
              <w:right w:w="80" w:type="dxa"/>
            </w:tcMar>
            <w:vAlign w:val="center"/>
          </w:tcPr>
          <w:p w:rsidR="002C5CB9" w:rsidRDefault="002C5CB9">
            <w:pPr>
              <w:pStyle w:val="TablestubTable"/>
            </w:pPr>
            <w:r>
              <w:t>South Australia</w:t>
            </w:r>
          </w:p>
        </w:tc>
        <w:tc>
          <w:tcPr>
            <w:tcW w:w="76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43.6 </w:t>
            </w:r>
          </w:p>
        </w:tc>
        <w:tc>
          <w:tcPr>
            <w:tcW w:w="777"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46.7 </w:t>
            </w:r>
          </w:p>
        </w:tc>
        <w:tc>
          <w:tcPr>
            <w:tcW w:w="742"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43.7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42.3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36.1 </w:t>
            </w:r>
          </w:p>
        </w:tc>
        <w:tc>
          <w:tcPr>
            <w:tcW w:w="76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34.3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36.8 </w:t>
            </w:r>
          </w:p>
        </w:tc>
        <w:tc>
          <w:tcPr>
            <w:tcW w:w="765"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33.1 </w:t>
            </w:r>
          </w:p>
        </w:tc>
        <w:tc>
          <w:tcPr>
            <w:tcW w:w="833"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34.6 </w:t>
            </w:r>
          </w:p>
        </w:tc>
      </w:tr>
      <w:tr w:rsidR="002C5CB9" w:rsidTr="003A2CAB">
        <w:trPr>
          <w:trHeight w:hRule="exact" w:val="299"/>
        </w:trPr>
        <w:tc>
          <w:tcPr>
            <w:tcW w:w="2454" w:type="dxa"/>
            <w:tcBorders>
              <w:top w:val="single" w:sz="6" w:space="0" w:color="auto"/>
              <w:left w:val="single" w:sz="6" w:space="0" w:color="auto"/>
              <w:bottom w:val="single" w:sz="6" w:space="0" w:color="auto"/>
              <w:right w:val="single" w:sz="6" w:space="0" w:color="auto"/>
            </w:tcBorders>
            <w:tcMar>
              <w:top w:w="57" w:type="dxa"/>
              <w:left w:w="57" w:type="dxa"/>
              <w:bottom w:w="57" w:type="dxa"/>
              <w:right w:w="80" w:type="dxa"/>
            </w:tcMar>
            <w:vAlign w:val="center"/>
          </w:tcPr>
          <w:p w:rsidR="002C5CB9" w:rsidRDefault="002C5CB9">
            <w:pPr>
              <w:pStyle w:val="TablestubTable"/>
            </w:pPr>
            <w:r>
              <w:t>Tasmania</w:t>
            </w:r>
          </w:p>
        </w:tc>
        <w:tc>
          <w:tcPr>
            <w:tcW w:w="76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33.8 </w:t>
            </w:r>
          </w:p>
        </w:tc>
        <w:tc>
          <w:tcPr>
            <w:tcW w:w="777"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35.0 </w:t>
            </w:r>
          </w:p>
        </w:tc>
        <w:tc>
          <w:tcPr>
            <w:tcW w:w="742"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43.9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46.7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28.0 </w:t>
            </w:r>
          </w:p>
        </w:tc>
        <w:tc>
          <w:tcPr>
            <w:tcW w:w="76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37.3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47.3 </w:t>
            </w:r>
          </w:p>
        </w:tc>
        <w:tc>
          <w:tcPr>
            <w:tcW w:w="765"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40.7 </w:t>
            </w:r>
          </w:p>
        </w:tc>
        <w:tc>
          <w:tcPr>
            <w:tcW w:w="833"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NumberregularTable"/>
            </w:pPr>
            <w:r>
              <w:t xml:space="preserve"> 32.9 </w:t>
            </w:r>
          </w:p>
        </w:tc>
      </w:tr>
      <w:tr w:rsidR="002C5CB9" w:rsidTr="003A2CAB">
        <w:trPr>
          <w:trHeight w:hRule="exact" w:val="299"/>
        </w:trPr>
        <w:tc>
          <w:tcPr>
            <w:tcW w:w="2454" w:type="dxa"/>
            <w:tcBorders>
              <w:top w:val="single" w:sz="6" w:space="0" w:color="auto"/>
              <w:left w:val="single" w:sz="6" w:space="0" w:color="auto"/>
              <w:bottom w:val="single" w:sz="6" w:space="0" w:color="auto"/>
              <w:right w:val="single" w:sz="6" w:space="0" w:color="auto"/>
            </w:tcBorders>
            <w:tcMar>
              <w:top w:w="57" w:type="dxa"/>
              <w:left w:w="57" w:type="dxa"/>
              <w:bottom w:w="57" w:type="dxa"/>
              <w:right w:w="80" w:type="dxa"/>
            </w:tcMar>
            <w:vAlign w:val="center"/>
          </w:tcPr>
          <w:p w:rsidR="002C5CB9" w:rsidRDefault="002C5CB9">
            <w:pPr>
              <w:pStyle w:val="TotalHeadingTable"/>
            </w:pPr>
            <w:r>
              <w:t>Australia</w:t>
            </w:r>
          </w:p>
        </w:tc>
        <w:tc>
          <w:tcPr>
            <w:tcW w:w="76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TotalCellTable"/>
            </w:pPr>
            <w:r>
              <w:t xml:space="preserve"> 36.8 </w:t>
            </w:r>
          </w:p>
        </w:tc>
        <w:tc>
          <w:tcPr>
            <w:tcW w:w="777"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TotalCellTable"/>
            </w:pPr>
            <w:r>
              <w:t xml:space="preserve"> 32.6 </w:t>
            </w:r>
          </w:p>
        </w:tc>
        <w:tc>
          <w:tcPr>
            <w:tcW w:w="742"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TotalCellTable"/>
            </w:pPr>
            <w:r>
              <w:t xml:space="preserve"> 36.8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TotalCellTable"/>
            </w:pPr>
            <w:r>
              <w:t xml:space="preserve"> 35.7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TotalCellTable"/>
            </w:pPr>
            <w:r>
              <w:t xml:space="preserve"> 33.1 </w:t>
            </w:r>
          </w:p>
        </w:tc>
        <w:tc>
          <w:tcPr>
            <w:tcW w:w="76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TotalCellTable"/>
            </w:pPr>
            <w:r>
              <w:t xml:space="preserve"> 32.2 </w:t>
            </w:r>
          </w:p>
        </w:tc>
        <w:tc>
          <w:tcPr>
            <w:tcW w:w="776"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TotalCellTable"/>
            </w:pPr>
            <w:r>
              <w:t xml:space="preserve"> 32.5 </w:t>
            </w:r>
          </w:p>
        </w:tc>
        <w:tc>
          <w:tcPr>
            <w:tcW w:w="765"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TotalCellTable"/>
            </w:pPr>
            <w:r>
              <w:t xml:space="preserve"> 29.8 </w:t>
            </w:r>
          </w:p>
        </w:tc>
        <w:tc>
          <w:tcPr>
            <w:tcW w:w="833"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vAlign w:val="center"/>
          </w:tcPr>
          <w:p w:rsidR="002C5CB9" w:rsidRDefault="002C5CB9">
            <w:pPr>
              <w:pStyle w:val="TotalCellTable"/>
            </w:pPr>
            <w:r>
              <w:t xml:space="preserve"> 30.1 </w:t>
            </w:r>
          </w:p>
        </w:tc>
      </w:tr>
      <w:tr w:rsidR="002C5CB9" w:rsidTr="003A2CAB">
        <w:trPr>
          <w:trHeight w:hRule="exact" w:val="299"/>
        </w:trPr>
        <w:tc>
          <w:tcPr>
            <w:tcW w:w="2454" w:type="dxa"/>
            <w:tcBorders>
              <w:top w:val="single" w:sz="6" w:space="0" w:color="auto"/>
              <w:left w:val="single" w:sz="6" w:space="0" w:color="auto"/>
              <w:bottom w:val="single" w:sz="24" w:space="0" w:color="000000"/>
              <w:right w:val="single" w:sz="6" w:space="0" w:color="auto"/>
            </w:tcBorders>
            <w:shd w:val="clear" w:color="001E5B" w:fill="auto"/>
            <w:tcMar>
              <w:top w:w="57" w:type="dxa"/>
              <w:left w:w="57" w:type="dxa"/>
              <w:bottom w:w="57" w:type="dxa"/>
              <w:right w:w="80" w:type="dxa"/>
            </w:tcMar>
            <w:vAlign w:val="center"/>
          </w:tcPr>
          <w:p w:rsidR="002C5CB9" w:rsidRDefault="002C5CB9">
            <w:pPr>
              <w:pStyle w:val="TotalHeadingTable"/>
            </w:pPr>
            <w:r>
              <w:t>Australia all industries</w:t>
            </w:r>
          </w:p>
        </w:tc>
        <w:tc>
          <w:tcPr>
            <w:tcW w:w="764" w:type="dxa"/>
            <w:tcBorders>
              <w:top w:val="single" w:sz="6" w:space="0" w:color="auto"/>
              <w:left w:val="single" w:sz="6" w:space="0" w:color="auto"/>
              <w:bottom w:val="single" w:sz="24" w:space="0" w:color="000000"/>
              <w:right w:val="single" w:sz="6" w:space="0" w:color="auto"/>
            </w:tcBorders>
            <w:shd w:val="clear" w:color="001E5B" w:fill="auto"/>
            <w:tcMar>
              <w:top w:w="57" w:type="dxa"/>
              <w:left w:w="80" w:type="dxa"/>
              <w:bottom w:w="57" w:type="dxa"/>
              <w:right w:w="80" w:type="dxa"/>
            </w:tcMar>
            <w:vAlign w:val="center"/>
          </w:tcPr>
          <w:p w:rsidR="002C5CB9" w:rsidRDefault="002C5CB9">
            <w:pPr>
              <w:pStyle w:val="TotalCellTable"/>
            </w:pPr>
            <w:r>
              <w:t>16.5</w:t>
            </w:r>
          </w:p>
        </w:tc>
        <w:tc>
          <w:tcPr>
            <w:tcW w:w="777" w:type="dxa"/>
            <w:tcBorders>
              <w:top w:val="single" w:sz="6" w:space="0" w:color="auto"/>
              <w:left w:val="single" w:sz="6" w:space="0" w:color="auto"/>
              <w:bottom w:val="single" w:sz="24" w:space="0" w:color="000000"/>
              <w:right w:val="single" w:sz="6" w:space="0" w:color="auto"/>
            </w:tcBorders>
            <w:shd w:val="clear" w:color="001E5B" w:fill="auto"/>
            <w:tcMar>
              <w:top w:w="57" w:type="dxa"/>
              <w:left w:w="80" w:type="dxa"/>
              <w:bottom w:w="57" w:type="dxa"/>
              <w:right w:w="80" w:type="dxa"/>
            </w:tcMar>
            <w:vAlign w:val="center"/>
          </w:tcPr>
          <w:p w:rsidR="002C5CB9" w:rsidRDefault="002C5CB9">
            <w:pPr>
              <w:pStyle w:val="TotalCellTable"/>
            </w:pPr>
            <w:r>
              <w:t>16.3</w:t>
            </w:r>
          </w:p>
        </w:tc>
        <w:tc>
          <w:tcPr>
            <w:tcW w:w="742" w:type="dxa"/>
            <w:tcBorders>
              <w:top w:val="single" w:sz="6" w:space="0" w:color="auto"/>
              <w:left w:val="single" w:sz="6" w:space="0" w:color="auto"/>
              <w:bottom w:val="single" w:sz="24" w:space="0" w:color="000000"/>
              <w:right w:val="single" w:sz="6" w:space="0" w:color="auto"/>
            </w:tcBorders>
            <w:shd w:val="clear" w:color="001E5B" w:fill="auto"/>
            <w:tcMar>
              <w:top w:w="57" w:type="dxa"/>
              <w:left w:w="80" w:type="dxa"/>
              <w:bottom w:w="57" w:type="dxa"/>
              <w:right w:w="80" w:type="dxa"/>
            </w:tcMar>
            <w:vAlign w:val="center"/>
          </w:tcPr>
          <w:p w:rsidR="002C5CB9" w:rsidRDefault="002C5CB9">
            <w:pPr>
              <w:pStyle w:val="TotalCellTable"/>
            </w:pPr>
            <w:r>
              <w:t>16.0</w:t>
            </w:r>
          </w:p>
        </w:tc>
        <w:tc>
          <w:tcPr>
            <w:tcW w:w="776" w:type="dxa"/>
            <w:tcBorders>
              <w:top w:val="single" w:sz="6" w:space="0" w:color="auto"/>
              <w:left w:val="single" w:sz="6" w:space="0" w:color="auto"/>
              <w:bottom w:val="single" w:sz="24" w:space="0" w:color="000000"/>
              <w:right w:val="single" w:sz="6" w:space="0" w:color="auto"/>
            </w:tcBorders>
            <w:shd w:val="clear" w:color="001E5B" w:fill="auto"/>
            <w:tcMar>
              <w:top w:w="57" w:type="dxa"/>
              <w:left w:w="80" w:type="dxa"/>
              <w:bottom w:w="57" w:type="dxa"/>
              <w:right w:w="80" w:type="dxa"/>
            </w:tcMar>
            <w:vAlign w:val="center"/>
          </w:tcPr>
          <w:p w:rsidR="002C5CB9" w:rsidRDefault="002C5CB9">
            <w:pPr>
              <w:pStyle w:val="TotalCellTable"/>
            </w:pPr>
            <w:r>
              <w:t>15.0</w:t>
            </w:r>
          </w:p>
        </w:tc>
        <w:tc>
          <w:tcPr>
            <w:tcW w:w="776" w:type="dxa"/>
            <w:tcBorders>
              <w:top w:val="single" w:sz="6" w:space="0" w:color="auto"/>
              <w:left w:val="single" w:sz="6" w:space="0" w:color="auto"/>
              <w:bottom w:val="single" w:sz="24" w:space="0" w:color="000000"/>
              <w:right w:val="single" w:sz="6" w:space="0" w:color="auto"/>
            </w:tcBorders>
            <w:shd w:val="clear" w:color="001E5B" w:fill="auto"/>
            <w:tcMar>
              <w:top w:w="57" w:type="dxa"/>
              <w:left w:w="80" w:type="dxa"/>
              <w:bottom w:w="57" w:type="dxa"/>
              <w:right w:w="80" w:type="dxa"/>
            </w:tcMar>
            <w:vAlign w:val="center"/>
          </w:tcPr>
          <w:p w:rsidR="002C5CB9" w:rsidRDefault="002C5CB9">
            <w:pPr>
              <w:pStyle w:val="TotalCellTable"/>
            </w:pPr>
            <w:r>
              <w:t>14.5</w:t>
            </w:r>
          </w:p>
        </w:tc>
        <w:tc>
          <w:tcPr>
            <w:tcW w:w="764" w:type="dxa"/>
            <w:tcBorders>
              <w:top w:val="single" w:sz="6" w:space="0" w:color="auto"/>
              <w:left w:val="single" w:sz="6" w:space="0" w:color="auto"/>
              <w:bottom w:val="single" w:sz="24" w:space="0" w:color="000000"/>
              <w:right w:val="single" w:sz="6" w:space="0" w:color="auto"/>
            </w:tcBorders>
            <w:shd w:val="clear" w:color="001E5B" w:fill="auto"/>
            <w:tcMar>
              <w:top w:w="57" w:type="dxa"/>
              <w:left w:w="80" w:type="dxa"/>
              <w:bottom w:w="57" w:type="dxa"/>
              <w:right w:w="80" w:type="dxa"/>
            </w:tcMar>
            <w:vAlign w:val="center"/>
          </w:tcPr>
          <w:p w:rsidR="002C5CB9" w:rsidRDefault="002C5CB9">
            <w:pPr>
              <w:pStyle w:val="TotalCellTable"/>
            </w:pPr>
            <w:r>
              <w:t>14.2</w:t>
            </w:r>
          </w:p>
        </w:tc>
        <w:tc>
          <w:tcPr>
            <w:tcW w:w="776" w:type="dxa"/>
            <w:tcBorders>
              <w:top w:val="single" w:sz="6" w:space="0" w:color="auto"/>
              <w:left w:val="single" w:sz="6" w:space="0" w:color="auto"/>
              <w:bottom w:val="single" w:sz="24" w:space="0" w:color="000000"/>
              <w:right w:val="single" w:sz="6" w:space="0" w:color="auto"/>
            </w:tcBorders>
            <w:shd w:val="clear" w:color="001E5B" w:fill="auto"/>
            <w:tcMar>
              <w:top w:w="57" w:type="dxa"/>
              <w:left w:w="80" w:type="dxa"/>
              <w:bottom w:w="57" w:type="dxa"/>
              <w:right w:w="80" w:type="dxa"/>
            </w:tcMar>
            <w:vAlign w:val="center"/>
          </w:tcPr>
          <w:p w:rsidR="002C5CB9" w:rsidRDefault="002C5CB9">
            <w:pPr>
              <w:pStyle w:val="TotalCellTable"/>
            </w:pPr>
            <w:r>
              <w:t>13.6</w:t>
            </w:r>
          </w:p>
        </w:tc>
        <w:tc>
          <w:tcPr>
            <w:tcW w:w="765" w:type="dxa"/>
            <w:tcBorders>
              <w:top w:val="single" w:sz="6" w:space="0" w:color="auto"/>
              <w:left w:val="single" w:sz="6" w:space="0" w:color="auto"/>
              <w:bottom w:val="single" w:sz="24" w:space="0" w:color="000000"/>
              <w:right w:val="single" w:sz="6" w:space="0" w:color="auto"/>
            </w:tcBorders>
            <w:shd w:val="clear" w:color="001E5B" w:fill="auto"/>
            <w:tcMar>
              <w:top w:w="57" w:type="dxa"/>
              <w:left w:w="80" w:type="dxa"/>
              <w:bottom w:w="57" w:type="dxa"/>
              <w:right w:w="80" w:type="dxa"/>
            </w:tcMar>
            <w:vAlign w:val="center"/>
          </w:tcPr>
          <w:p w:rsidR="002C5CB9" w:rsidRDefault="002C5CB9">
            <w:pPr>
              <w:pStyle w:val="TotalCellTable"/>
            </w:pPr>
            <w:r>
              <w:t>12.9</w:t>
            </w:r>
          </w:p>
        </w:tc>
        <w:tc>
          <w:tcPr>
            <w:tcW w:w="833" w:type="dxa"/>
            <w:tcBorders>
              <w:top w:val="single" w:sz="6" w:space="0" w:color="auto"/>
              <w:left w:val="single" w:sz="6" w:space="0" w:color="auto"/>
              <w:bottom w:val="single" w:sz="24" w:space="0" w:color="000000"/>
              <w:right w:val="single" w:sz="6" w:space="0" w:color="auto"/>
            </w:tcBorders>
            <w:shd w:val="clear" w:color="001E5B" w:fill="auto"/>
            <w:tcMar>
              <w:top w:w="57" w:type="dxa"/>
              <w:left w:w="80" w:type="dxa"/>
              <w:bottom w:w="57" w:type="dxa"/>
              <w:right w:w="80" w:type="dxa"/>
            </w:tcMar>
            <w:vAlign w:val="center"/>
          </w:tcPr>
          <w:p w:rsidR="002C5CB9" w:rsidRDefault="002C5CB9">
            <w:pPr>
              <w:pStyle w:val="TotalCellTable"/>
            </w:pPr>
            <w:r>
              <w:t>12.2</w:t>
            </w:r>
          </w:p>
        </w:tc>
      </w:tr>
      <w:tr w:rsidR="002C5CB9" w:rsidTr="003A2CAB">
        <w:trPr>
          <w:trHeight w:hRule="exact" w:val="567"/>
        </w:trPr>
        <w:tc>
          <w:tcPr>
            <w:tcW w:w="9426" w:type="dxa"/>
            <w:gridSpan w:val="10"/>
            <w:tcBorders>
              <w:top w:val="single" w:sz="24" w:space="0" w:color="000000"/>
            </w:tcBorders>
            <w:tcMar>
              <w:top w:w="80" w:type="dxa"/>
              <w:left w:w="80" w:type="dxa"/>
              <w:bottom w:w="80" w:type="dxa"/>
              <w:right w:w="80" w:type="dxa"/>
            </w:tcMar>
            <w:vAlign w:val="center"/>
          </w:tcPr>
          <w:p w:rsidR="002C5CB9" w:rsidRDefault="002C5CB9">
            <w:pPr>
              <w:pStyle w:val="FigureTableFootnotewithoutIndent"/>
            </w:pPr>
            <w:r>
              <w:t>a  The Northern Territory, the Australian Capital Territory and the Commonwealth are not listed because of the small number of claims in these jurisdictions. However, they are included in the total figures for the Australian Road freight transport industry.</w:t>
            </w:r>
          </w:p>
        </w:tc>
      </w:tr>
    </w:tbl>
    <w:p w:rsidR="005853BD" w:rsidRDefault="005853BD">
      <w:pPr>
        <w:rPr>
          <w:rFonts w:ascii="Arial" w:hAnsi="Arial" w:cs="Arial"/>
          <w:color w:val="000000"/>
          <w:sz w:val="22"/>
          <w:szCs w:val="22"/>
          <w:lang w:val="en-US"/>
        </w:rPr>
      </w:pPr>
      <w:r>
        <w:br w:type="page"/>
      </w:r>
    </w:p>
    <w:p w:rsidR="002C5CB9" w:rsidRDefault="002C5CB9" w:rsidP="0030662C">
      <w:pPr>
        <w:pStyle w:val="Colourheadingtoplevel"/>
      </w:pPr>
      <w:r>
        <w:t>Claims by age and sex</w:t>
      </w:r>
    </w:p>
    <w:p w:rsidR="002C5CB9" w:rsidRDefault="00AE3D2D" w:rsidP="002C5CB9">
      <w:pPr>
        <w:pStyle w:val="BodyText"/>
      </w:pPr>
      <w:r>
        <w:t>Figure 4</w:t>
      </w:r>
      <w:r w:rsidR="002C5CB9">
        <w:t xml:space="preserve"> shows the distribution of non-fatal serious compensation claims in the Road freight transport industry by age group and sex. The graph is based on aggregated claims over the period 2006–07 to 2010–11p.</w:t>
      </w:r>
    </w:p>
    <w:p w:rsidR="002C5CB9" w:rsidRDefault="00AE3D2D" w:rsidP="002C5CB9">
      <w:pPr>
        <w:pStyle w:val="BodyText"/>
        <w:rPr>
          <w:b/>
          <w:bCs/>
          <w:color w:val="001E5B"/>
          <w:sz w:val="20"/>
          <w:szCs w:val="20"/>
        </w:rPr>
      </w:pPr>
      <w:r>
        <w:rPr>
          <w:b/>
          <w:bCs/>
          <w:color w:val="001E5B"/>
          <w:sz w:val="20"/>
          <w:szCs w:val="20"/>
        </w:rPr>
        <w:t>Figure 4</w:t>
      </w:r>
      <w:r w:rsidR="002C5CB9">
        <w:rPr>
          <w:b/>
          <w:bCs/>
          <w:color w:val="001E5B"/>
          <w:sz w:val="20"/>
          <w:szCs w:val="20"/>
        </w:rPr>
        <w:t xml:space="preserve">      Road freight transport industry: proportion of serious non-fatal</w:t>
      </w:r>
      <w:r w:rsidR="002C5CB9">
        <w:rPr>
          <w:b/>
          <w:bCs/>
          <w:color w:val="001E5B"/>
          <w:sz w:val="20"/>
          <w:szCs w:val="20"/>
        </w:rPr>
        <w:br/>
        <w:t xml:space="preserve">                    claims by age group and sex, 2006–07 to 2010–11p</w:t>
      </w:r>
    </w:p>
    <w:p w:rsidR="001F7B01" w:rsidRDefault="00B518D6" w:rsidP="002C5CB9">
      <w:pPr>
        <w:pStyle w:val="BodyText"/>
        <w:rPr>
          <w:b/>
          <w:bCs/>
          <w:color w:val="001E5B"/>
          <w:sz w:val="20"/>
          <w:szCs w:val="20"/>
        </w:rPr>
      </w:pPr>
      <w:r>
        <w:rPr>
          <w:noProof/>
          <w:lang w:val="en-AU"/>
        </w:rPr>
        <w:drawing>
          <wp:inline distT="0" distB="0" distL="0" distR="0" wp14:anchorId="5090E50F" wp14:editId="61B03FCC">
            <wp:extent cx="4596524" cy="2782285"/>
            <wp:effectExtent l="0" t="0" r="0" b="0"/>
            <wp:docPr id="4" name="Chart 4" descr=" Road freight transport industry: proportion of serious non-fatal claims by age group and sex, 2006–07 to 2010–1. Data discussed in text commentary.&#10;" title="Figur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C5CB9" w:rsidRDefault="00AE3D2D" w:rsidP="002C5CB9">
      <w:pPr>
        <w:pStyle w:val="FigureHeading"/>
      </w:pPr>
      <w:r>
        <w:t>Figure 5</w:t>
      </w:r>
      <w:r w:rsidR="002C5CB9">
        <w:t xml:space="preserve">      Road freight transport industry: proportion of employees by age and sex, 2006–07 to 2010–11p</w:t>
      </w:r>
    </w:p>
    <w:p w:rsidR="001F7B01" w:rsidRPr="001F7B01" w:rsidRDefault="00B518D6" w:rsidP="001F7B01">
      <w:pPr>
        <w:pStyle w:val="BodyText"/>
      </w:pPr>
      <w:r>
        <w:rPr>
          <w:noProof/>
          <w:lang w:val="en-AU"/>
        </w:rPr>
        <w:drawing>
          <wp:inline distT="0" distB="0" distL="0" distR="0" wp14:anchorId="13872124" wp14:editId="420F2224">
            <wp:extent cx="4600399" cy="2782285"/>
            <wp:effectExtent l="0" t="0" r="0" b="0"/>
            <wp:docPr id="5" name="Chart 5" descr="Road freight transport industry: proportion of employees by age and sex, 2006–07 to 2010–11p. Data discussed in text commentary." title="Figur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C5CB9" w:rsidRDefault="002C5CB9" w:rsidP="002C5CB9">
      <w:pPr>
        <w:pStyle w:val="BodyText"/>
      </w:pPr>
      <w:r>
        <w:t xml:space="preserve">Overall, males made nearly all (97%) of the non-fatal serious claims in the Road freight transport industry, reflecting the male dominance of the industry (85% of employees were male over the period). Just over half (53%) of all non-fatal serious claims were made by males aged 35–44 and 45–54 years. This pattern closely reflects the age/sex distribution for employees in the Road freight </w:t>
      </w:r>
      <w:r w:rsidR="00AE3D2D">
        <w:t>transport industry (see Figure 5</w:t>
      </w:r>
      <w:r>
        <w:t>) since these two male age groups represented 47% of all employees.</w:t>
      </w:r>
    </w:p>
    <w:p w:rsidR="002C5CB9" w:rsidRDefault="00AE3D2D" w:rsidP="002C5CB9">
      <w:pPr>
        <w:pStyle w:val="BodyText"/>
      </w:pPr>
      <w:r>
        <w:t>Figure 6</w:t>
      </w:r>
      <w:r w:rsidR="002C5CB9">
        <w:t xml:space="preserve"> shows the rate of non-fatal serious claims by age group and sex. The rate of non-fatal serious claims for male employees in the Road freight transport industry increased with age. Male employees aged under 25 years had the lowest incidence rate (32 claims per 1000 workers) while males aged 65 years and over had the highest rate (41).</w:t>
      </w:r>
    </w:p>
    <w:p w:rsidR="002C5CB9" w:rsidRDefault="002C5CB9" w:rsidP="002C5CB9">
      <w:pPr>
        <w:pStyle w:val="BodyText"/>
      </w:pPr>
      <w:r>
        <w:t>The pattern for female employees was different to the pattern described for males. Females had considerably lower rates, most likely reflecting the different and less hazardous roles that women undertake within the industry. Female employees aged under 25 years had the lowest incidence rate (3.3 non-fatal serious claims per 1000 workers) while females aged 35–44 years had the highest rate (8). The rates then decreased with age with female employees aged 55–64 years recording a rate of 4.8.</w:t>
      </w:r>
    </w:p>
    <w:p w:rsidR="002C5CB9" w:rsidRDefault="00AE3D2D" w:rsidP="002C5CB9">
      <w:pPr>
        <w:pStyle w:val="FigureHeading"/>
      </w:pPr>
      <w:r>
        <w:t>Figure 6</w:t>
      </w:r>
      <w:r w:rsidR="002C5CB9">
        <w:t xml:space="preserve">       Road freight transport industry: incidence rate of serious non-fatal claims by age group and sex</w:t>
      </w:r>
      <w:r w:rsidR="002C5CB9">
        <w:rPr>
          <w:vertAlign w:val="superscript"/>
        </w:rPr>
        <w:t>a</w:t>
      </w:r>
      <w:r w:rsidR="002C5CB9">
        <w:t>, 2006–07 to 2010–11p</w:t>
      </w:r>
    </w:p>
    <w:p w:rsidR="00B518D6" w:rsidRPr="00B518D6" w:rsidRDefault="00B518D6" w:rsidP="00B518D6">
      <w:pPr>
        <w:pStyle w:val="BodyText"/>
      </w:pPr>
      <w:r>
        <w:rPr>
          <w:noProof/>
          <w:lang w:val="en-AU"/>
        </w:rPr>
        <w:drawing>
          <wp:inline distT="0" distB="0" distL="0" distR="0" wp14:anchorId="28C13DC1" wp14:editId="555BA67B">
            <wp:extent cx="4811020" cy="2689224"/>
            <wp:effectExtent l="0" t="0" r="8890" b="0"/>
            <wp:docPr id="6" name="Chart 6" descr=" Road freight transport industry: incidence rate of serious non-fatal claims by age group and sexa, 2006–07 to 2010–11p. Data discussed in text commentary." title="Figur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C5CB9" w:rsidRDefault="002C5CB9" w:rsidP="002C5CB9">
      <w:pPr>
        <w:pStyle w:val="FigureTableFootnote"/>
      </w:pPr>
      <w:r>
        <w:t>a  A rate for females aged 65 years and over is not shown since the estimate of the number of employees for this group has a relative standard error of over 50%.</w:t>
      </w:r>
    </w:p>
    <w:p w:rsidR="002C5CB9" w:rsidRDefault="002C5CB9" w:rsidP="0030662C">
      <w:pPr>
        <w:pStyle w:val="Colourheadingtoplevel"/>
      </w:pPr>
      <w:r>
        <w:t>Types of injury and disease</w:t>
      </w:r>
    </w:p>
    <w:p w:rsidR="002C5CB9" w:rsidRDefault="002C5CB9" w:rsidP="002C5CB9">
      <w:pPr>
        <w:pStyle w:val="BodyText"/>
      </w:pPr>
      <w:r>
        <w:t xml:space="preserve">Table 4 shows the percentage distribution of the nature of injury categories for non-fatal serious claims made by Road freight transport industry employees over the period 2006–07 to 2010–11p. The table shows that just over three-quarters of claims (78%) were for an injury. By far the most common injuries were </w:t>
      </w:r>
      <w:r>
        <w:rPr>
          <w:rStyle w:val="Classificationitalics"/>
        </w:rPr>
        <w:t>Sprains and strains of joints and adjacent muscles</w:t>
      </w:r>
      <w:r>
        <w:t xml:space="preserve"> (45%). </w:t>
      </w:r>
      <w:r>
        <w:rPr>
          <w:i/>
          <w:iCs/>
        </w:rPr>
        <w:t>Fractures</w:t>
      </w:r>
      <w:r>
        <w:t xml:space="preserve"> accounted for 13% of claims, </w:t>
      </w:r>
      <w:r>
        <w:rPr>
          <w:rStyle w:val="Classificationitalics"/>
        </w:rPr>
        <w:t>Contusions with intact skin surface and crushing injury excluding those with fracture</w:t>
      </w:r>
      <w:r>
        <w:t xml:space="preserve"> accounted for 8% of claims and an </w:t>
      </w:r>
      <w:r>
        <w:rPr>
          <w:rStyle w:val="Classificationitalics"/>
        </w:rPr>
        <w:t>Open wound not involving amputation</w:t>
      </w:r>
      <w:r>
        <w:t xml:space="preserve"> accounted for a further 6% of claims.</w:t>
      </w:r>
    </w:p>
    <w:p w:rsidR="002C5CB9" w:rsidRDefault="002C5CB9" w:rsidP="002C5CB9">
      <w:pPr>
        <w:pStyle w:val="BodyText"/>
        <w:rPr>
          <w:spacing w:val="-1"/>
        </w:rPr>
      </w:pPr>
      <w:r>
        <w:t xml:space="preserve">The most common disease category was </w:t>
      </w:r>
      <w:r>
        <w:rPr>
          <w:rStyle w:val="Classificationitalics"/>
        </w:rPr>
        <w:t>Diseases of the musculoskeletal system and connective tissue</w:t>
      </w:r>
      <w:r>
        <w:t xml:space="preserve">, which accounted for 14% of non-fatal serious claims made by Road freight transport industry employees. The most common underlying category was </w:t>
      </w:r>
      <w:r>
        <w:rPr>
          <w:rStyle w:val="Classificationitalics"/>
        </w:rPr>
        <w:t>Dorspathies - disorders of t</w:t>
      </w:r>
      <w:r>
        <w:rPr>
          <w:rStyle w:val="Classificationitalics"/>
          <w:spacing w:val="-1"/>
        </w:rPr>
        <w:t>he spinal vertebrae and connective tissue</w:t>
      </w:r>
      <w:r>
        <w:rPr>
          <w:spacing w:val="-1"/>
        </w:rPr>
        <w:t xml:space="preserve">, which accounted for 6% of claims. The second most common category, </w:t>
      </w:r>
      <w:r>
        <w:rPr>
          <w:rStyle w:val="Classificationitalics"/>
          <w:spacing w:val="-1"/>
        </w:rPr>
        <w:t>Disorders of muscle, tendons and other soft tissues</w:t>
      </w:r>
      <w:r>
        <w:rPr>
          <w:spacing w:val="-1"/>
        </w:rPr>
        <w:t xml:space="preserve">, also accounted for 6% of claims. These disease categories and the injury category </w:t>
      </w:r>
      <w:r>
        <w:rPr>
          <w:rStyle w:val="Classificationitalics"/>
          <w:spacing w:val="-1"/>
        </w:rPr>
        <w:t xml:space="preserve">Sprains and strains of joints and adjacent muscles </w:t>
      </w:r>
      <w:r>
        <w:rPr>
          <w:spacing w:val="-1"/>
        </w:rPr>
        <w:t>previously discussed</w:t>
      </w:r>
      <w:r>
        <w:rPr>
          <w:rStyle w:val="Classificationitalics"/>
          <w:spacing w:val="-1"/>
        </w:rPr>
        <w:t xml:space="preserve"> </w:t>
      </w:r>
      <w:r>
        <w:rPr>
          <w:spacing w:val="-1"/>
        </w:rPr>
        <w:t>highlight the susceptibility of Road freight transport employees to injuries related to manual handling. This is because ‘transport’ work intrinsically involves exposure to the hazards associated with the handling of goods while loading and unloading. Table 5 examines the Mechanism and Breakdown agencies of Road freight transport claims and further highlights the dominance of claims related to Manual handling.</w:t>
      </w:r>
    </w:p>
    <w:p w:rsidR="002C5CB9" w:rsidRDefault="002C5CB9" w:rsidP="002C5CB9">
      <w:pPr>
        <w:pStyle w:val="TableHeading"/>
      </w:pPr>
      <w:r>
        <w:t>Table 4   Road freight transport industry: nature of injury for serious non-fatal workers’ compensation claims</w:t>
      </w:r>
      <w:r>
        <w:rPr>
          <w:vertAlign w:val="superscript"/>
        </w:rPr>
        <w:t>a</w:t>
      </w:r>
      <w:r>
        <w:t>, 2006–07 to 2010–11p</w:t>
      </w:r>
    </w:p>
    <w:tbl>
      <w:tblPr>
        <w:tblW w:w="0" w:type="auto"/>
        <w:jc w:val="right"/>
        <w:tblLayout w:type="fixed"/>
        <w:tblCellMar>
          <w:left w:w="0" w:type="dxa"/>
          <w:right w:w="0" w:type="dxa"/>
        </w:tblCellMar>
        <w:tblLook w:val="0000" w:firstRow="0" w:lastRow="0" w:firstColumn="0" w:lastColumn="0" w:noHBand="0" w:noVBand="0"/>
      </w:tblPr>
      <w:tblGrid>
        <w:gridCol w:w="5125"/>
        <w:gridCol w:w="658"/>
        <w:gridCol w:w="884"/>
        <w:gridCol w:w="692"/>
      </w:tblGrid>
      <w:tr w:rsidR="002C5CB9" w:rsidTr="00346BFE">
        <w:trPr>
          <w:trHeight w:hRule="exact" w:val="397"/>
          <w:jc w:val="right"/>
        </w:trPr>
        <w:tc>
          <w:tcPr>
            <w:tcW w:w="5125" w:type="dxa"/>
            <w:tcBorders>
              <w:top w:val="single" w:sz="11" w:space="0" w:color="001E5B"/>
              <w:left w:val="single" w:sz="6" w:space="0" w:color="auto"/>
              <w:bottom w:val="single" w:sz="12" w:space="0" w:color="001E5B"/>
              <w:right w:val="single" w:sz="6" w:space="0" w:color="auto"/>
            </w:tcBorders>
            <w:tcMar>
              <w:top w:w="80" w:type="dxa"/>
              <w:left w:w="80" w:type="dxa"/>
              <w:bottom w:w="80" w:type="dxa"/>
              <w:right w:w="80" w:type="dxa"/>
            </w:tcMar>
          </w:tcPr>
          <w:p w:rsidR="002C5CB9" w:rsidRDefault="002C5CB9">
            <w:pPr>
              <w:pStyle w:val="ColumnHeadingcopy"/>
              <w:jc w:val="left"/>
            </w:pPr>
            <w:r>
              <w:t>Nature of injury</w:t>
            </w:r>
          </w:p>
        </w:tc>
        <w:tc>
          <w:tcPr>
            <w:tcW w:w="658" w:type="dxa"/>
            <w:tcBorders>
              <w:top w:val="single" w:sz="11" w:space="0" w:color="001E5B"/>
              <w:left w:val="single" w:sz="6" w:space="0" w:color="auto"/>
              <w:bottom w:val="single" w:sz="12" w:space="0" w:color="001E5B"/>
              <w:right w:val="single" w:sz="6" w:space="0" w:color="auto"/>
            </w:tcBorders>
            <w:tcMar>
              <w:top w:w="80" w:type="dxa"/>
              <w:left w:w="57" w:type="dxa"/>
              <w:bottom w:w="80" w:type="dxa"/>
              <w:right w:w="57" w:type="dxa"/>
            </w:tcMar>
          </w:tcPr>
          <w:p w:rsidR="002C5CB9" w:rsidRDefault="002C5CB9">
            <w:pPr>
              <w:pStyle w:val="ColumnHeadingcopy"/>
            </w:pPr>
            <w:r>
              <w:t>Males</w:t>
            </w:r>
          </w:p>
        </w:tc>
        <w:tc>
          <w:tcPr>
            <w:tcW w:w="884" w:type="dxa"/>
            <w:tcBorders>
              <w:top w:val="single" w:sz="11" w:space="0" w:color="001E5B"/>
              <w:left w:val="single" w:sz="6" w:space="0" w:color="auto"/>
              <w:bottom w:val="single" w:sz="12" w:space="0" w:color="001E5B"/>
              <w:right w:val="single" w:sz="6" w:space="0" w:color="auto"/>
            </w:tcBorders>
            <w:tcMar>
              <w:top w:w="80" w:type="dxa"/>
              <w:left w:w="57" w:type="dxa"/>
              <w:bottom w:w="80" w:type="dxa"/>
              <w:right w:w="57" w:type="dxa"/>
            </w:tcMar>
          </w:tcPr>
          <w:p w:rsidR="002C5CB9" w:rsidRDefault="002C5CB9">
            <w:pPr>
              <w:pStyle w:val="ColumnHeadingcopy"/>
            </w:pPr>
            <w:r>
              <w:t>Females</w:t>
            </w:r>
          </w:p>
        </w:tc>
        <w:tc>
          <w:tcPr>
            <w:tcW w:w="692" w:type="dxa"/>
            <w:tcBorders>
              <w:top w:val="single" w:sz="11" w:space="0" w:color="001E5B"/>
              <w:left w:val="single" w:sz="6" w:space="0" w:color="auto"/>
              <w:bottom w:val="single" w:sz="12" w:space="0" w:color="001E5B"/>
              <w:right w:val="single" w:sz="6" w:space="0" w:color="auto"/>
            </w:tcBorders>
            <w:tcMar>
              <w:top w:w="80" w:type="dxa"/>
              <w:left w:w="57" w:type="dxa"/>
              <w:bottom w:w="80" w:type="dxa"/>
              <w:right w:w="57" w:type="dxa"/>
            </w:tcMar>
          </w:tcPr>
          <w:p w:rsidR="002C5CB9" w:rsidRDefault="002C5CB9">
            <w:pPr>
              <w:pStyle w:val="ColumnHeadingcopy"/>
            </w:pPr>
            <w:r>
              <w:t>Total</w:t>
            </w:r>
          </w:p>
        </w:tc>
      </w:tr>
      <w:tr w:rsidR="002C5CB9" w:rsidTr="00346BFE">
        <w:trPr>
          <w:trHeight w:hRule="exact" w:val="397"/>
          <w:jc w:val="right"/>
        </w:trPr>
        <w:tc>
          <w:tcPr>
            <w:tcW w:w="5125" w:type="dxa"/>
            <w:tcBorders>
              <w:top w:val="single" w:sz="12" w:space="0" w:color="001E5B"/>
              <w:left w:val="single" w:sz="6" w:space="0" w:color="auto"/>
              <w:bottom w:val="single" w:sz="6" w:space="0" w:color="auto"/>
              <w:right w:val="single" w:sz="6" w:space="0" w:color="auto"/>
            </w:tcBorders>
            <w:shd w:val="clear" w:color="001E5B" w:fill="auto"/>
            <w:tcMar>
              <w:top w:w="57" w:type="dxa"/>
              <w:left w:w="80" w:type="dxa"/>
              <w:bottom w:w="57" w:type="dxa"/>
              <w:right w:w="80" w:type="dxa"/>
            </w:tcMar>
          </w:tcPr>
          <w:p w:rsidR="002C5CB9" w:rsidRDefault="002C5CB9">
            <w:pPr>
              <w:pStyle w:val="TablestubTable"/>
            </w:pPr>
            <w:r>
              <w:t>Injury and poisoning</w:t>
            </w:r>
          </w:p>
        </w:tc>
        <w:tc>
          <w:tcPr>
            <w:tcW w:w="658" w:type="dxa"/>
            <w:tcBorders>
              <w:top w:val="single" w:sz="12" w:space="0" w:color="001E5B"/>
              <w:left w:val="single" w:sz="6" w:space="0" w:color="auto"/>
              <w:bottom w:val="single" w:sz="6" w:space="0" w:color="auto"/>
              <w:right w:val="single" w:sz="6" w:space="0" w:color="auto"/>
            </w:tcBorders>
            <w:shd w:val="clear" w:color="001E5B" w:fill="auto"/>
            <w:tcMar>
              <w:top w:w="57" w:type="dxa"/>
              <w:left w:w="80" w:type="dxa"/>
              <w:bottom w:w="57" w:type="dxa"/>
              <w:right w:w="80" w:type="dxa"/>
            </w:tcMar>
          </w:tcPr>
          <w:p w:rsidR="002C5CB9" w:rsidRDefault="002C5CB9">
            <w:pPr>
              <w:pStyle w:val="NumberregularTable"/>
            </w:pPr>
            <w:r>
              <w:t>78.6%</w:t>
            </w:r>
          </w:p>
        </w:tc>
        <w:tc>
          <w:tcPr>
            <w:tcW w:w="884" w:type="dxa"/>
            <w:tcBorders>
              <w:top w:val="single" w:sz="12" w:space="0" w:color="001E5B"/>
              <w:left w:val="single" w:sz="6" w:space="0" w:color="auto"/>
              <w:bottom w:val="single" w:sz="6" w:space="0" w:color="auto"/>
              <w:right w:val="single" w:sz="6" w:space="0" w:color="auto"/>
            </w:tcBorders>
            <w:shd w:val="clear" w:color="001E5B" w:fill="auto"/>
            <w:tcMar>
              <w:top w:w="57" w:type="dxa"/>
              <w:left w:w="80" w:type="dxa"/>
              <w:bottom w:w="57" w:type="dxa"/>
              <w:right w:w="80" w:type="dxa"/>
            </w:tcMar>
          </w:tcPr>
          <w:p w:rsidR="002C5CB9" w:rsidRDefault="002C5CB9">
            <w:pPr>
              <w:pStyle w:val="NumberregularTable"/>
            </w:pPr>
            <w:r>
              <w:t>74.9%</w:t>
            </w:r>
          </w:p>
        </w:tc>
        <w:tc>
          <w:tcPr>
            <w:tcW w:w="692" w:type="dxa"/>
            <w:tcBorders>
              <w:top w:val="single" w:sz="12" w:space="0" w:color="001E5B"/>
              <w:left w:val="single" w:sz="6" w:space="0" w:color="auto"/>
              <w:bottom w:val="single" w:sz="6" w:space="0" w:color="auto"/>
              <w:right w:val="single" w:sz="6" w:space="0" w:color="auto"/>
            </w:tcBorders>
            <w:shd w:val="clear" w:color="001E5B" w:fill="auto"/>
            <w:tcMar>
              <w:top w:w="57" w:type="dxa"/>
              <w:left w:w="80" w:type="dxa"/>
              <w:bottom w:w="57" w:type="dxa"/>
              <w:right w:w="80" w:type="dxa"/>
            </w:tcMar>
          </w:tcPr>
          <w:p w:rsidR="002C5CB9" w:rsidRDefault="002C5CB9">
            <w:pPr>
              <w:pStyle w:val="NumberregularTable"/>
            </w:pPr>
            <w:r>
              <w:t>78.5%</w:t>
            </w:r>
          </w:p>
        </w:tc>
      </w:tr>
      <w:tr w:rsidR="002C5CB9" w:rsidTr="00346BFE">
        <w:trPr>
          <w:trHeight w:hRule="exact" w:val="397"/>
          <w:jc w:val="right"/>
        </w:trPr>
        <w:tc>
          <w:tcPr>
            <w:tcW w:w="5125"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RowStubitalics4mmindentTable"/>
            </w:pPr>
            <w:r>
              <w:t>Sprains and strains of joints and adjacent muscles</w:t>
            </w:r>
          </w:p>
        </w:tc>
        <w:tc>
          <w:tcPr>
            <w:tcW w:w="658"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44.4%</w:t>
            </w:r>
          </w:p>
        </w:tc>
        <w:tc>
          <w:tcPr>
            <w:tcW w:w="88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47.1%</w:t>
            </w:r>
          </w:p>
        </w:tc>
        <w:tc>
          <w:tcPr>
            <w:tcW w:w="692"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44.5%</w:t>
            </w:r>
          </w:p>
        </w:tc>
      </w:tr>
      <w:tr w:rsidR="002C5CB9" w:rsidTr="00346BFE">
        <w:trPr>
          <w:trHeight w:hRule="exact" w:val="397"/>
          <w:jc w:val="right"/>
        </w:trPr>
        <w:tc>
          <w:tcPr>
            <w:tcW w:w="5125"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RowStubitalics4mmindentTable"/>
            </w:pPr>
            <w:r>
              <w:t>Fractures</w:t>
            </w:r>
          </w:p>
        </w:tc>
        <w:tc>
          <w:tcPr>
            <w:tcW w:w="658"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12.7%</w:t>
            </w:r>
          </w:p>
        </w:tc>
        <w:tc>
          <w:tcPr>
            <w:tcW w:w="88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10.7%</w:t>
            </w:r>
          </w:p>
        </w:tc>
        <w:tc>
          <w:tcPr>
            <w:tcW w:w="692"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12.6%</w:t>
            </w:r>
          </w:p>
        </w:tc>
      </w:tr>
      <w:tr w:rsidR="002C5CB9" w:rsidTr="00346BFE">
        <w:trPr>
          <w:trHeight w:hRule="exact" w:val="397"/>
          <w:jc w:val="right"/>
        </w:trPr>
        <w:tc>
          <w:tcPr>
            <w:tcW w:w="5125"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RowStubitalics4mmindentTable"/>
            </w:pPr>
            <w:r>
              <w:t>Contusion with intact skin surface and crushing injury excluding those with fracture</w:t>
            </w:r>
          </w:p>
        </w:tc>
        <w:tc>
          <w:tcPr>
            <w:tcW w:w="658"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8.4%</w:t>
            </w:r>
          </w:p>
        </w:tc>
        <w:tc>
          <w:tcPr>
            <w:tcW w:w="88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8.2%</w:t>
            </w:r>
          </w:p>
        </w:tc>
        <w:tc>
          <w:tcPr>
            <w:tcW w:w="692"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8.4%</w:t>
            </w:r>
          </w:p>
        </w:tc>
      </w:tr>
      <w:tr w:rsidR="002C5CB9" w:rsidTr="00346BFE">
        <w:trPr>
          <w:trHeight w:hRule="exact" w:val="397"/>
          <w:jc w:val="right"/>
        </w:trPr>
        <w:tc>
          <w:tcPr>
            <w:tcW w:w="5125"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RowStubitalics4mmindentTable"/>
            </w:pPr>
            <w:r>
              <w:t>Open wound not involving traumatic amputation</w:t>
            </w:r>
          </w:p>
        </w:tc>
        <w:tc>
          <w:tcPr>
            <w:tcW w:w="658"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5.7%</w:t>
            </w:r>
          </w:p>
        </w:tc>
        <w:tc>
          <w:tcPr>
            <w:tcW w:w="88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3.4%</w:t>
            </w:r>
          </w:p>
        </w:tc>
        <w:tc>
          <w:tcPr>
            <w:tcW w:w="692"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5.7%</w:t>
            </w:r>
          </w:p>
        </w:tc>
      </w:tr>
      <w:tr w:rsidR="002C5CB9" w:rsidTr="00346BFE">
        <w:trPr>
          <w:trHeight w:hRule="exact" w:val="397"/>
          <w:jc w:val="right"/>
        </w:trPr>
        <w:tc>
          <w:tcPr>
            <w:tcW w:w="5125"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RowStubitalics4mmindentTable"/>
            </w:pPr>
            <w:r>
              <w:t>Dislocation</w:t>
            </w:r>
          </w:p>
        </w:tc>
        <w:tc>
          <w:tcPr>
            <w:tcW w:w="658"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1.8%</w:t>
            </w:r>
          </w:p>
        </w:tc>
        <w:tc>
          <w:tcPr>
            <w:tcW w:w="88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0.7%</w:t>
            </w:r>
          </w:p>
        </w:tc>
        <w:tc>
          <w:tcPr>
            <w:tcW w:w="692"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1.7%</w:t>
            </w:r>
          </w:p>
        </w:tc>
      </w:tr>
      <w:tr w:rsidR="002C5CB9" w:rsidTr="00346BFE">
        <w:trPr>
          <w:trHeight w:hRule="exact" w:val="397"/>
          <w:jc w:val="right"/>
        </w:trPr>
        <w:tc>
          <w:tcPr>
            <w:tcW w:w="5125"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RowStubitalics4mmindentTable"/>
            </w:pPr>
            <w:r>
              <w:t>Other and unspecified injuries</w:t>
            </w:r>
          </w:p>
        </w:tc>
        <w:tc>
          <w:tcPr>
            <w:tcW w:w="658"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1.3%</w:t>
            </w:r>
          </w:p>
        </w:tc>
        <w:tc>
          <w:tcPr>
            <w:tcW w:w="88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1.2%</w:t>
            </w:r>
          </w:p>
        </w:tc>
        <w:tc>
          <w:tcPr>
            <w:tcW w:w="692"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1.3%</w:t>
            </w:r>
          </w:p>
        </w:tc>
      </w:tr>
      <w:tr w:rsidR="002C5CB9" w:rsidTr="00346BFE">
        <w:trPr>
          <w:trHeight w:hRule="exact" w:val="397"/>
          <w:jc w:val="right"/>
        </w:trPr>
        <w:tc>
          <w:tcPr>
            <w:tcW w:w="5125"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RowStubitalics4mmindentTable"/>
            </w:pPr>
            <w:r>
              <w:t>Fracture of vertebral column with or without mention of spinal cord lesion</w:t>
            </w:r>
          </w:p>
        </w:tc>
        <w:tc>
          <w:tcPr>
            <w:tcW w:w="658"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0.7%</w:t>
            </w:r>
          </w:p>
        </w:tc>
        <w:tc>
          <w:tcPr>
            <w:tcW w:w="88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0.3%</w:t>
            </w:r>
          </w:p>
        </w:tc>
        <w:tc>
          <w:tcPr>
            <w:tcW w:w="692"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0.7%</w:t>
            </w:r>
          </w:p>
        </w:tc>
      </w:tr>
      <w:tr w:rsidR="002C5CB9" w:rsidTr="00346BFE">
        <w:trPr>
          <w:trHeight w:hRule="exact" w:val="397"/>
          <w:jc w:val="right"/>
        </w:trPr>
        <w:tc>
          <w:tcPr>
            <w:tcW w:w="5125"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RowStubitalics4mmindentTable"/>
            </w:pPr>
            <w:r>
              <w:t>Multiple injuries</w:t>
            </w:r>
          </w:p>
        </w:tc>
        <w:tc>
          <w:tcPr>
            <w:tcW w:w="658"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0.7%</w:t>
            </w:r>
          </w:p>
        </w:tc>
        <w:tc>
          <w:tcPr>
            <w:tcW w:w="88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0.2%</w:t>
            </w:r>
          </w:p>
        </w:tc>
        <w:tc>
          <w:tcPr>
            <w:tcW w:w="692"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0.6%</w:t>
            </w:r>
          </w:p>
        </w:tc>
      </w:tr>
      <w:tr w:rsidR="002C5CB9" w:rsidTr="00346BFE">
        <w:trPr>
          <w:trHeight w:hRule="exact" w:val="397"/>
          <w:jc w:val="right"/>
        </w:trPr>
        <w:tc>
          <w:tcPr>
            <w:tcW w:w="5125"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RowStubitalics4mmindentTable"/>
            </w:pPr>
            <w:r>
              <w:t>Superficial injury</w:t>
            </w:r>
          </w:p>
        </w:tc>
        <w:tc>
          <w:tcPr>
            <w:tcW w:w="658"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0.5%</w:t>
            </w:r>
          </w:p>
        </w:tc>
        <w:tc>
          <w:tcPr>
            <w:tcW w:w="88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0.6%</w:t>
            </w:r>
          </w:p>
        </w:tc>
        <w:tc>
          <w:tcPr>
            <w:tcW w:w="692"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0.5%</w:t>
            </w:r>
          </w:p>
        </w:tc>
      </w:tr>
      <w:tr w:rsidR="002C5CB9" w:rsidTr="00346BFE">
        <w:trPr>
          <w:trHeight w:hRule="exact" w:val="397"/>
          <w:jc w:val="right"/>
        </w:trPr>
        <w:tc>
          <w:tcPr>
            <w:tcW w:w="5125"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RowStubitalics4mmindentTable"/>
            </w:pPr>
            <w:r>
              <w:t>Intracranial injury, including concussion</w:t>
            </w:r>
          </w:p>
        </w:tc>
        <w:tc>
          <w:tcPr>
            <w:tcW w:w="658"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0.5%</w:t>
            </w:r>
          </w:p>
        </w:tc>
        <w:tc>
          <w:tcPr>
            <w:tcW w:w="88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0.7%</w:t>
            </w:r>
          </w:p>
        </w:tc>
        <w:tc>
          <w:tcPr>
            <w:tcW w:w="692"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0.5%</w:t>
            </w:r>
          </w:p>
        </w:tc>
      </w:tr>
      <w:tr w:rsidR="002C5CB9" w:rsidTr="00346BFE">
        <w:trPr>
          <w:trHeight w:hRule="exact" w:val="397"/>
          <w:jc w:val="right"/>
        </w:trPr>
        <w:tc>
          <w:tcPr>
            <w:tcW w:w="5125"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RowStubitalics4mmindentTable"/>
            </w:pPr>
            <w:r>
              <w:t>Burns</w:t>
            </w:r>
          </w:p>
        </w:tc>
        <w:tc>
          <w:tcPr>
            <w:tcW w:w="658"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0.5%</w:t>
            </w:r>
          </w:p>
        </w:tc>
        <w:tc>
          <w:tcPr>
            <w:tcW w:w="88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0.5%</w:t>
            </w:r>
          </w:p>
        </w:tc>
        <w:tc>
          <w:tcPr>
            <w:tcW w:w="692"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0.5%</w:t>
            </w:r>
          </w:p>
        </w:tc>
      </w:tr>
      <w:tr w:rsidR="002C5CB9" w:rsidTr="00346BFE">
        <w:trPr>
          <w:trHeight w:hRule="exact" w:val="397"/>
          <w:jc w:val="right"/>
        </w:trPr>
        <w:tc>
          <w:tcPr>
            <w:tcW w:w="5125"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80" w:type="dxa"/>
            </w:tcMar>
          </w:tcPr>
          <w:p w:rsidR="002C5CB9" w:rsidRDefault="002C5CB9">
            <w:pPr>
              <w:pStyle w:val="TablestubTable"/>
            </w:pPr>
            <w:r>
              <w:t>Diseases of the musculoskeletal system and connective tissue</w:t>
            </w:r>
          </w:p>
        </w:tc>
        <w:tc>
          <w:tcPr>
            <w:tcW w:w="658"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80" w:type="dxa"/>
            </w:tcMar>
          </w:tcPr>
          <w:p w:rsidR="002C5CB9" w:rsidRDefault="002C5CB9">
            <w:pPr>
              <w:pStyle w:val="NumberregularTable"/>
            </w:pPr>
            <w:r>
              <w:t>13.5%</w:t>
            </w:r>
          </w:p>
        </w:tc>
        <w:tc>
          <w:tcPr>
            <w:tcW w:w="884"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80" w:type="dxa"/>
            </w:tcMar>
          </w:tcPr>
          <w:p w:rsidR="002C5CB9" w:rsidRDefault="002C5CB9">
            <w:pPr>
              <w:pStyle w:val="NumberregularTable"/>
            </w:pPr>
            <w:r>
              <w:t>15.3%</w:t>
            </w:r>
          </w:p>
        </w:tc>
        <w:tc>
          <w:tcPr>
            <w:tcW w:w="692"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80" w:type="dxa"/>
            </w:tcMar>
          </w:tcPr>
          <w:p w:rsidR="002C5CB9" w:rsidRDefault="002C5CB9">
            <w:pPr>
              <w:pStyle w:val="NumberregularTable"/>
            </w:pPr>
            <w:r>
              <w:t>13.6%</w:t>
            </w:r>
          </w:p>
        </w:tc>
      </w:tr>
      <w:tr w:rsidR="002C5CB9" w:rsidTr="00346BFE">
        <w:trPr>
          <w:trHeight w:hRule="exact" w:val="397"/>
          <w:jc w:val="right"/>
        </w:trPr>
        <w:tc>
          <w:tcPr>
            <w:tcW w:w="5125"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RowStubitalics4mmindentTable"/>
            </w:pPr>
            <w:r>
              <w:t>Dorsopathies - disorders of the spinal vertebrae and intervertebral discs</w:t>
            </w:r>
          </w:p>
        </w:tc>
        <w:tc>
          <w:tcPr>
            <w:tcW w:w="658"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6.4%</w:t>
            </w:r>
          </w:p>
        </w:tc>
        <w:tc>
          <w:tcPr>
            <w:tcW w:w="88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5.3%</w:t>
            </w:r>
          </w:p>
        </w:tc>
        <w:tc>
          <w:tcPr>
            <w:tcW w:w="692"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6.3%</w:t>
            </w:r>
          </w:p>
        </w:tc>
      </w:tr>
      <w:tr w:rsidR="002C5CB9" w:rsidTr="00346BFE">
        <w:trPr>
          <w:trHeight w:hRule="exact" w:val="397"/>
          <w:jc w:val="right"/>
        </w:trPr>
        <w:tc>
          <w:tcPr>
            <w:tcW w:w="5125"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RowStubitalics4mmindentTable"/>
            </w:pPr>
            <w:r>
              <w:t>Disorders of muscle, tendons and other soft tissues</w:t>
            </w:r>
          </w:p>
        </w:tc>
        <w:tc>
          <w:tcPr>
            <w:tcW w:w="658"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5.9%</w:t>
            </w:r>
          </w:p>
        </w:tc>
        <w:tc>
          <w:tcPr>
            <w:tcW w:w="88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8.9%</w:t>
            </w:r>
          </w:p>
        </w:tc>
        <w:tc>
          <w:tcPr>
            <w:tcW w:w="692"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6.0%</w:t>
            </w:r>
          </w:p>
        </w:tc>
      </w:tr>
      <w:tr w:rsidR="002C5CB9" w:rsidTr="00346BFE">
        <w:trPr>
          <w:trHeight w:hRule="exact" w:val="397"/>
          <w:jc w:val="right"/>
        </w:trPr>
        <w:tc>
          <w:tcPr>
            <w:tcW w:w="5125"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RowStubitalics4mmindentTable"/>
            </w:pPr>
            <w:r>
              <w:t>Arthropathies and related disorders - disorders of the joints</w:t>
            </w:r>
          </w:p>
        </w:tc>
        <w:tc>
          <w:tcPr>
            <w:tcW w:w="658"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1.2%</w:t>
            </w:r>
          </w:p>
        </w:tc>
        <w:tc>
          <w:tcPr>
            <w:tcW w:w="88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1.0%</w:t>
            </w:r>
          </w:p>
        </w:tc>
        <w:tc>
          <w:tcPr>
            <w:tcW w:w="692"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1.2%</w:t>
            </w:r>
          </w:p>
        </w:tc>
      </w:tr>
      <w:tr w:rsidR="002C5CB9" w:rsidTr="00346BFE">
        <w:trPr>
          <w:trHeight w:hRule="exact" w:val="397"/>
          <w:jc w:val="right"/>
        </w:trPr>
        <w:tc>
          <w:tcPr>
            <w:tcW w:w="5125"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80" w:type="dxa"/>
            </w:tcMar>
          </w:tcPr>
          <w:p w:rsidR="002C5CB9" w:rsidRDefault="002C5CB9">
            <w:pPr>
              <w:pStyle w:val="TablestubTable"/>
            </w:pPr>
            <w:r>
              <w:t>Diseases of the digestive system</w:t>
            </w:r>
          </w:p>
        </w:tc>
        <w:tc>
          <w:tcPr>
            <w:tcW w:w="658"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80" w:type="dxa"/>
            </w:tcMar>
          </w:tcPr>
          <w:p w:rsidR="002C5CB9" w:rsidRDefault="002C5CB9">
            <w:pPr>
              <w:pStyle w:val="NumberregularTable"/>
            </w:pPr>
            <w:r>
              <w:t>2.9%</w:t>
            </w:r>
          </w:p>
        </w:tc>
        <w:tc>
          <w:tcPr>
            <w:tcW w:w="884"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80" w:type="dxa"/>
            </w:tcMar>
          </w:tcPr>
          <w:p w:rsidR="002C5CB9" w:rsidRDefault="002C5CB9">
            <w:pPr>
              <w:pStyle w:val="NumberregularTable"/>
            </w:pPr>
            <w:r>
              <w:t>0.9%</w:t>
            </w:r>
          </w:p>
        </w:tc>
        <w:tc>
          <w:tcPr>
            <w:tcW w:w="692"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80" w:type="dxa"/>
            </w:tcMar>
          </w:tcPr>
          <w:p w:rsidR="002C5CB9" w:rsidRDefault="002C5CB9">
            <w:pPr>
              <w:pStyle w:val="NumberregularTable"/>
            </w:pPr>
            <w:r>
              <w:t>2.9%</w:t>
            </w:r>
          </w:p>
        </w:tc>
      </w:tr>
      <w:tr w:rsidR="002C5CB9" w:rsidTr="00346BFE">
        <w:trPr>
          <w:trHeight w:hRule="exact" w:val="397"/>
          <w:jc w:val="right"/>
        </w:trPr>
        <w:tc>
          <w:tcPr>
            <w:tcW w:w="5125"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RowStubitalics4mmindentTable"/>
            </w:pPr>
            <w:r>
              <w:t>Hernia</w:t>
            </w:r>
          </w:p>
        </w:tc>
        <w:tc>
          <w:tcPr>
            <w:tcW w:w="658"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2.9%</w:t>
            </w:r>
          </w:p>
        </w:tc>
        <w:tc>
          <w:tcPr>
            <w:tcW w:w="88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0.9%</w:t>
            </w:r>
          </w:p>
        </w:tc>
        <w:tc>
          <w:tcPr>
            <w:tcW w:w="692"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2.9%</w:t>
            </w:r>
          </w:p>
        </w:tc>
      </w:tr>
      <w:tr w:rsidR="002C5CB9" w:rsidTr="00346BFE">
        <w:trPr>
          <w:trHeight w:hRule="exact" w:val="397"/>
          <w:jc w:val="right"/>
        </w:trPr>
        <w:tc>
          <w:tcPr>
            <w:tcW w:w="5125"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80" w:type="dxa"/>
            </w:tcMar>
          </w:tcPr>
          <w:p w:rsidR="002C5CB9" w:rsidRDefault="002C5CB9">
            <w:pPr>
              <w:pStyle w:val="TablestubTable"/>
            </w:pPr>
            <w:r>
              <w:t>Diseases of the nervous system and sense organs</w:t>
            </w:r>
          </w:p>
        </w:tc>
        <w:tc>
          <w:tcPr>
            <w:tcW w:w="658"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80" w:type="dxa"/>
            </w:tcMar>
          </w:tcPr>
          <w:p w:rsidR="002C5CB9" w:rsidRDefault="002C5CB9">
            <w:pPr>
              <w:pStyle w:val="NumberregularTable"/>
            </w:pPr>
            <w:r>
              <w:t>2.5%</w:t>
            </w:r>
          </w:p>
        </w:tc>
        <w:tc>
          <w:tcPr>
            <w:tcW w:w="884"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80" w:type="dxa"/>
            </w:tcMar>
          </w:tcPr>
          <w:p w:rsidR="002C5CB9" w:rsidRDefault="002C5CB9">
            <w:pPr>
              <w:pStyle w:val="NumberregularTable"/>
            </w:pPr>
            <w:r>
              <w:t>1.0%</w:t>
            </w:r>
          </w:p>
        </w:tc>
        <w:tc>
          <w:tcPr>
            <w:tcW w:w="692"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80" w:type="dxa"/>
            </w:tcMar>
          </w:tcPr>
          <w:p w:rsidR="002C5CB9" w:rsidRDefault="002C5CB9">
            <w:pPr>
              <w:pStyle w:val="NumberregularTable"/>
            </w:pPr>
            <w:r>
              <w:t>2.5%</w:t>
            </w:r>
          </w:p>
        </w:tc>
      </w:tr>
      <w:tr w:rsidR="002C5CB9" w:rsidTr="00346BFE">
        <w:trPr>
          <w:trHeight w:hRule="exact" w:val="397"/>
          <w:jc w:val="right"/>
        </w:trPr>
        <w:tc>
          <w:tcPr>
            <w:tcW w:w="5125"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RowStubitalics4mmindentTable"/>
            </w:pPr>
            <w:r>
              <w:t>Deafness</w:t>
            </w:r>
          </w:p>
        </w:tc>
        <w:tc>
          <w:tcPr>
            <w:tcW w:w="658"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1.9%</w:t>
            </w:r>
          </w:p>
        </w:tc>
        <w:tc>
          <w:tcPr>
            <w:tcW w:w="884"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0.2%</w:t>
            </w:r>
          </w:p>
        </w:tc>
        <w:tc>
          <w:tcPr>
            <w:tcW w:w="692" w:type="dxa"/>
            <w:tcBorders>
              <w:top w:val="single" w:sz="6" w:space="0" w:color="auto"/>
              <w:left w:val="single" w:sz="6" w:space="0" w:color="auto"/>
              <w:bottom w:val="single" w:sz="6" w:space="0" w:color="auto"/>
              <w:right w:val="single" w:sz="6" w:space="0" w:color="auto"/>
            </w:tcBorders>
            <w:tcMar>
              <w:top w:w="57" w:type="dxa"/>
              <w:left w:w="80" w:type="dxa"/>
              <w:bottom w:w="57" w:type="dxa"/>
              <w:right w:w="80" w:type="dxa"/>
            </w:tcMar>
          </w:tcPr>
          <w:p w:rsidR="002C5CB9" w:rsidRDefault="002C5CB9">
            <w:pPr>
              <w:pStyle w:val="NumberitalicsTable"/>
            </w:pPr>
            <w:r>
              <w:t>1.9%</w:t>
            </w:r>
          </w:p>
        </w:tc>
      </w:tr>
      <w:tr w:rsidR="002C5CB9" w:rsidTr="00346BFE">
        <w:trPr>
          <w:trHeight w:hRule="exact" w:val="397"/>
          <w:jc w:val="right"/>
        </w:trPr>
        <w:tc>
          <w:tcPr>
            <w:tcW w:w="5125"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80" w:type="dxa"/>
            </w:tcMar>
          </w:tcPr>
          <w:p w:rsidR="002C5CB9" w:rsidRDefault="002C5CB9">
            <w:pPr>
              <w:pStyle w:val="TablestubTable"/>
            </w:pPr>
            <w:r>
              <w:t>Mental disorders</w:t>
            </w:r>
          </w:p>
        </w:tc>
        <w:tc>
          <w:tcPr>
            <w:tcW w:w="658"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80" w:type="dxa"/>
            </w:tcMar>
          </w:tcPr>
          <w:p w:rsidR="002C5CB9" w:rsidRDefault="002C5CB9">
            <w:pPr>
              <w:pStyle w:val="NumberregularTable"/>
            </w:pPr>
            <w:r>
              <w:t>1.5%</w:t>
            </w:r>
          </w:p>
        </w:tc>
        <w:tc>
          <w:tcPr>
            <w:tcW w:w="884"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80" w:type="dxa"/>
            </w:tcMar>
          </w:tcPr>
          <w:p w:rsidR="002C5CB9" w:rsidRDefault="002C5CB9">
            <w:pPr>
              <w:pStyle w:val="NumberregularTable"/>
            </w:pPr>
            <w:r>
              <w:t>7.6%</w:t>
            </w:r>
          </w:p>
        </w:tc>
        <w:tc>
          <w:tcPr>
            <w:tcW w:w="692"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80" w:type="dxa"/>
            </w:tcMar>
          </w:tcPr>
          <w:p w:rsidR="002C5CB9" w:rsidRDefault="002C5CB9">
            <w:pPr>
              <w:pStyle w:val="NumberregularTable"/>
            </w:pPr>
            <w:r>
              <w:t>1.7%</w:t>
            </w:r>
          </w:p>
        </w:tc>
      </w:tr>
      <w:tr w:rsidR="002C5CB9" w:rsidTr="00346BFE">
        <w:trPr>
          <w:trHeight w:hRule="exact" w:val="397"/>
          <w:jc w:val="right"/>
        </w:trPr>
        <w:tc>
          <w:tcPr>
            <w:tcW w:w="5125"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80" w:type="dxa"/>
            </w:tcMar>
          </w:tcPr>
          <w:p w:rsidR="002C5CB9" w:rsidRDefault="002C5CB9">
            <w:pPr>
              <w:pStyle w:val="TablestubTable"/>
            </w:pPr>
            <w:r>
              <w:t>Other diseases</w:t>
            </w:r>
          </w:p>
        </w:tc>
        <w:tc>
          <w:tcPr>
            <w:tcW w:w="658"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80" w:type="dxa"/>
            </w:tcMar>
          </w:tcPr>
          <w:p w:rsidR="002C5CB9" w:rsidRDefault="002C5CB9">
            <w:pPr>
              <w:pStyle w:val="NumberregularTable"/>
            </w:pPr>
            <w:r>
              <w:t>1.0%</w:t>
            </w:r>
          </w:p>
        </w:tc>
        <w:tc>
          <w:tcPr>
            <w:tcW w:w="884"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80" w:type="dxa"/>
            </w:tcMar>
          </w:tcPr>
          <w:p w:rsidR="002C5CB9" w:rsidRDefault="002C5CB9">
            <w:pPr>
              <w:pStyle w:val="NumberregularTable"/>
            </w:pPr>
            <w:r>
              <w:t>0.3%</w:t>
            </w:r>
          </w:p>
        </w:tc>
        <w:tc>
          <w:tcPr>
            <w:tcW w:w="692"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80" w:type="dxa"/>
            </w:tcMar>
          </w:tcPr>
          <w:p w:rsidR="002C5CB9" w:rsidRDefault="002C5CB9">
            <w:pPr>
              <w:pStyle w:val="NumberregularTable"/>
            </w:pPr>
            <w:r>
              <w:t>0.9%</w:t>
            </w:r>
          </w:p>
        </w:tc>
      </w:tr>
      <w:tr w:rsidR="002C5CB9" w:rsidTr="00346BFE">
        <w:trPr>
          <w:trHeight w:hRule="exact" w:val="397"/>
          <w:jc w:val="right"/>
        </w:trPr>
        <w:tc>
          <w:tcPr>
            <w:tcW w:w="5125" w:type="dxa"/>
            <w:tcBorders>
              <w:top w:val="single" w:sz="6" w:space="0" w:color="auto"/>
              <w:left w:val="single" w:sz="6" w:space="0" w:color="auto"/>
              <w:bottom w:val="single" w:sz="11" w:space="0" w:color="001E5B"/>
              <w:right w:val="single" w:sz="6" w:space="0" w:color="auto"/>
            </w:tcBorders>
            <w:tcMar>
              <w:top w:w="80" w:type="dxa"/>
              <w:left w:w="80" w:type="dxa"/>
              <w:bottom w:w="80" w:type="dxa"/>
              <w:right w:w="80" w:type="dxa"/>
            </w:tcMar>
          </w:tcPr>
          <w:p w:rsidR="002C5CB9" w:rsidRDefault="002C5CB9">
            <w:pPr>
              <w:pStyle w:val="TotalHeadingTable"/>
            </w:pPr>
            <w:r>
              <w:t>Total</w:t>
            </w:r>
          </w:p>
        </w:tc>
        <w:tc>
          <w:tcPr>
            <w:tcW w:w="658" w:type="dxa"/>
            <w:tcBorders>
              <w:top w:val="single" w:sz="6" w:space="0" w:color="auto"/>
              <w:left w:val="single" w:sz="6" w:space="0" w:color="auto"/>
              <w:bottom w:val="single" w:sz="11" w:space="0" w:color="001E5B"/>
              <w:right w:val="single" w:sz="6" w:space="0" w:color="auto"/>
            </w:tcBorders>
            <w:tcMar>
              <w:top w:w="80" w:type="dxa"/>
              <w:left w:w="80" w:type="dxa"/>
              <w:bottom w:w="80" w:type="dxa"/>
              <w:right w:w="80" w:type="dxa"/>
            </w:tcMar>
          </w:tcPr>
          <w:p w:rsidR="002C5CB9" w:rsidRDefault="002C5CB9">
            <w:pPr>
              <w:pStyle w:val="NumberboldTable"/>
            </w:pPr>
            <w:r>
              <w:t>100%</w:t>
            </w:r>
          </w:p>
        </w:tc>
        <w:tc>
          <w:tcPr>
            <w:tcW w:w="884" w:type="dxa"/>
            <w:tcBorders>
              <w:top w:val="single" w:sz="6" w:space="0" w:color="auto"/>
              <w:left w:val="single" w:sz="6" w:space="0" w:color="auto"/>
              <w:bottom w:val="single" w:sz="11" w:space="0" w:color="001E5B"/>
              <w:right w:val="single" w:sz="6" w:space="0" w:color="auto"/>
            </w:tcBorders>
            <w:tcMar>
              <w:top w:w="80" w:type="dxa"/>
              <w:left w:w="80" w:type="dxa"/>
              <w:bottom w:w="80" w:type="dxa"/>
              <w:right w:w="80" w:type="dxa"/>
            </w:tcMar>
          </w:tcPr>
          <w:p w:rsidR="002C5CB9" w:rsidRDefault="002C5CB9">
            <w:pPr>
              <w:pStyle w:val="NumberboldTable"/>
            </w:pPr>
            <w:r>
              <w:t>100%</w:t>
            </w:r>
          </w:p>
        </w:tc>
        <w:tc>
          <w:tcPr>
            <w:tcW w:w="692" w:type="dxa"/>
            <w:tcBorders>
              <w:top w:val="single" w:sz="6" w:space="0" w:color="auto"/>
              <w:left w:val="single" w:sz="6" w:space="0" w:color="auto"/>
              <w:bottom w:val="single" w:sz="11" w:space="0" w:color="001E5B"/>
              <w:right w:val="single" w:sz="6" w:space="0" w:color="auto"/>
            </w:tcBorders>
            <w:tcMar>
              <w:top w:w="80" w:type="dxa"/>
              <w:left w:w="80" w:type="dxa"/>
              <w:bottom w:w="80" w:type="dxa"/>
              <w:right w:w="80" w:type="dxa"/>
            </w:tcMar>
          </w:tcPr>
          <w:p w:rsidR="002C5CB9" w:rsidRDefault="002C5CB9">
            <w:pPr>
              <w:pStyle w:val="NumberboldTable"/>
            </w:pPr>
            <w:r>
              <w:t>100%</w:t>
            </w:r>
          </w:p>
        </w:tc>
      </w:tr>
      <w:tr w:rsidR="002C5CB9" w:rsidTr="00A416CB">
        <w:trPr>
          <w:trHeight w:hRule="exact" w:val="639"/>
          <w:jc w:val="right"/>
        </w:trPr>
        <w:tc>
          <w:tcPr>
            <w:tcW w:w="5125" w:type="dxa"/>
            <w:tcBorders>
              <w:top w:val="single" w:sz="11" w:space="0" w:color="001E5B"/>
              <w:left w:val="single" w:sz="6" w:space="0" w:color="auto"/>
              <w:bottom w:val="single" w:sz="24" w:space="0" w:color="001E5B"/>
              <w:right w:val="single" w:sz="6" w:space="0" w:color="auto"/>
            </w:tcBorders>
            <w:tcMar>
              <w:top w:w="0" w:type="dxa"/>
              <w:left w:w="80" w:type="dxa"/>
              <w:bottom w:w="113" w:type="dxa"/>
              <w:right w:w="80" w:type="dxa"/>
            </w:tcMar>
            <w:vAlign w:val="bottom"/>
          </w:tcPr>
          <w:p w:rsidR="002C5CB9" w:rsidRDefault="002C5CB9">
            <w:pPr>
              <w:pStyle w:val="TotalHeadingTable"/>
            </w:pPr>
            <w:r>
              <w:rPr>
                <w:spacing w:val="-2"/>
              </w:rPr>
              <w:t>Road freight transport compensation claims for serious non-fatal injuries 2006–07 to 2010–11p</w:t>
            </w:r>
          </w:p>
        </w:tc>
        <w:tc>
          <w:tcPr>
            <w:tcW w:w="658" w:type="dxa"/>
            <w:tcBorders>
              <w:top w:val="single" w:sz="11" w:space="0" w:color="001E5B"/>
              <w:left w:val="single" w:sz="6" w:space="0" w:color="auto"/>
              <w:bottom w:val="single" w:sz="24" w:space="0" w:color="001E5B"/>
              <w:right w:val="single" w:sz="6" w:space="0" w:color="auto"/>
            </w:tcBorders>
            <w:tcMar>
              <w:top w:w="0" w:type="dxa"/>
              <w:left w:w="57" w:type="dxa"/>
              <w:bottom w:w="113" w:type="dxa"/>
              <w:right w:w="57" w:type="dxa"/>
            </w:tcMar>
            <w:vAlign w:val="bottom"/>
          </w:tcPr>
          <w:p w:rsidR="002C5CB9" w:rsidRDefault="002C5CB9">
            <w:pPr>
              <w:pStyle w:val="NumberboldTable"/>
            </w:pPr>
            <w:r>
              <w:t xml:space="preserve">19 950 </w:t>
            </w:r>
          </w:p>
        </w:tc>
        <w:tc>
          <w:tcPr>
            <w:tcW w:w="884" w:type="dxa"/>
            <w:tcBorders>
              <w:top w:val="single" w:sz="11" w:space="0" w:color="001E5B"/>
              <w:left w:val="single" w:sz="6" w:space="0" w:color="auto"/>
              <w:bottom w:val="single" w:sz="24" w:space="0" w:color="001E5B"/>
              <w:right w:val="single" w:sz="6" w:space="0" w:color="auto"/>
            </w:tcBorders>
            <w:tcMar>
              <w:top w:w="0" w:type="dxa"/>
              <w:left w:w="57" w:type="dxa"/>
              <w:bottom w:w="113" w:type="dxa"/>
              <w:right w:w="57" w:type="dxa"/>
            </w:tcMar>
            <w:vAlign w:val="bottom"/>
          </w:tcPr>
          <w:p w:rsidR="002C5CB9" w:rsidRDefault="002C5CB9">
            <w:pPr>
              <w:pStyle w:val="NumberboldTable"/>
            </w:pPr>
            <w:r>
              <w:t xml:space="preserve"> 580</w:t>
            </w:r>
          </w:p>
        </w:tc>
        <w:tc>
          <w:tcPr>
            <w:tcW w:w="692" w:type="dxa"/>
            <w:tcBorders>
              <w:top w:val="single" w:sz="11" w:space="0" w:color="001E5B"/>
              <w:left w:val="single" w:sz="6" w:space="0" w:color="auto"/>
              <w:bottom w:val="single" w:sz="24" w:space="0" w:color="001E5B"/>
              <w:right w:val="single" w:sz="6" w:space="0" w:color="auto"/>
            </w:tcBorders>
            <w:tcMar>
              <w:top w:w="0" w:type="dxa"/>
              <w:left w:w="57" w:type="dxa"/>
              <w:bottom w:w="113" w:type="dxa"/>
              <w:right w:w="57" w:type="dxa"/>
            </w:tcMar>
            <w:vAlign w:val="bottom"/>
          </w:tcPr>
          <w:p w:rsidR="002C5CB9" w:rsidRDefault="002C5CB9">
            <w:pPr>
              <w:pStyle w:val="NumberboldTable"/>
            </w:pPr>
            <w:r>
              <w:t xml:space="preserve">20 530 </w:t>
            </w:r>
          </w:p>
        </w:tc>
      </w:tr>
      <w:tr w:rsidR="002C5CB9" w:rsidTr="00376076">
        <w:trPr>
          <w:trHeight w:hRule="exact" w:val="397"/>
          <w:jc w:val="right"/>
        </w:trPr>
        <w:tc>
          <w:tcPr>
            <w:tcW w:w="7359" w:type="dxa"/>
            <w:gridSpan w:val="4"/>
            <w:tcBorders>
              <w:top w:val="single" w:sz="24" w:space="0" w:color="001E5B"/>
            </w:tcBorders>
            <w:tcMar>
              <w:top w:w="80" w:type="dxa"/>
              <w:left w:w="80" w:type="dxa"/>
              <w:bottom w:w="80" w:type="dxa"/>
              <w:right w:w="80" w:type="dxa"/>
            </w:tcMar>
          </w:tcPr>
          <w:p w:rsidR="002C5CB9" w:rsidRDefault="002C5CB9">
            <w:pPr>
              <w:pStyle w:val="FigureTableFootnotewithoutIndent"/>
            </w:pPr>
            <w:r>
              <w:t>a Sub-categories shown are restricted to those with a total of 100 or more serious claims.</w:t>
            </w:r>
          </w:p>
        </w:tc>
      </w:tr>
    </w:tbl>
    <w:p w:rsidR="002C5CB9" w:rsidRDefault="002C5CB9" w:rsidP="0030662C">
      <w:pPr>
        <w:pStyle w:val="Colourheadingtoplevel"/>
      </w:pPr>
      <w:r>
        <w:t>Mechanism and Breakdown agency of claims</w:t>
      </w:r>
    </w:p>
    <w:p w:rsidR="002C5CB9" w:rsidRDefault="002C5CB9" w:rsidP="002C5CB9">
      <w:pPr>
        <w:pStyle w:val="BodyText"/>
      </w:pPr>
      <w:r>
        <w:t xml:space="preserve">Table 5 shows the most common Mechanism of injury for non-fatal serious claims made by Road freight transport industry employees over the period 2006–07 to 2010–11p. The most common Breakdown agencies associated with </w:t>
      </w:r>
      <w:r w:rsidR="005853BD">
        <w:t>these Mechanisms</w:t>
      </w:r>
      <w:r>
        <w:t xml:space="preserve"> are also shown. The Breakdown agency is defined as the the ‘object, substance or circumstance that was principally involved in, or most closely associated with, the point at which things started to go wrong and which ultimately led to the most serious injury or disease’.</w:t>
      </w:r>
    </w:p>
    <w:p w:rsidR="00346BFE" w:rsidRDefault="002C5CB9" w:rsidP="002C5CB9">
      <w:pPr>
        <w:pStyle w:val="BodyText"/>
      </w:pPr>
      <w:r>
        <w:t xml:space="preserve">The most common single detailed Mechanism category, accounting for 19% of claims, was </w:t>
      </w:r>
      <w:r>
        <w:rPr>
          <w:rStyle w:val="Classificationitalics"/>
        </w:rPr>
        <w:t>Muscular stress while lifting, carrying, or putting down objects</w:t>
      </w:r>
      <w:r>
        <w:rPr>
          <w:rStyle w:val="Classificationitalics"/>
          <w:i w:val="0"/>
          <w:iCs w:val="0"/>
        </w:rPr>
        <w:t>.</w:t>
      </w:r>
      <w:r>
        <w:t xml:space="preserve"> The most common detailed Breakdown agency associated with this category, accounting for 5% of all claims, was </w:t>
      </w:r>
      <w:r>
        <w:rPr>
          <w:rStyle w:val="Classificationitalics"/>
        </w:rPr>
        <w:t>Crates, cartons, boxes, drums, kegs, barrels, cans</w:t>
      </w:r>
      <w:r>
        <w:t xml:space="preserve"> (a category that is also used to code for general cargo and freight).</w:t>
      </w:r>
    </w:p>
    <w:p w:rsidR="00346BFE" w:rsidRDefault="00346BFE">
      <w:pPr>
        <w:rPr>
          <w:rFonts w:ascii="Arial" w:hAnsi="Arial" w:cs="Arial"/>
          <w:color w:val="000000"/>
          <w:sz w:val="22"/>
          <w:szCs w:val="22"/>
          <w:lang w:val="en-US"/>
        </w:rPr>
      </w:pPr>
      <w:r>
        <w:br w:type="page"/>
      </w:r>
    </w:p>
    <w:p w:rsidR="002C5CB9" w:rsidRDefault="002C5CB9" w:rsidP="002C5CB9">
      <w:pPr>
        <w:pStyle w:val="TableHeading"/>
      </w:pPr>
      <w:r>
        <w:t>Table 5   Road freight transport industry: mechanism of injury and breakdown agency for serious non-fatal workers’ compensation claims</w:t>
      </w:r>
      <w:r>
        <w:rPr>
          <w:vertAlign w:val="superscript"/>
        </w:rPr>
        <w:t>a</w:t>
      </w:r>
      <w:r>
        <w:t>, 2006–07 to 2010–11p</w:t>
      </w:r>
    </w:p>
    <w:tbl>
      <w:tblPr>
        <w:tblW w:w="0" w:type="auto"/>
        <w:jc w:val="right"/>
        <w:tblLayout w:type="fixed"/>
        <w:tblCellMar>
          <w:left w:w="0" w:type="dxa"/>
          <w:right w:w="0" w:type="dxa"/>
        </w:tblCellMar>
        <w:tblLook w:val="0000" w:firstRow="0" w:lastRow="0" w:firstColumn="0" w:lastColumn="0" w:noHBand="0" w:noVBand="0"/>
      </w:tblPr>
      <w:tblGrid>
        <w:gridCol w:w="5065"/>
        <w:gridCol w:w="709"/>
        <w:gridCol w:w="903"/>
        <w:gridCol w:w="677"/>
      </w:tblGrid>
      <w:tr w:rsidR="002C5CB9" w:rsidTr="00346BFE">
        <w:trPr>
          <w:trHeight w:hRule="exact" w:val="340"/>
          <w:tblHeader/>
          <w:jc w:val="right"/>
        </w:trPr>
        <w:tc>
          <w:tcPr>
            <w:tcW w:w="5065" w:type="dxa"/>
            <w:tcBorders>
              <w:top w:val="single" w:sz="11" w:space="0" w:color="001E5B"/>
              <w:left w:val="single" w:sz="6" w:space="0" w:color="auto"/>
              <w:bottom w:val="single" w:sz="6" w:space="0" w:color="auto"/>
              <w:right w:val="single" w:sz="6" w:space="0" w:color="auto"/>
            </w:tcBorders>
            <w:tcMar>
              <w:top w:w="80" w:type="dxa"/>
              <w:left w:w="80" w:type="dxa"/>
              <w:bottom w:w="80" w:type="dxa"/>
              <w:right w:w="80" w:type="dxa"/>
            </w:tcMar>
            <w:vAlign w:val="center"/>
          </w:tcPr>
          <w:p w:rsidR="002C5CB9" w:rsidRDefault="002C5CB9" w:rsidP="00346BFE">
            <w:pPr>
              <w:pStyle w:val="ColumnHeadingcopy"/>
              <w:jc w:val="left"/>
            </w:pPr>
            <w:r>
              <w:t>Mechanism of injury and breakdown agency</w:t>
            </w:r>
          </w:p>
        </w:tc>
        <w:tc>
          <w:tcPr>
            <w:tcW w:w="709" w:type="dxa"/>
            <w:tcBorders>
              <w:top w:val="single" w:sz="11" w:space="0" w:color="001E5B"/>
              <w:left w:val="single" w:sz="6" w:space="0" w:color="auto"/>
              <w:bottom w:val="single" w:sz="6" w:space="0" w:color="auto"/>
              <w:right w:val="single" w:sz="6" w:space="0" w:color="auto"/>
            </w:tcBorders>
            <w:tcMar>
              <w:top w:w="80" w:type="dxa"/>
              <w:left w:w="80" w:type="dxa"/>
              <w:bottom w:w="80" w:type="dxa"/>
              <w:right w:w="80" w:type="dxa"/>
            </w:tcMar>
            <w:vAlign w:val="center"/>
          </w:tcPr>
          <w:p w:rsidR="002C5CB9" w:rsidRDefault="002C5CB9" w:rsidP="00346BFE">
            <w:pPr>
              <w:pStyle w:val="ColumnHeadingcopy"/>
            </w:pPr>
            <w:r>
              <w:t>Males</w:t>
            </w:r>
          </w:p>
        </w:tc>
        <w:tc>
          <w:tcPr>
            <w:tcW w:w="903" w:type="dxa"/>
            <w:tcBorders>
              <w:top w:val="single" w:sz="11" w:space="0" w:color="001E5B"/>
              <w:left w:val="single" w:sz="6" w:space="0" w:color="auto"/>
              <w:bottom w:val="single" w:sz="6" w:space="0" w:color="auto"/>
              <w:right w:val="single" w:sz="6" w:space="0" w:color="auto"/>
            </w:tcBorders>
            <w:tcMar>
              <w:top w:w="80" w:type="dxa"/>
              <w:left w:w="80" w:type="dxa"/>
              <w:bottom w:w="80" w:type="dxa"/>
              <w:right w:w="80" w:type="dxa"/>
            </w:tcMar>
            <w:vAlign w:val="center"/>
          </w:tcPr>
          <w:p w:rsidR="002C5CB9" w:rsidRDefault="002C5CB9" w:rsidP="00346BFE">
            <w:pPr>
              <w:pStyle w:val="ColumnHeadingcopy"/>
            </w:pPr>
            <w:r>
              <w:t>Females</w:t>
            </w:r>
          </w:p>
        </w:tc>
        <w:tc>
          <w:tcPr>
            <w:tcW w:w="677" w:type="dxa"/>
            <w:tcBorders>
              <w:top w:val="single" w:sz="11" w:space="0" w:color="001E5B"/>
              <w:left w:val="single" w:sz="6" w:space="0" w:color="auto"/>
              <w:bottom w:val="single" w:sz="6" w:space="0" w:color="auto"/>
              <w:right w:val="single" w:sz="6" w:space="0" w:color="auto"/>
            </w:tcBorders>
            <w:tcMar>
              <w:top w:w="80" w:type="dxa"/>
              <w:left w:w="80" w:type="dxa"/>
              <w:bottom w:w="80" w:type="dxa"/>
              <w:right w:w="80" w:type="dxa"/>
            </w:tcMar>
            <w:vAlign w:val="center"/>
          </w:tcPr>
          <w:p w:rsidR="002C5CB9" w:rsidRDefault="002C5CB9" w:rsidP="00346BFE">
            <w:pPr>
              <w:pStyle w:val="ColumnHeadingcopy"/>
            </w:pPr>
            <w:r>
              <w:t>Total</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0" w:type="dxa"/>
              <w:right w:w="80" w:type="dxa"/>
            </w:tcMar>
            <w:vAlign w:val="center"/>
          </w:tcPr>
          <w:p w:rsidR="002C5CB9" w:rsidRDefault="002C5CB9" w:rsidP="00346BFE">
            <w:pPr>
              <w:pStyle w:val="TablestubTable"/>
            </w:pPr>
            <w:r>
              <w:t>Muscular stress while lifting, carrying, or putting down objects</w:t>
            </w:r>
          </w:p>
        </w:tc>
        <w:tc>
          <w:tcPr>
            <w:tcW w:w="709"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0" w:type="dxa"/>
              <w:right w:w="80" w:type="dxa"/>
            </w:tcMar>
            <w:vAlign w:val="center"/>
          </w:tcPr>
          <w:p w:rsidR="002C5CB9" w:rsidRDefault="002C5CB9" w:rsidP="00346BFE">
            <w:pPr>
              <w:pStyle w:val="NumberregularTable"/>
            </w:pPr>
            <w:r>
              <w:t>18.8%</w:t>
            </w:r>
          </w:p>
        </w:tc>
        <w:tc>
          <w:tcPr>
            <w:tcW w:w="903"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0" w:type="dxa"/>
              <w:right w:w="80" w:type="dxa"/>
            </w:tcMar>
            <w:vAlign w:val="center"/>
          </w:tcPr>
          <w:p w:rsidR="002C5CB9" w:rsidRDefault="002C5CB9" w:rsidP="00346BFE">
            <w:pPr>
              <w:pStyle w:val="NumberregularTable"/>
            </w:pPr>
            <w:r>
              <w:t>19.4%</w:t>
            </w:r>
          </w:p>
        </w:tc>
        <w:tc>
          <w:tcPr>
            <w:tcW w:w="677"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0" w:type="dxa"/>
              <w:right w:w="80" w:type="dxa"/>
            </w:tcMar>
            <w:vAlign w:val="center"/>
          </w:tcPr>
          <w:p w:rsidR="002C5CB9" w:rsidRDefault="002C5CB9" w:rsidP="00346BFE">
            <w:pPr>
              <w:pStyle w:val="NumberregularTable"/>
            </w:pPr>
            <w:r>
              <w:t>18.9%</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Crates, cartons, boxes, cases, drums, kegs, barrels, cans</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4.6%</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7.7%</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4.7%</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Materials and objects not elsewhere classified</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1.7%</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2.4%</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1.7%</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Other and unspecified furniture and fittings</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1.2%</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0.7%</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1.2%</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Other equipment</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1.2%</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0.2%</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1.2%</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Trucks, semi-trailers, lorries</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1.1%</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0.9%</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1.0%</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Pallets</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0.6%</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0.5%</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0.6%</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Ferrous and non-ferrous metal</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0.6%</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0.3%</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0.6%</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Fencing</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0.6%</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0.3%</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0.6%</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Storage equipment</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0.5%</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0.2%</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0.5%</w:t>
            </w:r>
          </w:p>
        </w:tc>
      </w:tr>
      <w:tr w:rsidR="002C5CB9" w:rsidTr="00376076">
        <w:trPr>
          <w:trHeight w:hRule="exact" w:val="386"/>
          <w:jc w:val="right"/>
        </w:trPr>
        <w:tc>
          <w:tcPr>
            <w:tcW w:w="5065"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TablestubTable"/>
            </w:pPr>
            <w:r>
              <w:t>Muscular stress while handling objects other than lifting, carrying or putting down</w:t>
            </w:r>
          </w:p>
        </w:tc>
        <w:tc>
          <w:tcPr>
            <w:tcW w:w="709"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14.9%</w:t>
            </w:r>
          </w:p>
        </w:tc>
        <w:tc>
          <w:tcPr>
            <w:tcW w:w="903"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13.5%</w:t>
            </w:r>
          </w:p>
        </w:tc>
        <w:tc>
          <w:tcPr>
            <w:tcW w:w="677"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14.9%</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Trucks, semi-trailers, lorries</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3.5%</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1.4%</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3.4%</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Crates, cartons, boxes, cases, drums, kegs, barrels, cans</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1.1%</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2.1%</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1.1%</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Materials and objects not elsewhere classified</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1.0%</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1.0%</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1.0%</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Pallets</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0.9%</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0.9%</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0.9%</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Other equipment</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0.8%</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0.7%</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0.8%</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TablestubTable"/>
            </w:pPr>
            <w:r>
              <w:t>Falls from a height</w:t>
            </w:r>
          </w:p>
        </w:tc>
        <w:tc>
          <w:tcPr>
            <w:tcW w:w="709"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13.3%</w:t>
            </w:r>
          </w:p>
        </w:tc>
        <w:tc>
          <w:tcPr>
            <w:tcW w:w="903"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9.7%</w:t>
            </w:r>
          </w:p>
        </w:tc>
        <w:tc>
          <w:tcPr>
            <w:tcW w:w="677"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13.2%</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Trucks, semi-trailers, lorries</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7.9%</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4.5%</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7.8%</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Trailers, caravans</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0.7%</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0.0%</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0.7%</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Traffic and ground surfaces other</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0.6%</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0.3%</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0.6%</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Steps and stairways</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0.5%</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1.5%</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0.5%</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TablestubTable"/>
            </w:pPr>
            <w:r>
              <w:t>Falls on the same level</w:t>
            </w:r>
          </w:p>
        </w:tc>
        <w:tc>
          <w:tcPr>
            <w:tcW w:w="709"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11.6%</w:t>
            </w:r>
          </w:p>
        </w:tc>
        <w:tc>
          <w:tcPr>
            <w:tcW w:w="903"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16.2%</w:t>
            </w:r>
          </w:p>
        </w:tc>
        <w:tc>
          <w:tcPr>
            <w:tcW w:w="677"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11.7%</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Traffic and ground surfaces other</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2.5%</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4.0%</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2.5%</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Trucks, semi-trailers, lorries</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2.0%</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1.7%</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2.0%</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Wet, oily or icy traffic and ground surfaces</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0.7%</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0.7%</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0.7%</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Traffic and ground surfaces with hazardous objects</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0.6%</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0.8%</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0.6%</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Other internal traffic and floor areas</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0.5%</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1.0%</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0.5%</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TablestubTable"/>
            </w:pPr>
            <w:r>
              <w:t>Vehicle incident</w:t>
            </w:r>
          </w:p>
        </w:tc>
        <w:tc>
          <w:tcPr>
            <w:tcW w:w="709"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7.9%</w:t>
            </w:r>
          </w:p>
        </w:tc>
        <w:tc>
          <w:tcPr>
            <w:tcW w:w="903"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5.8%</w:t>
            </w:r>
          </w:p>
        </w:tc>
        <w:tc>
          <w:tcPr>
            <w:tcW w:w="677"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7.8%</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Trucks, semi-trailers, lorries</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5.3%</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2.1%</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5.2%</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Cars, station wagons, vans, utilities</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1.4%</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2.9%</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1.4%</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TablestubTable"/>
            </w:pPr>
            <w:r>
              <w:t>Being hit by falling objects</w:t>
            </w:r>
          </w:p>
        </w:tc>
        <w:tc>
          <w:tcPr>
            <w:tcW w:w="709"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5.2%</w:t>
            </w:r>
          </w:p>
        </w:tc>
        <w:tc>
          <w:tcPr>
            <w:tcW w:w="903"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2.9%</w:t>
            </w:r>
          </w:p>
        </w:tc>
        <w:tc>
          <w:tcPr>
            <w:tcW w:w="677"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5.2%</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Ferrous and non-ferrous metal</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0.7%</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0.7%</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0.7%</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Crates, cartons, boxes, cases, drums, kegs, barrels, cans</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0.6%</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0.6%</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0.6%</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TablestubTable"/>
            </w:pPr>
            <w:r>
              <w:t>Being hit by moving objects</w:t>
            </w:r>
          </w:p>
        </w:tc>
        <w:tc>
          <w:tcPr>
            <w:tcW w:w="709"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5.0%</w:t>
            </w:r>
          </w:p>
        </w:tc>
        <w:tc>
          <w:tcPr>
            <w:tcW w:w="903"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4.1%</w:t>
            </w:r>
          </w:p>
        </w:tc>
        <w:tc>
          <w:tcPr>
            <w:tcW w:w="677"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5.0%</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Forklift trucks</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0.8%</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1.0%</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0.8%</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Trucks, semi-trailers, lorries</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0.6%</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0.0%</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0.6%</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TablestubTable"/>
            </w:pPr>
            <w:r>
              <w:t>Muscular stress with no objects being handled</w:t>
            </w:r>
          </w:p>
        </w:tc>
        <w:tc>
          <w:tcPr>
            <w:tcW w:w="709"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3.6%</w:t>
            </w:r>
          </w:p>
        </w:tc>
        <w:tc>
          <w:tcPr>
            <w:tcW w:w="903"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4.1%</w:t>
            </w:r>
          </w:p>
        </w:tc>
        <w:tc>
          <w:tcPr>
            <w:tcW w:w="677"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3.6%</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Agency not apparent</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1.6%</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1.7%</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1.6%</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Trucks, semi-trailers, lorries</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0.8%</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0.2%</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0.8%</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TablestubTable"/>
            </w:pPr>
            <w:r>
              <w:t>Being trapped between stationary and moving objects</w:t>
            </w:r>
          </w:p>
        </w:tc>
        <w:tc>
          <w:tcPr>
            <w:tcW w:w="709"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3.4%</w:t>
            </w:r>
          </w:p>
        </w:tc>
        <w:tc>
          <w:tcPr>
            <w:tcW w:w="903"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2.4%</w:t>
            </w:r>
          </w:p>
        </w:tc>
        <w:tc>
          <w:tcPr>
            <w:tcW w:w="677"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3.4%</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Trucks, semi-trailers, lorries</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0.6%</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0.7%</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0.6%</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TablestubTable"/>
            </w:pPr>
            <w:r>
              <w:t>Hitting stationary objects</w:t>
            </w:r>
          </w:p>
        </w:tc>
        <w:tc>
          <w:tcPr>
            <w:tcW w:w="709"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3.2%</w:t>
            </w:r>
          </w:p>
        </w:tc>
        <w:tc>
          <w:tcPr>
            <w:tcW w:w="903"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2.9%</w:t>
            </w:r>
          </w:p>
        </w:tc>
        <w:tc>
          <w:tcPr>
            <w:tcW w:w="677"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3.2%</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Trucks, semi-trailers, lorries</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0.9%</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0.7%</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0.9%</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TablestubTable"/>
            </w:pPr>
            <w:r>
              <w:t>Stepping, kneeling or sitting on objects</w:t>
            </w:r>
          </w:p>
        </w:tc>
        <w:tc>
          <w:tcPr>
            <w:tcW w:w="709"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1.9%</w:t>
            </w:r>
          </w:p>
        </w:tc>
        <w:tc>
          <w:tcPr>
            <w:tcW w:w="903"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0.9%</w:t>
            </w:r>
          </w:p>
        </w:tc>
        <w:tc>
          <w:tcPr>
            <w:tcW w:w="677"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1.9%</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TablestubTable"/>
            </w:pPr>
            <w:r>
              <w:t>Long term exposure to sounds</w:t>
            </w:r>
          </w:p>
        </w:tc>
        <w:tc>
          <w:tcPr>
            <w:tcW w:w="709"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1.9%</w:t>
            </w:r>
          </w:p>
        </w:tc>
        <w:tc>
          <w:tcPr>
            <w:tcW w:w="903"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0.2%</w:t>
            </w:r>
          </w:p>
        </w:tc>
        <w:tc>
          <w:tcPr>
            <w:tcW w:w="677"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1.8%</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RowStubitalics4mmindentTable"/>
            </w:pPr>
            <w:r>
              <w:t>Trucks, semi-trailers, lorries</w:t>
            </w:r>
          </w:p>
        </w:tc>
        <w:tc>
          <w:tcPr>
            <w:tcW w:w="709"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0.5%</w:t>
            </w:r>
          </w:p>
        </w:tc>
        <w:tc>
          <w:tcPr>
            <w:tcW w:w="903"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0.0%</w:t>
            </w:r>
          </w:p>
        </w:tc>
        <w:tc>
          <w:tcPr>
            <w:tcW w:w="677"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C5CB9" w:rsidRDefault="002C5CB9" w:rsidP="00346BFE">
            <w:pPr>
              <w:pStyle w:val="NumberitalicsTable"/>
            </w:pPr>
            <w:r>
              <w:t>0.5%</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TablestubTable"/>
            </w:pPr>
            <w:r>
              <w:t>Hitting moving objects</w:t>
            </w:r>
          </w:p>
        </w:tc>
        <w:tc>
          <w:tcPr>
            <w:tcW w:w="709"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1.8%</w:t>
            </w:r>
          </w:p>
        </w:tc>
        <w:tc>
          <w:tcPr>
            <w:tcW w:w="903"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1.6%</w:t>
            </w:r>
          </w:p>
        </w:tc>
        <w:tc>
          <w:tcPr>
            <w:tcW w:w="677"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1.8%</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TablestubTable"/>
            </w:pPr>
            <w:r>
              <w:t>Unspecified mechanisms of injury</w:t>
            </w:r>
          </w:p>
        </w:tc>
        <w:tc>
          <w:tcPr>
            <w:tcW w:w="709"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1.8%</w:t>
            </w:r>
          </w:p>
        </w:tc>
        <w:tc>
          <w:tcPr>
            <w:tcW w:w="903"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1.4%</w:t>
            </w:r>
          </w:p>
        </w:tc>
        <w:tc>
          <w:tcPr>
            <w:tcW w:w="677"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1.8%</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TablestubTable"/>
            </w:pPr>
            <w:r>
              <w:t>Other and multiple mechanisms of injury</w:t>
            </w:r>
          </w:p>
        </w:tc>
        <w:tc>
          <w:tcPr>
            <w:tcW w:w="709"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0.8%</w:t>
            </w:r>
          </w:p>
        </w:tc>
        <w:tc>
          <w:tcPr>
            <w:tcW w:w="903"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0.5%</w:t>
            </w:r>
          </w:p>
        </w:tc>
        <w:tc>
          <w:tcPr>
            <w:tcW w:w="677"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0.8%</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TablestubTable"/>
            </w:pPr>
            <w:r>
              <w:t>Repetitive movement, low muscle loading</w:t>
            </w:r>
          </w:p>
        </w:tc>
        <w:tc>
          <w:tcPr>
            <w:tcW w:w="709"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0.7%</w:t>
            </w:r>
          </w:p>
        </w:tc>
        <w:tc>
          <w:tcPr>
            <w:tcW w:w="903"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3.9%</w:t>
            </w:r>
          </w:p>
        </w:tc>
        <w:tc>
          <w:tcPr>
            <w:tcW w:w="677"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0.8%</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TablestubTable"/>
            </w:pPr>
            <w:r>
              <w:t>Being trapped by moving machinery</w:t>
            </w:r>
          </w:p>
        </w:tc>
        <w:tc>
          <w:tcPr>
            <w:tcW w:w="709"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0.8%</w:t>
            </w:r>
          </w:p>
        </w:tc>
        <w:tc>
          <w:tcPr>
            <w:tcW w:w="903"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0.9%</w:t>
            </w:r>
          </w:p>
        </w:tc>
        <w:tc>
          <w:tcPr>
            <w:tcW w:w="677"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0.8%</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TablestubTable"/>
            </w:pPr>
            <w:r>
              <w:t>Being hit by an animal</w:t>
            </w:r>
          </w:p>
        </w:tc>
        <w:tc>
          <w:tcPr>
            <w:tcW w:w="709"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0.5%</w:t>
            </w:r>
          </w:p>
        </w:tc>
        <w:tc>
          <w:tcPr>
            <w:tcW w:w="903"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0.3%</w:t>
            </w:r>
          </w:p>
        </w:tc>
        <w:tc>
          <w:tcPr>
            <w:tcW w:w="677"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0.5%</w:t>
            </w:r>
          </w:p>
        </w:tc>
      </w:tr>
      <w:tr w:rsidR="002C5CB9" w:rsidTr="00346BFE">
        <w:trPr>
          <w:trHeight w:hRule="exact" w:val="340"/>
          <w:jc w:val="right"/>
        </w:trPr>
        <w:tc>
          <w:tcPr>
            <w:tcW w:w="5065"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TablestubTable"/>
            </w:pPr>
            <w:r>
              <w:t>Other mechanisms</w:t>
            </w:r>
          </w:p>
        </w:tc>
        <w:tc>
          <w:tcPr>
            <w:tcW w:w="709"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2.8%</w:t>
            </w:r>
          </w:p>
        </w:tc>
        <w:tc>
          <w:tcPr>
            <w:tcW w:w="903"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9.3%</w:t>
            </w:r>
          </w:p>
        </w:tc>
        <w:tc>
          <w:tcPr>
            <w:tcW w:w="677" w:type="dxa"/>
            <w:tcBorders>
              <w:top w:val="single" w:sz="6" w:space="0" w:color="auto"/>
              <w:left w:val="single" w:sz="6" w:space="0" w:color="auto"/>
              <w:bottom w:val="single" w:sz="6" w:space="0" w:color="auto"/>
              <w:right w:val="single" w:sz="6" w:space="0" w:color="auto"/>
            </w:tcBorders>
            <w:shd w:val="clear" w:color="001E5B" w:fill="auto"/>
            <w:tcMar>
              <w:top w:w="0" w:type="dxa"/>
              <w:left w:w="80" w:type="dxa"/>
              <w:bottom w:w="0" w:type="dxa"/>
              <w:right w:w="80" w:type="dxa"/>
            </w:tcMar>
            <w:vAlign w:val="center"/>
          </w:tcPr>
          <w:p w:rsidR="002C5CB9" w:rsidRDefault="002C5CB9" w:rsidP="00346BFE">
            <w:pPr>
              <w:pStyle w:val="NumberregularTable"/>
            </w:pPr>
            <w:r>
              <w:t>3.0%</w:t>
            </w:r>
          </w:p>
        </w:tc>
      </w:tr>
      <w:tr w:rsidR="002C5CB9" w:rsidTr="00346BFE">
        <w:trPr>
          <w:trHeight w:hRule="exact" w:val="340"/>
          <w:jc w:val="right"/>
        </w:trPr>
        <w:tc>
          <w:tcPr>
            <w:tcW w:w="5065" w:type="dxa"/>
            <w:tcBorders>
              <w:top w:val="single" w:sz="6" w:space="0" w:color="auto"/>
              <w:left w:val="single" w:sz="6" w:space="0" w:color="auto"/>
              <w:bottom w:val="single" w:sz="11" w:space="0" w:color="001E5B"/>
              <w:right w:val="single" w:sz="6" w:space="0" w:color="auto"/>
            </w:tcBorders>
            <w:tcMar>
              <w:top w:w="0" w:type="dxa"/>
              <w:left w:w="80" w:type="dxa"/>
              <w:bottom w:w="0" w:type="dxa"/>
              <w:right w:w="80" w:type="dxa"/>
            </w:tcMar>
            <w:vAlign w:val="center"/>
          </w:tcPr>
          <w:p w:rsidR="002C5CB9" w:rsidRDefault="002C5CB9" w:rsidP="00346BFE">
            <w:pPr>
              <w:pStyle w:val="TotalHeadingTable"/>
            </w:pPr>
            <w:r>
              <w:t>Total</w:t>
            </w:r>
          </w:p>
        </w:tc>
        <w:tc>
          <w:tcPr>
            <w:tcW w:w="709" w:type="dxa"/>
            <w:tcBorders>
              <w:top w:val="single" w:sz="6" w:space="0" w:color="auto"/>
              <w:left w:val="single" w:sz="6" w:space="0" w:color="auto"/>
              <w:bottom w:val="single" w:sz="11" w:space="0" w:color="001E5B"/>
              <w:right w:val="single" w:sz="6" w:space="0" w:color="auto"/>
            </w:tcBorders>
            <w:tcMar>
              <w:top w:w="0" w:type="dxa"/>
              <w:left w:w="80" w:type="dxa"/>
              <w:bottom w:w="0" w:type="dxa"/>
              <w:right w:w="80" w:type="dxa"/>
            </w:tcMar>
            <w:vAlign w:val="center"/>
          </w:tcPr>
          <w:p w:rsidR="002C5CB9" w:rsidRDefault="002C5CB9" w:rsidP="00346BFE">
            <w:pPr>
              <w:pStyle w:val="NumberboldTable"/>
            </w:pPr>
            <w:r>
              <w:t>100%</w:t>
            </w:r>
          </w:p>
        </w:tc>
        <w:tc>
          <w:tcPr>
            <w:tcW w:w="903" w:type="dxa"/>
            <w:tcBorders>
              <w:top w:val="single" w:sz="6" w:space="0" w:color="auto"/>
              <w:left w:val="single" w:sz="6" w:space="0" w:color="auto"/>
              <w:bottom w:val="single" w:sz="11" w:space="0" w:color="001E5B"/>
              <w:right w:val="single" w:sz="6" w:space="0" w:color="auto"/>
            </w:tcBorders>
            <w:tcMar>
              <w:top w:w="0" w:type="dxa"/>
              <w:left w:w="80" w:type="dxa"/>
              <w:bottom w:w="0" w:type="dxa"/>
              <w:right w:w="80" w:type="dxa"/>
            </w:tcMar>
            <w:vAlign w:val="center"/>
          </w:tcPr>
          <w:p w:rsidR="002C5CB9" w:rsidRDefault="002C5CB9" w:rsidP="00346BFE">
            <w:pPr>
              <w:pStyle w:val="NumberboldTable"/>
            </w:pPr>
            <w:r>
              <w:t>100%</w:t>
            </w:r>
          </w:p>
        </w:tc>
        <w:tc>
          <w:tcPr>
            <w:tcW w:w="677" w:type="dxa"/>
            <w:tcBorders>
              <w:top w:val="single" w:sz="6" w:space="0" w:color="auto"/>
              <w:left w:val="single" w:sz="6" w:space="0" w:color="auto"/>
              <w:bottom w:val="single" w:sz="11" w:space="0" w:color="001E5B"/>
              <w:right w:val="single" w:sz="6" w:space="0" w:color="auto"/>
            </w:tcBorders>
            <w:tcMar>
              <w:top w:w="0" w:type="dxa"/>
              <w:left w:w="80" w:type="dxa"/>
              <w:bottom w:w="0" w:type="dxa"/>
              <w:right w:w="80" w:type="dxa"/>
            </w:tcMar>
            <w:vAlign w:val="center"/>
          </w:tcPr>
          <w:p w:rsidR="002C5CB9" w:rsidRDefault="002C5CB9" w:rsidP="00346BFE">
            <w:pPr>
              <w:pStyle w:val="NumberboldTable"/>
            </w:pPr>
            <w:r>
              <w:t>100%</w:t>
            </w:r>
          </w:p>
        </w:tc>
      </w:tr>
      <w:tr w:rsidR="002C5CB9" w:rsidTr="00376076">
        <w:trPr>
          <w:trHeight w:hRule="exact" w:val="677"/>
          <w:jc w:val="right"/>
        </w:trPr>
        <w:tc>
          <w:tcPr>
            <w:tcW w:w="5065" w:type="dxa"/>
            <w:tcBorders>
              <w:top w:val="single" w:sz="11" w:space="0" w:color="001E5B"/>
              <w:left w:val="single" w:sz="6" w:space="0" w:color="auto"/>
              <w:bottom w:val="single" w:sz="18" w:space="0" w:color="001E5B"/>
              <w:right w:val="single" w:sz="6" w:space="0" w:color="auto"/>
            </w:tcBorders>
            <w:tcMar>
              <w:top w:w="0" w:type="dxa"/>
              <w:left w:w="80" w:type="dxa"/>
              <w:bottom w:w="113" w:type="dxa"/>
              <w:right w:w="80" w:type="dxa"/>
            </w:tcMar>
            <w:vAlign w:val="center"/>
          </w:tcPr>
          <w:p w:rsidR="002C5CB9" w:rsidRDefault="002C5CB9" w:rsidP="00346BFE">
            <w:pPr>
              <w:pStyle w:val="TotalHeadingTable"/>
            </w:pPr>
            <w:r>
              <w:rPr>
                <w:spacing w:val="-2"/>
              </w:rPr>
              <w:t>Road freight transport compensation claims for serious non-fatal injuries 2006–07 to 2010–11p</w:t>
            </w:r>
          </w:p>
        </w:tc>
        <w:tc>
          <w:tcPr>
            <w:tcW w:w="709" w:type="dxa"/>
            <w:tcBorders>
              <w:top w:val="single" w:sz="11" w:space="0" w:color="001E5B"/>
              <w:left w:val="single" w:sz="6" w:space="0" w:color="auto"/>
              <w:bottom w:val="single" w:sz="18" w:space="0" w:color="001E5B"/>
              <w:right w:val="single" w:sz="6" w:space="0" w:color="auto"/>
            </w:tcBorders>
            <w:tcMar>
              <w:top w:w="0" w:type="dxa"/>
              <w:left w:w="80" w:type="dxa"/>
              <w:bottom w:w="113" w:type="dxa"/>
              <w:right w:w="80" w:type="dxa"/>
            </w:tcMar>
            <w:vAlign w:val="center"/>
          </w:tcPr>
          <w:p w:rsidR="002C5CB9" w:rsidRDefault="002C5CB9" w:rsidP="00346BFE">
            <w:pPr>
              <w:pStyle w:val="NumberboldTable"/>
            </w:pPr>
            <w:r>
              <w:t xml:space="preserve"> 19 950 </w:t>
            </w:r>
          </w:p>
        </w:tc>
        <w:tc>
          <w:tcPr>
            <w:tcW w:w="903" w:type="dxa"/>
            <w:tcBorders>
              <w:top w:val="single" w:sz="11" w:space="0" w:color="001E5B"/>
              <w:left w:val="single" w:sz="6" w:space="0" w:color="auto"/>
              <w:bottom w:val="single" w:sz="18" w:space="0" w:color="001E5B"/>
              <w:right w:val="single" w:sz="6" w:space="0" w:color="auto"/>
            </w:tcBorders>
            <w:tcMar>
              <w:top w:w="0" w:type="dxa"/>
              <w:left w:w="80" w:type="dxa"/>
              <w:bottom w:w="113" w:type="dxa"/>
              <w:right w:w="80" w:type="dxa"/>
            </w:tcMar>
            <w:vAlign w:val="center"/>
          </w:tcPr>
          <w:p w:rsidR="002C5CB9" w:rsidRDefault="002C5CB9" w:rsidP="00346BFE">
            <w:pPr>
              <w:pStyle w:val="NumberboldTable"/>
            </w:pPr>
            <w:r>
              <w:t xml:space="preserve"> 580</w:t>
            </w:r>
          </w:p>
        </w:tc>
        <w:tc>
          <w:tcPr>
            <w:tcW w:w="677" w:type="dxa"/>
            <w:tcBorders>
              <w:top w:val="single" w:sz="11" w:space="0" w:color="001E5B"/>
              <w:left w:val="single" w:sz="6" w:space="0" w:color="auto"/>
              <w:bottom w:val="single" w:sz="18" w:space="0" w:color="001E5B"/>
              <w:right w:val="single" w:sz="6" w:space="0" w:color="auto"/>
            </w:tcBorders>
            <w:tcMar>
              <w:top w:w="0" w:type="dxa"/>
              <w:left w:w="80" w:type="dxa"/>
              <w:bottom w:w="113" w:type="dxa"/>
              <w:right w:w="80" w:type="dxa"/>
            </w:tcMar>
            <w:vAlign w:val="center"/>
          </w:tcPr>
          <w:p w:rsidR="002C5CB9" w:rsidRDefault="002C5CB9" w:rsidP="00346BFE">
            <w:pPr>
              <w:pStyle w:val="NumberboldTable"/>
            </w:pPr>
            <w:r>
              <w:t xml:space="preserve">20 530 </w:t>
            </w:r>
          </w:p>
        </w:tc>
      </w:tr>
      <w:tr w:rsidR="002C5CB9" w:rsidTr="003A2CAB">
        <w:trPr>
          <w:trHeight w:hRule="exact" w:val="340"/>
          <w:jc w:val="right"/>
        </w:trPr>
        <w:tc>
          <w:tcPr>
            <w:tcW w:w="7354" w:type="dxa"/>
            <w:gridSpan w:val="4"/>
            <w:tcBorders>
              <w:top w:val="single" w:sz="18" w:space="0" w:color="001E5B"/>
            </w:tcBorders>
            <w:tcMar>
              <w:top w:w="57" w:type="dxa"/>
              <w:left w:w="80" w:type="dxa"/>
              <w:bottom w:w="57" w:type="dxa"/>
              <w:right w:w="80" w:type="dxa"/>
            </w:tcMar>
            <w:vAlign w:val="center"/>
          </w:tcPr>
          <w:p w:rsidR="002C5CB9" w:rsidRDefault="002C5CB9" w:rsidP="00346BFE">
            <w:pPr>
              <w:pStyle w:val="FigureTableFootnotewithoutIndent"/>
            </w:pPr>
            <w:r>
              <w:t>a Categories shown are restricted to those with a total of 100 or more serious claims.</w:t>
            </w:r>
          </w:p>
        </w:tc>
      </w:tr>
    </w:tbl>
    <w:p w:rsidR="002C5CB9" w:rsidRDefault="002C5CB9" w:rsidP="002C5CB9">
      <w:pPr>
        <w:pStyle w:val="BodyText"/>
        <w:rPr>
          <w:sz w:val="20"/>
          <w:szCs w:val="20"/>
        </w:rPr>
      </w:pPr>
    </w:p>
    <w:p w:rsidR="002C5CB9" w:rsidRDefault="002C5CB9" w:rsidP="002C5CB9">
      <w:pPr>
        <w:pStyle w:val="BodyText"/>
      </w:pPr>
      <w:r w:rsidRPr="00346BFE">
        <w:t>The second most common Mechanism category was</w:t>
      </w:r>
      <w:r>
        <w:rPr>
          <w:sz w:val="20"/>
          <w:szCs w:val="20"/>
        </w:rPr>
        <w:t xml:space="preserve"> </w:t>
      </w:r>
      <w:r>
        <w:rPr>
          <w:rStyle w:val="Classificationitalics"/>
        </w:rPr>
        <w:t>Muscular stress while handling objects other than lifting, carrying or putting down</w:t>
      </w:r>
      <w:r>
        <w:t xml:space="preserve">, which accounted for 15% of claims. </w:t>
      </w:r>
    </w:p>
    <w:p w:rsidR="002C5CB9" w:rsidRDefault="002C5CB9" w:rsidP="002C5CB9">
      <w:pPr>
        <w:pStyle w:val="BodyText"/>
      </w:pPr>
      <w:r>
        <w:t xml:space="preserve">The third most common Mechanism category was </w:t>
      </w:r>
      <w:r>
        <w:rPr>
          <w:rStyle w:val="Classificationitalics"/>
        </w:rPr>
        <w:t>Falls from a height</w:t>
      </w:r>
      <w:r>
        <w:t xml:space="preserve">, which accounted for 13% of claims. The most common associated Breakdown agency was </w:t>
      </w:r>
      <w:r>
        <w:rPr>
          <w:rStyle w:val="Classificationitalics"/>
        </w:rPr>
        <w:t>Trucks, semi-trailers, lorries</w:t>
      </w:r>
      <w:r>
        <w:t xml:space="preserve"> (8% of claims) implying the employee fell from a vehicle in some way. In addition, the category </w:t>
      </w:r>
      <w:r>
        <w:rPr>
          <w:rStyle w:val="Classificationitalics"/>
        </w:rPr>
        <w:t>Trailers and caravans</w:t>
      </w:r>
      <w:r>
        <w:t xml:space="preserve"> accounted for a further 0.7% of claims and most likely implies the employee fell from the trailer of a semi-trailer or B-double.</w:t>
      </w:r>
    </w:p>
    <w:p w:rsidR="002C5CB9" w:rsidRDefault="002C5CB9" w:rsidP="002C5CB9">
      <w:pPr>
        <w:pStyle w:val="BodyText"/>
      </w:pPr>
      <w:r>
        <w:rPr>
          <w:rStyle w:val="Classificationitalics"/>
        </w:rPr>
        <w:t>Falls on the same level</w:t>
      </w:r>
      <w:r>
        <w:t xml:space="preserve"> were almost as common as </w:t>
      </w:r>
      <w:r>
        <w:rPr>
          <w:rStyle w:val="Classificationitalics"/>
        </w:rPr>
        <w:t>Falls from a height</w:t>
      </w:r>
      <w:r>
        <w:t xml:space="preserve"> and accounted for 12% of non-fatal serious claims made by Road freight transport industry employees. The underlying Breakdown agencies for this mechanism category were quite varied.</w:t>
      </w:r>
    </w:p>
    <w:p w:rsidR="002C5CB9" w:rsidRDefault="002C5CB9" w:rsidP="002C5CB9">
      <w:pPr>
        <w:pStyle w:val="BodyText"/>
      </w:pPr>
      <w:r>
        <w:rPr>
          <w:rStyle w:val="Classificationitalics"/>
        </w:rPr>
        <w:t>Vehicle incidents</w:t>
      </w:r>
      <w:r>
        <w:t xml:space="preserve"> were not as common a cause of non-fatal injury among Road freight transport industry employees as might be supposed. Over the period 2006–07 to 2010–11p just 8% of claims were recorded as caused by a </w:t>
      </w:r>
      <w:r>
        <w:rPr>
          <w:rStyle w:val="Classificationitalics"/>
        </w:rPr>
        <w:t>Vehicle incident</w:t>
      </w:r>
      <w:r>
        <w:t xml:space="preserve">, most commonly involving </w:t>
      </w:r>
      <w:r>
        <w:rPr>
          <w:rStyle w:val="Classificationitalics"/>
        </w:rPr>
        <w:t>Trucks, semi-trailers, lorries</w:t>
      </w:r>
      <w:r>
        <w:t xml:space="preserve"> (5% of non-fatal claims).</w:t>
      </w:r>
    </w:p>
    <w:p w:rsidR="00346BFE" w:rsidRDefault="002C5CB9" w:rsidP="00376076">
      <w:pPr>
        <w:pStyle w:val="BodyText"/>
      </w:pPr>
      <w:r>
        <w:t xml:space="preserve">Four of the Mechanisms shown in Table 4 are commonly combined into the broad Mechanism </w:t>
      </w:r>
      <w:r>
        <w:rPr>
          <w:rStyle w:val="Classificationitalics"/>
        </w:rPr>
        <w:t>Body stressing</w:t>
      </w:r>
      <w:r>
        <w:t xml:space="preserve"> which is also commonly referred to as Manual handling.</w:t>
      </w:r>
    </w:p>
    <w:p w:rsidR="002C5CB9" w:rsidRDefault="002C5CB9" w:rsidP="002C5CB9">
      <w:pPr>
        <w:pStyle w:val="BodyText"/>
      </w:pPr>
      <w:r>
        <w:t xml:space="preserve">The four </w:t>
      </w:r>
      <w:r>
        <w:rPr>
          <w:rStyle w:val="Classificationitalics"/>
        </w:rPr>
        <w:t>Body stressing</w:t>
      </w:r>
      <w:r>
        <w:t xml:space="preserve"> categories are, </w:t>
      </w:r>
    </w:p>
    <w:p w:rsidR="002C5CB9" w:rsidRDefault="002C5CB9" w:rsidP="009F296E">
      <w:pPr>
        <w:pStyle w:val="Bodytextbullett"/>
        <w:numPr>
          <w:ilvl w:val="0"/>
          <w:numId w:val="3"/>
        </w:numPr>
        <w:spacing w:after="57"/>
      </w:pPr>
      <w:r>
        <w:rPr>
          <w:rStyle w:val="Classificationitalics"/>
        </w:rPr>
        <w:t>muscular stress while lifting, carrying, or putting down objects</w:t>
      </w:r>
    </w:p>
    <w:p w:rsidR="002C5CB9" w:rsidRDefault="002C5CB9" w:rsidP="009F296E">
      <w:pPr>
        <w:pStyle w:val="Bodytextbullett"/>
        <w:numPr>
          <w:ilvl w:val="0"/>
          <w:numId w:val="3"/>
        </w:numPr>
        <w:spacing w:after="57"/>
      </w:pPr>
      <w:r>
        <w:rPr>
          <w:rStyle w:val="Classificationitalics"/>
        </w:rPr>
        <w:t>muscular stress while handling objects other than lifting, carrying or putting down</w:t>
      </w:r>
    </w:p>
    <w:p w:rsidR="002C5CB9" w:rsidRDefault="002C5CB9" w:rsidP="009F296E">
      <w:pPr>
        <w:pStyle w:val="Bodytextbullett"/>
        <w:numPr>
          <w:ilvl w:val="0"/>
          <w:numId w:val="3"/>
        </w:numPr>
        <w:spacing w:after="57"/>
      </w:pPr>
      <w:r>
        <w:rPr>
          <w:rStyle w:val="Classificationitalics"/>
        </w:rPr>
        <w:t>muscular stress with no objects being handled</w:t>
      </w:r>
      <w:r>
        <w:t>, and</w:t>
      </w:r>
    </w:p>
    <w:p w:rsidR="002C5CB9" w:rsidRDefault="002C5CB9" w:rsidP="009F296E">
      <w:pPr>
        <w:pStyle w:val="Bodytextbullett"/>
        <w:numPr>
          <w:ilvl w:val="0"/>
          <w:numId w:val="3"/>
        </w:numPr>
        <w:spacing w:after="57"/>
        <w:rPr>
          <w:rStyle w:val="Classificationitalics"/>
        </w:rPr>
      </w:pPr>
      <w:r>
        <w:rPr>
          <w:rStyle w:val="Classificationitalics"/>
        </w:rPr>
        <w:t>repetitive movement, low muscle loading</w:t>
      </w:r>
    </w:p>
    <w:p w:rsidR="002C5CB9" w:rsidRDefault="002C5CB9" w:rsidP="002C5CB9">
      <w:pPr>
        <w:pStyle w:val="BodyText"/>
      </w:pPr>
      <w:r>
        <w:t xml:space="preserve">When combined, these four causes of non-fatal injury among Road freight transport employees accounted for 39% of all claims, indicating that </w:t>
      </w:r>
      <w:r>
        <w:rPr>
          <w:rStyle w:val="Classificationitalics"/>
        </w:rPr>
        <w:t>Body stressing</w:t>
      </w:r>
      <w:r>
        <w:t xml:space="preserve"> is the most common broad cause of non-fatal injury in the industry.</w:t>
      </w:r>
    </w:p>
    <w:p w:rsidR="002C5CB9" w:rsidRDefault="002C5CB9" w:rsidP="0030662C">
      <w:pPr>
        <w:pStyle w:val="Colourheadingtoplevel"/>
      </w:pPr>
      <w:r>
        <w:t>Median time lost from work and median cost of claims</w:t>
      </w:r>
    </w:p>
    <w:p w:rsidR="002C5CB9" w:rsidRDefault="002C5CB9" w:rsidP="002C5CB9">
      <w:pPr>
        <w:pStyle w:val="BodyText"/>
      </w:pPr>
      <w:r>
        <w:t>Table 6 shows the median time lost from work and the median cost for non-fatal serious compensation claims made by Road freight transport employees over the period 2002–03 to 2010–11p. Total figures are also given for non-fatal claims in all industries for comparison.</w:t>
      </w:r>
    </w:p>
    <w:p w:rsidR="002C5CB9" w:rsidRDefault="002C5CB9" w:rsidP="002C5CB9">
      <w:pPr>
        <w:pStyle w:val="BodyText"/>
      </w:pPr>
      <w:r>
        <w:t>The table shows that the median time lost from work increased slightly over the period, from a minimum of 4.8 weeks in 2003–04 to a maximum of 5.8 weeks in both 2007–08 and 2008–09. This increase resulted in a concomitant increase in the median cost of a claim from $5800 in 2003–04 to $8700 in both 2007–08 and 2008–09. However, the increase in the median cost of a claim includes wage and price inflation as well as the cost of the increase in the median time away from work. The preliminary year data (2010–11p) are generally not used when assessing changes over time since compensation claims can be open for more than a year and subsequent annual updates include the cumulated time lost and cost of those longer term claims. However, using a median rather than an average reduces the impact of claim development on the data series.</w:t>
      </w:r>
    </w:p>
    <w:p w:rsidR="00346BFE" w:rsidRDefault="002C5CB9" w:rsidP="002C5CB9">
      <w:pPr>
        <w:pStyle w:val="BodyText"/>
        <w:rPr>
          <w:spacing w:val="-1"/>
        </w:rPr>
      </w:pPr>
      <w:r>
        <w:rPr>
          <w:spacing w:val="-1"/>
        </w:rPr>
        <w:t>Comparing the median time lost for non-fatal compensation claims in the Road freight transport industry with those for all industries shows that the median time lost from work was consistently higher than the all industries figure by between 1 and 1.8 weeks over the period. Similarly, the median cost of a claim for the Road freight transport industry was consistently higher than the cost of a claim for all industries by between $300 and $1500.</w:t>
      </w:r>
    </w:p>
    <w:p w:rsidR="00346BFE" w:rsidRDefault="00346BFE">
      <w:pPr>
        <w:rPr>
          <w:rFonts w:ascii="Arial" w:hAnsi="Arial" w:cs="Arial"/>
          <w:color w:val="000000"/>
          <w:spacing w:val="-1"/>
          <w:sz w:val="22"/>
          <w:szCs w:val="22"/>
          <w:lang w:val="en-US"/>
        </w:rPr>
      </w:pPr>
      <w:r>
        <w:rPr>
          <w:spacing w:val="-1"/>
        </w:rPr>
        <w:br w:type="page"/>
      </w:r>
    </w:p>
    <w:p w:rsidR="002C5CB9" w:rsidRDefault="002C5CB9" w:rsidP="002C5CB9">
      <w:pPr>
        <w:pStyle w:val="BodyText"/>
        <w:rPr>
          <w:spacing w:val="-1"/>
        </w:rPr>
      </w:pPr>
    </w:p>
    <w:p w:rsidR="002C5CB9" w:rsidRDefault="002C5CB9" w:rsidP="002C5CB9">
      <w:pPr>
        <w:pStyle w:val="TableHeadingwithoutIndent"/>
      </w:pPr>
      <w:r>
        <w:t>Table 6       Road freight transport industry: median time lost from work and median cost</w:t>
      </w:r>
      <w:r>
        <w:br/>
        <w:t>of non-fatal serious claims</w:t>
      </w:r>
    </w:p>
    <w:tbl>
      <w:tblPr>
        <w:tblW w:w="0" w:type="auto"/>
        <w:tblInd w:w="80" w:type="dxa"/>
        <w:tblLayout w:type="fixed"/>
        <w:tblCellMar>
          <w:left w:w="0" w:type="dxa"/>
          <w:right w:w="0" w:type="dxa"/>
        </w:tblCellMar>
        <w:tblLook w:val="0000" w:firstRow="0" w:lastRow="0" w:firstColumn="0" w:lastColumn="0" w:noHBand="0" w:noVBand="0"/>
      </w:tblPr>
      <w:tblGrid>
        <w:gridCol w:w="2222"/>
        <w:gridCol w:w="794"/>
        <w:gridCol w:w="794"/>
        <w:gridCol w:w="793"/>
        <w:gridCol w:w="794"/>
        <w:gridCol w:w="794"/>
        <w:gridCol w:w="794"/>
        <w:gridCol w:w="793"/>
        <w:gridCol w:w="794"/>
        <w:gridCol w:w="794"/>
      </w:tblGrid>
      <w:tr w:rsidR="002C5CB9">
        <w:trPr>
          <w:trHeight w:hRule="exact" w:val="340"/>
        </w:trPr>
        <w:tc>
          <w:tcPr>
            <w:tcW w:w="2222" w:type="dxa"/>
            <w:tcBorders>
              <w:top w:val="single" w:sz="11" w:space="0" w:color="000000"/>
              <w:left w:val="single" w:sz="6" w:space="0" w:color="auto"/>
              <w:bottom w:val="single" w:sz="11" w:space="0" w:color="000000"/>
              <w:right w:val="single" w:sz="6" w:space="0" w:color="auto"/>
            </w:tcBorders>
            <w:tcMar>
              <w:top w:w="57" w:type="dxa"/>
              <w:left w:w="80" w:type="dxa"/>
              <w:bottom w:w="113" w:type="dxa"/>
              <w:right w:w="80" w:type="dxa"/>
            </w:tcMar>
            <w:vAlign w:val="bottom"/>
          </w:tcPr>
          <w:p w:rsidR="002C5CB9" w:rsidRDefault="002C5CB9">
            <w:pPr>
              <w:pStyle w:val="NoParagraphStyle"/>
              <w:spacing w:line="240" w:lineRule="auto"/>
              <w:textAlignment w:val="auto"/>
              <w:rPr>
                <w:rFonts w:cs="Times New Roman"/>
                <w:color w:val="auto"/>
                <w:lang w:val="en-AU"/>
              </w:rPr>
            </w:pPr>
          </w:p>
        </w:tc>
        <w:tc>
          <w:tcPr>
            <w:tcW w:w="794" w:type="dxa"/>
            <w:tcBorders>
              <w:top w:val="single" w:sz="11" w:space="0" w:color="000000"/>
              <w:left w:val="single" w:sz="6" w:space="0" w:color="auto"/>
              <w:bottom w:val="single" w:sz="11" w:space="0" w:color="000000"/>
              <w:right w:val="single" w:sz="6" w:space="0" w:color="auto"/>
            </w:tcBorders>
            <w:tcMar>
              <w:top w:w="57" w:type="dxa"/>
              <w:left w:w="0" w:type="dxa"/>
              <w:bottom w:w="113" w:type="dxa"/>
              <w:right w:w="0" w:type="dxa"/>
            </w:tcMar>
            <w:vAlign w:val="bottom"/>
          </w:tcPr>
          <w:p w:rsidR="002C5CB9" w:rsidRDefault="002C5CB9">
            <w:pPr>
              <w:pStyle w:val="ColumnHeadingTable"/>
              <w:jc w:val="center"/>
            </w:pPr>
            <w:r>
              <w:t>2002–03</w:t>
            </w:r>
          </w:p>
        </w:tc>
        <w:tc>
          <w:tcPr>
            <w:tcW w:w="794" w:type="dxa"/>
            <w:tcBorders>
              <w:top w:val="single" w:sz="11" w:space="0" w:color="000000"/>
              <w:left w:val="single" w:sz="6" w:space="0" w:color="auto"/>
              <w:bottom w:val="single" w:sz="11" w:space="0" w:color="000000"/>
              <w:right w:val="single" w:sz="6" w:space="0" w:color="auto"/>
            </w:tcBorders>
            <w:tcMar>
              <w:top w:w="57" w:type="dxa"/>
              <w:left w:w="0" w:type="dxa"/>
              <w:bottom w:w="113" w:type="dxa"/>
              <w:right w:w="0" w:type="dxa"/>
            </w:tcMar>
            <w:vAlign w:val="bottom"/>
          </w:tcPr>
          <w:p w:rsidR="002C5CB9" w:rsidRDefault="002C5CB9">
            <w:pPr>
              <w:pStyle w:val="ColumnHeadingTable"/>
              <w:jc w:val="center"/>
            </w:pPr>
            <w:r>
              <w:t>2003–04</w:t>
            </w:r>
          </w:p>
        </w:tc>
        <w:tc>
          <w:tcPr>
            <w:tcW w:w="793" w:type="dxa"/>
            <w:tcBorders>
              <w:top w:val="single" w:sz="11" w:space="0" w:color="000000"/>
              <w:left w:val="single" w:sz="6" w:space="0" w:color="auto"/>
              <w:bottom w:val="single" w:sz="11" w:space="0" w:color="000000"/>
              <w:right w:val="single" w:sz="6" w:space="0" w:color="auto"/>
            </w:tcBorders>
            <w:tcMar>
              <w:top w:w="57" w:type="dxa"/>
              <w:left w:w="0" w:type="dxa"/>
              <w:bottom w:w="113" w:type="dxa"/>
              <w:right w:w="0" w:type="dxa"/>
            </w:tcMar>
            <w:vAlign w:val="bottom"/>
          </w:tcPr>
          <w:p w:rsidR="002C5CB9" w:rsidRDefault="002C5CB9">
            <w:pPr>
              <w:pStyle w:val="ColumnHeadingTable"/>
              <w:jc w:val="center"/>
            </w:pPr>
            <w:r>
              <w:t>2004–05</w:t>
            </w:r>
          </w:p>
        </w:tc>
        <w:tc>
          <w:tcPr>
            <w:tcW w:w="794" w:type="dxa"/>
            <w:tcBorders>
              <w:top w:val="single" w:sz="11" w:space="0" w:color="000000"/>
              <w:left w:val="single" w:sz="6" w:space="0" w:color="auto"/>
              <w:bottom w:val="single" w:sz="11" w:space="0" w:color="000000"/>
              <w:right w:val="single" w:sz="6" w:space="0" w:color="auto"/>
            </w:tcBorders>
            <w:tcMar>
              <w:top w:w="57" w:type="dxa"/>
              <w:left w:w="0" w:type="dxa"/>
              <w:bottom w:w="113" w:type="dxa"/>
              <w:right w:w="0" w:type="dxa"/>
            </w:tcMar>
            <w:vAlign w:val="bottom"/>
          </w:tcPr>
          <w:p w:rsidR="002C5CB9" w:rsidRDefault="002C5CB9">
            <w:pPr>
              <w:pStyle w:val="ColumnHeadingTable"/>
              <w:jc w:val="center"/>
            </w:pPr>
            <w:r>
              <w:t>2005–06</w:t>
            </w:r>
          </w:p>
        </w:tc>
        <w:tc>
          <w:tcPr>
            <w:tcW w:w="794" w:type="dxa"/>
            <w:tcBorders>
              <w:top w:val="single" w:sz="11" w:space="0" w:color="000000"/>
              <w:left w:val="single" w:sz="6" w:space="0" w:color="auto"/>
              <w:bottom w:val="single" w:sz="11" w:space="0" w:color="000000"/>
              <w:right w:val="single" w:sz="6" w:space="0" w:color="auto"/>
            </w:tcBorders>
            <w:tcMar>
              <w:top w:w="57" w:type="dxa"/>
              <w:left w:w="0" w:type="dxa"/>
              <w:bottom w:w="113" w:type="dxa"/>
              <w:right w:w="0" w:type="dxa"/>
            </w:tcMar>
            <w:vAlign w:val="bottom"/>
          </w:tcPr>
          <w:p w:rsidR="002C5CB9" w:rsidRDefault="002C5CB9">
            <w:pPr>
              <w:pStyle w:val="ColumnHeadingTable"/>
              <w:jc w:val="center"/>
            </w:pPr>
            <w:r>
              <w:t>2006–07</w:t>
            </w:r>
          </w:p>
        </w:tc>
        <w:tc>
          <w:tcPr>
            <w:tcW w:w="794" w:type="dxa"/>
            <w:tcBorders>
              <w:top w:val="single" w:sz="11" w:space="0" w:color="000000"/>
              <w:left w:val="single" w:sz="6" w:space="0" w:color="auto"/>
              <w:bottom w:val="single" w:sz="11" w:space="0" w:color="000000"/>
              <w:right w:val="single" w:sz="6" w:space="0" w:color="auto"/>
            </w:tcBorders>
            <w:tcMar>
              <w:top w:w="57" w:type="dxa"/>
              <w:left w:w="0" w:type="dxa"/>
              <w:bottom w:w="113" w:type="dxa"/>
              <w:right w:w="0" w:type="dxa"/>
            </w:tcMar>
            <w:vAlign w:val="bottom"/>
          </w:tcPr>
          <w:p w:rsidR="002C5CB9" w:rsidRDefault="002C5CB9">
            <w:pPr>
              <w:pStyle w:val="ColumnHeadingTable"/>
              <w:jc w:val="center"/>
            </w:pPr>
            <w:r>
              <w:t>2007–08</w:t>
            </w:r>
          </w:p>
        </w:tc>
        <w:tc>
          <w:tcPr>
            <w:tcW w:w="793" w:type="dxa"/>
            <w:tcBorders>
              <w:top w:val="single" w:sz="11" w:space="0" w:color="000000"/>
              <w:left w:val="single" w:sz="6" w:space="0" w:color="auto"/>
              <w:bottom w:val="single" w:sz="11" w:space="0" w:color="000000"/>
              <w:right w:val="single" w:sz="6" w:space="0" w:color="auto"/>
            </w:tcBorders>
            <w:tcMar>
              <w:top w:w="57" w:type="dxa"/>
              <w:left w:w="0" w:type="dxa"/>
              <w:bottom w:w="113" w:type="dxa"/>
              <w:right w:w="0" w:type="dxa"/>
            </w:tcMar>
            <w:vAlign w:val="bottom"/>
          </w:tcPr>
          <w:p w:rsidR="002C5CB9" w:rsidRDefault="002C5CB9">
            <w:pPr>
              <w:pStyle w:val="ColumnHeadingTable"/>
              <w:jc w:val="center"/>
            </w:pPr>
            <w:r>
              <w:t>2008–09</w:t>
            </w:r>
          </w:p>
        </w:tc>
        <w:tc>
          <w:tcPr>
            <w:tcW w:w="794" w:type="dxa"/>
            <w:tcBorders>
              <w:top w:val="single" w:sz="11" w:space="0" w:color="000000"/>
              <w:left w:val="single" w:sz="6" w:space="0" w:color="auto"/>
              <w:bottom w:val="single" w:sz="11" w:space="0" w:color="000000"/>
              <w:right w:val="single" w:sz="6" w:space="0" w:color="auto"/>
            </w:tcBorders>
            <w:tcMar>
              <w:top w:w="57" w:type="dxa"/>
              <w:left w:w="0" w:type="dxa"/>
              <w:bottom w:w="113" w:type="dxa"/>
              <w:right w:w="0" w:type="dxa"/>
            </w:tcMar>
            <w:vAlign w:val="bottom"/>
          </w:tcPr>
          <w:p w:rsidR="002C5CB9" w:rsidRDefault="002C5CB9">
            <w:pPr>
              <w:pStyle w:val="ColumnHeadingTable"/>
              <w:jc w:val="center"/>
            </w:pPr>
            <w:r>
              <w:t>2009–10</w:t>
            </w:r>
          </w:p>
        </w:tc>
        <w:tc>
          <w:tcPr>
            <w:tcW w:w="794" w:type="dxa"/>
            <w:tcBorders>
              <w:top w:val="single" w:sz="11" w:space="0" w:color="000000"/>
              <w:left w:val="single" w:sz="6" w:space="0" w:color="auto"/>
              <w:bottom w:val="single" w:sz="11" w:space="0" w:color="000000"/>
              <w:right w:val="single" w:sz="6" w:space="0" w:color="auto"/>
            </w:tcBorders>
            <w:tcMar>
              <w:top w:w="57" w:type="dxa"/>
              <w:left w:w="0" w:type="dxa"/>
              <w:bottom w:w="113" w:type="dxa"/>
              <w:right w:w="0" w:type="dxa"/>
            </w:tcMar>
            <w:vAlign w:val="bottom"/>
          </w:tcPr>
          <w:p w:rsidR="002C5CB9" w:rsidRDefault="002C5CB9">
            <w:pPr>
              <w:pStyle w:val="ColumnHeadingTable"/>
              <w:jc w:val="center"/>
            </w:pPr>
            <w:r>
              <w:rPr>
                <w:spacing w:val="-4"/>
              </w:rPr>
              <w:t>2010–11p</w:t>
            </w:r>
          </w:p>
        </w:tc>
      </w:tr>
      <w:tr w:rsidR="002C5CB9">
        <w:trPr>
          <w:trHeight w:hRule="exact" w:val="283"/>
        </w:trPr>
        <w:tc>
          <w:tcPr>
            <w:tcW w:w="2222" w:type="dxa"/>
            <w:tcBorders>
              <w:top w:val="single" w:sz="11" w:space="0" w:color="000000"/>
              <w:left w:val="single" w:sz="6" w:space="0" w:color="auto"/>
              <w:bottom w:val="single" w:sz="11" w:space="0" w:color="000000"/>
              <w:right w:val="single" w:sz="6" w:space="0" w:color="auto"/>
            </w:tcBorders>
            <w:tcMar>
              <w:top w:w="57" w:type="dxa"/>
              <w:left w:w="57" w:type="dxa"/>
              <w:bottom w:w="57" w:type="dxa"/>
              <w:right w:w="57" w:type="dxa"/>
            </w:tcMar>
          </w:tcPr>
          <w:p w:rsidR="002C5CB9" w:rsidRDefault="002C5CB9">
            <w:pPr>
              <w:pStyle w:val="NoParagraphStyle"/>
              <w:spacing w:line="240" w:lineRule="auto"/>
              <w:textAlignment w:val="auto"/>
              <w:rPr>
                <w:rFonts w:cs="Times New Roman"/>
                <w:color w:val="auto"/>
                <w:lang w:val="en-AU"/>
              </w:rPr>
            </w:pPr>
          </w:p>
        </w:tc>
        <w:tc>
          <w:tcPr>
            <w:tcW w:w="7144" w:type="dxa"/>
            <w:gridSpan w:val="9"/>
            <w:tcBorders>
              <w:top w:val="single" w:sz="11" w:space="0" w:color="000000"/>
              <w:left w:val="single" w:sz="6" w:space="0" w:color="auto"/>
              <w:bottom w:val="single" w:sz="11" w:space="0" w:color="000000"/>
              <w:right w:val="single" w:sz="6" w:space="0" w:color="auto"/>
            </w:tcBorders>
            <w:tcMar>
              <w:top w:w="57" w:type="dxa"/>
              <w:left w:w="57" w:type="dxa"/>
              <w:bottom w:w="57" w:type="dxa"/>
              <w:right w:w="57" w:type="dxa"/>
            </w:tcMar>
            <w:vAlign w:val="center"/>
          </w:tcPr>
          <w:p w:rsidR="002C5CB9" w:rsidRDefault="002C5CB9">
            <w:pPr>
              <w:pStyle w:val="ColumnHeadingTable"/>
              <w:jc w:val="center"/>
            </w:pPr>
            <w:r>
              <w:t>Median time lost for non-fatal serious claims: working weeks</w:t>
            </w:r>
          </w:p>
        </w:tc>
      </w:tr>
      <w:tr w:rsidR="002C5CB9">
        <w:trPr>
          <w:trHeight w:hRule="exact" w:val="283"/>
        </w:trPr>
        <w:tc>
          <w:tcPr>
            <w:tcW w:w="2222" w:type="dxa"/>
            <w:tcBorders>
              <w:top w:val="single" w:sz="11" w:space="0" w:color="000000"/>
              <w:left w:val="single" w:sz="6" w:space="0" w:color="auto"/>
              <w:bottom w:val="single" w:sz="6" w:space="0" w:color="auto"/>
              <w:right w:val="single" w:sz="6" w:space="0" w:color="auto"/>
            </w:tcBorders>
            <w:tcMar>
              <w:top w:w="57" w:type="dxa"/>
              <w:left w:w="57" w:type="dxa"/>
              <w:bottom w:w="57" w:type="dxa"/>
              <w:right w:w="57" w:type="dxa"/>
            </w:tcMar>
          </w:tcPr>
          <w:p w:rsidR="002C5CB9" w:rsidRDefault="002C5CB9">
            <w:pPr>
              <w:pStyle w:val="TablestubTable"/>
            </w:pPr>
            <w:r>
              <w:t xml:space="preserve">Males </w:t>
            </w:r>
          </w:p>
        </w:tc>
        <w:tc>
          <w:tcPr>
            <w:tcW w:w="794" w:type="dxa"/>
            <w:tcBorders>
              <w:top w:val="single" w:sz="11" w:space="0" w:color="000000"/>
              <w:left w:val="single" w:sz="6" w:space="0" w:color="auto"/>
              <w:bottom w:val="single" w:sz="6" w:space="0" w:color="auto"/>
              <w:right w:val="single" w:sz="6" w:space="0" w:color="auto"/>
            </w:tcBorders>
            <w:tcMar>
              <w:top w:w="57" w:type="dxa"/>
              <w:left w:w="80" w:type="dxa"/>
              <w:bottom w:w="57" w:type="dxa"/>
              <w:right w:w="57" w:type="dxa"/>
            </w:tcMar>
          </w:tcPr>
          <w:p w:rsidR="002C5CB9" w:rsidRDefault="002C5CB9">
            <w:pPr>
              <w:pStyle w:val="NumberregularTable"/>
            </w:pPr>
            <w:r>
              <w:t>5.2</w:t>
            </w:r>
          </w:p>
        </w:tc>
        <w:tc>
          <w:tcPr>
            <w:tcW w:w="794" w:type="dxa"/>
            <w:tcBorders>
              <w:top w:val="single" w:sz="11" w:space="0" w:color="000000"/>
              <w:left w:val="single" w:sz="6" w:space="0" w:color="auto"/>
              <w:bottom w:val="single" w:sz="6" w:space="0" w:color="auto"/>
              <w:right w:val="single" w:sz="6" w:space="0" w:color="auto"/>
            </w:tcBorders>
            <w:tcMar>
              <w:top w:w="57" w:type="dxa"/>
              <w:left w:w="80" w:type="dxa"/>
              <w:bottom w:w="57" w:type="dxa"/>
              <w:right w:w="57" w:type="dxa"/>
            </w:tcMar>
          </w:tcPr>
          <w:p w:rsidR="002C5CB9" w:rsidRDefault="002C5CB9">
            <w:pPr>
              <w:pStyle w:val="NumberregularTable"/>
            </w:pPr>
            <w:r>
              <w:t>4.8</w:t>
            </w:r>
          </w:p>
        </w:tc>
        <w:tc>
          <w:tcPr>
            <w:tcW w:w="793" w:type="dxa"/>
            <w:tcBorders>
              <w:top w:val="single" w:sz="11" w:space="0" w:color="000000"/>
              <w:left w:val="single" w:sz="6" w:space="0" w:color="auto"/>
              <w:bottom w:val="single" w:sz="6" w:space="0" w:color="auto"/>
              <w:right w:val="single" w:sz="6" w:space="0" w:color="auto"/>
            </w:tcBorders>
            <w:tcMar>
              <w:top w:w="57" w:type="dxa"/>
              <w:left w:w="80" w:type="dxa"/>
              <w:bottom w:w="57" w:type="dxa"/>
              <w:right w:w="57" w:type="dxa"/>
            </w:tcMar>
          </w:tcPr>
          <w:p w:rsidR="002C5CB9" w:rsidRDefault="002C5CB9">
            <w:pPr>
              <w:pStyle w:val="NumberregularTable"/>
            </w:pPr>
            <w:r>
              <w:t>5.4</w:t>
            </w:r>
          </w:p>
        </w:tc>
        <w:tc>
          <w:tcPr>
            <w:tcW w:w="794" w:type="dxa"/>
            <w:tcBorders>
              <w:top w:val="single" w:sz="11" w:space="0" w:color="000000"/>
              <w:left w:val="single" w:sz="6" w:space="0" w:color="auto"/>
              <w:bottom w:val="single" w:sz="6" w:space="0" w:color="auto"/>
              <w:right w:val="single" w:sz="6" w:space="0" w:color="auto"/>
            </w:tcBorders>
            <w:tcMar>
              <w:top w:w="57" w:type="dxa"/>
              <w:left w:w="80" w:type="dxa"/>
              <w:bottom w:w="57" w:type="dxa"/>
              <w:right w:w="57" w:type="dxa"/>
            </w:tcMar>
          </w:tcPr>
          <w:p w:rsidR="002C5CB9" w:rsidRDefault="002C5CB9">
            <w:pPr>
              <w:pStyle w:val="NumberregularTable"/>
            </w:pPr>
            <w:r>
              <w:t>5.0</w:t>
            </w:r>
          </w:p>
        </w:tc>
        <w:tc>
          <w:tcPr>
            <w:tcW w:w="794" w:type="dxa"/>
            <w:tcBorders>
              <w:top w:val="single" w:sz="11" w:space="0" w:color="000000"/>
              <w:left w:val="single" w:sz="6" w:space="0" w:color="auto"/>
              <w:bottom w:val="single" w:sz="6" w:space="0" w:color="auto"/>
              <w:right w:val="single" w:sz="6" w:space="0" w:color="auto"/>
            </w:tcBorders>
            <w:tcMar>
              <w:top w:w="57" w:type="dxa"/>
              <w:left w:w="80" w:type="dxa"/>
              <w:bottom w:w="57" w:type="dxa"/>
              <w:right w:w="57" w:type="dxa"/>
            </w:tcMar>
          </w:tcPr>
          <w:p w:rsidR="002C5CB9" w:rsidRDefault="002C5CB9">
            <w:pPr>
              <w:pStyle w:val="NumberregularTable"/>
            </w:pPr>
            <w:r>
              <w:t>5.4</w:t>
            </w:r>
          </w:p>
        </w:tc>
        <w:tc>
          <w:tcPr>
            <w:tcW w:w="794" w:type="dxa"/>
            <w:tcBorders>
              <w:top w:val="single" w:sz="11" w:space="0" w:color="000000"/>
              <w:left w:val="single" w:sz="6" w:space="0" w:color="auto"/>
              <w:bottom w:val="single" w:sz="6" w:space="0" w:color="auto"/>
              <w:right w:val="single" w:sz="6" w:space="0" w:color="auto"/>
            </w:tcBorders>
            <w:tcMar>
              <w:top w:w="57" w:type="dxa"/>
              <w:left w:w="80" w:type="dxa"/>
              <w:bottom w:w="57" w:type="dxa"/>
              <w:right w:w="57" w:type="dxa"/>
            </w:tcMar>
          </w:tcPr>
          <w:p w:rsidR="002C5CB9" w:rsidRDefault="002C5CB9">
            <w:pPr>
              <w:pStyle w:val="NumberregularTable"/>
            </w:pPr>
            <w:r>
              <w:t>5.8</w:t>
            </w:r>
          </w:p>
        </w:tc>
        <w:tc>
          <w:tcPr>
            <w:tcW w:w="793" w:type="dxa"/>
            <w:tcBorders>
              <w:top w:val="single" w:sz="11" w:space="0" w:color="000000"/>
              <w:left w:val="single" w:sz="6" w:space="0" w:color="auto"/>
              <w:bottom w:val="single" w:sz="6" w:space="0" w:color="auto"/>
              <w:right w:val="single" w:sz="6" w:space="0" w:color="auto"/>
            </w:tcBorders>
            <w:tcMar>
              <w:top w:w="57" w:type="dxa"/>
              <w:left w:w="80" w:type="dxa"/>
              <w:bottom w:w="57" w:type="dxa"/>
              <w:right w:w="57" w:type="dxa"/>
            </w:tcMar>
          </w:tcPr>
          <w:p w:rsidR="002C5CB9" w:rsidRDefault="002C5CB9">
            <w:pPr>
              <w:pStyle w:val="NumberregularTable"/>
            </w:pPr>
            <w:r>
              <w:t>5.6</w:t>
            </w:r>
          </w:p>
        </w:tc>
        <w:tc>
          <w:tcPr>
            <w:tcW w:w="794" w:type="dxa"/>
            <w:tcBorders>
              <w:top w:val="single" w:sz="11" w:space="0" w:color="000000"/>
              <w:left w:val="single" w:sz="6" w:space="0" w:color="auto"/>
              <w:bottom w:val="single" w:sz="6" w:space="0" w:color="auto"/>
              <w:right w:val="single" w:sz="6" w:space="0" w:color="auto"/>
            </w:tcBorders>
            <w:tcMar>
              <w:top w:w="57" w:type="dxa"/>
              <w:left w:w="80" w:type="dxa"/>
              <w:bottom w:w="57" w:type="dxa"/>
              <w:right w:w="57" w:type="dxa"/>
            </w:tcMar>
          </w:tcPr>
          <w:p w:rsidR="002C5CB9" w:rsidRDefault="002C5CB9">
            <w:pPr>
              <w:pStyle w:val="NumberregularTable"/>
            </w:pPr>
            <w:r>
              <w:t>5.6</w:t>
            </w:r>
          </w:p>
        </w:tc>
        <w:tc>
          <w:tcPr>
            <w:tcW w:w="794" w:type="dxa"/>
            <w:tcBorders>
              <w:top w:val="single" w:sz="11" w:space="0" w:color="000000"/>
              <w:left w:val="single" w:sz="6" w:space="0" w:color="auto"/>
              <w:bottom w:val="single" w:sz="6" w:space="0" w:color="auto"/>
              <w:right w:val="single" w:sz="6" w:space="0" w:color="auto"/>
            </w:tcBorders>
            <w:tcMar>
              <w:top w:w="57" w:type="dxa"/>
              <w:left w:w="80" w:type="dxa"/>
              <w:bottom w:w="57" w:type="dxa"/>
              <w:right w:w="57" w:type="dxa"/>
            </w:tcMar>
          </w:tcPr>
          <w:p w:rsidR="002C5CB9" w:rsidRDefault="002C5CB9">
            <w:pPr>
              <w:pStyle w:val="NumberregularTable"/>
            </w:pPr>
            <w:r>
              <w:t>5.6</w:t>
            </w:r>
          </w:p>
        </w:tc>
      </w:tr>
      <w:tr w:rsidR="002C5CB9">
        <w:trPr>
          <w:trHeight w:hRule="exact" w:val="283"/>
        </w:trPr>
        <w:tc>
          <w:tcPr>
            <w:tcW w:w="222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2C5CB9" w:rsidRDefault="002C5CB9">
            <w:pPr>
              <w:pStyle w:val="TablestubTable"/>
            </w:pPr>
            <w:r>
              <w:t>Females</w:t>
            </w:r>
          </w:p>
        </w:tc>
        <w:tc>
          <w:tcPr>
            <w:tcW w:w="794" w:type="dxa"/>
            <w:tcBorders>
              <w:top w:val="single" w:sz="6" w:space="0" w:color="auto"/>
              <w:left w:val="single" w:sz="6" w:space="0" w:color="auto"/>
              <w:bottom w:val="single" w:sz="6" w:space="0" w:color="auto"/>
              <w:right w:val="single" w:sz="6" w:space="0" w:color="auto"/>
            </w:tcBorders>
            <w:tcMar>
              <w:top w:w="57" w:type="dxa"/>
              <w:left w:w="80" w:type="dxa"/>
              <w:bottom w:w="57" w:type="dxa"/>
              <w:right w:w="57" w:type="dxa"/>
            </w:tcMar>
          </w:tcPr>
          <w:p w:rsidR="002C5CB9" w:rsidRDefault="002C5CB9">
            <w:pPr>
              <w:pStyle w:val="NumberregularTable"/>
            </w:pPr>
            <w:r>
              <w:t>5.8</w:t>
            </w:r>
          </w:p>
        </w:tc>
        <w:tc>
          <w:tcPr>
            <w:tcW w:w="794" w:type="dxa"/>
            <w:tcBorders>
              <w:top w:val="single" w:sz="6" w:space="0" w:color="auto"/>
              <w:left w:val="single" w:sz="6" w:space="0" w:color="auto"/>
              <w:bottom w:val="single" w:sz="6" w:space="0" w:color="auto"/>
              <w:right w:val="single" w:sz="6" w:space="0" w:color="auto"/>
            </w:tcBorders>
            <w:tcMar>
              <w:top w:w="57" w:type="dxa"/>
              <w:left w:w="80" w:type="dxa"/>
              <w:bottom w:w="57" w:type="dxa"/>
              <w:right w:w="57" w:type="dxa"/>
            </w:tcMar>
          </w:tcPr>
          <w:p w:rsidR="002C5CB9" w:rsidRDefault="002C5CB9">
            <w:pPr>
              <w:pStyle w:val="NumberregularTable"/>
            </w:pPr>
            <w:r>
              <w:t>6.0</w:t>
            </w:r>
          </w:p>
        </w:tc>
        <w:tc>
          <w:tcPr>
            <w:tcW w:w="793" w:type="dxa"/>
            <w:tcBorders>
              <w:top w:val="single" w:sz="6" w:space="0" w:color="auto"/>
              <w:left w:val="single" w:sz="6" w:space="0" w:color="auto"/>
              <w:bottom w:val="single" w:sz="6" w:space="0" w:color="auto"/>
              <w:right w:val="single" w:sz="6" w:space="0" w:color="auto"/>
            </w:tcBorders>
            <w:tcMar>
              <w:top w:w="57" w:type="dxa"/>
              <w:left w:w="80" w:type="dxa"/>
              <w:bottom w:w="57" w:type="dxa"/>
              <w:right w:w="57" w:type="dxa"/>
            </w:tcMar>
          </w:tcPr>
          <w:p w:rsidR="002C5CB9" w:rsidRDefault="002C5CB9">
            <w:pPr>
              <w:pStyle w:val="NumberregularTable"/>
            </w:pPr>
            <w:r>
              <w:t>8.3</w:t>
            </w:r>
          </w:p>
        </w:tc>
        <w:tc>
          <w:tcPr>
            <w:tcW w:w="794" w:type="dxa"/>
            <w:tcBorders>
              <w:top w:val="single" w:sz="6" w:space="0" w:color="auto"/>
              <w:left w:val="single" w:sz="6" w:space="0" w:color="auto"/>
              <w:bottom w:val="single" w:sz="6" w:space="0" w:color="auto"/>
              <w:right w:val="single" w:sz="6" w:space="0" w:color="auto"/>
            </w:tcBorders>
            <w:tcMar>
              <w:top w:w="57" w:type="dxa"/>
              <w:left w:w="80" w:type="dxa"/>
              <w:bottom w:w="57" w:type="dxa"/>
              <w:right w:w="57" w:type="dxa"/>
            </w:tcMar>
          </w:tcPr>
          <w:p w:rsidR="002C5CB9" w:rsidRDefault="002C5CB9">
            <w:pPr>
              <w:pStyle w:val="NumberregularTable"/>
            </w:pPr>
            <w:r>
              <w:t>5.8</w:t>
            </w:r>
          </w:p>
        </w:tc>
        <w:tc>
          <w:tcPr>
            <w:tcW w:w="794" w:type="dxa"/>
            <w:tcBorders>
              <w:top w:val="single" w:sz="6" w:space="0" w:color="auto"/>
              <w:left w:val="single" w:sz="6" w:space="0" w:color="auto"/>
              <w:bottom w:val="single" w:sz="6" w:space="0" w:color="auto"/>
              <w:right w:val="single" w:sz="6" w:space="0" w:color="auto"/>
            </w:tcBorders>
            <w:tcMar>
              <w:top w:w="57" w:type="dxa"/>
              <w:left w:w="80" w:type="dxa"/>
              <w:bottom w:w="57" w:type="dxa"/>
              <w:right w:w="57" w:type="dxa"/>
            </w:tcMar>
          </w:tcPr>
          <w:p w:rsidR="002C5CB9" w:rsidRDefault="002C5CB9">
            <w:pPr>
              <w:pStyle w:val="NumberregularTable"/>
            </w:pPr>
            <w:r>
              <w:t>6.4</w:t>
            </w:r>
          </w:p>
        </w:tc>
        <w:tc>
          <w:tcPr>
            <w:tcW w:w="794" w:type="dxa"/>
            <w:tcBorders>
              <w:top w:val="single" w:sz="6" w:space="0" w:color="auto"/>
              <w:left w:val="single" w:sz="6" w:space="0" w:color="auto"/>
              <w:bottom w:val="single" w:sz="6" w:space="0" w:color="auto"/>
              <w:right w:val="single" w:sz="6" w:space="0" w:color="auto"/>
            </w:tcBorders>
            <w:tcMar>
              <w:top w:w="57" w:type="dxa"/>
              <w:left w:w="80" w:type="dxa"/>
              <w:bottom w:w="57" w:type="dxa"/>
              <w:right w:w="57" w:type="dxa"/>
            </w:tcMar>
          </w:tcPr>
          <w:p w:rsidR="002C5CB9" w:rsidRDefault="002C5CB9">
            <w:pPr>
              <w:pStyle w:val="NumberregularTable"/>
            </w:pPr>
            <w:r>
              <w:t>5.6</w:t>
            </w:r>
          </w:p>
        </w:tc>
        <w:tc>
          <w:tcPr>
            <w:tcW w:w="793" w:type="dxa"/>
            <w:tcBorders>
              <w:top w:val="single" w:sz="6" w:space="0" w:color="auto"/>
              <w:left w:val="single" w:sz="6" w:space="0" w:color="auto"/>
              <w:bottom w:val="single" w:sz="6" w:space="0" w:color="auto"/>
              <w:right w:val="single" w:sz="6" w:space="0" w:color="auto"/>
            </w:tcBorders>
            <w:tcMar>
              <w:top w:w="57" w:type="dxa"/>
              <w:left w:w="80" w:type="dxa"/>
              <w:bottom w:w="57" w:type="dxa"/>
              <w:right w:w="57" w:type="dxa"/>
            </w:tcMar>
          </w:tcPr>
          <w:p w:rsidR="002C5CB9" w:rsidRDefault="002C5CB9">
            <w:pPr>
              <w:pStyle w:val="NumberregularTable"/>
            </w:pPr>
            <w:r>
              <w:t>8.9</w:t>
            </w:r>
          </w:p>
        </w:tc>
        <w:tc>
          <w:tcPr>
            <w:tcW w:w="794" w:type="dxa"/>
            <w:tcBorders>
              <w:top w:val="single" w:sz="6" w:space="0" w:color="auto"/>
              <w:left w:val="single" w:sz="6" w:space="0" w:color="auto"/>
              <w:bottom w:val="single" w:sz="6" w:space="0" w:color="auto"/>
              <w:right w:val="single" w:sz="6" w:space="0" w:color="auto"/>
            </w:tcBorders>
            <w:tcMar>
              <w:top w:w="57" w:type="dxa"/>
              <w:left w:w="80" w:type="dxa"/>
              <w:bottom w:w="57" w:type="dxa"/>
              <w:right w:w="57" w:type="dxa"/>
            </w:tcMar>
          </w:tcPr>
          <w:p w:rsidR="002C5CB9" w:rsidRDefault="002C5CB9">
            <w:pPr>
              <w:pStyle w:val="NumberregularTable"/>
            </w:pPr>
            <w:r>
              <w:t>7.0</w:t>
            </w:r>
          </w:p>
        </w:tc>
        <w:tc>
          <w:tcPr>
            <w:tcW w:w="794" w:type="dxa"/>
            <w:tcBorders>
              <w:top w:val="single" w:sz="6" w:space="0" w:color="auto"/>
              <w:left w:val="single" w:sz="6" w:space="0" w:color="auto"/>
              <w:bottom w:val="single" w:sz="6" w:space="0" w:color="auto"/>
              <w:right w:val="single" w:sz="6" w:space="0" w:color="auto"/>
            </w:tcBorders>
            <w:tcMar>
              <w:top w:w="57" w:type="dxa"/>
              <w:left w:w="80" w:type="dxa"/>
              <w:bottom w:w="57" w:type="dxa"/>
              <w:right w:w="57" w:type="dxa"/>
            </w:tcMar>
          </w:tcPr>
          <w:p w:rsidR="002C5CB9" w:rsidRDefault="002C5CB9">
            <w:pPr>
              <w:pStyle w:val="NumberregularTable"/>
            </w:pPr>
            <w:r>
              <w:t>8.3</w:t>
            </w:r>
          </w:p>
        </w:tc>
      </w:tr>
      <w:tr w:rsidR="002C5CB9" w:rsidTr="00CB0456">
        <w:trPr>
          <w:trHeight w:hRule="exact" w:val="459"/>
        </w:trPr>
        <w:tc>
          <w:tcPr>
            <w:tcW w:w="222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bottom"/>
          </w:tcPr>
          <w:p w:rsidR="002C5CB9" w:rsidRDefault="002C5CB9">
            <w:pPr>
              <w:pStyle w:val="TotalHeadingTable"/>
            </w:pPr>
            <w:r>
              <w:t>Total serious non-fatal claims</w:t>
            </w:r>
          </w:p>
        </w:tc>
        <w:tc>
          <w:tcPr>
            <w:tcW w:w="794" w:type="dxa"/>
            <w:tcBorders>
              <w:top w:val="single" w:sz="6" w:space="0" w:color="auto"/>
              <w:left w:val="single" w:sz="6" w:space="0" w:color="auto"/>
              <w:bottom w:val="single" w:sz="6" w:space="0" w:color="auto"/>
              <w:right w:val="single" w:sz="6" w:space="0" w:color="auto"/>
            </w:tcBorders>
            <w:tcMar>
              <w:top w:w="57" w:type="dxa"/>
              <w:left w:w="80" w:type="dxa"/>
              <w:bottom w:w="57" w:type="dxa"/>
              <w:right w:w="57" w:type="dxa"/>
            </w:tcMar>
            <w:vAlign w:val="bottom"/>
          </w:tcPr>
          <w:p w:rsidR="002C5CB9" w:rsidRDefault="002C5CB9">
            <w:pPr>
              <w:pStyle w:val="TotalCellTable"/>
            </w:pPr>
            <w:r>
              <w:t>5.2</w:t>
            </w:r>
          </w:p>
        </w:tc>
        <w:tc>
          <w:tcPr>
            <w:tcW w:w="794" w:type="dxa"/>
            <w:tcBorders>
              <w:top w:val="single" w:sz="6" w:space="0" w:color="auto"/>
              <w:left w:val="single" w:sz="6" w:space="0" w:color="auto"/>
              <w:bottom w:val="single" w:sz="6" w:space="0" w:color="auto"/>
              <w:right w:val="single" w:sz="6" w:space="0" w:color="auto"/>
            </w:tcBorders>
            <w:tcMar>
              <w:top w:w="57" w:type="dxa"/>
              <w:left w:w="80" w:type="dxa"/>
              <w:bottom w:w="57" w:type="dxa"/>
              <w:right w:w="57" w:type="dxa"/>
            </w:tcMar>
            <w:vAlign w:val="bottom"/>
          </w:tcPr>
          <w:p w:rsidR="002C5CB9" w:rsidRDefault="002C5CB9">
            <w:pPr>
              <w:pStyle w:val="TotalCellTable"/>
            </w:pPr>
            <w:r>
              <w:t>4.8</w:t>
            </w:r>
          </w:p>
        </w:tc>
        <w:tc>
          <w:tcPr>
            <w:tcW w:w="793" w:type="dxa"/>
            <w:tcBorders>
              <w:top w:val="single" w:sz="6" w:space="0" w:color="auto"/>
              <w:left w:val="single" w:sz="6" w:space="0" w:color="auto"/>
              <w:bottom w:val="single" w:sz="6" w:space="0" w:color="auto"/>
              <w:right w:val="single" w:sz="6" w:space="0" w:color="auto"/>
            </w:tcBorders>
            <w:tcMar>
              <w:top w:w="57" w:type="dxa"/>
              <w:left w:w="80" w:type="dxa"/>
              <w:bottom w:w="57" w:type="dxa"/>
              <w:right w:w="57" w:type="dxa"/>
            </w:tcMar>
            <w:vAlign w:val="bottom"/>
          </w:tcPr>
          <w:p w:rsidR="002C5CB9" w:rsidRDefault="002C5CB9">
            <w:pPr>
              <w:pStyle w:val="TotalCellTable"/>
            </w:pPr>
            <w:r>
              <w:t>5.4</w:t>
            </w:r>
          </w:p>
        </w:tc>
        <w:tc>
          <w:tcPr>
            <w:tcW w:w="794" w:type="dxa"/>
            <w:tcBorders>
              <w:top w:val="single" w:sz="6" w:space="0" w:color="auto"/>
              <w:left w:val="single" w:sz="6" w:space="0" w:color="auto"/>
              <w:bottom w:val="single" w:sz="6" w:space="0" w:color="auto"/>
              <w:right w:val="single" w:sz="6" w:space="0" w:color="auto"/>
            </w:tcBorders>
            <w:tcMar>
              <w:top w:w="57" w:type="dxa"/>
              <w:left w:w="80" w:type="dxa"/>
              <w:bottom w:w="57" w:type="dxa"/>
              <w:right w:w="57" w:type="dxa"/>
            </w:tcMar>
            <w:vAlign w:val="bottom"/>
          </w:tcPr>
          <w:p w:rsidR="002C5CB9" w:rsidRDefault="002C5CB9">
            <w:pPr>
              <w:pStyle w:val="TotalCellTable"/>
            </w:pPr>
            <w:r>
              <w:t>5.0</w:t>
            </w:r>
          </w:p>
        </w:tc>
        <w:tc>
          <w:tcPr>
            <w:tcW w:w="794" w:type="dxa"/>
            <w:tcBorders>
              <w:top w:val="single" w:sz="6" w:space="0" w:color="auto"/>
              <w:left w:val="single" w:sz="6" w:space="0" w:color="auto"/>
              <w:bottom w:val="single" w:sz="6" w:space="0" w:color="auto"/>
              <w:right w:val="single" w:sz="6" w:space="0" w:color="auto"/>
            </w:tcBorders>
            <w:tcMar>
              <w:top w:w="57" w:type="dxa"/>
              <w:left w:w="80" w:type="dxa"/>
              <w:bottom w:w="57" w:type="dxa"/>
              <w:right w:w="57" w:type="dxa"/>
            </w:tcMar>
            <w:vAlign w:val="bottom"/>
          </w:tcPr>
          <w:p w:rsidR="002C5CB9" w:rsidRDefault="002C5CB9">
            <w:pPr>
              <w:pStyle w:val="TotalCellTable"/>
            </w:pPr>
            <w:r>
              <w:t>5.4</w:t>
            </w:r>
          </w:p>
        </w:tc>
        <w:tc>
          <w:tcPr>
            <w:tcW w:w="794" w:type="dxa"/>
            <w:tcBorders>
              <w:top w:val="single" w:sz="6" w:space="0" w:color="auto"/>
              <w:left w:val="single" w:sz="6" w:space="0" w:color="auto"/>
              <w:bottom w:val="single" w:sz="6" w:space="0" w:color="auto"/>
              <w:right w:val="single" w:sz="6" w:space="0" w:color="auto"/>
            </w:tcBorders>
            <w:tcMar>
              <w:top w:w="57" w:type="dxa"/>
              <w:left w:w="80" w:type="dxa"/>
              <w:bottom w:w="57" w:type="dxa"/>
              <w:right w:w="57" w:type="dxa"/>
            </w:tcMar>
            <w:vAlign w:val="bottom"/>
          </w:tcPr>
          <w:p w:rsidR="002C5CB9" w:rsidRDefault="002C5CB9">
            <w:pPr>
              <w:pStyle w:val="TotalCellTable"/>
            </w:pPr>
            <w:r>
              <w:t>5.8</w:t>
            </w:r>
          </w:p>
        </w:tc>
        <w:tc>
          <w:tcPr>
            <w:tcW w:w="793" w:type="dxa"/>
            <w:tcBorders>
              <w:top w:val="single" w:sz="6" w:space="0" w:color="auto"/>
              <w:left w:val="single" w:sz="6" w:space="0" w:color="auto"/>
              <w:bottom w:val="single" w:sz="6" w:space="0" w:color="auto"/>
              <w:right w:val="single" w:sz="6" w:space="0" w:color="auto"/>
            </w:tcBorders>
            <w:tcMar>
              <w:top w:w="57" w:type="dxa"/>
              <w:left w:w="80" w:type="dxa"/>
              <w:bottom w:w="57" w:type="dxa"/>
              <w:right w:w="57" w:type="dxa"/>
            </w:tcMar>
            <w:vAlign w:val="bottom"/>
          </w:tcPr>
          <w:p w:rsidR="002C5CB9" w:rsidRDefault="002C5CB9">
            <w:pPr>
              <w:pStyle w:val="TotalCellTable"/>
            </w:pPr>
            <w:r>
              <w:t>5.8</w:t>
            </w:r>
          </w:p>
        </w:tc>
        <w:tc>
          <w:tcPr>
            <w:tcW w:w="794" w:type="dxa"/>
            <w:tcBorders>
              <w:top w:val="single" w:sz="6" w:space="0" w:color="auto"/>
              <w:left w:val="single" w:sz="6" w:space="0" w:color="auto"/>
              <w:bottom w:val="single" w:sz="6" w:space="0" w:color="auto"/>
              <w:right w:val="single" w:sz="6" w:space="0" w:color="auto"/>
            </w:tcBorders>
            <w:tcMar>
              <w:top w:w="57" w:type="dxa"/>
              <w:left w:w="80" w:type="dxa"/>
              <w:bottom w:w="57" w:type="dxa"/>
              <w:right w:w="57" w:type="dxa"/>
            </w:tcMar>
            <w:vAlign w:val="bottom"/>
          </w:tcPr>
          <w:p w:rsidR="002C5CB9" w:rsidRDefault="002C5CB9">
            <w:pPr>
              <w:pStyle w:val="TotalCellTable"/>
            </w:pPr>
            <w:r>
              <w:t>5.6</w:t>
            </w:r>
          </w:p>
        </w:tc>
        <w:tc>
          <w:tcPr>
            <w:tcW w:w="794" w:type="dxa"/>
            <w:tcBorders>
              <w:top w:val="single" w:sz="6" w:space="0" w:color="auto"/>
              <w:left w:val="single" w:sz="6" w:space="0" w:color="auto"/>
              <w:bottom w:val="single" w:sz="6" w:space="0" w:color="auto"/>
              <w:right w:val="single" w:sz="6" w:space="0" w:color="auto"/>
            </w:tcBorders>
            <w:tcMar>
              <w:top w:w="57" w:type="dxa"/>
              <w:left w:w="80" w:type="dxa"/>
              <w:bottom w:w="57" w:type="dxa"/>
              <w:right w:w="57" w:type="dxa"/>
            </w:tcMar>
            <w:vAlign w:val="bottom"/>
          </w:tcPr>
          <w:p w:rsidR="002C5CB9" w:rsidRDefault="002C5CB9">
            <w:pPr>
              <w:pStyle w:val="TotalCellTable"/>
            </w:pPr>
            <w:r>
              <w:t>5.7</w:t>
            </w:r>
          </w:p>
        </w:tc>
      </w:tr>
      <w:tr w:rsidR="002C5CB9" w:rsidTr="00CB0456">
        <w:trPr>
          <w:trHeight w:hRule="exact" w:val="459"/>
        </w:trPr>
        <w:tc>
          <w:tcPr>
            <w:tcW w:w="2222" w:type="dxa"/>
            <w:tcBorders>
              <w:top w:val="single" w:sz="6" w:space="0" w:color="auto"/>
              <w:left w:val="single" w:sz="6" w:space="0" w:color="auto"/>
              <w:bottom w:val="single" w:sz="6" w:space="0" w:color="auto"/>
              <w:right w:val="single" w:sz="6" w:space="0" w:color="auto"/>
            </w:tcBorders>
            <w:shd w:val="clear" w:color="001E5B" w:fill="auto"/>
            <w:tcMar>
              <w:top w:w="57" w:type="dxa"/>
              <w:left w:w="57" w:type="dxa"/>
              <w:bottom w:w="57" w:type="dxa"/>
              <w:right w:w="57" w:type="dxa"/>
            </w:tcMar>
            <w:vAlign w:val="bottom"/>
          </w:tcPr>
          <w:p w:rsidR="002C5CB9" w:rsidRDefault="002C5CB9">
            <w:pPr>
              <w:pStyle w:val="TotalHeadingTable"/>
            </w:pPr>
            <w:r>
              <w:t>All industries non-fatal claims</w:t>
            </w:r>
          </w:p>
        </w:tc>
        <w:tc>
          <w:tcPr>
            <w:tcW w:w="794"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57" w:type="dxa"/>
            </w:tcMar>
            <w:vAlign w:val="bottom"/>
          </w:tcPr>
          <w:p w:rsidR="002C5CB9" w:rsidRDefault="002C5CB9">
            <w:pPr>
              <w:pStyle w:val="TotalCellTable"/>
            </w:pPr>
            <w:r>
              <w:t>4.0</w:t>
            </w:r>
          </w:p>
        </w:tc>
        <w:tc>
          <w:tcPr>
            <w:tcW w:w="794"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57" w:type="dxa"/>
            </w:tcMar>
            <w:vAlign w:val="bottom"/>
          </w:tcPr>
          <w:p w:rsidR="002C5CB9" w:rsidRDefault="002C5CB9">
            <w:pPr>
              <w:pStyle w:val="TotalCellTable"/>
            </w:pPr>
            <w:r>
              <w:t>3.7</w:t>
            </w:r>
          </w:p>
        </w:tc>
        <w:tc>
          <w:tcPr>
            <w:tcW w:w="793"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57" w:type="dxa"/>
            </w:tcMar>
            <w:vAlign w:val="bottom"/>
          </w:tcPr>
          <w:p w:rsidR="002C5CB9" w:rsidRDefault="002C5CB9">
            <w:pPr>
              <w:pStyle w:val="TotalCellTable"/>
            </w:pPr>
            <w:r>
              <w:t>3.6</w:t>
            </w:r>
          </w:p>
        </w:tc>
        <w:tc>
          <w:tcPr>
            <w:tcW w:w="794"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57" w:type="dxa"/>
            </w:tcMar>
            <w:vAlign w:val="bottom"/>
          </w:tcPr>
          <w:p w:rsidR="002C5CB9" w:rsidRDefault="002C5CB9">
            <w:pPr>
              <w:pStyle w:val="TotalCellTable"/>
            </w:pPr>
            <w:r>
              <w:t>4.0</w:t>
            </w:r>
          </w:p>
        </w:tc>
        <w:tc>
          <w:tcPr>
            <w:tcW w:w="794"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57" w:type="dxa"/>
            </w:tcMar>
            <w:vAlign w:val="bottom"/>
          </w:tcPr>
          <w:p w:rsidR="002C5CB9" w:rsidRDefault="002C5CB9">
            <w:pPr>
              <w:pStyle w:val="TotalCellTable"/>
            </w:pPr>
            <w:r>
              <w:t>4.0</w:t>
            </w:r>
          </w:p>
        </w:tc>
        <w:tc>
          <w:tcPr>
            <w:tcW w:w="794"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57" w:type="dxa"/>
            </w:tcMar>
            <w:vAlign w:val="bottom"/>
          </w:tcPr>
          <w:p w:rsidR="002C5CB9" w:rsidRDefault="002C5CB9">
            <w:pPr>
              <w:pStyle w:val="TotalCellTable"/>
            </w:pPr>
            <w:r>
              <w:t>4.0</w:t>
            </w:r>
          </w:p>
        </w:tc>
        <w:tc>
          <w:tcPr>
            <w:tcW w:w="793"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57" w:type="dxa"/>
            </w:tcMar>
            <w:vAlign w:val="bottom"/>
          </w:tcPr>
          <w:p w:rsidR="002C5CB9" w:rsidRDefault="002C5CB9">
            <w:pPr>
              <w:pStyle w:val="TotalCellTable"/>
            </w:pPr>
            <w:r>
              <w:t>4.2</w:t>
            </w:r>
          </w:p>
        </w:tc>
        <w:tc>
          <w:tcPr>
            <w:tcW w:w="794"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57" w:type="dxa"/>
            </w:tcMar>
            <w:vAlign w:val="bottom"/>
          </w:tcPr>
          <w:p w:rsidR="002C5CB9" w:rsidRDefault="002C5CB9">
            <w:pPr>
              <w:pStyle w:val="TotalCellTable"/>
            </w:pPr>
            <w:r>
              <w:t>4.2</w:t>
            </w:r>
          </w:p>
        </w:tc>
        <w:tc>
          <w:tcPr>
            <w:tcW w:w="794" w:type="dxa"/>
            <w:tcBorders>
              <w:top w:val="single" w:sz="6" w:space="0" w:color="auto"/>
              <w:left w:val="single" w:sz="6" w:space="0" w:color="auto"/>
              <w:bottom w:val="single" w:sz="6" w:space="0" w:color="auto"/>
              <w:right w:val="single" w:sz="6" w:space="0" w:color="auto"/>
            </w:tcBorders>
            <w:shd w:val="clear" w:color="001E5B" w:fill="auto"/>
            <w:tcMar>
              <w:top w:w="57" w:type="dxa"/>
              <w:left w:w="80" w:type="dxa"/>
              <w:bottom w:w="57" w:type="dxa"/>
              <w:right w:w="57" w:type="dxa"/>
            </w:tcMar>
            <w:vAlign w:val="bottom"/>
          </w:tcPr>
          <w:p w:rsidR="002C5CB9" w:rsidRDefault="002C5CB9">
            <w:pPr>
              <w:pStyle w:val="TotalCellTable"/>
            </w:pPr>
            <w:r>
              <w:t>4.2</w:t>
            </w:r>
          </w:p>
        </w:tc>
      </w:tr>
      <w:tr w:rsidR="002C5CB9" w:rsidTr="00CB0456">
        <w:trPr>
          <w:trHeight w:hRule="exact" w:val="283"/>
        </w:trPr>
        <w:tc>
          <w:tcPr>
            <w:tcW w:w="2222" w:type="dxa"/>
            <w:tcBorders>
              <w:top w:val="single" w:sz="6" w:space="0" w:color="auto"/>
              <w:left w:val="single" w:sz="6" w:space="0" w:color="auto"/>
              <w:bottom w:val="single" w:sz="11" w:space="0" w:color="000000"/>
              <w:right w:val="single" w:sz="6" w:space="0" w:color="auto"/>
            </w:tcBorders>
            <w:tcMar>
              <w:top w:w="57" w:type="dxa"/>
              <w:left w:w="57" w:type="dxa"/>
              <w:bottom w:w="57" w:type="dxa"/>
              <w:right w:w="80" w:type="dxa"/>
            </w:tcMar>
          </w:tcPr>
          <w:p w:rsidR="002C5CB9" w:rsidRDefault="002C5CB9">
            <w:pPr>
              <w:pStyle w:val="NoParagraphStyle"/>
              <w:spacing w:line="240" w:lineRule="auto"/>
              <w:textAlignment w:val="auto"/>
              <w:rPr>
                <w:rFonts w:cs="Times New Roman"/>
                <w:color w:val="auto"/>
                <w:lang w:val="en-AU"/>
              </w:rPr>
            </w:pPr>
          </w:p>
        </w:tc>
        <w:tc>
          <w:tcPr>
            <w:tcW w:w="7144" w:type="dxa"/>
            <w:gridSpan w:val="9"/>
            <w:tcBorders>
              <w:top w:val="single" w:sz="6" w:space="0" w:color="auto"/>
              <w:left w:val="single" w:sz="6" w:space="0" w:color="auto"/>
              <w:bottom w:val="single" w:sz="11" w:space="0" w:color="000000"/>
              <w:right w:val="single" w:sz="6" w:space="0" w:color="auto"/>
            </w:tcBorders>
            <w:tcMar>
              <w:top w:w="57" w:type="dxa"/>
              <w:left w:w="80" w:type="dxa"/>
              <w:bottom w:w="57" w:type="dxa"/>
              <w:right w:w="80" w:type="dxa"/>
            </w:tcMar>
            <w:vAlign w:val="center"/>
          </w:tcPr>
          <w:p w:rsidR="002C5CB9" w:rsidRDefault="002C5CB9">
            <w:pPr>
              <w:pStyle w:val="ColumnHeadingTable"/>
              <w:jc w:val="center"/>
            </w:pPr>
            <w:r>
              <w:t>Median cost of non-fatal serious claims</w:t>
            </w:r>
          </w:p>
        </w:tc>
      </w:tr>
      <w:tr w:rsidR="002C5CB9">
        <w:trPr>
          <w:trHeight w:hRule="exact" w:val="283"/>
        </w:trPr>
        <w:tc>
          <w:tcPr>
            <w:tcW w:w="2222" w:type="dxa"/>
            <w:tcBorders>
              <w:top w:val="single" w:sz="11" w:space="0" w:color="000000"/>
              <w:left w:val="single" w:sz="6" w:space="0" w:color="auto"/>
              <w:bottom w:val="single" w:sz="6" w:space="0" w:color="auto"/>
              <w:right w:val="single" w:sz="6" w:space="0" w:color="auto"/>
            </w:tcBorders>
            <w:tcMar>
              <w:top w:w="57" w:type="dxa"/>
              <w:left w:w="57" w:type="dxa"/>
              <w:bottom w:w="57" w:type="dxa"/>
              <w:right w:w="57" w:type="dxa"/>
            </w:tcMar>
          </w:tcPr>
          <w:p w:rsidR="002C5CB9" w:rsidRDefault="002C5CB9">
            <w:pPr>
              <w:pStyle w:val="TablestubTable"/>
            </w:pPr>
            <w:r>
              <w:t>Males</w:t>
            </w:r>
          </w:p>
        </w:tc>
        <w:tc>
          <w:tcPr>
            <w:tcW w:w="794" w:type="dxa"/>
            <w:tcBorders>
              <w:top w:val="single" w:sz="11" w:space="0" w:color="000000"/>
              <w:left w:val="single" w:sz="6" w:space="0" w:color="auto"/>
              <w:bottom w:val="single" w:sz="6" w:space="0" w:color="auto"/>
              <w:right w:val="single" w:sz="6" w:space="0" w:color="auto"/>
            </w:tcBorders>
            <w:tcMar>
              <w:top w:w="57" w:type="dxa"/>
              <w:left w:w="57" w:type="dxa"/>
              <w:bottom w:w="57" w:type="dxa"/>
              <w:right w:w="57" w:type="dxa"/>
            </w:tcMar>
          </w:tcPr>
          <w:p w:rsidR="002C5CB9" w:rsidRDefault="002C5CB9">
            <w:pPr>
              <w:pStyle w:val="NumberregularTable"/>
            </w:pPr>
            <w:r>
              <w:t xml:space="preserve"> $6 200 </w:t>
            </w:r>
          </w:p>
        </w:tc>
        <w:tc>
          <w:tcPr>
            <w:tcW w:w="794" w:type="dxa"/>
            <w:tcBorders>
              <w:top w:val="single" w:sz="11" w:space="0" w:color="000000"/>
              <w:left w:val="single" w:sz="6" w:space="0" w:color="auto"/>
              <w:bottom w:val="single" w:sz="6" w:space="0" w:color="auto"/>
              <w:right w:val="single" w:sz="6" w:space="0" w:color="auto"/>
            </w:tcBorders>
            <w:tcMar>
              <w:top w:w="57" w:type="dxa"/>
              <w:left w:w="57" w:type="dxa"/>
              <w:bottom w:w="57" w:type="dxa"/>
              <w:right w:w="57" w:type="dxa"/>
            </w:tcMar>
          </w:tcPr>
          <w:p w:rsidR="002C5CB9" w:rsidRDefault="002C5CB9">
            <w:pPr>
              <w:pStyle w:val="NumberregularTable"/>
            </w:pPr>
            <w:r>
              <w:t xml:space="preserve"> $5 800 </w:t>
            </w:r>
          </w:p>
        </w:tc>
        <w:tc>
          <w:tcPr>
            <w:tcW w:w="793" w:type="dxa"/>
            <w:tcBorders>
              <w:top w:val="single" w:sz="11" w:space="0" w:color="000000"/>
              <w:left w:val="single" w:sz="6" w:space="0" w:color="auto"/>
              <w:bottom w:val="single" w:sz="6" w:space="0" w:color="auto"/>
              <w:right w:val="single" w:sz="6" w:space="0" w:color="auto"/>
            </w:tcBorders>
            <w:tcMar>
              <w:top w:w="57" w:type="dxa"/>
              <w:left w:w="57" w:type="dxa"/>
              <w:bottom w:w="57" w:type="dxa"/>
              <w:right w:w="57" w:type="dxa"/>
            </w:tcMar>
          </w:tcPr>
          <w:p w:rsidR="002C5CB9" w:rsidRDefault="002C5CB9">
            <w:pPr>
              <w:pStyle w:val="NumberregularTable"/>
            </w:pPr>
            <w:r>
              <w:t xml:space="preserve"> $6 700 </w:t>
            </w:r>
          </w:p>
        </w:tc>
        <w:tc>
          <w:tcPr>
            <w:tcW w:w="794" w:type="dxa"/>
            <w:tcBorders>
              <w:top w:val="single" w:sz="11" w:space="0" w:color="000000"/>
              <w:left w:val="single" w:sz="6" w:space="0" w:color="auto"/>
              <w:bottom w:val="single" w:sz="6" w:space="0" w:color="auto"/>
              <w:right w:val="single" w:sz="6" w:space="0" w:color="auto"/>
            </w:tcBorders>
            <w:tcMar>
              <w:top w:w="57" w:type="dxa"/>
              <w:left w:w="57" w:type="dxa"/>
              <w:bottom w:w="57" w:type="dxa"/>
              <w:right w:w="57" w:type="dxa"/>
            </w:tcMar>
          </w:tcPr>
          <w:p w:rsidR="002C5CB9" w:rsidRDefault="002C5CB9">
            <w:pPr>
              <w:pStyle w:val="NumberregularTable"/>
            </w:pPr>
            <w:r>
              <w:t xml:space="preserve"> $6 500 </w:t>
            </w:r>
          </w:p>
        </w:tc>
        <w:tc>
          <w:tcPr>
            <w:tcW w:w="794" w:type="dxa"/>
            <w:tcBorders>
              <w:top w:val="single" w:sz="11" w:space="0" w:color="000000"/>
              <w:left w:val="single" w:sz="6" w:space="0" w:color="auto"/>
              <w:bottom w:val="single" w:sz="6" w:space="0" w:color="auto"/>
              <w:right w:val="single" w:sz="6" w:space="0" w:color="auto"/>
            </w:tcBorders>
            <w:tcMar>
              <w:top w:w="57" w:type="dxa"/>
              <w:left w:w="57" w:type="dxa"/>
              <w:bottom w:w="57" w:type="dxa"/>
              <w:right w:w="57" w:type="dxa"/>
            </w:tcMar>
          </w:tcPr>
          <w:p w:rsidR="002C5CB9" w:rsidRDefault="002C5CB9">
            <w:pPr>
              <w:pStyle w:val="NumberregularTable"/>
            </w:pPr>
            <w:r>
              <w:t xml:space="preserve"> $7 200 </w:t>
            </w:r>
          </w:p>
        </w:tc>
        <w:tc>
          <w:tcPr>
            <w:tcW w:w="794" w:type="dxa"/>
            <w:tcBorders>
              <w:top w:val="single" w:sz="11" w:space="0" w:color="000000"/>
              <w:left w:val="single" w:sz="6" w:space="0" w:color="auto"/>
              <w:bottom w:val="single" w:sz="6" w:space="0" w:color="auto"/>
              <w:right w:val="single" w:sz="6" w:space="0" w:color="auto"/>
            </w:tcBorders>
            <w:tcMar>
              <w:top w:w="57" w:type="dxa"/>
              <w:left w:w="57" w:type="dxa"/>
              <w:bottom w:w="57" w:type="dxa"/>
              <w:right w:w="57" w:type="dxa"/>
            </w:tcMar>
          </w:tcPr>
          <w:p w:rsidR="002C5CB9" w:rsidRDefault="002C5CB9">
            <w:pPr>
              <w:pStyle w:val="NumberregularTable"/>
            </w:pPr>
            <w:r>
              <w:t xml:space="preserve"> $8 700 </w:t>
            </w:r>
          </w:p>
        </w:tc>
        <w:tc>
          <w:tcPr>
            <w:tcW w:w="793" w:type="dxa"/>
            <w:tcBorders>
              <w:top w:val="single" w:sz="11" w:space="0" w:color="000000"/>
              <w:left w:val="single" w:sz="6" w:space="0" w:color="auto"/>
              <w:bottom w:val="single" w:sz="6" w:space="0" w:color="auto"/>
              <w:right w:val="single" w:sz="6" w:space="0" w:color="auto"/>
            </w:tcBorders>
            <w:tcMar>
              <w:top w:w="57" w:type="dxa"/>
              <w:left w:w="57" w:type="dxa"/>
              <w:bottom w:w="57" w:type="dxa"/>
              <w:right w:w="57" w:type="dxa"/>
            </w:tcMar>
          </w:tcPr>
          <w:p w:rsidR="002C5CB9" w:rsidRDefault="002C5CB9">
            <w:pPr>
              <w:pStyle w:val="NumberregularTable"/>
            </w:pPr>
            <w:r>
              <w:t xml:space="preserve"> $8 600 </w:t>
            </w:r>
          </w:p>
        </w:tc>
        <w:tc>
          <w:tcPr>
            <w:tcW w:w="794" w:type="dxa"/>
            <w:tcBorders>
              <w:top w:val="single" w:sz="11" w:space="0" w:color="000000"/>
              <w:left w:val="single" w:sz="6" w:space="0" w:color="auto"/>
              <w:bottom w:val="single" w:sz="6" w:space="0" w:color="auto"/>
              <w:right w:val="single" w:sz="6" w:space="0" w:color="auto"/>
            </w:tcBorders>
            <w:tcMar>
              <w:top w:w="57" w:type="dxa"/>
              <w:left w:w="57" w:type="dxa"/>
              <w:bottom w:w="57" w:type="dxa"/>
              <w:right w:w="57" w:type="dxa"/>
            </w:tcMar>
          </w:tcPr>
          <w:p w:rsidR="002C5CB9" w:rsidRDefault="002C5CB9">
            <w:pPr>
              <w:pStyle w:val="NumberregularTable"/>
            </w:pPr>
            <w:r>
              <w:t xml:space="preserve"> $8 500 </w:t>
            </w:r>
          </w:p>
        </w:tc>
        <w:tc>
          <w:tcPr>
            <w:tcW w:w="794" w:type="dxa"/>
            <w:tcBorders>
              <w:top w:val="single" w:sz="11" w:space="0" w:color="000000"/>
              <w:left w:val="single" w:sz="6" w:space="0" w:color="auto"/>
              <w:bottom w:val="single" w:sz="6" w:space="0" w:color="auto"/>
              <w:right w:val="single" w:sz="6" w:space="0" w:color="auto"/>
            </w:tcBorders>
            <w:tcMar>
              <w:top w:w="57" w:type="dxa"/>
              <w:left w:w="57" w:type="dxa"/>
              <w:bottom w:w="57" w:type="dxa"/>
              <w:right w:w="57" w:type="dxa"/>
            </w:tcMar>
          </w:tcPr>
          <w:p w:rsidR="002C5CB9" w:rsidRDefault="002C5CB9">
            <w:pPr>
              <w:pStyle w:val="NumberregularTable"/>
            </w:pPr>
            <w:r>
              <w:t xml:space="preserve"> $8 200 </w:t>
            </w:r>
          </w:p>
        </w:tc>
      </w:tr>
      <w:tr w:rsidR="002C5CB9" w:rsidTr="00A416CB">
        <w:trPr>
          <w:trHeight w:hRule="exact" w:val="549"/>
        </w:trPr>
        <w:tc>
          <w:tcPr>
            <w:tcW w:w="222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2C5CB9" w:rsidRDefault="002C5CB9">
            <w:pPr>
              <w:pStyle w:val="TablestubTable"/>
            </w:pPr>
            <w:r>
              <w:t>Females</w:t>
            </w:r>
          </w:p>
        </w:tc>
        <w:tc>
          <w:tcPr>
            <w:tcW w:w="7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2C5CB9" w:rsidRDefault="002C5CB9">
            <w:pPr>
              <w:pStyle w:val="NumberregularTable"/>
            </w:pPr>
            <w:r>
              <w:t xml:space="preserve"> $5 200 </w:t>
            </w:r>
          </w:p>
        </w:tc>
        <w:tc>
          <w:tcPr>
            <w:tcW w:w="7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2C5CB9" w:rsidRDefault="002C5CB9">
            <w:pPr>
              <w:pStyle w:val="NumberregularTable"/>
            </w:pPr>
            <w:r>
              <w:t xml:space="preserve"> $6 000 </w:t>
            </w:r>
          </w:p>
        </w:tc>
        <w:tc>
          <w:tcPr>
            <w:tcW w:w="79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2C5CB9" w:rsidRDefault="002C5CB9">
            <w:pPr>
              <w:pStyle w:val="NumberregularTable"/>
            </w:pPr>
            <w:r>
              <w:t xml:space="preserve"> $7 200 </w:t>
            </w:r>
          </w:p>
        </w:tc>
        <w:tc>
          <w:tcPr>
            <w:tcW w:w="7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2C5CB9" w:rsidRDefault="002C5CB9">
            <w:pPr>
              <w:pStyle w:val="NumberregularTable"/>
            </w:pPr>
            <w:r>
              <w:t xml:space="preserve"> $6 000 </w:t>
            </w:r>
          </w:p>
        </w:tc>
        <w:tc>
          <w:tcPr>
            <w:tcW w:w="7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2C5CB9" w:rsidRDefault="002C5CB9">
            <w:pPr>
              <w:pStyle w:val="NumberregularTable"/>
            </w:pPr>
            <w:r>
              <w:t xml:space="preserve"> $10 600 </w:t>
            </w:r>
          </w:p>
        </w:tc>
        <w:tc>
          <w:tcPr>
            <w:tcW w:w="7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2C5CB9" w:rsidRDefault="002C5CB9">
            <w:pPr>
              <w:pStyle w:val="NumberregularTable"/>
            </w:pPr>
            <w:r>
              <w:t xml:space="preserve"> $8 600 </w:t>
            </w:r>
          </w:p>
        </w:tc>
        <w:tc>
          <w:tcPr>
            <w:tcW w:w="79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2C5CB9" w:rsidRDefault="002C5CB9">
            <w:pPr>
              <w:pStyle w:val="NumberregularTable"/>
            </w:pPr>
            <w:r>
              <w:t xml:space="preserve"> $14 200 </w:t>
            </w:r>
          </w:p>
        </w:tc>
        <w:tc>
          <w:tcPr>
            <w:tcW w:w="7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2C5CB9" w:rsidRDefault="002C5CB9">
            <w:pPr>
              <w:pStyle w:val="NumberregularTable"/>
            </w:pPr>
            <w:r>
              <w:t xml:space="preserve"> $9 500 </w:t>
            </w:r>
          </w:p>
        </w:tc>
        <w:tc>
          <w:tcPr>
            <w:tcW w:w="7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2C5CB9" w:rsidRDefault="002C5CB9">
            <w:pPr>
              <w:pStyle w:val="NumberregularTable"/>
            </w:pPr>
            <w:r>
              <w:t xml:space="preserve"> $11 800 </w:t>
            </w:r>
          </w:p>
        </w:tc>
      </w:tr>
      <w:tr w:rsidR="002C5CB9" w:rsidTr="00CB0456">
        <w:trPr>
          <w:trHeight w:hRule="exact" w:val="492"/>
        </w:trPr>
        <w:tc>
          <w:tcPr>
            <w:tcW w:w="222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2C5CB9" w:rsidRDefault="002C5CB9">
            <w:pPr>
              <w:pStyle w:val="TotalHeadingTable"/>
            </w:pPr>
            <w:r>
              <w:t>Total serious non-fatal claims</w:t>
            </w:r>
          </w:p>
        </w:tc>
        <w:tc>
          <w:tcPr>
            <w:tcW w:w="7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bottom"/>
          </w:tcPr>
          <w:p w:rsidR="002C5CB9" w:rsidRDefault="002C5CB9">
            <w:pPr>
              <w:pStyle w:val="TotalCellTable"/>
            </w:pPr>
            <w:r>
              <w:t xml:space="preserve"> $6 200 </w:t>
            </w:r>
          </w:p>
        </w:tc>
        <w:tc>
          <w:tcPr>
            <w:tcW w:w="7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bottom"/>
          </w:tcPr>
          <w:p w:rsidR="002C5CB9" w:rsidRDefault="002C5CB9">
            <w:pPr>
              <w:pStyle w:val="TotalCellTable"/>
            </w:pPr>
            <w:r>
              <w:t xml:space="preserve"> $5 800 </w:t>
            </w:r>
          </w:p>
        </w:tc>
        <w:tc>
          <w:tcPr>
            <w:tcW w:w="79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bottom"/>
          </w:tcPr>
          <w:p w:rsidR="002C5CB9" w:rsidRDefault="002C5CB9">
            <w:pPr>
              <w:pStyle w:val="TotalCellTable"/>
            </w:pPr>
            <w:r>
              <w:t xml:space="preserve"> $6 700 </w:t>
            </w:r>
          </w:p>
        </w:tc>
        <w:tc>
          <w:tcPr>
            <w:tcW w:w="7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bottom"/>
          </w:tcPr>
          <w:p w:rsidR="002C5CB9" w:rsidRDefault="002C5CB9">
            <w:pPr>
              <w:pStyle w:val="TotalCellTable"/>
            </w:pPr>
            <w:r>
              <w:t xml:space="preserve"> $6 500 </w:t>
            </w:r>
          </w:p>
        </w:tc>
        <w:tc>
          <w:tcPr>
            <w:tcW w:w="7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bottom"/>
          </w:tcPr>
          <w:p w:rsidR="002C5CB9" w:rsidRDefault="002C5CB9">
            <w:pPr>
              <w:pStyle w:val="TotalCellTable"/>
            </w:pPr>
            <w:r>
              <w:t xml:space="preserve"> $7 200 </w:t>
            </w:r>
          </w:p>
        </w:tc>
        <w:tc>
          <w:tcPr>
            <w:tcW w:w="7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bottom"/>
          </w:tcPr>
          <w:p w:rsidR="002C5CB9" w:rsidRDefault="002C5CB9">
            <w:pPr>
              <w:pStyle w:val="TotalCellTable"/>
            </w:pPr>
            <w:r>
              <w:t xml:space="preserve"> $8 700 </w:t>
            </w:r>
          </w:p>
        </w:tc>
        <w:tc>
          <w:tcPr>
            <w:tcW w:w="79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bottom"/>
          </w:tcPr>
          <w:p w:rsidR="002C5CB9" w:rsidRDefault="002C5CB9">
            <w:pPr>
              <w:pStyle w:val="TotalCellTable"/>
            </w:pPr>
            <w:r>
              <w:t xml:space="preserve"> $8 700 </w:t>
            </w:r>
          </w:p>
        </w:tc>
        <w:tc>
          <w:tcPr>
            <w:tcW w:w="7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bottom"/>
          </w:tcPr>
          <w:p w:rsidR="002C5CB9" w:rsidRDefault="002C5CB9">
            <w:pPr>
              <w:pStyle w:val="TotalCellTable"/>
            </w:pPr>
            <w:r>
              <w:t xml:space="preserve"> $8 600 </w:t>
            </w:r>
          </w:p>
        </w:tc>
        <w:tc>
          <w:tcPr>
            <w:tcW w:w="7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bottom"/>
          </w:tcPr>
          <w:p w:rsidR="002C5CB9" w:rsidRDefault="002C5CB9">
            <w:pPr>
              <w:pStyle w:val="TotalCellTable"/>
            </w:pPr>
            <w:r>
              <w:t xml:space="preserve"> $8 300 </w:t>
            </w:r>
          </w:p>
        </w:tc>
      </w:tr>
      <w:tr w:rsidR="002C5CB9" w:rsidTr="003A2CAB">
        <w:trPr>
          <w:trHeight w:hRule="exact" w:val="492"/>
        </w:trPr>
        <w:tc>
          <w:tcPr>
            <w:tcW w:w="2222" w:type="dxa"/>
            <w:tcBorders>
              <w:top w:val="single" w:sz="6" w:space="0" w:color="auto"/>
              <w:left w:val="single" w:sz="6" w:space="0" w:color="auto"/>
              <w:bottom w:val="single" w:sz="6" w:space="0" w:color="auto"/>
              <w:right w:val="single" w:sz="6" w:space="0" w:color="auto"/>
            </w:tcBorders>
            <w:shd w:val="clear" w:color="001E5B" w:fill="auto"/>
            <w:tcMar>
              <w:top w:w="57" w:type="dxa"/>
              <w:left w:w="57" w:type="dxa"/>
              <w:bottom w:w="57" w:type="dxa"/>
              <w:right w:w="57" w:type="dxa"/>
            </w:tcMar>
          </w:tcPr>
          <w:p w:rsidR="002C5CB9" w:rsidRDefault="002C5CB9">
            <w:pPr>
              <w:pStyle w:val="TotalHeadingTable"/>
            </w:pPr>
            <w:r>
              <w:t>All industries non-fatal claims</w:t>
            </w:r>
          </w:p>
        </w:tc>
        <w:tc>
          <w:tcPr>
            <w:tcW w:w="794" w:type="dxa"/>
            <w:tcBorders>
              <w:top w:val="single" w:sz="6" w:space="0" w:color="auto"/>
              <w:left w:val="single" w:sz="6" w:space="0" w:color="auto"/>
              <w:bottom w:val="single" w:sz="6" w:space="0" w:color="auto"/>
              <w:right w:val="single" w:sz="6" w:space="0" w:color="auto"/>
            </w:tcBorders>
            <w:shd w:val="clear" w:color="001E5B" w:fill="auto"/>
            <w:tcMar>
              <w:top w:w="57" w:type="dxa"/>
              <w:left w:w="57" w:type="dxa"/>
              <w:bottom w:w="57" w:type="dxa"/>
              <w:right w:w="57" w:type="dxa"/>
            </w:tcMar>
            <w:vAlign w:val="bottom"/>
          </w:tcPr>
          <w:p w:rsidR="002C5CB9" w:rsidRDefault="002C5CB9">
            <w:pPr>
              <w:pStyle w:val="TotalCellTable"/>
            </w:pPr>
            <w:r>
              <w:t xml:space="preserve"> $5 800 </w:t>
            </w:r>
          </w:p>
        </w:tc>
        <w:tc>
          <w:tcPr>
            <w:tcW w:w="794" w:type="dxa"/>
            <w:tcBorders>
              <w:top w:val="single" w:sz="6" w:space="0" w:color="auto"/>
              <w:left w:val="single" w:sz="6" w:space="0" w:color="auto"/>
              <w:bottom w:val="single" w:sz="6" w:space="0" w:color="auto"/>
              <w:right w:val="single" w:sz="6" w:space="0" w:color="auto"/>
            </w:tcBorders>
            <w:shd w:val="clear" w:color="001E5B" w:fill="auto"/>
            <w:tcMar>
              <w:top w:w="57" w:type="dxa"/>
              <w:left w:w="57" w:type="dxa"/>
              <w:bottom w:w="57" w:type="dxa"/>
              <w:right w:w="57" w:type="dxa"/>
            </w:tcMar>
            <w:vAlign w:val="bottom"/>
          </w:tcPr>
          <w:p w:rsidR="002C5CB9" w:rsidRDefault="002C5CB9">
            <w:pPr>
              <w:pStyle w:val="TotalCellTable"/>
            </w:pPr>
            <w:r>
              <w:t xml:space="preserve"> $5 500 </w:t>
            </w:r>
          </w:p>
        </w:tc>
        <w:tc>
          <w:tcPr>
            <w:tcW w:w="793" w:type="dxa"/>
            <w:tcBorders>
              <w:top w:val="single" w:sz="6" w:space="0" w:color="auto"/>
              <w:left w:val="single" w:sz="6" w:space="0" w:color="auto"/>
              <w:bottom w:val="single" w:sz="6" w:space="0" w:color="auto"/>
              <w:right w:val="single" w:sz="6" w:space="0" w:color="auto"/>
            </w:tcBorders>
            <w:shd w:val="clear" w:color="001E5B" w:fill="auto"/>
            <w:tcMar>
              <w:top w:w="57" w:type="dxa"/>
              <w:left w:w="57" w:type="dxa"/>
              <w:bottom w:w="57" w:type="dxa"/>
              <w:right w:w="57" w:type="dxa"/>
            </w:tcMar>
            <w:vAlign w:val="bottom"/>
          </w:tcPr>
          <w:p w:rsidR="002C5CB9" w:rsidRDefault="002C5CB9">
            <w:pPr>
              <w:pStyle w:val="TotalCellTable"/>
            </w:pPr>
            <w:r>
              <w:t xml:space="preserve"> $5 800 </w:t>
            </w:r>
          </w:p>
        </w:tc>
        <w:tc>
          <w:tcPr>
            <w:tcW w:w="794" w:type="dxa"/>
            <w:tcBorders>
              <w:top w:val="single" w:sz="6" w:space="0" w:color="auto"/>
              <w:left w:val="single" w:sz="6" w:space="0" w:color="auto"/>
              <w:bottom w:val="single" w:sz="6" w:space="0" w:color="auto"/>
              <w:right w:val="single" w:sz="6" w:space="0" w:color="auto"/>
            </w:tcBorders>
            <w:shd w:val="clear" w:color="001E5B" w:fill="auto"/>
            <w:tcMar>
              <w:top w:w="57" w:type="dxa"/>
              <w:left w:w="57" w:type="dxa"/>
              <w:bottom w:w="57" w:type="dxa"/>
              <w:right w:w="57" w:type="dxa"/>
            </w:tcMar>
            <w:vAlign w:val="bottom"/>
          </w:tcPr>
          <w:p w:rsidR="002C5CB9" w:rsidRDefault="002C5CB9">
            <w:pPr>
              <w:pStyle w:val="TotalCellTable"/>
            </w:pPr>
            <w:r>
              <w:t xml:space="preserve"> $6 200 </w:t>
            </w:r>
          </w:p>
        </w:tc>
        <w:tc>
          <w:tcPr>
            <w:tcW w:w="794" w:type="dxa"/>
            <w:tcBorders>
              <w:top w:val="single" w:sz="6" w:space="0" w:color="auto"/>
              <w:left w:val="single" w:sz="6" w:space="0" w:color="auto"/>
              <w:bottom w:val="single" w:sz="6" w:space="0" w:color="auto"/>
              <w:right w:val="single" w:sz="6" w:space="0" w:color="auto"/>
            </w:tcBorders>
            <w:shd w:val="clear" w:color="001E5B" w:fill="auto"/>
            <w:tcMar>
              <w:top w:w="57" w:type="dxa"/>
              <w:left w:w="57" w:type="dxa"/>
              <w:bottom w:w="57" w:type="dxa"/>
              <w:right w:w="57" w:type="dxa"/>
            </w:tcMar>
            <w:vAlign w:val="bottom"/>
          </w:tcPr>
          <w:p w:rsidR="002C5CB9" w:rsidRDefault="002C5CB9">
            <w:pPr>
              <w:pStyle w:val="TotalCellTable"/>
            </w:pPr>
            <w:r>
              <w:t xml:space="preserve"> $6 700 </w:t>
            </w:r>
          </w:p>
        </w:tc>
        <w:tc>
          <w:tcPr>
            <w:tcW w:w="794" w:type="dxa"/>
            <w:tcBorders>
              <w:top w:val="single" w:sz="6" w:space="0" w:color="auto"/>
              <w:left w:val="single" w:sz="6" w:space="0" w:color="auto"/>
              <w:bottom w:val="single" w:sz="6" w:space="0" w:color="auto"/>
              <w:right w:val="single" w:sz="6" w:space="0" w:color="auto"/>
            </w:tcBorders>
            <w:shd w:val="clear" w:color="001E5B" w:fill="auto"/>
            <w:tcMar>
              <w:top w:w="57" w:type="dxa"/>
              <w:left w:w="57" w:type="dxa"/>
              <w:bottom w:w="57" w:type="dxa"/>
              <w:right w:w="57" w:type="dxa"/>
            </w:tcMar>
            <w:vAlign w:val="bottom"/>
          </w:tcPr>
          <w:p w:rsidR="002C5CB9" w:rsidRDefault="002C5CB9">
            <w:pPr>
              <w:pStyle w:val="TotalCellTable"/>
            </w:pPr>
            <w:r>
              <w:t xml:space="preserve"> $7 200 </w:t>
            </w:r>
          </w:p>
        </w:tc>
        <w:tc>
          <w:tcPr>
            <w:tcW w:w="793" w:type="dxa"/>
            <w:tcBorders>
              <w:top w:val="single" w:sz="6" w:space="0" w:color="auto"/>
              <w:left w:val="single" w:sz="6" w:space="0" w:color="auto"/>
              <w:bottom w:val="single" w:sz="6" w:space="0" w:color="auto"/>
              <w:right w:val="single" w:sz="6" w:space="0" w:color="auto"/>
            </w:tcBorders>
            <w:shd w:val="clear" w:color="001E5B" w:fill="auto"/>
            <w:tcMar>
              <w:top w:w="57" w:type="dxa"/>
              <w:left w:w="57" w:type="dxa"/>
              <w:bottom w:w="57" w:type="dxa"/>
              <w:right w:w="57" w:type="dxa"/>
            </w:tcMar>
            <w:vAlign w:val="bottom"/>
          </w:tcPr>
          <w:p w:rsidR="002C5CB9" w:rsidRDefault="002C5CB9">
            <w:pPr>
              <w:pStyle w:val="TotalCellTable"/>
            </w:pPr>
            <w:r>
              <w:t xml:space="preserve"> $8 100 </w:t>
            </w:r>
          </w:p>
        </w:tc>
        <w:tc>
          <w:tcPr>
            <w:tcW w:w="794" w:type="dxa"/>
            <w:tcBorders>
              <w:top w:val="single" w:sz="6" w:space="0" w:color="auto"/>
              <w:left w:val="single" w:sz="6" w:space="0" w:color="auto"/>
              <w:bottom w:val="single" w:sz="6" w:space="0" w:color="auto"/>
              <w:right w:val="single" w:sz="6" w:space="0" w:color="auto"/>
            </w:tcBorders>
            <w:shd w:val="clear" w:color="001E5B" w:fill="auto"/>
            <w:tcMar>
              <w:top w:w="57" w:type="dxa"/>
              <w:left w:w="57" w:type="dxa"/>
              <w:bottom w:w="57" w:type="dxa"/>
              <w:right w:w="57" w:type="dxa"/>
            </w:tcMar>
            <w:vAlign w:val="bottom"/>
          </w:tcPr>
          <w:p w:rsidR="002C5CB9" w:rsidRDefault="002C5CB9">
            <w:pPr>
              <w:pStyle w:val="TotalCellTable"/>
            </w:pPr>
            <w:r>
              <w:t xml:space="preserve"> $8 200 </w:t>
            </w:r>
          </w:p>
        </w:tc>
        <w:tc>
          <w:tcPr>
            <w:tcW w:w="794" w:type="dxa"/>
            <w:tcBorders>
              <w:top w:val="single" w:sz="6" w:space="0" w:color="auto"/>
              <w:left w:val="single" w:sz="6" w:space="0" w:color="auto"/>
              <w:bottom w:val="single" w:sz="6" w:space="0" w:color="auto"/>
              <w:right w:val="single" w:sz="6" w:space="0" w:color="auto"/>
            </w:tcBorders>
            <w:shd w:val="clear" w:color="001E5B" w:fill="auto"/>
            <w:tcMar>
              <w:top w:w="57" w:type="dxa"/>
              <w:left w:w="57" w:type="dxa"/>
              <w:bottom w:w="57" w:type="dxa"/>
              <w:right w:w="57" w:type="dxa"/>
            </w:tcMar>
            <w:vAlign w:val="bottom"/>
          </w:tcPr>
          <w:p w:rsidR="002C5CB9" w:rsidRDefault="002C5CB9">
            <w:pPr>
              <w:pStyle w:val="TotalCellTable"/>
            </w:pPr>
            <w:r>
              <w:t xml:space="preserve"> $8 000 </w:t>
            </w:r>
          </w:p>
        </w:tc>
      </w:tr>
      <w:tr w:rsidR="002C5CB9" w:rsidTr="003A2CAB">
        <w:trPr>
          <w:trHeight w:val="673"/>
        </w:trPr>
        <w:tc>
          <w:tcPr>
            <w:tcW w:w="9366" w:type="dxa"/>
            <w:gridSpan w:val="10"/>
            <w:tcBorders>
              <w:top w:val="single" w:sz="6" w:space="0" w:color="auto"/>
            </w:tcBorders>
            <w:tcMar>
              <w:top w:w="80" w:type="dxa"/>
              <w:left w:w="80" w:type="dxa"/>
              <w:bottom w:w="80" w:type="dxa"/>
              <w:right w:w="80" w:type="dxa"/>
            </w:tcMar>
          </w:tcPr>
          <w:p w:rsidR="002C5CB9" w:rsidRDefault="002C5CB9">
            <w:pPr>
              <w:pStyle w:val="NoParagraphStyle"/>
              <w:spacing w:line="240" w:lineRule="auto"/>
              <w:textAlignment w:val="auto"/>
              <w:rPr>
                <w:rFonts w:cs="Times New Roman"/>
                <w:color w:val="auto"/>
                <w:lang w:val="en-AU"/>
              </w:rPr>
            </w:pPr>
          </w:p>
        </w:tc>
      </w:tr>
    </w:tbl>
    <w:p w:rsidR="0030662C" w:rsidRDefault="0030662C">
      <w:pPr>
        <w:rPr>
          <w:rFonts w:ascii="Arial" w:eastAsiaTheme="majorEastAsia" w:hAnsi="Arial" w:cs="Arial"/>
          <w:b/>
          <w:bCs/>
          <w:color w:val="4F81BD" w:themeColor="accent1"/>
          <w:sz w:val="32"/>
          <w:szCs w:val="32"/>
        </w:rPr>
      </w:pPr>
      <w:r>
        <w:br w:type="page"/>
      </w:r>
    </w:p>
    <w:p w:rsidR="002C5CB9" w:rsidRDefault="002C5CB9" w:rsidP="0030662C">
      <w:pPr>
        <w:pStyle w:val="Colourheadingtoplevel"/>
      </w:pPr>
      <w:r>
        <w:t>Explanatory notes</w:t>
      </w:r>
    </w:p>
    <w:p w:rsidR="002C5CB9" w:rsidRDefault="002C5CB9" w:rsidP="0030662C">
      <w:pPr>
        <w:pStyle w:val="Colourheading1"/>
      </w:pPr>
      <w:r>
        <w:t>Breakdown agency</w:t>
      </w:r>
    </w:p>
    <w:p w:rsidR="002C5CB9" w:rsidRDefault="002C5CB9" w:rsidP="002C5CB9">
      <w:pPr>
        <w:pStyle w:val="BodyText"/>
      </w:pPr>
      <w:r>
        <w:t xml:space="preserve">The Breakdown Agency is intended to identify the object, substance or circumstance that was principally involved in, or most closely associated with, the point at which things started to go wrong and which ultimately led to the most serious injury or disease </w:t>
      </w:r>
    </w:p>
    <w:p w:rsidR="002C5CB9" w:rsidRDefault="002C5CB9" w:rsidP="002C5CB9">
      <w:pPr>
        <w:pStyle w:val="BodyText"/>
      </w:pPr>
      <w:r>
        <w:rPr>
          <w:rStyle w:val="Classificationitalics"/>
        </w:rPr>
        <w:t>Type of Occurrence Classification System Revised 2.1 Edition, May 2002</w:t>
      </w:r>
      <w:r>
        <w:t>, National Occupational Health and Safety Commission, Canberra.</w:t>
      </w:r>
    </w:p>
    <w:p w:rsidR="002C5CB9" w:rsidRDefault="002C5CB9" w:rsidP="0030662C">
      <w:pPr>
        <w:pStyle w:val="Colourheading1"/>
      </w:pPr>
      <w:r>
        <w:t>Mechanism of incident</w:t>
      </w:r>
    </w:p>
    <w:p w:rsidR="002C5CB9" w:rsidRDefault="002C5CB9" w:rsidP="002C5CB9">
      <w:pPr>
        <w:pStyle w:val="BodyText"/>
      </w:pPr>
      <w:r>
        <w:t>The mechanism of incident classification is intended to identify the overall action, exposure or event that best describes the circumstances that resulted in the most serious injury or disease.</w:t>
      </w:r>
    </w:p>
    <w:p w:rsidR="002C5CB9" w:rsidRDefault="002C5CB9" w:rsidP="002C5CB9">
      <w:pPr>
        <w:pStyle w:val="BodyText"/>
      </w:pPr>
      <w:r>
        <w:t xml:space="preserve">Fatalities have been coded to the </w:t>
      </w:r>
      <w:r>
        <w:rPr>
          <w:rStyle w:val="Classificationitalics"/>
        </w:rPr>
        <w:t>Type of Occurrence Classification System, Third edition (revision one), May 2008</w:t>
      </w:r>
      <w:r>
        <w:t>, Australian Safety and Compensation Council, Canberra.</w:t>
      </w:r>
    </w:p>
    <w:p w:rsidR="002C5CB9" w:rsidRDefault="002C5CB9" w:rsidP="002C5CB9">
      <w:pPr>
        <w:pStyle w:val="BodyText"/>
      </w:pPr>
      <w:r>
        <w:t xml:space="preserve">Under this edition the Mechanism of </w:t>
      </w:r>
      <w:r>
        <w:rPr>
          <w:u w:val="thick"/>
        </w:rPr>
        <w:t>incident</w:t>
      </w:r>
      <w:r>
        <w:t xml:space="preserve"> is coded.</w:t>
      </w:r>
    </w:p>
    <w:p w:rsidR="002C5CB9" w:rsidRDefault="002C5CB9" w:rsidP="0030662C">
      <w:pPr>
        <w:pStyle w:val="Colourheading1"/>
      </w:pPr>
      <w:r>
        <w:t>Mechanism of injury</w:t>
      </w:r>
    </w:p>
    <w:p w:rsidR="002C5CB9" w:rsidRDefault="002C5CB9" w:rsidP="002C5CB9">
      <w:pPr>
        <w:pStyle w:val="BodyText"/>
      </w:pPr>
      <w:r>
        <w:t xml:space="preserve">The Mechanism of Injury/Disease classification is intended to identify the action, exposure or event which was the direct cause of the most serious injury or disease. </w:t>
      </w:r>
    </w:p>
    <w:p w:rsidR="002C5CB9" w:rsidRDefault="002C5CB9" w:rsidP="002C5CB9">
      <w:pPr>
        <w:pStyle w:val="BodyText"/>
      </w:pPr>
      <w:r>
        <w:t xml:space="preserve">Currently worker’s compensation claims are coded to the </w:t>
      </w:r>
      <w:r>
        <w:rPr>
          <w:rStyle w:val="Classificationitalics"/>
        </w:rPr>
        <w:t>Type of Occurrence Classification System Revised 2.1 Edition, May 2002</w:t>
      </w:r>
      <w:r>
        <w:t>, National Occupational Health and Safety Commission, Canberra.</w:t>
      </w:r>
    </w:p>
    <w:p w:rsidR="002C5CB9" w:rsidRDefault="002C5CB9" w:rsidP="002C5CB9">
      <w:pPr>
        <w:pStyle w:val="BodyText"/>
      </w:pPr>
      <w:r>
        <w:t xml:space="preserve">Under this edition the Mechanism of </w:t>
      </w:r>
      <w:r>
        <w:rPr>
          <w:u w:val="thick"/>
        </w:rPr>
        <w:t>injury</w:t>
      </w:r>
      <w:r>
        <w:t xml:space="preserve"> is coded.</w:t>
      </w:r>
    </w:p>
    <w:p w:rsidR="002C5CB9" w:rsidRDefault="002C5CB9" w:rsidP="0030662C">
      <w:pPr>
        <w:pStyle w:val="Colourheading1"/>
      </w:pPr>
      <w:r>
        <w:t>Non-fatal serious claims</w:t>
      </w:r>
    </w:p>
    <w:p w:rsidR="00DE7506" w:rsidRDefault="002C5CB9" w:rsidP="002C5CB9">
      <w:pPr>
        <w:pStyle w:val="BodyText"/>
      </w:pPr>
      <w:r>
        <w:t>This includes claims for workers’ compensation made under the Commonwealth, State and Territory workers’ compensation Acts where there was a permanent incapacity or a temporary incapacity resulting in an absence from work of one week or more (based on an employee’s normal working week). Common law claims are included. Commuting claims are excluded. Fatalities would normally be included among serious claims but for this comparison are excluded.</w:t>
      </w:r>
    </w:p>
    <w:p w:rsidR="00DE7506" w:rsidRDefault="00DE7506">
      <w:pPr>
        <w:rPr>
          <w:rFonts w:ascii="Arial" w:hAnsi="Arial" w:cs="Arial"/>
          <w:color w:val="000000"/>
          <w:sz w:val="22"/>
          <w:szCs w:val="22"/>
          <w:lang w:val="en-US"/>
        </w:rPr>
      </w:pPr>
      <w:r>
        <w:br w:type="page"/>
      </w:r>
    </w:p>
    <w:p w:rsidR="002C5CB9" w:rsidRDefault="002C5CB9" w:rsidP="002C5CB9">
      <w:pPr>
        <w:pStyle w:val="BodyText"/>
      </w:pPr>
    </w:p>
    <w:p w:rsidR="002C5CB9" w:rsidRDefault="002C5CB9" w:rsidP="0030662C">
      <w:pPr>
        <w:pStyle w:val="Colourheadingtoplevel"/>
        <w:rPr>
          <w:color w:val="000000"/>
          <w:sz w:val="22"/>
          <w:szCs w:val="22"/>
        </w:rPr>
      </w:pPr>
      <w:r>
        <w:t>References</w:t>
      </w:r>
    </w:p>
    <w:p w:rsidR="002C5CB9" w:rsidRDefault="002C5CB9" w:rsidP="002C5CB9">
      <w:pPr>
        <w:pStyle w:val="BodyText"/>
      </w:pPr>
      <w:r>
        <w:t xml:space="preserve">Australian Bureau of Statistics (ABS), 2001, </w:t>
      </w:r>
      <w:r>
        <w:rPr>
          <w:rStyle w:val="Classificationitalics"/>
        </w:rPr>
        <w:t>Freight movements</w:t>
      </w:r>
      <w:r>
        <w:t>, Catalogue No. 9220.0. Canberra.</w:t>
      </w:r>
    </w:p>
    <w:p w:rsidR="002C5CB9" w:rsidRDefault="002C5CB9" w:rsidP="002C5CB9">
      <w:pPr>
        <w:pStyle w:val="BodyText"/>
      </w:pPr>
      <w:r>
        <w:t xml:space="preserve">Australian Institute of Criminology (AIC), 2012, Trends and issues in criminal justice, No 446, </w:t>
      </w:r>
      <w:r>
        <w:rPr>
          <w:rStyle w:val="Classificationitalics"/>
        </w:rPr>
        <w:t>Profiling heavy vehicle speeding</w:t>
      </w:r>
      <w:r>
        <w:t>. Canberra.</w:t>
      </w:r>
    </w:p>
    <w:p w:rsidR="002C5CB9" w:rsidRDefault="002C5CB9" w:rsidP="002C5CB9">
      <w:pPr>
        <w:pStyle w:val="BodyText"/>
      </w:pPr>
      <w:r>
        <w:t xml:space="preserve">Brooks, C., 2002, Australian Transport Safety Bureau, National Heavy Vehicle Safety Seminar, Melbourne, October 2002, </w:t>
      </w:r>
      <w:r>
        <w:rPr>
          <w:rStyle w:val="Classificationitalics"/>
        </w:rPr>
        <w:t>Speed and heavy vehicle safety</w:t>
      </w:r>
      <w:r>
        <w:t>, Canberra.</w:t>
      </w:r>
    </w:p>
    <w:p w:rsidR="002C5CB9" w:rsidRDefault="002C5CB9" w:rsidP="002C5CB9">
      <w:pPr>
        <w:pStyle w:val="BodyText"/>
      </w:pPr>
      <w:r>
        <w:t xml:space="preserve">Bureau of Infrastructure, Transport and Regional Economics (BITRE), 2012, </w:t>
      </w:r>
      <w:r>
        <w:rPr>
          <w:rStyle w:val="Classificationitalics"/>
        </w:rPr>
        <w:t>Fatal Heavy Vehicle Crashes Australia, April – June 2012</w:t>
      </w:r>
      <w:r>
        <w:t>, Canberra .</w:t>
      </w:r>
    </w:p>
    <w:p w:rsidR="002C5CB9" w:rsidRDefault="002C5CB9" w:rsidP="002C5CB9">
      <w:pPr>
        <w:pStyle w:val="BodyText"/>
      </w:pPr>
      <w:r>
        <w:t xml:space="preserve">Department of Transport and Regional Services (DOTRS) - Vehicle Safety Standards, 1990, Vehicle Standards Bulletin No. 2, </w:t>
      </w:r>
      <w:r>
        <w:rPr>
          <w:rStyle w:val="Classificationitalics"/>
        </w:rPr>
        <w:t>Maximum road speed limiting for heavy vehicles and buses</w:t>
      </w:r>
      <w:r>
        <w:t>. Canberra.</w:t>
      </w:r>
    </w:p>
    <w:p w:rsidR="00D16FCF" w:rsidRDefault="00D16FCF" w:rsidP="002C5CB9"/>
    <w:sectPr w:rsidR="00D16FCF" w:rsidSect="003A2CAB">
      <w:footerReference w:type="default" r:id="rId15"/>
      <w:pgSz w:w="11906" w:h="16838" w:code="9"/>
      <w:pgMar w:top="1418" w:right="1134"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6CB" w:rsidRDefault="007056CB" w:rsidP="00D00B98">
      <w:r>
        <w:separator/>
      </w:r>
    </w:p>
  </w:endnote>
  <w:endnote w:type="continuationSeparator" w:id="0">
    <w:p w:rsidR="007056CB" w:rsidRDefault="007056CB" w:rsidP="00D0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197314"/>
      <w:docPartObj>
        <w:docPartGallery w:val="Page Numbers (Bottom of Page)"/>
        <w:docPartUnique/>
      </w:docPartObj>
    </w:sdtPr>
    <w:sdtEndPr>
      <w:rPr>
        <w:noProof/>
      </w:rPr>
    </w:sdtEndPr>
    <w:sdtContent>
      <w:p w:rsidR="007056CB" w:rsidRDefault="007056CB">
        <w:pPr>
          <w:pStyle w:val="Footer"/>
          <w:jc w:val="center"/>
        </w:pPr>
        <w:r>
          <w:fldChar w:fldCharType="begin"/>
        </w:r>
        <w:r>
          <w:instrText xml:space="preserve"> PAGE   \* MERGEFORMAT </w:instrText>
        </w:r>
        <w:r>
          <w:fldChar w:fldCharType="separate"/>
        </w:r>
        <w:r w:rsidR="000B255D">
          <w:rPr>
            <w:noProof/>
          </w:rPr>
          <w:t>1</w:t>
        </w:r>
        <w:r>
          <w:rPr>
            <w:noProof/>
          </w:rPr>
          <w:fldChar w:fldCharType="end"/>
        </w:r>
      </w:p>
    </w:sdtContent>
  </w:sdt>
  <w:p w:rsidR="007056CB" w:rsidRDefault="007056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6CB" w:rsidRDefault="007056CB" w:rsidP="00D00B98">
      <w:r>
        <w:separator/>
      </w:r>
    </w:p>
  </w:footnote>
  <w:footnote w:type="continuationSeparator" w:id="0">
    <w:p w:rsidR="007056CB" w:rsidRDefault="007056CB" w:rsidP="00D00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94209"/>
    <w:multiLevelType w:val="hybridMultilevel"/>
    <w:tmpl w:val="45D8D73A"/>
    <w:lvl w:ilvl="0" w:tplc="0C090001">
      <w:start w:val="1"/>
      <w:numFmt w:val="bullet"/>
      <w:lvlText w:val=""/>
      <w:lvlJc w:val="left"/>
      <w:pPr>
        <w:ind w:left="2931" w:hanging="360"/>
      </w:pPr>
      <w:rPr>
        <w:rFonts w:ascii="Symbol" w:hAnsi="Symbol" w:hint="default"/>
      </w:rPr>
    </w:lvl>
    <w:lvl w:ilvl="1" w:tplc="0C090003">
      <w:start w:val="1"/>
      <w:numFmt w:val="bullet"/>
      <w:lvlText w:val="o"/>
      <w:lvlJc w:val="left"/>
      <w:pPr>
        <w:ind w:left="3651" w:hanging="360"/>
      </w:pPr>
      <w:rPr>
        <w:rFonts w:ascii="Courier New" w:hAnsi="Courier New" w:cs="Courier New" w:hint="default"/>
      </w:rPr>
    </w:lvl>
    <w:lvl w:ilvl="2" w:tplc="0C090005" w:tentative="1">
      <w:start w:val="1"/>
      <w:numFmt w:val="bullet"/>
      <w:lvlText w:val=""/>
      <w:lvlJc w:val="left"/>
      <w:pPr>
        <w:ind w:left="4371" w:hanging="360"/>
      </w:pPr>
      <w:rPr>
        <w:rFonts w:ascii="Wingdings" w:hAnsi="Wingdings" w:hint="default"/>
      </w:rPr>
    </w:lvl>
    <w:lvl w:ilvl="3" w:tplc="0C090001" w:tentative="1">
      <w:start w:val="1"/>
      <w:numFmt w:val="bullet"/>
      <w:lvlText w:val=""/>
      <w:lvlJc w:val="left"/>
      <w:pPr>
        <w:ind w:left="5091" w:hanging="360"/>
      </w:pPr>
      <w:rPr>
        <w:rFonts w:ascii="Symbol" w:hAnsi="Symbol" w:hint="default"/>
      </w:rPr>
    </w:lvl>
    <w:lvl w:ilvl="4" w:tplc="0C090003" w:tentative="1">
      <w:start w:val="1"/>
      <w:numFmt w:val="bullet"/>
      <w:lvlText w:val="o"/>
      <w:lvlJc w:val="left"/>
      <w:pPr>
        <w:ind w:left="5811" w:hanging="360"/>
      </w:pPr>
      <w:rPr>
        <w:rFonts w:ascii="Courier New" w:hAnsi="Courier New" w:cs="Courier New" w:hint="default"/>
      </w:rPr>
    </w:lvl>
    <w:lvl w:ilvl="5" w:tplc="0C090005" w:tentative="1">
      <w:start w:val="1"/>
      <w:numFmt w:val="bullet"/>
      <w:lvlText w:val=""/>
      <w:lvlJc w:val="left"/>
      <w:pPr>
        <w:ind w:left="6531" w:hanging="360"/>
      </w:pPr>
      <w:rPr>
        <w:rFonts w:ascii="Wingdings" w:hAnsi="Wingdings" w:hint="default"/>
      </w:rPr>
    </w:lvl>
    <w:lvl w:ilvl="6" w:tplc="0C090001" w:tentative="1">
      <w:start w:val="1"/>
      <w:numFmt w:val="bullet"/>
      <w:lvlText w:val=""/>
      <w:lvlJc w:val="left"/>
      <w:pPr>
        <w:ind w:left="7251" w:hanging="360"/>
      </w:pPr>
      <w:rPr>
        <w:rFonts w:ascii="Symbol" w:hAnsi="Symbol" w:hint="default"/>
      </w:rPr>
    </w:lvl>
    <w:lvl w:ilvl="7" w:tplc="0C090003" w:tentative="1">
      <w:start w:val="1"/>
      <w:numFmt w:val="bullet"/>
      <w:lvlText w:val="o"/>
      <w:lvlJc w:val="left"/>
      <w:pPr>
        <w:ind w:left="7971" w:hanging="360"/>
      </w:pPr>
      <w:rPr>
        <w:rFonts w:ascii="Courier New" w:hAnsi="Courier New" w:cs="Courier New" w:hint="default"/>
      </w:rPr>
    </w:lvl>
    <w:lvl w:ilvl="8" w:tplc="0C090005" w:tentative="1">
      <w:start w:val="1"/>
      <w:numFmt w:val="bullet"/>
      <w:lvlText w:val=""/>
      <w:lvlJc w:val="left"/>
      <w:pPr>
        <w:ind w:left="8691" w:hanging="360"/>
      </w:pPr>
      <w:rPr>
        <w:rFonts w:ascii="Wingdings" w:hAnsi="Wingdings" w:hint="default"/>
      </w:rPr>
    </w:lvl>
  </w:abstractNum>
  <w:abstractNum w:abstractNumId="1">
    <w:nsid w:val="7576701F"/>
    <w:multiLevelType w:val="hybridMultilevel"/>
    <w:tmpl w:val="B57CE60A"/>
    <w:lvl w:ilvl="0" w:tplc="0C090001">
      <w:start w:val="1"/>
      <w:numFmt w:val="bullet"/>
      <w:lvlText w:val=""/>
      <w:lvlJc w:val="left"/>
      <w:pPr>
        <w:ind w:left="2931" w:hanging="360"/>
      </w:pPr>
      <w:rPr>
        <w:rFonts w:ascii="Symbol" w:hAnsi="Symbol" w:hint="default"/>
      </w:rPr>
    </w:lvl>
    <w:lvl w:ilvl="1" w:tplc="0C090003">
      <w:start w:val="1"/>
      <w:numFmt w:val="bullet"/>
      <w:lvlText w:val="o"/>
      <w:lvlJc w:val="left"/>
      <w:pPr>
        <w:ind w:left="3651" w:hanging="360"/>
      </w:pPr>
      <w:rPr>
        <w:rFonts w:ascii="Courier New" w:hAnsi="Courier New" w:cs="Courier New" w:hint="default"/>
      </w:rPr>
    </w:lvl>
    <w:lvl w:ilvl="2" w:tplc="0C090005" w:tentative="1">
      <w:start w:val="1"/>
      <w:numFmt w:val="bullet"/>
      <w:lvlText w:val=""/>
      <w:lvlJc w:val="left"/>
      <w:pPr>
        <w:ind w:left="4371" w:hanging="360"/>
      </w:pPr>
      <w:rPr>
        <w:rFonts w:ascii="Wingdings" w:hAnsi="Wingdings" w:hint="default"/>
      </w:rPr>
    </w:lvl>
    <w:lvl w:ilvl="3" w:tplc="0C090001" w:tentative="1">
      <w:start w:val="1"/>
      <w:numFmt w:val="bullet"/>
      <w:lvlText w:val=""/>
      <w:lvlJc w:val="left"/>
      <w:pPr>
        <w:ind w:left="5091" w:hanging="360"/>
      </w:pPr>
      <w:rPr>
        <w:rFonts w:ascii="Symbol" w:hAnsi="Symbol" w:hint="default"/>
      </w:rPr>
    </w:lvl>
    <w:lvl w:ilvl="4" w:tplc="0C090003" w:tentative="1">
      <w:start w:val="1"/>
      <w:numFmt w:val="bullet"/>
      <w:lvlText w:val="o"/>
      <w:lvlJc w:val="left"/>
      <w:pPr>
        <w:ind w:left="5811" w:hanging="360"/>
      </w:pPr>
      <w:rPr>
        <w:rFonts w:ascii="Courier New" w:hAnsi="Courier New" w:cs="Courier New" w:hint="default"/>
      </w:rPr>
    </w:lvl>
    <w:lvl w:ilvl="5" w:tplc="0C090005" w:tentative="1">
      <w:start w:val="1"/>
      <w:numFmt w:val="bullet"/>
      <w:lvlText w:val=""/>
      <w:lvlJc w:val="left"/>
      <w:pPr>
        <w:ind w:left="6531" w:hanging="360"/>
      </w:pPr>
      <w:rPr>
        <w:rFonts w:ascii="Wingdings" w:hAnsi="Wingdings" w:hint="default"/>
      </w:rPr>
    </w:lvl>
    <w:lvl w:ilvl="6" w:tplc="0C090001" w:tentative="1">
      <w:start w:val="1"/>
      <w:numFmt w:val="bullet"/>
      <w:lvlText w:val=""/>
      <w:lvlJc w:val="left"/>
      <w:pPr>
        <w:ind w:left="7251" w:hanging="360"/>
      </w:pPr>
      <w:rPr>
        <w:rFonts w:ascii="Symbol" w:hAnsi="Symbol" w:hint="default"/>
      </w:rPr>
    </w:lvl>
    <w:lvl w:ilvl="7" w:tplc="0C090003" w:tentative="1">
      <w:start w:val="1"/>
      <w:numFmt w:val="bullet"/>
      <w:lvlText w:val="o"/>
      <w:lvlJc w:val="left"/>
      <w:pPr>
        <w:ind w:left="7971" w:hanging="360"/>
      </w:pPr>
      <w:rPr>
        <w:rFonts w:ascii="Courier New" w:hAnsi="Courier New" w:cs="Courier New" w:hint="default"/>
      </w:rPr>
    </w:lvl>
    <w:lvl w:ilvl="8" w:tplc="0C090005" w:tentative="1">
      <w:start w:val="1"/>
      <w:numFmt w:val="bullet"/>
      <w:lvlText w:val=""/>
      <w:lvlJc w:val="left"/>
      <w:pPr>
        <w:ind w:left="8691" w:hanging="360"/>
      </w:pPr>
      <w:rPr>
        <w:rFonts w:ascii="Wingdings" w:hAnsi="Wingdings" w:hint="default"/>
      </w:rPr>
    </w:lvl>
  </w:abstractNum>
  <w:abstractNum w:abstractNumId="2">
    <w:nsid w:val="76881AC1"/>
    <w:multiLevelType w:val="hybridMultilevel"/>
    <w:tmpl w:val="5672C308"/>
    <w:lvl w:ilvl="0" w:tplc="0C090001">
      <w:start w:val="1"/>
      <w:numFmt w:val="bullet"/>
      <w:lvlText w:val=""/>
      <w:lvlJc w:val="left"/>
      <w:pPr>
        <w:ind w:left="2931" w:hanging="360"/>
      </w:pPr>
      <w:rPr>
        <w:rFonts w:ascii="Symbol" w:hAnsi="Symbol" w:hint="default"/>
      </w:rPr>
    </w:lvl>
    <w:lvl w:ilvl="1" w:tplc="0C090003">
      <w:start w:val="1"/>
      <w:numFmt w:val="bullet"/>
      <w:lvlText w:val="o"/>
      <w:lvlJc w:val="left"/>
      <w:pPr>
        <w:ind w:left="3651" w:hanging="360"/>
      </w:pPr>
      <w:rPr>
        <w:rFonts w:ascii="Courier New" w:hAnsi="Courier New" w:cs="Courier New" w:hint="default"/>
      </w:rPr>
    </w:lvl>
    <w:lvl w:ilvl="2" w:tplc="0C090005" w:tentative="1">
      <w:start w:val="1"/>
      <w:numFmt w:val="bullet"/>
      <w:lvlText w:val=""/>
      <w:lvlJc w:val="left"/>
      <w:pPr>
        <w:ind w:left="4371" w:hanging="360"/>
      </w:pPr>
      <w:rPr>
        <w:rFonts w:ascii="Wingdings" w:hAnsi="Wingdings" w:hint="default"/>
      </w:rPr>
    </w:lvl>
    <w:lvl w:ilvl="3" w:tplc="0C090001" w:tentative="1">
      <w:start w:val="1"/>
      <w:numFmt w:val="bullet"/>
      <w:lvlText w:val=""/>
      <w:lvlJc w:val="left"/>
      <w:pPr>
        <w:ind w:left="5091" w:hanging="360"/>
      </w:pPr>
      <w:rPr>
        <w:rFonts w:ascii="Symbol" w:hAnsi="Symbol" w:hint="default"/>
      </w:rPr>
    </w:lvl>
    <w:lvl w:ilvl="4" w:tplc="0C090003" w:tentative="1">
      <w:start w:val="1"/>
      <w:numFmt w:val="bullet"/>
      <w:lvlText w:val="o"/>
      <w:lvlJc w:val="left"/>
      <w:pPr>
        <w:ind w:left="5811" w:hanging="360"/>
      </w:pPr>
      <w:rPr>
        <w:rFonts w:ascii="Courier New" w:hAnsi="Courier New" w:cs="Courier New" w:hint="default"/>
      </w:rPr>
    </w:lvl>
    <w:lvl w:ilvl="5" w:tplc="0C090005" w:tentative="1">
      <w:start w:val="1"/>
      <w:numFmt w:val="bullet"/>
      <w:lvlText w:val=""/>
      <w:lvlJc w:val="left"/>
      <w:pPr>
        <w:ind w:left="6531" w:hanging="360"/>
      </w:pPr>
      <w:rPr>
        <w:rFonts w:ascii="Wingdings" w:hAnsi="Wingdings" w:hint="default"/>
      </w:rPr>
    </w:lvl>
    <w:lvl w:ilvl="6" w:tplc="0C090001" w:tentative="1">
      <w:start w:val="1"/>
      <w:numFmt w:val="bullet"/>
      <w:lvlText w:val=""/>
      <w:lvlJc w:val="left"/>
      <w:pPr>
        <w:ind w:left="7251" w:hanging="360"/>
      </w:pPr>
      <w:rPr>
        <w:rFonts w:ascii="Symbol" w:hAnsi="Symbol" w:hint="default"/>
      </w:rPr>
    </w:lvl>
    <w:lvl w:ilvl="7" w:tplc="0C090003" w:tentative="1">
      <w:start w:val="1"/>
      <w:numFmt w:val="bullet"/>
      <w:lvlText w:val="o"/>
      <w:lvlJc w:val="left"/>
      <w:pPr>
        <w:ind w:left="7971" w:hanging="360"/>
      </w:pPr>
      <w:rPr>
        <w:rFonts w:ascii="Courier New" w:hAnsi="Courier New" w:cs="Courier New" w:hint="default"/>
      </w:rPr>
    </w:lvl>
    <w:lvl w:ilvl="8" w:tplc="0C090005" w:tentative="1">
      <w:start w:val="1"/>
      <w:numFmt w:val="bullet"/>
      <w:lvlText w:val=""/>
      <w:lvlJc w:val="left"/>
      <w:pPr>
        <w:ind w:left="869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CB9"/>
    <w:rsid w:val="00001AAB"/>
    <w:rsid w:val="0000209D"/>
    <w:rsid w:val="00043CCF"/>
    <w:rsid w:val="000602FC"/>
    <w:rsid w:val="0007093E"/>
    <w:rsid w:val="00081FF9"/>
    <w:rsid w:val="000A6D3B"/>
    <w:rsid w:val="000B255D"/>
    <w:rsid w:val="000B33C2"/>
    <w:rsid w:val="000F2910"/>
    <w:rsid w:val="00106AAC"/>
    <w:rsid w:val="0014523B"/>
    <w:rsid w:val="00187C1C"/>
    <w:rsid w:val="00190540"/>
    <w:rsid w:val="001962FD"/>
    <w:rsid w:val="001E0F2C"/>
    <w:rsid w:val="001F4A1E"/>
    <w:rsid w:val="001F7B01"/>
    <w:rsid w:val="00215672"/>
    <w:rsid w:val="00216168"/>
    <w:rsid w:val="00244FA5"/>
    <w:rsid w:val="002523AB"/>
    <w:rsid w:val="00262382"/>
    <w:rsid w:val="00282ED9"/>
    <w:rsid w:val="00286A08"/>
    <w:rsid w:val="00297E1D"/>
    <w:rsid w:val="002A109A"/>
    <w:rsid w:val="002A5489"/>
    <w:rsid w:val="002B72A1"/>
    <w:rsid w:val="002C3798"/>
    <w:rsid w:val="002C5CB9"/>
    <w:rsid w:val="002D0006"/>
    <w:rsid w:val="002D0103"/>
    <w:rsid w:val="002E0533"/>
    <w:rsid w:val="002E4E22"/>
    <w:rsid w:val="002F1765"/>
    <w:rsid w:val="002F1969"/>
    <w:rsid w:val="002F7F45"/>
    <w:rsid w:val="003039F2"/>
    <w:rsid w:val="0030662C"/>
    <w:rsid w:val="00311A8F"/>
    <w:rsid w:val="00323867"/>
    <w:rsid w:val="003455DC"/>
    <w:rsid w:val="00346BFE"/>
    <w:rsid w:val="00376076"/>
    <w:rsid w:val="0038764D"/>
    <w:rsid w:val="003A2CAB"/>
    <w:rsid w:val="003C1707"/>
    <w:rsid w:val="003C5AB1"/>
    <w:rsid w:val="003D1E58"/>
    <w:rsid w:val="003E06D3"/>
    <w:rsid w:val="00401782"/>
    <w:rsid w:val="00420CDF"/>
    <w:rsid w:val="0042636D"/>
    <w:rsid w:val="004362BF"/>
    <w:rsid w:val="0044203F"/>
    <w:rsid w:val="004579B1"/>
    <w:rsid w:val="00460522"/>
    <w:rsid w:val="00460BA2"/>
    <w:rsid w:val="00465F28"/>
    <w:rsid w:val="00482A58"/>
    <w:rsid w:val="00485ADD"/>
    <w:rsid w:val="00486C74"/>
    <w:rsid w:val="004903D2"/>
    <w:rsid w:val="004C32CD"/>
    <w:rsid w:val="004E63FB"/>
    <w:rsid w:val="004F601A"/>
    <w:rsid w:val="00511CBB"/>
    <w:rsid w:val="00520B8D"/>
    <w:rsid w:val="00552C1A"/>
    <w:rsid w:val="005554BA"/>
    <w:rsid w:val="00560291"/>
    <w:rsid w:val="00561C96"/>
    <w:rsid w:val="005652C5"/>
    <w:rsid w:val="00580C1E"/>
    <w:rsid w:val="00581391"/>
    <w:rsid w:val="005853BD"/>
    <w:rsid w:val="005A19F5"/>
    <w:rsid w:val="005B2D61"/>
    <w:rsid w:val="005D6D55"/>
    <w:rsid w:val="005E2EAF"/>
    <w:rsid w:val="005E6AC9"/>
    <w:rsid w:val="005E7401"/>
    <w:rsid w:val="005F7A1A"/>
    <w:rsid w:val="0060169D"/>
    <w:rsid w:val="00610D14"/>
    <w:rsid w:val="006212C7"/>
    <w:rsid w:val="006231FB"/>
    <w:rsid w:val="0063443E"/>
    <w:rsid w:val="00635160"/>
    <w:rsid w:val="006653E0"/>
    <w:rsid w:val="0066620D"/>
    <w:rsid w:val="00694735"/>
    <w:rsid w:val="006C0233"/>
    <w:rsid w:val="006F39CB"/>
    <w:rsid w:val="006F48EC"/>
    <w:rsid w:val="007056CB"/>
    <w:rsid w:val="00710603"/>
    <w:rsid w:val="00713DD0"/>
    <w:rsid w:val="00725876"/>
    <w:rsid w:val="0073447D"/>
    <w:rsid w:val="007417BD"/>
    <w:rsid w:val="00743AF2"/>
    <w:rsid w:val="00752355"/>
    <w:rsid w:val="00777CBC"/>
    <w:rsid w:val="00793F65"/>
    <w:rsid w:val="007A211D"/>
    <w:rsid w:val="007C7B82"/>
    <w:rsid w:val="007C7F36"/>
    <w:rsid w:val="007D2DD8"/>
    <w:rsid w:val="007D3DFD"/>
    <w:rsid w:val="007E7509"/>
    <w:rsid w:val="007F0AAA"/>
    <w:rsid w:val="007F63B7"/>
    <w:rsid w:val="008034FD"/>
    <w:rsid w:val="0080538B"/>
    <w:rsid w:val="00810F32"/>
    <w:rsid w:val="00835D7C"/>
    <w:rsid w:val="00837916"/>
    <w:rsid w:val="008568FC"/>
    <w:rsid w:val="00873C08"/>
    <w:rsid w:val="00883EC3"/>
    <w:rsid w:val="00895BF7"/>
    <w:rsid w:val="008A23A6"/>
    <w:rsid w:val="008B39E4"/>
    <w:rsid w:val="008E1931"/>
    <w:rsid w:val="008E35E7"/>
    <w:rsid w:val="008E5F26"/>
    <w:rsid w:val="009143F0"/>
    <w:rsid w:val="00923F62"/>
    <w:rsid w:val="0093047F"/>
    <w:rsid w:val="009365A0"/>
    <w:rsid w:val="0096075F"/>
    <w:rsid w:val="00974E4D"/>
    <w:rsid w:val="009804B0"/>
    <w:rsid w:val="00987775"/>
    <w:rsid w:val="009A17E9"/>
    <w:rsid w:val="009A1B4F"/>
    <w:rsid w:val="009B13F8"/>
    <w:rsid w:val="009C3EE7"/>
    <w:rsid w:val="009D01CB"/>
    <w:rsid w:val="009D7415"/>
    <w:rsid w:val="009E0A4E"/>
    <w:rsid w:val="009F296E"/>
    <w:rsid w:val="009F59A1"/>
    <w:rsid w:val="00A01014"/>
    <w:rsid w:val="00A06261"/>
    <w:rsid w:val="00A06EAE"/>
    <w:rsid w:val="00A16B33"/>
    <w:rsid w:val="00A21CD9"/>
    <w:rsid w:val="00A21DFB"/>
    <w:rsid w:val="00A222F5"/>
    <w:rsid w:val="00A416CB"/>
    <w:rsid w:val="00A44636"/>
    <w:rsid w:val="00A51A08"/>
    <w:rsid w:val="00A51A4F"/>
    <w:rsid w:val="00A67DED"/>
    <w:rsid w:val="00A968C8"/>
    <w:rsid w:val="00AB0AA6"/>
    <w:rsid w:val="00AB1F7D"/>
    <w:rsid w:val="00AB5456"/>
    <w:rsid w:val="00AD0620"/>
    <w:rsid w:val="00AE3D2D"/>
    <w:rsid w:val="00AF19AD"/>
    <w:rsid w:val="00AF1FD6"/>
    <w:rsid w:val="00AF3CF5"/>
    <w:rsid w:val="00B07C6B"/>
    <w:rsid w:val="00B1363C"/>
    <w:rsid w:val="00B17533"/>
    <w:rsid w:val="00B229D0"/>
    <w:rsid w:val="00B40FC3"/>
    <w:rsid w:val="00B518D6"/>
    <w:rsid w:val="00B54DB3"/>
    <w:rsid w:val="00B57874"/>
    <w:rsid w:val="00B67483"/>
    <w:rsid w:val="00B847EC"/>
    <w:rsid w:val="00B87E59"/>
    <w:rsid w:val="00B93563"/>
    <w:rsid w:val="00B93610"/>
    <w:rsid w:val="00BA2239"/>
    <w:rsid w:val="00BA25AF"/>
    <w:rsid w:val="00BC0FC8"/>
    <w:rsid w:val="00BC2378"/>
    <w:rsid w:val="00BC70A9"/>
    <w:rsid w:val="00BC7E07"/>
    <w:rsid w:val="00BD0A12"/>
    <w:rsid w:val="00BD2EF4"/>
    <w:rsid w:val="00BD6CFC"/>
    <w:rsid w:val="00BE15A9"/>
    <w:rsid w:val="00C006E9"/>
    <w:rsid w:val="00C10810"/>
    <w:rsid w:val="00C15DE9"/>
    <w:rsid w:val="00C25FA5"/>
    <w:rsid w:val="00C628DE"/>
    <w:rsid w:val="00C65500"/>
    <w:rsid w:val="00C70486"/>
    <w:rsid w:val="00C8679F"/>
    <w:rsid w:val="00C8703D"/>
    <w:rsid w:val="00CB0456"/>
    <w:rsid w:val="00CB206B"/>
    <w:rsid w:val="00CB36B2"/>
    <w:rsid w:val="00CB53E2"/>
    <w:rsid w:val="00CE7EA5"/>
    <w:rsid w:val="00D00B98"/>
    <w:rsid w:val="00D16FCF"/>
    <w:rsid w:val="00D2588E"/>
    <w:rsid w:val="00D33FD6"/>
    <w:rsid w:val="00D46803"/>
    <w:rsid w:val="00D76ECF"/>
    <w:rsid w:val="00D8325D"/>
    <w:rsid w:val="00D83E47"/>
    <w:rsid w:val="00D915F8"/>
    <w:rsid w:val="00D941B2"/>
    <w:rsid w:val="00D97473"/>
    <w:rsid w:val="00D975F6"/>
    <w:rsid w:val="00DA7A5A"/>
    <w:rsid w:val="00DC2A48"/>
    <w:rsid w:val="00DC67A2"/>
    <w:rsid w:val="00DE0A42"/>
    <w:rsid w:val="00DE4BDF"/>
    <w:rsid w:val="00DE7506"/>
    <w:rsid w:val="00E21B9B"/>
    <w:rsid w:val="00E315DA"/>
    <w:rsid w:val="00E328A4"/>
    <w:rsid w:val="00E422A1"/>
    <w:rsid w:val="00E5588E"/>
    <w:rsid w:val="00E71735"/>
    <w:rsid w:val="00E95895"/>
    <w:rsid w:val="00E963C5"/>
    <w:rsid w:val="00E9752A"/>
    <w:rsid w:val="00EA5A2D"/>
    <w:rsid w:val="00EA7109"/>
    <w:rsid w:val="00EC584D"/>
    <w:rsid w:val="00ED59D6"/>
    <w:rsid w:val="00ED6DB7"/>
    <w:rsid w:val="00EF6E04"/>
    <w:rsid w:val="00F123F1"/>
    <w:rsid w:val="00F1473D"/>
    <w:rsid w:val="00F25E50"/>
    <w:rsid w:val="00F329B0"/>
    <w:rsid w:val="00F32C8F"/>
    <w:rsid w:val="00F3515C"/>
    <w:rsid w:val="00F366F0"/>
    <w:rsid w:val="00F63B50"/>
    <w:rsid w:val="00F815D1"/>
    <w:rsid w:val="00F859AD"/>
    <w:rsid w:val="00F945EC"/>
    <w:rsid w:val="00FA05F0"/>
    <w:rsid w:val="00FB2FA3"/>
    <w:rsid w:val="00FD7190"/>
    <w:rsid w:val="00FE4502"/>
    <w:rsid w:val="00FF57C3"/>
    <w:rsid w:val="00FF69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BodyText"/>
    <w:next w:val="BodyText"/>
    <w:link w:val="Heading1Char"/>
    <w:uiPriority w:val="99"/>
    <w:qFormat/>
    <w:rsid w:val="002C5CB9"/>
    <w:pPr>
      <w:spacing w:before="113" w:after="170" w:line="288" w:lineRule="auto"/>
      <w:ind w:left="0"/>
      <w:outlineLvl w:val="0"/>
    </w:pPr>
    <w:rPr>
      <w:b/>
      <w:bCs/>
      <w:color w:val="001E5B"/>
      <w:sz w:val="32"/>
      <w:szCs w:val="32"/>
    </w:rPr>
  </w:style>
  <w:style w:type="paragraph" w:styleId="Heading2">
    <w:name w:val="heading 2"/>
    <w:basedOn w:val="Normal"/>
    <w:next w:val="Normal"/>
    <w:link w:val="Heading2Char"/>
    <w:semiHidden/>
    <w:unhideWhenUsed/>
    <w:qFormat/>
    <w:rsid w:val="002C5CB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C5CB9"/>
    <w:rPr>
      <w:rFonts w:ascii="Arial" w:hAnsi="Arial" w:cs="Arial"/>
      <w:b/>
      <w:bCs/>
      <w:color w:val="001E5B"/>
      <w:sz w:val="32"/>
      <w:szCs w:val="32"/>
      <w:lang w:val="en-US"/>
    </w:rPr>
  </w:style>
  <w:style w:type="paragraph" w:styleId="BodyText">
    <w:name w:val="Body Text"/>
    <w:basedOn w:val="Normal"/>
    <w:link w:val="BodyTextChar"/>
    <w:uiPriority w:val="99"/>
    <w:rsid w:val="002C5CB9"/>
    <w:pPr>
      <w:suppressAutoHyphens/>
      <w:autoSpaceDE w:val="0"/>
      <w:autoSpaceDN w:val="0"/>
      <w:adjustRightInd w:val="0"/>
      <w:spacing w:after="113" w:line="260" w:lineRule="atLeast"/>
      <w:ind w:left="1984"/>
      <w:textAlignment w:val="center"/>
    </w:pPr>
    <w:rPr>
      <w:rFonts w:ascii="Arial" w:hAnsi="Arial" w:cs="Arial"/>
      <w:color w:val="000000"/>
      <w:sz w:val="22"/>
      <w:szCs w:val="22"/>
      <w:lang w:val="en-US"/>
    </w:rPr>
  </w:style>
  <w:style w:type="character" w:customStyle="1" w:styleId="BodyTextChar">
    <w:name w:val="Body Text Char"/>
    <w:basedOn w:val="DefaultParagraphFont"/>
    <w:link w:val="BodyText"/>
    <w:uiPriority w:val="99"/>
    <w:rsid w:val="002C5CB9"/>
    <w:rPr>
      <w:rFonts w:ascii="Arial" w:hAnsi="Arial" w:cs="Arial"/>
      <w:color w:val="000000"/>
      <w:sz w:val="22"/>
      <w:szCs w:val="22"/>
      <w:lang w:val="en-US"/>
    </w:rPr>
  </w:style>
  <w:style w:type="character" w:styleId="Hyperlink">
    <w:name w:val="Hyperlink"/>
    <w:basedOn w:val="DefaultParagraphFont"/>
    <w:uiPriority w:val="99"/>
    <w:rsid w:val="002C5CB9"/>
    <w:rPr>
      <w:rFonts w:ascii="Arial" w:hAnsi="Arial" w:cs="Arial"/>
      <w:color w:val="364EFF"/>
      <w:w w:val="100"/>
      <w:sz w:val="22"/>
      <w:szCs w:val="22"/>
      <w:u w:val="thick"/>
    </w:rPr>
  </w:style>
  <w:style w:type="character" w:customStyle="1" w:styleId="Classificationitalics">
    <w:name w:val="Classification italics"/>
    <w:uiPriority w:val="99"/>
    <w:rsid w:val="002C5CB9"/>
    <w:rPr>
      <w:rFonts w:ascii="Arial" w:hAnsi="Arial" w:cs="Arial"/>
      <w:i/>
      <w:iCs/>
      <w:sz w:val="22"/>
      <w:szCs w:val="22"/>
    </w:rPr>
  </w:style>
  <w:style w:type="paragraph" w:customStyle="1" w:styleId="ChapterTitle-withunderrule">
    <w:name w:val="Chapter Title - with underrule"/>
    <w:basedOn w:val="Normal"/>
    <w:link w:val="ChapterTitle-withunderruleChar"/>
    <w:uiPriority w:val="99"/>
    <w:rsid w:val="002C5CB9"/>
    <w:pPr>
      <w:pBdr>
        <w:bottom w:val="single" w:sz="8" w:space="14" w:color="auto"/>
      </w:pBdr>
      <w:autoSpaceDE w:val="0"/>
      <w:autoSpaceDN w:val="0"/>
      <w:adjustRightInd w:val="0"/>
      <w:spacing w:after="680" w:line="288" w:lineRule="auto"/>
      <w:textAlignment w:val="center"/>
    </w:pPr>
    <w:rPr>
      <w:rFonts w:ascii="Arial" w:hAnsi="Arial" w:cs="Arial"/>
      <w:color w:val="001E5B"/>
      <w:sz w:val="50"/>
      <w:szCs w:val="50"/>
      <w:lang w:val="en-GB"/>
    </w:rPr>
  </w:style>
  <w:style w:type="paragraph" w:customStyle="1" w:styleId="TOCLevel1">
    <w:name w:val="TOC Level 1"/>
    <w:basedOn w:val="Normal"/>
    <w:uiPriority w:val="99"/>
    <w:rsid w:val="002C5CB9"/>
    <w:pPr>
      <w:tabs>
        <w:tab w:val="right" w:leader="dot" w:pos="9354"/>
      </w:tabs>
      <w:suppressAutoHyphens/>
      <w:autoSpaceDE w:val="0"/>
      <w:autoSpaceDN w:val="0"/>
      <w:adjustRightInd w:val="0"/>
      <w:spacing w:after="227" w:line="260" w:lineRule="atLeast"/>
      <w:textAlignment w:val="center"/>
    </w:pPr>
    <w:rPr>
      <w:rFonts w:ascii="Arial" w:hAnsi="Arial" w:cs="Arial"/>
      <w:b/>
      <w:bCs/>
      <w:color w:val="001E5B"/>
      <w:sz w:val="28"/>
      <w:szCs w:val="28"/>
      <w:lang w:val="en-US"/>
    </w:rPr>
  </w:style>
  <w:style w:type="character" w:customStyle="1" w:styleId="Heading2Char">
    <w:name w:val="Heading 2 Char"/>
    <w:basedOn w:val="DefaultParagraphFont"/>
    <w:link w:val="Heading2"/>
    <w:semiHidden/>
    <w:rsid w:val="002C5CB9"/>
    <w:rPr>
      <w:rFonts w:asciiTheme="majorHAnsi" w:eastAsiaTheme="majorEastAsia" w:hAnsiTheme="majorHAnsi" w:cstheme="majorBidi"/>
      <w:b/>
      <w:bCs/>
      <w:color w:val="4F81BD" w:themeColor="accent1"/>
      <w:sz w:val="26"/>
      <w:szCs w:val="26"/>
    </w:rPr>
  </w:style>
  <w:style w:type="paragraph" w:customStyle="1" w:styleId="Bodytextbullett">
    <w:name w:val="Body text bullett"/>
    <w:basedOn w:val="BodyText"/>
    <w:uiPriority w:val="99"/>
    <w:rsid w:val="002C5CB9"/>
    <w:pPr>
      <w:ind w:left="2551" w:hanging="340"/>
    </w:pPr>
  </w:style>
  <w:style w:type="paragraph" w:customStyle="1" w:styleId="Bodytextbullett2">
    <w:name w:val="Body text bullett 2"/>
    <w:basedOn w:val="Bodytextbullett"/>
    <w:uiPriority w:val="99"/>
    <w:rsid w:val="002C5CB9"/>
    <w:pPr>
      <w:spacing w:line="240" w:lineRule="atLeast"/>
      <w:ind w:left="3402"/>
    </w:pPr>
  </w:style>
  <w:style w:type="paragraph" w:customStyle="1" w:styleId="NoParagraphStyle">
    <w:name w:val="[No Paragraph Style]"/>
    <w:rsid w:val="002C5CB9"/>
    <w:pPr>
      <w:autoSpaceDE w:val="0"/>
      <w:autoSpaceDN w:val="0"/>
      <w:adjustRightInd w:val="0"/>
      <w:spacing w:line="288" w:lineRule="auto"/>
      <w:textAlignment w:val="center"/>
    </w:pPr>
    <w:rPr>
      <w:rFonts w:ascii="Times  Roman" w:hAnsi="Times  Roman" w:cs="Times  Roman"/>
      <w:color w:val="000000"/>
      <w:sz w:val="24"/>
      <w:szCs w:val="24"/>
      <w:lang w:val="en-GB"/>
    </w:rPr>
  </w:style>
  <w:style w:type="paragraph" w:customStyle="1" w:styleId="FigureHeading">
    <w:name w:val="Figure Heading"/>
    <w:basedOn w:val="BodyText"/>
    <w:next w:val="BodyText"/>
    <w:uiPriority w:val="99"/>
    <w:rsid w:val="002C5CB9"/>
    <w:pPr>
      <w:spacing w:before="113" w:after="0" w:line="240" w:lineRule="atLeast"/>
      <w:ind w:left="3118" w:hanging="1134"/>
    </w:pPr>
    <w:rPr>
      <w:b/>
      <w:bCs/>
      <w:color w:val="001E5B"/>
      <w:sz w:val="20"/>
      <w:szCs w:val="20"/>
    </w:rPr>
  </w:style>
  <w:style w:type="paragraph" w:customStyle="1" w:styleId="FigureHeadingwithoutIndent">
    <w:name w:val="Figure Heading without Indent"/>
    <w:basedOn w:val="FigureHeading"/>
    <w:next w:val="BodyText"/>
    <w:uiPriority w:val="99"/>
    <w:rsid w:val="002C5CB9"/>
  </w:style>
  <w:style w:type="paragraph" w:customStyle="1" w:styleId="FigureTableFootnote">
    <w:name w:val="Figure/Table Footnote"/>
    <w:basedOn w:val="NoParagraphStyle"/>
    <w:uiPriority w:val="99"/>
    <w:rsid w:val="002C5CB9"/>
    <w:pPr>
      <w:suppressAutoHyphens/>
      <w:spacing w:after="57"/>
      <w:ind w:left="1984"/>
    </w:pPr>
    <w:rPr>
      <w:rFonts w:ascii="Arial" w:hAnsi="Arial" w:cs="Arial"/>
      <w:position w:val="-4"/>
      <w:sz w:val="14"/>
      <w:szCs w:val="14"/>
      <w:lang w:val="en-US"/>
    </w:rPr>
  </w:style>
  <w:style w:type="paragraph" w:customStyle="1" w:styleId="TableHeading">
    <w:name w:val="Table Heading"/>
    <w:basedOn w:val="BodyText"/>
    <w:next w:val="BodyText"/>
    <w:uiPriority w:val="99"/>
    <w:rsid w:val="002C5CB9"/>
    <w:pPr>
      <w:spacing w:after="0" w:line="240" w:lineRule="atLeast"/>
      <w:ind w:left="2835" w:hanging="850"/>
    </w:pPr>
    <w:rPr>
      <w:b/>
      <w:bCs/>
      <w:color w:val="001E5B"/>
      <w:sz w:val="20"/>
      <w:szCs w:val="20"/>
    </w:rPr>
  </w:style>
  <w:style w:type="paragraph" w:customStyle="1" w:styleId="TableHeadingwithoutIndent">
    <w:name w:val="Table Heading without Indent"/>
    <w:basedOn w:val="TableHeading"/>
    <w:next w:val="BodyText"/>
    <w:uiPriority w:val="99"/>
    <w:rsid w:val="002C5CB9"/>
    <w:pPr>
      <w:ind w:left="1134" w:hanging="1134"/>
    </w:pPr>
    <w:rPr>
      <w:sz w:val="22"/>
      <w:szCs w:val="22"/>
    </w:rPr>
  </w:style>
  <w:style w:type="paragraph" w:customStyle="1" w:styleId="Wholetabletagnoindent">
    <w:name w:val="Whole table tag no indent"/>
    <w:basedOn w:val="Normal"/>
    <w:uiPriority w:val="99"/>
    <w:rsid w:val="002C5CB9"/>
    <w:pPr>
      <w:tabs>
        <w:tab w:val="left" w:pos="1134"/>
      </w:tabs>
      <w:suppressAutoHyphens/>
      <w:autoSpaceDE w:val="0"/>
      <w:autoSpaceDN w:val="0"/>
      <w:adjustRightInd w:val="0"/>
      <w:spacing w:after="57" w:line="288" w:lineRule="auto"/>
      <w:textAlignment w:val="center"/>
    </w:pPr>
    <w:rPr>
      <w:rFonts w:ascii="Arial" w:hAnsi="Arial" w:cs="Arial"/>
      <w:b/>
      <w:bCs/>
      <w:color w:val="000000"/>
      <w:sz w:val="20"/>
      <w:szCs w:val="20"/>
      <w:lang w:val="en-GB"/>
    </w:rPr>
  </w:style>
  <w:style w:type="paragraph" w:customStyle="1" w:styleId="Narrativequote">
    <w:name w:val="Narrative quote"/>
    <w:basedOn w:val="BodyText"/>
    <w:link w:val="NarrativequoteChar"/>
    <w:uiPriority w:val="99"/>
    <w:rsid w:val="002C5CB9"/>
    <w:pPr>
      <w:ind w:left="2551" w:right="567"/>
    </w:pPr>
    <w:rPr>
      <w:rFonts w:ascii="Arial Narrow" w:hAnsi="Arial Narrow" w:cs="Arial Narrow"/>
      <w:i/>
      <w:iCs/>
      <w:color w:val="00DDC9"/>
    </w:rPr>
  </w:style>
  <w:style w:type="paragraph" w:customStyle="1" w:styleId="ColumnHeadingTable">
    <w:name w:val="Column Heading (Table)"/>
    <w:basedOn w:val="BodyText"/>
    <w:uiPriority w:val="99"/>
    <w:rsid w:val="002C5CB9"/>
    <w:pPr>
      <w:spacing w:line="180" w:lineRule="atLeast"/>
      <w:ind w:left="0"/>
    </w:pPr>
    <w:rPr>
      <w:b/>
      <w:bCs/>
      <w:sz w:val="18"/>
      <w:szCs w:val="18"/>
    </w:rPr>
  </w:style>
  <w:style w:type="paragraph" w:customStyle="1" w:styleId="StubheadingTable">
    <w:name w:val="Stub heading (Table)"/>
    <w:basedOn w:val="ColumnHeadingTable"/>
    <w:uiPriority w:val="99"/>
    <w:rsid w:val="002C5CB9"/>
  </w:style>
  <w:style w:type="paragraph" w:customStyle="1" w:styleId="NumberregularTable">
    <w:name w:val="Number regular (Table)"/>
    <w:basedOn w:val="BodyText"/>
    <w:uiPriority w:val="99"/>
    <w:rsid w:val="002C5CB9"/>
    <w:pPr>
      <w:spacing w:line="160" w:lineRule="atLeast"/>
      <w:ind w:left="0"/>
      <w:jc w:val="right"/>
    </w:pPr>
    <w:rPr>
      <w:sz w:val="16"/>
      <w:szCs w:val="16"/>
    </w:rPr>
  </w:style>
  <w:style w:type="paragraph" w:customStyle="1" w:styleId="TablestubTable">
    <w:name w:val="Table stub (Table)"/>
    <w:basedOn w:val="NumberregularTable"/>
    <w:uiPriority w:val="99"/>
    <w:rsid w:val="002C5CB9"/>
    <w:pPr>
      <w:jc w:val="left"/>
    </w:pPr>
  </w:style>
  <w:style w:type="paragraph" w:customStyle="1" w:styleId="TotalHeadingTable">
    <w:name w:val="Total Heading (Table)"/>
    <w:basedOn w:val="BodyText"/>
    <w:uiPriority w:val="99"/>
    <w:rsid w:val="002C5CB9"/>
    <w:pPr>
      <w:spacing w:line="180" w:lineRule="atLeast"/>
      <w:ind w:left="0"/>
    </w:pPr>
    <w:rPr>
      <w:b/>
      <w:bCs/>
      <w:sz w:val="18"/>
      <w:szCs w:val="18"/>
    </w:rPr>
  </w:style>
  <w:style w:type="paragraph" w:customStyle="1" w:styleId="NumberboldTable">
    <w:name w:val="Number bold (Table)"/>
    <w:basedOn w:val="BodyText"/>
    <w:uiPriority w:val="99"/>
    <w:rsid w:val="002C5CB9"/>
    <w:pPr>
      <w:spacing w:line="160" w:lineRule="atLeast"/>
      <w:ind w:left="0"/>
      <w:jc w:val="right"/>
    </w:pPr>
    <w:rPr>
      <w:b/>
      <w:bCs/>
      <w:sz w:val="16"/>
      <w:szCs w:val="16"/>
    </w:rPr>
  </w:style>
  <w:style w:type="paragraph" w:customStyle="1" w:styleId="RowStubitalics4mmindentTable">
    <w:name w:val="Row Stub italics 4mm indent (Table)"/>
    <w:basedOn w:val="BodyText"/>
    <w:uiPriority w:val="99"/>
    <w:rsid w:val="002C5CB9"/>
    <w:pPr>
      <w:spacing w:line="160" w:lineRule="atLeast"/>
      <w:ind w:left="227"/>
    </w:pPr>
    <w:rPr>
      <w:i/>
      <w:iCs/>
      <w:sz w:val="16"/>
      <w:szCs w:val="16"/>
    </w:rPr>
  </w:style>
  <w:style w:type="paragraph" w:customStyle="1" w:styleId="NumberitalicsTable">
    <w:name w:val="Number italics (Table)"/>
    <w:basedOn w:val="BodyText"/>
    <w:uiPriority w:val="99"/>
    <w:rsid w:val="002C5CB9"/>
    <w:pPr>
      <w:spacing w:line="160" w:lineRule="atLeast"/>
      <w:ind w:left="0"/>
      <w:jc w:val="right"/>
    </w:pPr>
    <w:rPr>
      <w:i/>
      <w:iCs/>
      <w:sz w:val="16"/>
      <w:szCs w:val="16"/>
    </w:rPr>
  </w:style>
  <w:style w:type="paragraph" w:customStyle="1" w:styleId="TotalCellTable">
    <w:name w:val="Total Cell (Table)"/>
    <w:basedOn w:val="BodyText"/>
    <w:uiPriority w:val="99"/>
    <w:rsid w:val="002C5CB9"/>
    <w:pPr>
      <w:spacing w:line="160" w:lineRule="atLeast"/>
      <w:ind w:left="0"/>
      <w:jc w:val="right"/>
    </w:pPr>
    <w:rPr>
      <w:b/>
      <w:bCs/>
      <w:sz w:val="16"/>
      <w:szCs w:val="16"/>
    </w:rPr>
  </w:style>
  <w:style w:type="paragraph" w:customStyle="1" w:styleId="FigureTableFootnotewithoutIndent">
    <w:name w:val="Figure/Table Footnote without Indent"/>
    <w:basedOn w:val="NoParagraphStyle"/>
    <w:uiPriority w:val="99"/>
    <w:rsid w:val="002C5CB9"/>
    <w:pPr>
      <w:suppressAutoHyphens/>
    </w:pPr>
    <w:rPr>
      <w:rFonts w:ascii="Arial" w:hAnsi="Arial" w:cs="Arial"/>
      <w:position w:val="-4"/>
      <w:sz w:val="14"/>
      <w:szCs w:val="14"/>
      <w:lang w:val="en-US"/>
    </w:rPr>
  </w:style>
  <w:style w:type="paragraph" w:customStyle="1" w:styleId="ColumnHeadingcopy">
    <w:name w:val="Column Heading copy"/>
    <w:basedOn w:val="BodyText"/>
    <w:uiPriority w:val="99"/>
    <w:rsid w:val="002C5CB9"/>
    <w:pPr>
      <w:spacing w:line="180" w:lineRule="atLeast"/>
      <w:ind w:left="0"/>
      <w:jc w:val="right"/>
    </w:pPr>
    <w:rPr>
      <w:b/>
      <w:bCs/>
      <w:sz w:val="18"/>
      <w:szCs w:val="18"/>
    </w:rPr>
  </w:style>
  <w:style w:type="paragraph" w:styleId="BalloonText">
    <w:name w:val="Balloon Text"/>
    <w:basedOn w:val="Normal"/>
    <w:link w:val="BalloonTextChar"/>
    <w:rsid w:val="002C5CB9"/>
    <w:rPr>
      <w:rFonts w:ascii="Tahoma" w:hAnsi="Tahoma" w:cs="Tahoma"/>
      <w:sz w:val="16"/>
      <w:szCs w:val="16"/>
    </w:rPr>
  </w:style>
  <w:style w:type="character" w:customStyle="1" w:styleId="BalloonTextChar">
    <w:name w:val="Balloon Text Char"/>
    <w:basedOn w:val="DefaultParagraphFont"/>
    <w:link w:val="BalloonText"/>
    <w:rsid w:val="002C5CB9"/>
    <w:rPr>
      <w:rFonts w:ascii="Tahoma" w:hAnsi="Tahoma" w:cs="Tahoma"/>
      <w:sz w:val="16"/>
      <w:szCs w:val="16"/>
    </w:rPr>
  </w:style>
  <w:style w:type="paragraph" w:customStyle="1" w:styleId="Colourheading1">
    <w:name w:val="Colour heading 1"/>
    <w:basedOn w:val="Heading2"/>
    <w:link w:val="Colourheading1Char"/>
    <w:qFormat/>
    <w:rsid w:val="00B1363C"/>
    <w:pPr>
      <w:spacing w:before="320" w:after="120"/>
    </w:pPr>
    <w:rPr>
      <w:rFonts w:ascii="Arial" w:hAnsi="Arial" w:cs="Arial"/>
    </w:rPr>
  </w:style>
  <w:style w:type="paragraph" w:customStyle="1" w:styleId="Colourheadingtoplevel">
    <w:name w:val="Colour heading top level"/>
    <w:basedOn w:val="Colourheading1"/>
    <w:link w:val="ColourheadingtoplevelChar"/>
    <w:qFormat/>
    <w:rsid w:val="0030662C"/>
    <w:rPr>
      <w:sz w:val="32"/>
      <w:szCs w:val="32"/>
    </w:rPr>
  </w:style>
  <w:style w:type="character" w:customStyle="1" w:styleId="Colourheading1Char">
    <w:name w:val="Colour heading 1 Char"/>
    <w:basedOn w:val="Heading2Char"/>
    <w:link w:val="Colourheading1"/>
    <w:rsid w:val="00B1363C"/>
    <w:rPr>
      <w:rFonts w:ascii="Arial" w:eastAsiaTheme="majorEastAsia" w:hAnsi="Arial" w:cs="Arial"/>
      <w:b/>
      <w:bCs/>
      <w:color w:val="4F81BD" w:themeColor="accent1"/>
      <w:sz w:val="26"/>
      <w:szCs w:val="26"/>
    </w:rPr>
  </w:style>
  <w:style w:type="paragraph" w:customStyle="1" w:styleId="Narrative">
    <w:name w:val="Narrative"/>
    <w:basedOn w:val="Narrativequote"/>
    <w:link w:val="NarrativeChar"/>
    <w:qFormat/>
    <w:rsid w:val="00EA5A2D"/>
    <w:rPr>
      <w:color w:val="E36C0A" w:themeColor="accent6" w:themeShade="BF"/>
    </w:rPr>
  </w:style>
  <w:style w:type="character" w:customStyle="1" w:styleId="ColourheadingtoplevelChar">
    <w:name w:val="Colour heading top level Char"/>
    <w:basedOn w:val="Colourheading1Char"/>
    <w:link w:val="Colourheadingtoplevel"/>
    <w:rsid w:val="0030662C"/>
    <w:rPr>
      <w:rFonts w:ascii="Arial" w:eastAsiaTheme="majorEastAsia" w:hAnsi="Arial" w:cs="Arial"/>
      <w:b/>
      <w:bCs/>
      <w:color w:val="4F81BD" w:themeColor="accent1"/>
      <w:sz w:val="32"/>
      <w:szCs w:val="32"/>
    </w:rPr>
  </w:style>
  <w:style w:type="character" w:customStyle="1" w:styleId="NarrativequoteChar">
    <w:name w:val="Narrative quote Char"/>
    <w:basedOn w:val="BodyTextChar"/>
    <w:link w:val="Narrativequote"/>
    <w:uiPriority w:val="99"/>
    <w:rsid w:val="00EA5A2D"/>
    <w:rPr>
      <w:rFonts w:ascii="Arial Narrow" w:hAnsi="Arial Narrow" w:cs="Arial Narrow"/>
      <w:i/>
      <w:iCs/>
      <w:color w:val="00DDC9"/>
      <w:sz w:val="22"/>
      <w:szCs w:val="22"/>
      <w:lang w:val="en-US"/>
    </w:rPr>
  </w:style>
  <w:style w:type="character" w:customStyle="1" w:styleId="NarrativeChar">
    <w:name w:val="Narrative Char"/>
    <w:basedOn w:val="NarrativequoteChar"/>
    <w:link w:val="Narrative"/>
    <w:rsid w:val="00EA5A2D"/>
    <w:rPr>
      <w:rFonts w:ascii="Arial Narrow" w:hAnsi="Arial Narrow" w:cs="Arial Narrow"/>
      <w:i/>
      <w:iCs/>
      <w:color w:val="E36C0A" w:themeColor="accent6" w:themeShade="BF"/>
      <w:sz w:val="22"/>
      <w:szCs w:val="22"/>
      <w:lang w:val="en-US"/>
    </w:rPr>
  </w:style>
  <w:style w:type="paragraph" w:customStyle="1" w:styleId="ChapterSectionTitle">
    <w:name w:val="Chapter/Section Title"/>
    <w:basedOn w:val="ChapterTitle-withunderrule"/>
    <w:link w:val="ChapterSectionTitleChar"/>
    <w:qFormat/>
    <w:rsid w:val="00F815D1"/>
  </w:style>
  <w:style w:type="paragraph" w:styleId="Header">
    <w:name w:val="header"/>
    <w:basedOn w:val="Normal"/>
    <w:link w:val="HeaderChar"/>
    <w:rsid w:val="00D00B98"/>
    <w:pPr>
      <w:tabs>
        <w:tab w:val="center" w:pos="4513"/>
        <w:tab w:val="right" w:pos="9026"/>
      </w:tabs>
    </w:pPr>
  </w:style>
  <w:style w:type="character" w:customStyle="1" w:styleId="ChapterTitle-withunderruleChar">
    <w:name w:val="Chapter Title - with underrule Char"/>
    <w:basedOn w:val="DefaultParagraphFont"/>
    <w:link w:val="ChapterTitle-withunderrule"/>
    <w:uiPriority w:val="99"/>
    <w:rsid w:val="00F815D1"/>
    <w:rPr>
      <w:rFonts w:ascii="Arial" w:hAnsi="Arial" w:cs="Arial"/>
      <w:color w:val="001E5B"/>
      <w:sz w:val="50"/>
      <w:szCs w:val="50"/>
      <w:lang w:val="en-GB"/>
    </w:rPr>
  </w:style>
  <w:style w:type="character" w:customStyle="1" w:styleId="ChapterSectionTitleChar">
    <w:name w:val="Chapter/Section Title Char"/>
    <w:basedOn w:val="ChapterTitle-withunderruleChar"/>
    <w:link w:val="ChapterSectionTitle"/>
    <w:rsid w:val="00F815D1"/>
    <w:rPr>
      <w:rFonts w:ascii="Arial" w:hAnsi="Arial" w:cs="Arial"/>
      <w:color w:val="001E5B"/>
      <w:sz w:val="50"/>
      <w:szCs w:val="50"/>
      <w:lang w:val="en-GB"/>
    </w:rPr>
  </w:style>
  <w:style w:type="character" w:customStyle="1" w:styleId="HeaderChar">
    <w:name w:val="Header Char"/>
    <w:basedOn w:val="DefaultParagraphFont"/>
    <w:link w:val="Header"/>
    <w:rsid w:val="00D00B98"/>
    <w:rPr>
      <w:sz w:val="24"/>
      <w:szCs w:val="24"/>
    </w:rPr>
  </w:style>
  <w:style w:type="paragraph" w:styleId="Footer">
    <w:name w:val="footer"/>
    <w:basedOn w:val="Normal"/>
    <w:link w:val="FooterChar"/>
    <w:uiPriority w:val="99"/>
    <w:rsid w:val="00D00B98"/>
    <w:pPr>
      <w:tabs>
        <w:tab w:val="center" w:pos="4513"/>
        <w:tab w:val="right" w:pos="9026"/>
      </w:tabs>
    </w:pPr>
  </w:style>
  <w:style w:type="character" w:customStyle="1" w:styleId="FooterChar">
    <w:name w:val="Footer Char"/>
    <w:basedOn w:val="DefaultParagraphFont"/>
    <w:link w:val="Footer"/>
    <w:uiPriority w:val="99"/>
    <w:rsid w:val="00D00B98"/>
    <w:rPr>
      <w:sz w:val="24"/>
      <w:szCs w:val="24"/>
    </w:rPr>
  </w:style>
  <w:style w:type="paragraph" w:customStyle="1" w:styleId="Pagefootnotewithrule">
    <w:name w:val="Page footnote with rule"/>
    <w:basedOn w:val="FigureTableFootnote"/>
    <w:uiPriority w:val="99"/>
    <w:rsid w:val="007056CB"/>
    <w:pPr>
      <w:pBdr>
        <w:top w:val="single" w:sz="8" w:space="8" w:color="1E3052"/>
      </w:pBdr>
      <w:ind w:left="2268"/>
    </w:pPr>
  </w:style>
  <w:style w:type="character" w:styleId="SubtleReference">
    <w:name w:val="Subtle Reference"/>
    <w:basedOn w:val="DefaultParagraphFont"/>
    <w:uiPriority w:val="31"/>
    <w:qFormat/>
    <w:rsid w:val="007056CB"/>
    <w:rPr>
      <w:smallCaps/>
      <w:color w:val="C0504D" w:themeColor="accent2"/>
      <w:u w:val="single"/>
    </w:rPr>
  </w:style>
  <w:style w:type="paragraph" w:styleId="Quote">
    <w:name w:val="Quote"/>
    <w:basedOn w:val="Normal"/>
    <w:next w:val="Normal"/>
    <w:link w:val="QuoteChar"/>
    <w:uiPriority w:val="29"/>
    <w:qFormat/>
    <w:rsid w:val="007056CB"/>
    <w:rPr>
      <w:i/>
      <w:iCs/>
      <w:color w:val="000000" w:themeColor="text1"/>
    </w:rPr>
  </w:style>
  <w:style w:type="character" w:customStyle="1" w:styleId="QuoteChar">
    <w:name w:val="Quote Char"/>
    <w:basedOn w:val="DefaultParagraphFont"/>
    <w:link w:val="Quote"/>
    <w:uiPriority w:val="29"/>
    <w:rsid w:val="007056CB"/>
    <w:rPr>
      <w:i/>
      <w:iCs/>
      <w:color w:val="000000" w:themeColor="text1"/>
      <w:sz w:val="24"/>
      <w:szCs w:val="24"/>
    </w:rPr>
  </w:style>
  <w:style w:type="paragraph" w:styleId="Title">
    <w:name w:val="Title"/>
    <w:basedOn w:val="Normal"/>
    <w:next w:val="Normal"/>
    <w:link w:val="TitleChar"/>
    <w:qFormat/>
    <w:rsid w:val="0073447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3447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BodyText"/>
    <w:next w:val="BodyText"/>
    <w:link w:val="Heading1Char"/>
    <w:uiPriority w:val="99"/>
    <w:qFormat/>
    <w:rsid w:val="002C5CB9"/>
    <w:pPr>
      <w:spacing w:before="113" w:after="170" w:line="288" w:lineRule="auto"/>
      <w:ind w:left="0"/>
      <w:outlineLvl w:val="0"/>
    </w:pPr>
    <w:rPr>
      <w:b/>
      <w:bCs/>
      <w:color w:val="001E5B"/>
      <w:sz w:val="32"/>
      <w:szCs w:val="32"/>
    </w:rPr>
  </w:style>
  <w:style w:type="paragraph" w:styleId="Heading2">
    <w:name w:val="heading 2"/>
    <w:basedOn w:val="Normal"/>
    <w:next w:val="Normal"/>
    <w:link w:val="Heading2Char"/>
    <w:semiHidden/>
    <w:unhideWhenUsed/>
    <w:qFormat/>
    <w:rsid w:val="002C5CB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C5CB9"/>
    <w:rPr>
      <w:rFonts w:ascii="Arial" w:hAnsi="Arial" w:cs="Arial"/>
      <w:b/>
      <w:bCs/>
      <w:color w:val="001E5B"/>
      <w:sz w:val="32"/>
      <w:szCs w:val="32"/>
      <w:lang w:val="en-US"/>
    </w:rPr>
  </w:style>
  <w:style w:type="paragraph" w:styleId="BodyText">
    <w:name w:val="Body Text"/>
    <w:basedOn w:val="Normal"/>
    <w:link w:val="BodyTextChar"/>
    <w:uiPriority w:val="99"/>
    <w:rsid w:val="002C5CB9"/>
    <w:pPr>
      <w:suppressAutoHyphens/>
      <w:autoSpaceDE w:val="0"/>
      <w:autoSpaceDN w:val="0"/>
      <w:adjustRightInd w:val="0"/>
      <w:spacing w:after="113" w:line="260" w:lineRule="atLeast"/>
      <w:ind w:left="1984"/>
      <w:textAlignment w:val="center"/>
    </w:pPr>
    <w:rPr>
      <w:rFonts w:ascii="Arial" w:hAnsi="Arial" w:cs="Arial"/>
      <w:color w:val="000000"/>
      <w:sz w:val="22"/>
      <w:szCs w:val="22"/>
      <w:lang w:val="en-US"/>
    </w:rPr>
  </w:style>
  <w:style w:type="character" w:customStyle="1" w:styleId="BodyTextChar">
    <w:name w:val="Body Text Char"/>
    <w:basedOn w:val="DefaultParagraphFont"/>
    <w:link w:val="BodyText"/>
    <w:uiPriority w:val="99"/>
    <w:rsid w:val="002C5CB9"/>
    <w:rPr>
      <w:rFonts w:ascii="Arial" w:hAnsi="Arial" w:cs="Arial"/>
      <w:color w:val="000000"/>
      <w:sz w:val="22"/>
      <w:szCs w:val="22"/>
      <w:lang w:val="en-US"/>
    </w:rPr>
  </w:style>
  <w:style w:type="character" w:styleId="Hyperlink">
    <w:name w:val="Hyperlink"/>
    <w:basedOn w:val="DefaultParagraphFont"/>
    <w:uiPriority w:val="99"/>
    <w:rsid w:val="002C5CB9"/>
    <w:rPr>
      <w:rFonts w:ascii="Arial" w:hAnsi="Arial" w:cs="Arial"/>
      <w:color w:val="364EFF"/>
      <w:w w:val="100"/>
      <w:sz w:val="22"/>
      <w:szCs w:val="22"/>
      <w:u w:val="thick"/>
    </w:rPr>
  </w:style>
  <w:style w:type="character" w:customStyle="1" w:styleId="Classificationitalics">
    <w:name w:val="Classification italics"/>
    <w:uiPriority w:val="99"/>
    <w:rsid w:val="002C5CB9"/>
    <w:rPr>
      <w:rFonts w:ascii="Arial" w:hAnsi="Arial" w:cs="Arial"/>
      <w:i/>
      <w:iCs/>
      <w:sz w:val="22"/>
      <w:szCs w:val="22"/>
    </w:rPr>
  </w:style>
  <w:style w:type="paragraph" w:customStyle="1" w:styleId="ChapterTitle-withunderrule">
    <w:name w:val="Chapter Title - with underrule"/>
    <w:basedOn w:val="Normal"/>
    <w:link w:val="ChapterTitle-withunderruleChar"/>
    <w:uiPriority w:val="99"/>
    <w:rsid w:val="002C5CB9"/>
    <w:pPr>
      <w:pBdr>
        <w:bottom w:val="single" w:sz="8" w:space="14" w:color="auto"/>
      </w:pBdr>
      <w:autoSpaceDE w:val="0"/>
      <w:autoSpaceDN w:val="0"/>
      <w:adjustRightInd w:val="0"/>
      <w:spacing w:after="680" w:line="288" w:lineRule="auto"/>
      <w:textAlignment w:val="center"/>
    </w:pPr>
    <w:rPr>
      <w:rFonts w:ascii="Arial" w:hAnsi="Arial" w:cs="Arial"/>
      <w:color w:val="001E5B"/>
      <w:sz w:val="50"/>
      <w:szCs w:val="50"/>
      <w:lang w:val="en-GB"/>
    </w:rPr>
  </w:style>
  <w:style w:type="paragraph" w:customStyle="1" w:styleId="TOCLevel1">
    <w:name w:val="TOC Level 1"/>
    <w:basedOn w:val="Normal"/>
    <w:uiPriority w:val="99"/>
    <w:rsid w:val="002C5CB9"/>
    <w:pPr>
      <w:tabs>
        <w:tab w:val="right" w:leader="dot" w:pos="9354"/>
      </w:tabs>
      <w:suppressAutoHyphens/>
      <w:autoSpaceDE w:val="0"/>
      <w:autoSpaceDN w:val="0"/>
      <w:adjustRightInd w:val="0"/>
      <w:spacing w:after="227" w:line="260" w:lineRule="atLeast"/>
      <w:textAlignment w:val="center"/>
    </w:pPr>
    <w:rPr>
      <w:rFonts w:ascii="Arial" w:hAnsi="Arial" w:cs="Arial"/>
      <w:b/>
      <w:bCs/>
      <w:color w:val="001E5B"/>
      <w:sz w:val="28"/>
      <w:szCs w:val="28"/>
      <w:lang w:val="en-US"/>
    </w:rPr>
  </w:style>
  <w:style w:type="character" w:customStyle="1" w:styleId="Heading2Char">
    <w:name w:val="Heading 2 Char"/>
    <w:basedOn w:val="DefaultParagraphFont"/>
    <w:link w:val="Heading2"/>
    <w:semiHidden/>
    <w:rsid w:val="002C5CB9"/>
    <w:rPr>
      <w:rFonts w:asciiTheme="majorHAnsi" w:eastAsiaTheme="majorEastAsia" w:hAnsiTheme="majorHAnsi" w:cstheme="majorBidi"/>
      <w:b/>
      <w:bCs/>
      <w:color w:val="4F81BD" w:themeColor="accent1"/>
      <w:sz w:val="26"/>
      <w:szCs w:val="26"/>
    </w:rPr>
  </w:style>
  <w:style w:type="paragraph" w:customStyle="1" w:styleId="Bodytextbullett">
    <w:name w:val="Body text bullett"/>
    <w:basedOn w:val="BodyText"/>
    <w:uiPriority w:val="99"/>
    <w:rsid w:val="002C5CB9"/>
    <w:pPr>
      <w:ind w:left="2551" w:hanging="340"/>
    </w:pPr>
  </w:style>
  <w:style w:type="paragraph" w:customStyle="1" w:styleId="Bodytextbullett2">
    <w:name w:val="Body text bullett 2"/>
    <w:basedOn w:val="Bodytextbullett"/>
    <w:uiPriority w:val="99"/>
    <w:rsid w:val="002C5CB9"/>
    <w:pPr>
      <w:spacing w:line="240" w:lineRule="atLeast"/>
      <w:ind w:left="3402"/>
    </w:pPr>
  </w:style>
  <w:style w:type="paragraph" w:customStyle="1" w:styleId="NoParagraphStyle">
    <w:name w:val="[No Paragraph Style]"/>
    <w:rsid w:val="002C5CB9"/>
    <w:pPr>
      <w:autoSpaceDE w:val="0"/>
      <w:autoSpaceDN w:val="0"/>
      <w:adjustRightInd w:val="0"/>
      <w:spacing w:line="288" w:lineRule="auto"/>
      <w:textAlignment w:val="center"/>
    </w:pPr>
    <w:rPr>
      <w:rFonts w:ascii="Times  Roman" w:hAnsi="Times  Roman" w:cs="Times  Roman"/>
      <w:color w:val="000000"/>
      <w:sz w:val="24"/>
      <w:szCs w:val="24"/>
      <w:lang w:val="en-GB"/>
    </w:rPr>
  </w:style>
  <w:style w:type="paragraph" w:customStyle="1" w:styleId="FigureHeading">
    <w:name w:val="Figure Heading"/>
    <w:basedOn w:val="BodyText"/>
    <w:next w:val="BodyText"/>
    <w:uiPriority w:val="99"/>
    <w:rsid w:val="002C5CB9"/>
    <w:pPr>
      <w:spacing w:before="113" w:after="0" w:line="240" w:lineRule="atLeast"/>
      <w:ind w:left="3118" w:hanging="1134"/>
    </w:pPr>
    <w:rPr>
      <w:b/>
      <w:bCs/>
      <w:color w:val="001E5B"/>
      <w:sz w:val="20"/>
      <w:szCs w:val="20"/>
    </w:rPr>
  </w:style>
  <w:style w:type="paragraph" w:customStyle="1" w:styleId="FigureHeadingwithoutIndent">
    <w:name w:val="Figure Heading without Indent"/>
    <w:basedOn w:val="FigureHeading"/>
    <w:next w:val="BodyText"/>
    <w:uiPriority w:val="99"/>
    <w:rsid w:val="002C5CB9"/>
  </w:style>
  <w:style w:type="paragraph" w:customStyle="1" w:styleId="FigureTableFootnote">
    <w:name w:val="Figure/Table Footnote"/>
    <w:basedOn w:val="NoParagraphStyle"/>
    <w:uiPriority w:val="99"/>
    <w:rsid w:val="002C5CB9"/>
    <w:pPr>
      <w:suppressAutoHyphens/>
      <w:spacing w:after="57"/>
      <w:ind w:left="1984"/>
    </w:pPr>
    <w:rPr>
      <w:rFonts w:ascii="Arial" w:hAnsi="Arial" w:cs="Arial"/>
      <w:position w:val="-4"/>
      <w:sz w:val="14"/>
      <w:szCs w:val="14"/>
      <w:lang w:val="en-US"/>
    </w:rPr>
  </w:style>
  <w:style w:type="paragraph" w:customStyle="1" w:styleId="TableHeading">
    <w:name w:val="Table Heading"/>
    <w:basedOn w:val="BodyText"/>
    <w:next w:val="BodyText"/>
    <w:uiPriority w:val="99"/>
    <w:rsid w:val="002C5CB9"/>
    <w:pPr>
      <w:spacing w:after="0" w:line="240" w:lineRule="atLeast"/>
      <w:ind w:left="2835" w:hanging="850"/>
    </w:pPr>
    <w:rPr>
      <w:b/>
      <w:bCs/>
      <w:color w:val="001E5B"/>
      <w:sz w:val="20"/>
      <w:szCs w:val="20"/>
    </w:rPr>
  </w:style>
  <w:style w:type="paragraph" w:customStyle="1" w:styleId="TableHeadingwithoutIndent">
    <w:name w:val="Table Heading without Indent"/>
    <w:basedOn w:val="TableHeading"/>
    <w:next w:val="BodyText"/>
    <w:uiPriority w:val="99"/>
    <w:rsid w:val="002C5CB9"/>
    <w:pPr>
      <w:ind w:left="1134" w:hanging="1134"/>
    </w:pPr>
    <w:rPr>
      <w:sz w:val="22"/>
      <w:szCs w:val="22"/>
    </w:rPr>
  </w:style>
  <w:style w:type="paragraph" w:customStyle="1" w:styleId="Wholetabletagnoindent">
    <w:name w:val="Whole table tag no indent"/>
    <w:basedOn w:val="Normal"/>
    <w:uiPriority w:val="99"/>
    <w:rsid w:val="002C5CB9"/>
    <w:pPr>
      <w:tabs>
        <w:tab w:val="left" w:pos="1134"/>
      </w:tabs>
      <w:suppressAutoHyphens/>
      <w:autoSpaceDE w:val="0"/>
      <w:autoSpaceDN w:val="0"/>
      <w:adjustRightInd w:val="0"/>
      <w:spacing w:after="57" w:line="288" w:lineRule="auto"/>
      <w:textAlignment w:val="center"/>
    </w:pPr>
    <w:rPr>
      <w:rFonts w:ascii="Arial" w:hAnsi="Arial" w:cs="Arial"/>
      <w:b/>
      <w:bCs/>
      <w:color w:val="000000"/>
      <w:sz w:val="20"/>
      <w:szCs w:val="20"/>
      <w:lang w:val="en-GB"/>
    </w:rPr>
  </w:style>
  <w:style w:type="paragraph" w:customStyle="1" w:styleId="Narrativequote">
    <w:name w:val="Narrative quote"/>
    <w:basedOn w:val="BodyText"/>
    <w:link w:val="NarrativequoteChar"/>
    <w:uiPriority w:val="99"/>
    <w:rsid w:val="002C5CB9"/>
    <w:pPr>
      <w:ind w:left="2551" w:right="567"/>
    </w:pPr>
    <w:rPr>
      <w:rFonts w:ascii="Arial Narrow" w:hAnsi="Arial Narrow" w:cs="Arial Narrow"/>
      <w:i/>
      <w:iCs/>
      <w:color w:val="00DDC9"/>
    </w:rPr>
  </w:style>
  <w:style w:type="paragraph" w:customStyle="1" w:styleId="ColumnHeadingTable">
    <w:name w:val="Column Heading (Table)"/>
    <w:basedOn w:val="BodyText"/>
    <w:uiPriority w:val="99"/>
    <w:rsid w:val="002C5CB9"/>
    <w:pPr>
      <w:spacing w:line="180" w:lineRule="atLeast"/>
      <w:ind w:left="0"/>
    </w:pPr>
    <w:rPr>
      <w:b/>
      <w:bCs/>
      <w:sz w:val="18"/>
      <w:szCs w:val="18"/>
    </w:rPr>
  </w:style>
  <w:style w:type="paragraph" w:customStyle="1" w:styleId="StubheadingTable">
    <w:name w:val="Stub heading (Table)"/>
    <w:basedOn w:val="ColumnHeadingTable"/>
    <w:uiPriority w:val="99"/>
    <w:rsid w:val="002C5CB9"/>
  </w:style>
  <w:style w:type="paragraph" w:customStyle="1" w:styleId="NumberregularTable">
    <w:name w:val="Number regular (Table)"/>
    <w:basedOn w:val="BodyText"/>
    <w:uiPriority w:val="99"/>
    <w:rsid w:val="002C5CB9"/>
    <w:pPr>
      <w:spacing w:line="160" w:lineRule="atLeast"/>
      <w:ind w:left="0"/>
      <w:jc w:val="right"/>
    </w:pPr>
    <w:rPr>
      <w:sz w:val="16"/>
      <w:szCs w:val="16"/>
    </w:rPr>
  </w:style>
  <w:style w:type="paragraph" w:customStyle="1" w:styleId="TablestubTable">
    <w:name w:val="Table stub (Table)"/>
    <w:basedOn w:val="NumberregularTable"/>
    <w:uiPriority w:val="99"/>
    <w:rsid w:val="002C5CB9"/>
    <w:pPr>
      <w:jc w:val="left"/>
    </w:pPr>
  </w:style>
  <w:style w:type="paragraph" w:customStyle="1" w:styleId="TotalHeadingTable">
    <w:name w:val="Total Heading (Table)"/>
    <w:basedOn w:val="BodyText"/>
    <w:uiPriority w:val="99"/>
    <w:rsid w:val="002C5CB9"/>
    <w:pPr>
      <w:spacing w:line="180" w:lineRule="atLeast"/>
      <w:ind w:left="0"/>
    </w:pPr>
    <w:rPr>
      <w:b/>
      <w:bCs/>
      <w:sz w:val="18"/>
      <w:szCs w:val="18"/>
    </w:rPr>
  </w:style>
  <w:style w:type="paragraph" w:customStyle="1" w:styleId="NumberboldTable">
    <w:name w:val="Number bold (Table)"/>
    <w:basedOn w:val="BodyText"/>
    <w:uiPriority w:val="99"/>
    <w:rsid w:val="002C5CB9"/>
    <w:pPr>
      <w:spacing w:line="160" w:lineRule="atLeast"/>
      <w:ind w:left="0"/>
      <w:jc w:val="right"/>
    </w:pPr>
    <w:rPr>
      <w:b/>
      <w:bCs/>
      <w:sz w:val="16"/>
      <w:szCs w:val="16"/>
    </w:rPr>
  </w:style>
  <w:style w:type="paragraph" w:customStyle="1" w:styleId="RowStubitalics4mmindentTable">
    <w:name w:val="Row Stub italics 4mm indent (Table)"/>
    <w:basedOn w:val="BodyText"/>
    <w:uiPriority w:val="99"/>
    <w:rsid w:val="002C5CB9"/>
    <w:pPr>
      <w:spacing w:line="160" w:lineRule="atLeast"/>
      <w:ind w:left="227"/>
    </w:pPr>
    <w:rPr>
      <w:i/>
      <w:iCs/>
      <w:sz w:val="16"/>
      <w:szCs w:val="16"/>
    </w:rPr>
  </w:style>
  <w:style w:type="paragraph" w:customStyle="1" w:styleId="NumberitalicsTable">
    <w:name w:val="Number italics (Table)"/>
    <w:basedOn w:val="BodyText"/>
    <w:uiPriority w:val="99"/>
    <w:rsid w:val="002C5CB9"/>
    <w:pPr>
      <w:spacing w:line="160" w:lineRule="atLeast"/>
      <w:ind w:left="0"/>
      <w:jc w:val="right"/>
    </w:pPr>
    <w:rPr>
      <w:i/>
      <w:iCs/>
      <w:sz w:val="16"/>
      <w:szCs w:val="16"/>
    </w:rPr>
  </w:style>
  <w:style w:type="paragraph" w:customStyle="1" w:styleId="TotalCellTable">
    <w:name w:val="Total Cell (Table)"/>
    <w:basedOn w:val="BodyText"/>
    <w:uiPriority w:val="99"/>
    <w:rsid w:val="002C5CB9"/>
    <w:pPr>
      <w:spacing w:line="160" w:lineRule="atLeast"/>
      <w:ind w:left="0"/>
      <w:jc w:val="right"/>
    </w:pPr>
    <w:rPr>
      <w:b/>
      <w:bCs/>
      <w:sz w:val="16"/>
      <w:szCs w:val="16"/>
    </w:rPr>
  </w:style>
  <w:style w:type="paragraph" w:customStyle="1" w:styleId="FigureTableFootnotewithoutIndent">
    <w:name w:val="Figure/Table Footnote without Indent"/>
    <w:basedOn w:val="NoParagraphStyle"/>
    <w:uiPriority w:val="99"/>
    <w:rsid w:val="002C5CB9"/>
    <w:pPr>
      <w:suppressAutoHyphens/>
    </w:pPr>
    <w:rPr>
      <w:rFonts w:ascii="Arial" w:hAnsi="Arial" w:cs="Arial"/>
      <w:position w:val="-4"/>
      <w:sz w:val="14"/>
      <w:szCs w:val="14"/>
      <w:lang w:val="en-US"/>
    </w:rPr>
  </w:style>
  <w:style w:type="paragraph" w:customStyle="1" w:styleId="ColumnHeadingcopy">
    <w:name w:val="Column Heading copy"/>
    <w:basedOn w:val="BodyText"/>
    <w:uiPriority w:val="99"/>
    <w:rsid w:val="002C5CB9"/>
    <w:pPr>
      <w:spacing w:line="180" w:lineRule="atLeast"/>
      <w:ind w:left="0"/>
      <w:jc w:val="right"/>
    </w:pPr>
    <w:rPr>
      <w:b/>
      <w:bCs/>
      <w:sz w:val="18"/>
      <w:szCs w:val="18"/>
    </w:rPr>
  </w:style>
  <w:style w:type="paragraph" w:styleId="BalloonText">
    <w:name w:val="Balloon Text"/>
    <w:basedOn w:val="Normal"/>
    <w:link w:val="BalloonTextChar"/>
    <w:rsid w:val="002C5CB9"/>
    <w:rPr>
      <w:rFonts w:ascii="Tahoma" w:hAnsi="Tahoma" w:cs="Tahoma"/>
      <w:sz w:val="16"/>
      <w:szCs w:val="16"/>
    </w:rPr>
  </w:style>
  <w:style w:type="character" w:customStyle="1" w:styleId="BalloonTextChar">
    <w:name w:val="Balloon Text Char"/>
    <w:basedOn w:val="DefaultParagraphFont"/>
    <w:link w:val="BalloonText"/>
    <w:rsid w:val="002C5CB9"/>
    <w:rPr>
      <w:rFonts w:ascii="Tahoma" w:hAnsi="Tahoma" w:cs="Tahoma"/>
      <w:sz w:val="16"/>
      <w:szCs w:val="16"/>
    </w:rPr>
  </w:style>
  <w:style w:type="paragraph" w:customStyle="1" w:styleId="Colourheading1">
    <w:name w:val="Colour heading 1"/>
    <w:basedOn w:val="Heading2"/>
    <w:link w:val="Colourheading1Char"/>
    <w:qFormat/>
    <w:rsid w:val="00B1363C"/>
    <w:pPr>
      <w:spacing w:before="320" w:after="120"/>
    </w:pPr>
    <w:rPr>
      <w:rFonts w:ascii="Arial" w:hAnsi="Arial" w:cs="Arial"/>
    </w:rPr>
  </w:style>
  <w:style w:type="paragraph" w:customStyle="1" w:styleId="Colourheadingtoplevel">
    <w:name w:val="Colour heading top level"/>
    <w:basedOn w:val="Colourheading1"/>
    <w:link w:val="ColourheadingtoplevelChar"/>
    <w:qFormat/>
    <w:rsid w:val="0030662C"/>
    <w:rPr>
      <w:sz w:val="32"/>
      <w:szCs w:val="32"/>
    </w:rPr>
  </w:style>
  <w:style w:type="character" w:customStyle="1" w:styleId="Colourheading1Char">
    <w:name w:val="Colour heading 1 Char"/>
    <w:basedOn w:val="Heading2Char"/>
    <w:link w:val="Colourheading1"/>
    <w:rsid w:val="00B1363C"/>
    <w:rPr>
      <w:rFonts w:ascii="Arial" w:eastAsiaTheme="majorEastAsia" w:hAnsi="Arial" w:cs="Arial"/>
      <w:b/>
      <w:bCs/>
      <w:color w:val="4F81BD" w:themeColor="accent1"/>
      <w:sz w:val="26"/>
      <w:szCs w:val="26"/>
    </w:rPr>
  </w:style>
  <w:style w:type="paragraph" w:customStyle="1" w:styleId="Narrative">
    <w:name w:val="Narrative"/>
    <w:basedOn w:val="Narrativequote"/>
    <w:link w:val="NarrativeChar"/>
    <w:qFormat/>
    <w:rsid w:val="00EA5A2D"/>
    <w:rPr>
      <w:color w:val="E36C0A" w:themeColor="accent6" w:themeShade="BF"/>
    </w:rPr>
  </w:style>
  <w:style w:type="character" w:customStyle="1" w:styleId="ColourheadingtoplevelChar">
    <w:name w:val="Colour heading top level Char"/>
    <w:basedOn w:val="Colourheading1Char"/>
    <w:link w:val="Colourheadingtoplevel"/>
    <w:rsid w:val="0030662C"/>
    <w:rPr>
      <w:rFonts w:ascii="Arial" w:eastAsiaTheme="majorEastAsia" w:hAnsi="Arial" w:cs="Arial"/>
      <w:b/>
      <w:bCs/>
      <w:color w:val="4F81BD" w:themeColor="accent1"/>
      <w:sz w:val="32"/>
      <w:szCs w:val="32"/>
    </w:rPr>
  </w:style>
  <w:style w:type="character" w:customStyle="1" w:styleId="NarrativequoteChar">
    <w:name w:val="Narrative quote Char"/>
    <w:basedOn w:val="BodyTextChar"/>
    <w:link w:val="Narrativequote"/>
    <w:uiPriority w:val="99"/>
    <w:rsid w:val="00EA5A2D"/>
    <w:rPr>
      <w:rFonts w:ascii="Arial Narrow" w:hAnsi="Arial Narrow" w:cs="Arial Narrow"/>
      <w:i/>
      <w:iCs/>
      <w:color w:val="00DDC9"/>
      <w:sz w:val="22"/>
      <w:szCs w:val="22"/>
      <w:lang w:val="en-US"/>
    </w:rPr>
  </w:style>
  <w:style w:type="character" w:customStyle="1" w:styleId="NarrativeChar">
    <w:name w:val="Narrative Char"/>
    <w:basedOn w:val="NarrativequoteChar"/>
    <w:link w:val="Narrative"/>
    <w:rsid w:val="00EA5A2D"/>
    <w:rPr>
      <w:rFonts w:ascii="Arial Narrow" w:hAnsi="Arial Narrow" w:cs="Arial Narrow"/>
      <w:i/>
      <w:iCs/>
      <w:color w:val="E36C0A" w:themeColor="accent6" w:themeShade="BF"/>
      <w:sz w:val="22"/>
      <w:szCs w:val="22"/>
      <w:lang w:val="en-US"/>
    </w:rPr>
  </w:style>
  <w:style w:type="paragraph" w:customStyle="1" w:styleId="ChapterSectionTitle">
    <w:name w:val="Chapter/Section Title"/>
    <w:basedOn w:val="ChapterTitle-withunderrule"/>
    <w:link w:val="ChapterSectionTitleChar"/>
    <w:qFormat/>
    <w:rsid w:val="00F815D1"/>
  </w:style>
  <w:style w:type="paragraph" w:styleId="Header">
    <w:name w:val="header"/>
    <w:basedOn w:val="Normal"/>
    <w:link w:val="HeaderChar"/>
    <w:rsid w:val="00D00B98"/>
    <w:pPr>
      <w:tabs>
        <w:tab w:val="center" w:pos="4513"/>
        <w:tab w:val="right" w:pos="9026"/>
      </w:tabs>
    </w:pPr>
  </w:style>
  <w:style w:type="character" w:customStyle="1" w:styleId="ChapterTitle-withunderruleChar">
    <w:name w:val="Chapter Title - with underrule Char"/>
    <w:basedOn w:val="DefaultParagraphFont"/>
    <w:link w:val="ChapterTitle-withunderrule"/>
    <w:uiPriority w:val="99"/>
    <w:rsid w:val="00F815D1"/>
    <w:rPr>
      <w:rFonts w:ascii="Arial" w:hAnsi="Arial" w:cs="Arial"/>
      <w:color w:val="001E5B"/>
      <w:sz w:val="50"/>
      <w:szCs w:val="50"/>
      <w:lang w:val="en-GB"/>
    </w:rPr>
  </w:style>
  <w:style w:type="character" w:customStyle="1" w:styleId="ChapterSectionTitleChar">
    <w:name w:val="Chapter/Section Title Char"/>
    <w:basedOn w:val="ChapterTitle-withunderruleChar"/>
    <w:link w:val="ChapterSectionTitle"/>
    <w:rsid w:val="00F815D1"/>
    <w:rPr>
      <w:rFonts w:ascii="Arial" w:hAnsi="Arial" w:cs="Arial"/>
      <w:color w:val="001E5B"/>
      <w:sz w:val="50"/>
      <w:szCs w:val="50"/>
      <w:lang w:val="en-GB"/>
    </w:rPr>
  </w:style>
  <w:style w:type="character" w:customStyle="1" w:styleId="HeaderChar">
    <w:name w:val="Header Char"/>
    <w:basedOn w:val="DefaultParagraphFont"/>
    <w:link w:val="Header"/>
    <w:rsid w:val="00D00B98"/>
    <w:rPr>
      <w:sz w:val="24"/>
      <w:szCs w:val="24"/>
    </w:rPr>
  </w:style>
  <w:style w:type="paragraph" w:styleId="Footer">
    <w:name w:val="footer"/>
    <w:basedOn w:val="Normal"/>
    <w:link w:val="FooterChar"/>
    <w:uiPriority w:val="99"/>
    <w:rsid w:val="00D00B98"/>
    <w:pPr>
      <w:tabs>
        <w:tab w:val="center" w:pos="4513"/>
        <w:tab w:val="right" w:pos="9026"/>
      </w:tabs>
    </w:pPr>
  </w:style>
  <w:style w:type="character" w:customStyle="1" w:styleId="FooterChar">
    <w:name w:val="Footer Char"/>
    <w:basedOn w:val="DefaultParagraphFont"/>
    <w:link w:val="Footer"/>
    <w:uiPriority w:val="99"/>
    <w:rsid w:val="00D00B98"/>
    <w:rPr>
      <w:sz w:val="24"/>
      <w:szCs w:val="24"/>
    </w:rPr>
  </w:style>
  <w:style w:type="paragraph" w:customStyle="1" w:styleId="Pagefootnotewithrule">
    <w:name w:val="Page footnote with rule"/>
    <w:basedOn w:val="FigureTableFootnote"/>
    <w:uiPriority w:val="99"/>
    <w:rsid w:val="007056CB"/>
    <w:pPr>
      <w:pBdr>
        <w:top w:val="single" w:sz="8" w:space="8" w:color="1E3052"/>
      </w:pBdr>
      <w:ind w:left="2268"/>
    </w:pPr>
  </w:style>
  <w:style w:type="character" w:styleId="SubtleReference">
    <w:name w:val="Subtle Reference"/>
    <w:basedOn w:val="DefaultParagraphFont"/>
    <w:uiPriority w:val="31"/>
    <w:qFormat/>
    <w:rsid w:val="007056CB"/>
    <w:rPr>
      <w:smallCaps/>
      <w:color w:val="C0504D" w:themeColor="accent2"/>
      <w:u w:val="single"/>
    </w:rPr>
  </w:style>
  <w:style w:type="paragraph" w:styleId="Quote">
    <w:name w:val="Quote"/>
    <w:basedOn w:val="Normal"/>
    <w:next w:val="Normal"/>
    <w:link w:val="QuoteChar"/>
    <w:uiPriority w:val="29"/>
    <w:qFormat/>
    <w:rsid w:val="007056CB"/>
    <w:rPr>
      <w:i/>
      <w:iCs/>
      <w:color w:val="000000" w:themeColor="text1"/>
    </w:rPr>
  </w:style>
  <w:style w:type="character" w:customStyle="1" w:styleId="QuoteChar">
    <w:name w:val="Quote Char"/>
    <w:basedOn w:val="DefaultParagraphFont"/>
    <w:link w:val="Quote"/>
    <w:uiPriority w:val="29"/>
    <w:rsid w:val="007056CB"/>
    <w:rPr>
      <w:i/>
      <w:iCs/>
      <w:color w:val="000000" w:themeColor="text1"/>
      <w:sz w:val="24"/>
      <w:szCs w:val="24"/>
    </w:rPr>
  </w:style>
  <w:style w:type="paragraph" w:styleId="Title">
    <w:name w:val="Title"/>
    <w:basedOn w:val="Normal"/>
    <w:next w:val="Normal"/>
    <w:link w:val="TitleChar"/>
    <w:qFormat/>
    <w:rsid w:val="0073447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3447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EPNAS002\51000186\Data%20and%20Analysis\Publications\Road%20Transport%20Thematics\Road%20freight\Spreadsheets\Articulated%20trucks%20by%20stat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NAS002\51000186\Data%20and%20Analysis\Publications\Road%20Transport%20Thematics\Road%20freight\Spreadsheets\TIFF%20FATALS%20ROAD%20FREIGHT%20TRANS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NAS002\51000186\Data%20and%20Analysis\Publications\Road%20Transport%20Thematics\Road%20freight\Spreadsheets\TIFF%20FATALS%20ROAD%20FREIGHT%20TRANS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PNAS002\51000186\Data%20and%20Analysis\Publications\Road%20Transport%20Thematics\Road%20freight\Spreadsheets\Road%20Freight%20Industry%20claims%202007-20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PNAS002\51000186\Data%20and%20Analysis\Publications\Road%20Transport%20Thematics\Road%20freight\Spreadsheets\Road%20Freight%20Industry%20claims%202007-20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PNAS002\51000186\Data%20and%20Analysis\Publications\Road%20Transport%20Thematics\Road%20freight\Spreadsheets\Road%20Freight%20Industry%20claims%202007-20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304006835285921E-2"/>
          <c:y val="0.12037037037037036"/>
          <c:w val="0.85377224435862387"/>
          <c:h val="0.73967082239720039"/>
        </c:manualLayout>
      </c:layout>
      <c:lineChart>
        <c:grouping val="standard"/>
        <c:varyColors val="0"/>
        <c:ser>
          <c:idx val="1"/>
          <c:order val="0"/>
          <c:tx>
            <c:v>Articulated trucks</c:v>
          </c:tx>
          <c:spPr>
            <a:ln w="44450">
              <a:solidFill>
                <a:srgbClr val="004459"/>
              </a:solidFill>
            </a:ln>
          </c:spPr>
          <c:marker>
            <c:symbol val="none"/>
          </c:marker>
          <c:cat>
            <c:numRef>
              <c:f>'table1 1 '!$B$19:$Y$19</c:f>
              <c:numCache>
                <c:formatCode>General</c:formatCode>
                <c:ptCount val="24"/>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numCache>
            </c:numRef>
          </c:cat>
          <c:val>
            <c:numRef>
              <c:f>'table1 1 '!$B$20:$Y$20</c:f>
              <c:numCache>
                <c:formatCode>General</c:formatCode>
                <c:ptCount val="24"/>
                <c:pt idx="0">
                  <c:v>250</c:v>
                </c:pt>
                <c:pt idx="1">
                  <c:v>205</c:v>
                </c:pt>
                <c:pt idx="2">
                  <c:v>156</c:v>
                </c:pt>
                <c:pt idx="3">
                  <c:v>154</c:v>
                </c:pt>
                <c:pt idx="4">
                  <c:v>171</c:v>
                </c:pt>
                <c:pt idx="5">
                  <c:v>151</c:v>
                </c:pt>
                <c:pt idx="6">
                  <c:v>165</c:v>
                </c:pt>
                <c:pt idx="7">
                  <c:v>161</c:v>
                </c:pt>
                <c:pt idx="8">
                  <c:v>146</c:v>
                </c:pt>
                <c:pt idx="9">
                  <c:v>151</c:v>
                </c:pt>
                <c:pt idx="10">
                  <c:v>163</c:v>
                </c:pt>
                <c:pt idx="11">
                  <c:v>165</c:v>
                </c:pt>
                <c:pt idx="12">
                  <c:v>146</c:v>
                </c:pt>
                <c:pt idx="13">
                  <c:v>171</c:v>
                </c:pt>
                <c:pt idx="14">
                  <c:v>142</c:v>
                </c:pt>
                <c:pt idx="15">
                  <c:v>138</c:v>
                </c:pt>
                <c:pt idx="16">
                  <c:v>132</c:v>
                </c:pt>
                <c:pt idx="17">
                  <c:v>145</c:v>
                </c:pt>
                <c:pt idx="18">
                  <c:v>147</c:v>
                </c:pt>
                <c:pt idx="19">
                  <c:v>130</c:v>
                </c:pt>
                <c:pt idx="20">
                  <c:v>124</c:v>
                </c:pt>
                <c:pt idx="21">
                  <c:v>121</c:v>
                </c:pt>
                <c:pt idx="22">
                  <c:v>122</c:v>
                </c:pt>
                <c:pt idx="23">
                  <c:v>123</c:v>
                </c:pt>
              </c:numCache>
            </c:numRef>
          </c:val>
          <c:smooth val="0"/>
        </c:ser>
        <c:ser>
          <c:idx val="0"/>
          <c:order val="1"/>
          <c:tx>
            <c:v>Rigid trucks</c:v>
          </c:tx>
          <c:spPr>
            <a:ln w="44450">
              <a:solidFill>
                <a:schemeClr val="bg1">
                  <a:lumMod val="75000"/>
                </a:schemeClr>
              </a:solidFill>
            </a:ln>
          </c:spPr>
          <c:marker>
            <c:symbol val="none"/>
          </c:marker>
          <c:cat>
            <c:numRef>
              <c:f>'table1 1 '!$B$19:$Y$19</c:f>
              <c:numCache>
                <c:formatCode>General</c:formatCode>
                <c:ptCount val="24"/>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numCache>
            </c:numRef>
          </c:cat>
          <c:val>
            <c:numRef>
              <c:f>'table1 1 '!$B$21:$Y$21</c:f>
              <c:numCache>
                <c:formatCode>General</c:formatCode>
                <c:ptCount val="24"/>
                <c:pt idx="13">
                  <c:v>71</c:v>
                </c:pt>
                <c:pt idx="14">
                  <c:v>66</c:v>
                </c:pt>
                <c:pt idx="15">
                  <c:v>92</c:v>
                </c:pt>
                <c:pt idx="16">
                  <c:v>78</c:v>
                </c:pt>
                <c:pt idx="17">
                  <c:v>72</c:v>
                </c:pt>
                <c:pt idx="18">
                  <c:v>80</c:v>
                </c:pt>
                <c:pt idx="19">
                  <c:v>87</c:v>
                </c:pt>
                <c:pt idx="20">
                  <c:v>74</c:v>
                </c:pt>
                <c:pt idx="21">
                  <c:v>68</c:v>
                </c:pt>
                <c:pt idx="22">
                  <c:v>60</c:v>
                </c:pt>
                <c:pt idx="23">
                  <c:v>77</c:v>
                </c:pt>
              </c:numCache>
            </c:numRef>
          </c:val>
          <c:smooth val="0"/>
        </c:ser>
        <c:dLbls>
          <c:showLegendKey val="0"/>
          <c:showVal val="0"/>
          <c:showCatName val="0"/>
          <c:showSerName val="0"/>
          <c:showPercent val="0"/>
          <c:showBubbleSize val="0"/>
        </c:dLbls>
        <c:marker val="1"/>
        <c:smooth val="0"/>
        <c:axId val="41446016"/>
        <c:axId val="41464192"/>
      </c:lineChart>
      <c:catAx>
        <c:axId val="41446016"/>
        <c:scaling>
          <c:orientation val="minMax"/>
        </c:scaling>
        <c:delete val="0"/>
        <c:axPos val="b"/>
        <c:numFmt formatCode="General" sourceLinked="1"/>
        <c:majorTickMark val="none"/>
        <c:minorTickMark val="out"/>
        <c:tickLblPos val="nextTo"/>
        <c:spPr>
          <a:ln>
            <a:solidFill>
              <a:schemeClr val="tx1"/>
            </a:solidFill>
          </a:ln>
        </c:spPr>
        <c:txPr>
          <a:bodyPr/>
          <a:lstStyle/>
          <a:p>
            <a:pPr>
              <a:defRPr sz="800">
                <a:latin typeface="Arial" pitchFamily="34" charset="0"/>
                <a:cs typeface="Arial" pitchFamily="34" charset="0"/>
              </a:defRPr>
            </a:pPr>
            <a:endParaRPr lang="en-US"/>
          </a:p>
        </c:txPr>
        <c:crossAx val="41464192"/>
        <c:crosses val="autoZero"/>
        <c:auto val="1"/>
        <c:lblAlgn val="ctr"/>
        <c:lblOffset val="100"/>
        <c:noMultiLvlLbl val="0"/>
      </c:catAx>
      <c:valAx>
        <c:axId val="41464192"/>
        <c:scaling>
          <c:orientation val="minMax"/>
        </c:scaling>
        <c:delete val="0"/>
        <c:axPos val="l"/>
        <c:majorGridlines/>
        <c:title>
          <c:tx>
            <c:rich>
              <a:bodyPr rot="-5400000" vert="horz"/>
              <a:lstStyle/>
              <a:p>
                <a:pPr>
                  <a:defRPr/>
                </a:pPr>
                <a:r>
                  <a:rPr lang="en-AU" sz="800" b="0">
                    <a:latin typeface="Arial" pitchFamily="34" charset="0"/>
                    <a:cs typeface="Arial" pitchFamily="34" charset="0"/>
                  </a:rPr>
                  <a:t>Number</a:t>
                </a:r>
                <a:r>
                  <a:rPr lang="en-AU" sz="800" b="0" baseline="0">
                    <a:latin typeface="Arial" pitchFamily="34" charset="0"/>
                    <a:cs typeface="Arial" pitchFamily="34" charset="0"/>
                  </a:rPr>
                  <a:t> of fatal crashes</a:t>
                </a:r>
                <a:endParaRPr lang="en-AU" sz="800" b="0">
                  <a:latin typeface="Arial" pitchFamily="34" charset="0"/>
                  <a:cs typeface="Arial" pitchFamily="34" charset="0"/>
                </a:endParaRPr>
              </a:p>
            </c:rich>
          </c:tx>
          <c:layout>
            <c:manualLayout>
              <c:xMode val="edge"/>
              <c:yMode val="edge"/>
              <c:x val="7.555611299941633E-4"/>
              <c:y val="0.27274059492563429"/>
            </c:manualLayout>
          </c:layout>
          <c:overlay val="0"/>
        </c:title>
        <c:numFmt formatCode="General" sourceLinked="1"/>
        <c:majorTickMark val="out"/>
        <c:minorTickMark val="none"/>
        <c:tickLblPos val="nextTo"/>
        <c:spPr>
          <a:ln>
            <a:solidFill>
              <a:schemeClr val="tx1"/>
            </a:solidFill>
          </a:ln>
        </c:spPr>
        <c:txPr>
          <a:bodyPr/>
          <a:lstStyle/>
          <a:p>
            <a:pPr>
              <a:defRPr sz="800">
                <a:latin typeface="Arial" pitchFamily="34" charset="0"/>
                <a:cs typeface="Arial" pitchFamily="34" charset="0"/>
              </a:defRPr>
            </a:pPr>
            <a:endParaRPr lang="en-US"/>
          </a:p>
        </c:txPr>
        <c:crossAx val="41446016"/>
        <c:crosses val="autoZero"/>
        <c:crossBetween val="between"/>
      </c:valAx>
      <c:spPr>
        <a:ln>
          <a:solidFill>
            <a:schemeClr val="tx1"/>
          </a:solidFill>
        </a:ln>
      </c:spPr>
    </c:plotArea>
    <c:legend>
      <c:legendPos val="r"/>
      <c:layout>
        <c:manualLayout>
          <c:xMode val="edge"/>
          <c:yMode val="edge"/>
          <c:x val="0.4859452076190337"/>
          <c:y val="0.26536854768153983"/>
          <c:w val="0.44501482053239139"/>
          <c:h val="8.8730679498396026E-2"/>
        </c:manualLayout>
      </c:layout>
      <c:overlay val="1"/>
      <c:txPr>
        <a:bodyPr/>
        <a:lstStyle/>
        <a:p>
          <a:pPr>
            <a:defRPr sz="800">
              <a:latin typeface="Arial" pitchFamily="34" charset="0"/>
              <a:cs typeface="Arial" pitchFamily="34"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305376211535202"/>
          <c:y val="4.8309178743961352E-2"/>
          <c:w val="0.69698794500002559"/>
          <c:h val="0.78844231427593292"/>
        </c:manualLayout>
      </c:layout>
      <c:barChart>
        <c:barDir val="bar"/>
        <c:grouping val="clustered"/>
        <c:varyColors val="0"/>
        <c:ser>
          <c:idx val="0"/>
          <c:order val="0"/>
          <c:tx>
            <c:v>Males</c:v>
          </c:tx>
          <c:spPr>
            <a:solidFill>
              <a:srgbClr val="004459"/>
            </a:solidFill>
          </c:spPr>
          <c:invertIfNegative val="0"/>
          <c:cat>
            <c:strRef>
              <c:f>'Fig 1 - Age graph'!$D$6:$D$12</c:f>
              <c:strCache>
                <c:ptCount val="7"/>
                <c:pt idx="0">
                  <c:v>65 years &amp; over</c:v>
                </c:pt>
                <c:pt idx="1">
                  <c:v>55–64 years</c:v>
                </c:pt>
                <c:pt idx="2">
                  <c:v>45–54 years</c:v>
                </c:pt>
                <c:pt idx="3">
                  <c:v>35–44 years</c:v>
                </c:pt>
                <c:pt idx="4">
                  <c:v>25–34 years</c:v>
                </c:pt>
                <c:pt idx="5">
                  <c:v>15–24 years</c:v>
                </c:pt>
                <c:pt idx="6">
                  <c:v>Less than 15 years</c:v>
                </c:pt>
              </c:strCache>
            </c:strRef>
          </c:cat>
          <c:val>
            <c:numRef>
              <c:f>'Fig 1 - Age graph'!$F$6:$F$12</c:f>
              <c:numCache>
                <c:formatCode>General</c:formatCode>
                <c:ptCount val="7"/>
                <c:pt idx="0">
                  <c:v>17</c:v>
                </c:pt>
                <c:pt idx="1">
                  <c:v>82</c:v>
                </c:pt>
                <c:pt idx="2">
                  <c:v>91</c:v>
                </c:pt>
                <c:pt idx="3">
                  <c:v>97</c:v>
                </c:pt>
                <c:pt idx="4">
                  <c:v>47</c:v>
                </c:pt>
                <c:pt idx="5">
                  <c:v>12</c:v>
                </c:pt>
                <c:pt idx="6">
                  <c:v>1</c:v>
                </c:pt>
              </c:numCache>
            </c:numRef>
          </c:val>
        </c:ser>
        <c:ser>
          <c:idx val="1"/>
          <c:order val="1"/>
          <c:tx>
            <c:v>Females</c:v>
          </c:tx>
          <c:spPr>
            <a:solidFill>
              <a:schemeClr val="bg1">
                <a:lumMod val="75000"/>
              </a:schemeClr>
            </a:solidFill>
          </c:spPr>
          <c:invertIfNegative val="0"/>
          <c:cat>
            <c:strRef>
              <c:f>'Fig 1 - Age graph'!$D$6:$D$12</c:f>
              <c:strCache>
                <c:ptCount val="7"/>
                <c:pt idx="0">
                  <c:v>65 years &amp; over</c:v>
                </c:pt>
                <c:pt idx="1">
                  <c:v>55–64 years</c:v>
                </c:pt>
                <c:pt idx="2">
                  <c:v>45–54 years</c:v>
                </c:pt>
                <c:pt idx="3">
                  <c:v>35–44 years</c:v>
                </c:pt>
                <c:pt idx="4">
                  <c:v>25–34 years</c:v>
                </c:pt>
                <c:pt idx="5">
                  <c:v>15–24 years</c:v>
                </c:pt>
                <c:pt idx="6">
                  <c:v>Less than 15 years</c:v>
                </c:pt>
              </c:strCache>
            </c:strRef>
          </c:cat>
          <c:val>
            <c:numRef>
              <c:f>'Fig 1 - Age graph'!$E$6:$E$12</c:f>
              <c:numCache>
                <c:formatCode>General</c:formatCode>
                <c:ptCount val="7"/>
                <c:pt idx="2">
                  <c:v>3</c:v>
                </c:pt>
                <c:pt idx="3">
                  <c:v>2</c:v>
                </c:pt>
              </c:numCache>
            </c:numRef>
          </c:val>
        </c:ser>
        <c:dLbls>
          <c:showLegendKey val="0"/>
          <c:showVal val="0"/>
          <c:showCatName val="0"/>
          <c:showSerName val="0"/>
          <c:showPercent val="0"/>
          <c:showBubbleSize val="0"/>
        </c:dLbls>
        <c:gapWidth val="34"/>
        <c:overlap val="-1"/>
        <c:axId val="122023296"/>
        <c:axId val="126351232"/>
      </c:barChart>
      <c:catAx>
        <c:axId val="122023296"/>
        <c:scaling>
          <c:orientation val="minMax"/>
        </c:scaling>
        <c:delete val="0"/>
        <c:axPos val="l"/>
        <c:majorTickMark val="none"/>
        <c:minorTickMark val="none"/>
        <c:tickLblPos val="nextTo"/>
        <c:spPr>
          <a:ln>
            <a:solidFill>
              <a:schemeClr val="tx1"/>
            </a:solidFill>
          </a:ln>
        </c:spPr>
        <c:txPr>
          <a:bodyPr/>
          <a:lstStyle/>
          <a:p>
            <a:pPr>
              <a:defRPr sz="800">
                <a:latin typeface="Arial" pitchFamily="34" charset="0"/>
                <a:cs typeface="Arial" pitchFamily="34" charset="0"/>
              </a:defRPr>
            </a:pPr>
            <a:endParaRPr lang="en-US"/>
          </a:p>
        </c:txPr>
        <c:crossAx val="126351232"/>
        <c:crosses val="autoZero"/>
        <c:auto val="1"/>
        <c:lblAlgn val="ctr"/>
        <c:lblOffset val="100"/>
        <c:noMultiLvlLbl val="0"/>
      </c:catAx>
      <c:valAx>
        <c:axId val="126351232"/>
        <c:scaling>
          <c:orientation val="minMax"/>
          <c:max val="100"/>
        </c:scaling>
        <c:delete val="0"/>
        <c:axPos val="b"/>
        <c:majorGridlines/>
        <c:title>
          <c:tx>
            <c:rich>
              <a:bodyPr/>
              <a:lstStyle/>
              <a:p>
                <a:pPr>
                  <a:defRPr sz="800" b="0">
                    <a:latin typeface="Arial" pitchFamily="34" charset="0"/>
                    <a:cs typeface="Arial" pitchFamily="34" charset="0"/>
                  </a:defRPr>
                </a:pPr>
                <a:r>
                  <a:rPr lang="en-AU" sz="800" b="0">
                    <a:latin typeface="Arial" pitchFamily="34" charset="0"/>
                    <a:cs typeface="Arial" pitchFamily="34" charset="0"/>
                  </a:rPr>
                  <a:t>Number</a:t>
                </a:r>
                <a:r>
                  <a:rPr lang="en-AU" sz="800" b="0" baseline="0">
                    <a:latin typeface="Arial" pitchFamily="34" charset="0"/>
                    <a:cs typeface="Arial" pitchFamily="34" charset="0"/>
                  </a:rPr>
                  <a:t> of fatalities</a:t>
                </a:r>
                <a:endParaRPr lang="en-AU" sz="800" b="0">
                  <a:latin typeface="Arial" pitchFamily="34" charset="0"/>
                  <a:cs typeface="Arial" pitchFamily="34" charset="0"/>
                </a:endParaRPr>
              </a:p>
            </c:rich>
          </c:tx>
          <c:layout>
            <c:manualLayout>
              <c:xMode val="edge"/>
              <c:yMode val="edge"/>
              <c:x val="0.47945349297091289"/>
              <c:y val="0.91666666666666663"/>
            </c:manualLayout>
          </c:layout>
          <c:overlay val="0"/>
        </c:title>
        <c:numFmt formatCode="General" sourceLinked="1"/>
        <c:majorTickMark val="out"/>
        <c:minorTickMark val="none"/>
        <c:tickLblPos val="nextTo"/>
        <c:spPr>
          <a:ln>
            <a:solidFill>
              <a:schemeClr val="tx1"/>
            </a:solidFill>
          </a:ln>
        </c:spPr>
        <c:txPr>
          <a:bodyPr/>
          <a:lstStyle/>
          <a:p>
            <a:pPr>
              <a:defRPr sz="800">
                <a:latin typeface="Arial" pitchFamily="34" charset="0"/>
                <a:cs typeface="Arial" pitchFamily="34" charset="0"/>
              </a:defRPr>
            </a:pPr>
            <a:endParaRPr lang="en-US"/>
          </a:p>
        </c:txPr>
        <c:crossAx val="122023296"/>
        <c:crosses val="autoZero"/>
        <c:crossBetween val="between"/>
      </c:valAx>
      <c:spPr>
        <a:ln>
          <a:solidFill>
            <a:schemeClr val="tx1"/>
          </a:solidFill>
        </a:ln>
      </c:spPr>
    </c:plotArea>
    <c:legend>
      <c:legendPos val="r"/>
      <c:layout>
        <c:manualLayout>
          <c:xMode val="edge"/>
          <c:yMode val="edge"/>
          <c:x val="0.79624266144814104"/>
          <c:y val="0.11001445471489976"/>
          <c:w val="0.11667740162616659"/>
          <c:h val="0.1434356574993343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9754483814523186"/>
          <c:y val="6.0081197715454109E-2"/>
          <c:w val="0.66169138232720914"/>
          <c:h val="0.7811960484106153"/>
        </c:manualLayout>
      </c:layout>
      <c:barChart>
        <c:barDir val="bar"/>
        <c:grouping val="clustered"/>
        <c:varyColors val="0"/>
        <c:ser>
          <c:idx val="0"/>
          <c:order val="0"/>
          <c:spPr>
            <a:solidFill>
              <a:srgbClr val="004459"/>
            </a:solidFill>
          </c:spPr>
          <c:invertIfNegative val="0"/>
          <c:cat>
            <c:strRef>
              <c:f>'On Public Roads'!$D$19:$D$27</c:f>
              <c:strCache>
                <c:ptCount val="9"/>
                <c:pt idx="0">
                  <c:v>Type of incident unknown</c:v>
                </c:pt>
                <c:pt idx="1">
                  <c:v>Drowning</c:v>
                </c:pt>
                <c:pt idx="2">
                  <c:v>Hit by own vehicle</c:v>
                </c:pt>
                <c:pt idx="3">
                  <c:v>Caught in bushfire</c:v>
                </c:pt>
                <c:pt idx="4">
                  <c:v>Hit stationary vehicle</c:v>
                </c:pt>
                <c:pt idx="5">
                  <c:v>Hit moving vehicle</c:v>
                </c:pt>
                <c:pt idx="6">
                  <c:v>Hit by moving vehicle</c:v>
                </c:pt>
                <c:pt idx="7">
                  <c:v>Rollover</c:v>
                </c:pt>
                <c:pt idx="8">
                  <c:v>Hit stationary object</c:v>
                </c:pt>
              </c:strCache>
            </c:strRef>
          </c:cat>
          <c:val>
            <c:numRef>
              <c:f>'On Public Roads'!$E$19:$E$27</c:f>
              <c:numCache>
                <c:formatCode>General</c:formatCode>
                <c:ptCount val="9"/>
                <c:pt idx="0">
                  <c:v>4</c:v>
                </c:pt>
                <c:pt idx="1">
                  <c:v>1</c:v>
                </c:pt>
                <c:pt idx="2">
                  <c:v>2</c:v>
                </c:pt>
                <c:pt idx="3">
                  <c:v>3</c:v>
                </c:pt>
                <c:pt idx="4">
                  <c:v>9</c:v>
                </c:pt>
                <c:pt idx="5">
                  <c:v>31</c:v>
                </c:pt>
                <c:pt idx="6">
                  <c:v>52</c:v>
                </c:pt>
                <c:pt idx="7">
                  <c:v>76</c:v>
                </c:pt>
                <c:pt idx="8">
                  <c:v>97</c:v>
                </c:pt>
              </c:numCache>
            </c:numRef>
          </c:val>
        </c:ser>
        <c:dLbls>
          <c:showLegendKey val="0"/>
          <c:showVal val="0"/>
          <c:showCatName val="0"/>
          <c:showSerName val="0"/>
          <c:showPercent val="0"/>
          <c:showBubbleSize val="0"/>
        </c:dLbls>
        <c:gapWidth val="82"/>
        <c:axId val="78676736"/>
        <c:axId val="78678272"/>
      </c:barChart>
      <c:catAx>
        <c:axId val="78676736"/>
        <c:scaling>
          <c:orientation val="minMax"/>
        </c:scaling>
        <c:delete val="0"/>
        <c:axPos val="l"/>
        <c:majorTickMark val="none"/>
        <c:minorTickMark val="none"/>
        <c:tickLblPos val="nextTo"/>
        <c:spPr>
          <a:ln>
            <a:solidFill>
              <a:schemeClr val="tx1"/>
            </a:solidFill>
          </a:ln>
        </c:spPr>
        <c:txPr>
          <a:bodyPr/>
          <a:lstStyle/>
          <a:p>
            <a:pPr>
              <a:defRPr sz="800">
                <a:latin typeface="Arial" pitchFamily="34" charset="0"/>
                <a:cs typeface="Arial" pitchFamily="34" charset="0"/>
              </a:defRPr>
            </a:pPr>
            <a:endParaRPr lang="en-US"/>
          </a:p>
        </c:txPr>
        <c:crossAx val="78678272"/>
        <c:crosses val="autoZero"/>
        <c:auto val="1"/>
        <c:lblAlgn val="ctr"/>
        <c:lblOffset val="100"/>
        <c:noMultiLvlLbl val="0"/>
      </c:catAx>
      <c:valAx>
        <c:axId val="78678272"/>
        <c:scaling>
          <c:orientation val="minMax"/>
          <c:max val="100"/>
        </c:scaling>
        <c:delete val="0"/>
        <c:axPos val="b"/>
        <c:majorGridlines/>
        <c:title>
          <c:tx>
            <c:rich>
              <a:bodyPr/>
              <a:lstStyle/>
              <a:p>
                <a:pPr>
                  <a:defRPr sz="800" b="0">
                    <a:latin typeface="Arial" pitchFamily="34" charset="0"/>
                    <a:cs typeface="Arial" pitchFamily="34" charset="0"/>
                  </a:defRPr>
                </a:pPr>
                <a:r>
                  <a:rPr lang="en-AU" sz="800" b="0">
                    <a:latin typeface="Arial" pitchFamily="34" charset="0"/>
                    <a:cs typeface="Arial" pitchFamily="34" charset="0"/>
                  </a:rPr>
                  <a:t>Number</a:t>
                </a:r>
                <a:r>
                  <a:rPr lang="en-AU" sz="800" b="0" baseline="0">
                    <a:latin typeface="Arial" pitchFamily="34" charset="0"/>
                    <a:cs typeface="Arial" pitchFamily="34" charset="0"/>
                  </a:rPr>
                  <a:t> of fatalities</a:t>
                </a:r>
                <a:endParaRPr lang="en-AU" sz="800" b="0">
                  <a:latin typeface="Arial" pitchFamily="34" charset="0"/>
                  <a:cs typeface="Arial" pitchFamily="34" charset="0"/>
                </a:endParaRPr>
              </a:p>
            </c:rich>
          </c:tx>
          <c:layout>
            <c:manualLayout>
              <c:xMode val="edge"/>
              <c:yMode val="edge"/>
              <c:x val="0.52541819772528431"/>
              <c:y val="0.91749014519252514"/>
            </c:manualLayout>
          </c:layout>
          <c:overlay val="0"/>
        </c:title>
        <c:numFmt formatCode="General" sourceLinked="1"/>
        <c:majorTickMark val="out"/>
        <c:minorTickMark val="none"/>
        <c:tickLblPos val="nextTo"/>
        <c:spPr>
          <a:ln>
            <a:solidFill>
              <a:schemeClr val="tx1"/>
            </a:solidFill>
          </a:ln>
        </c:spPr>
        <c:txPr>
          <a:bodyPr/>
          <a:lstStyle/>
          <a:p>
            <a:pPr>
              <a:defRPr sz="800">
                <a:latin typeface="Arial" pitchFamily="34" charset="0"/>
                <a:cs typeface="Arial" pitchFamily="34" charset="0"/>
              </a:defRPr>
            </a:pPr>
            <a:endParaRPr lang="en-US"/>
          </a:p>
        </c:txPr>
        <c:crossAx val="78676736"/>
        <c:crosses val="autoZero"/>
        <c:crossBetween val="between"/>
      </c:valAx>
      <c:spPr>
        <a:ln>
          <a:solidFill>
            <a:schemeClr val="tx1"/>
          </a:solidFill>
        </a:ln>
      </c:spPr>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364129483814522"/>
          <c:y val="5.0925925925925923E-2"/>
          <c:w val="0.77768613298337708"/>
          <c:h val="0.77656641878098576"/>
        </c:manualLayout>
      </c:layout>
      <c:barChart>
        <c:barDir val="bar"/>
        <c:grouping val="clustered"/>
        <c:varyColors val="0"/>
        <c:ser>
          <c:idx val="0"/>
          <c:order val="0"/>
          <c:tx>
            <c:strRef>
              <c:f>'AGE SEX STRUCTURE'!$L$21</c:f>
              <c:strCache>
                <c:ptCount val="1"/>
                <c:pt idx="0">
                  <c:v>Females</c:v>
                </c:pt>
              </c:strCache>
            </c:strRef>
          </c:tx>
          <c:spPr>
            <a:solidFill>
              <a:schemeClr val="bg1">
                <a:lumMod val="75000"/>
              </a:schemeClr>
            </a:solidFill>
          </c:spPr>
          <c:invertIfNegative val="0"/>
          <c:cat>
            <c:strRef>
              <c:f>'AGE SEX STRUCTURE'!$K$22:$K$27</c:f>
              <c:strCache>
                <c:ptCount val="6"/>
                <c:pt idx="0">
                  <c:v>65 and over</c:v>
                </c:pt>
                <c:pt idx="1">
                  <c:v>55–64</c:v>
                </c:pt>
                <c:pt idx="2">
                  <c:v>45–54</c:v>
                </c:pt>
                <c:pt idx="3">
                  <c:v>35–44</c:v>
                </c:pt>
                <c:pt idx="4">
                  <c:v>25–34</c:v>
                </c:pt>
                <c:pt idx="5">
                  <c:v>Under 25</c:v>
                </c:pt>
              </c:strCache>
            </c:strRef>
          </c:cat>
          <c:val>
            <c:numRef>
              <c:f>'AGE SEX STRUCTURE'!$L$22:$L$27</c:f>
              <c:numCache>
                <c:formatCode>0.0%</c:formatCode>
                <c:ptCount val="6"/>
                <c:pt idx="0">
                  <c:v>2.4357742356857103E-4</c:v>
                </c:pt>
                <c:pt idx="1">
                  <c:v>2.5206853255417142E-3</c:v>
                </c:pt>
                <c:pt idx="2">
                  <c:v>7.3346033784968115E-3</c:v>
                </c:pt>
                <c:pt idx="3">
                  <c:v>1.1018127324154884E-2</c:v>
                </c:pt>
                <c:pt idx="4">
                  <c:v>5.1864453645608698E-3</c:v>
                </c:pt>
                <c:pt idx="5">
                  <c:v>1.8999039038348541E-3</c:v>
                </c:pt>
              </c:numCache>
            </c:numRef>
          </c:val>
        </c:ser>
        <c:ser>
          <c:idx val="1"/>
          <c:order val="1"/>
          <c:tx>
            <c:strRef>
              <c:f>'AGE SEX STRUCTURE'!$M$21</c:f>
              <c:strCache>
                <c:ptCount val="1"/>
                <c:pt idx="0">
                  <c:v>Males</c:v>
                </c:pt>
              </c:strCache>
            </c:strRef>
          </c:tx>
          <c:spPr>
            <a:solidFill>
              <a:srgbClr val="004459"/>
            </a:solidFill>
          </c:spPr>
          <c:invertIfNegative val="0"/>
          <c:cat>
            <c:strRef>
              <c:f>'AGE SEX STRUCTURE'!$K$22:$K$27</c:f>
              <c:strCache>
                <c:ptCount val="6"/>
                <c:pt idx="0">
                  <c:v>65 and over</c:v>
                </c:pt>
                <c:pt idx="1">
                  <c:v>55–64</c:v>
                </c:pt>
                <c:pt idx="2">
                  <c:v>45–54</c:v>
                </c:pt>
                <c:pt idx="3">
                  <c:v>35–44</c:v>
                </c:pt>
                <c:pt idx="4">
                  <c:v>25–34</c:v>
                </c:pt>
                <c:pt idx="5">
                  <c:v>Under 25</c:v>
                </c:pt>
              </c:strCache>
            </c:strRef>
          </c:cat>
          <c:val>
            <c:numRef>
              <c:f>'AGE SEX STRUCTURE'!$M$22:$M$27</c:f>
              <c:numCache>
                <c:formatCode>0.0%</c:formatCode>
                <c:ptCount val="6"/>
                <c:pt idx="0">
                  <c:v>2.0160270047469345E-2</c:v>
                </c:pt>
                <c:pt idx="1">
                  <c:v>0.17076594479736645</c:v>
                </c:pt>
                <c:pt idx="2">
                  <c:v>0.26722299425439833</c:v>
                </c:pt>
                <c:pt idx="3">
                  <c:v>0.267497895734638</c:v>
                </c:pt>
                <c:pt idx="4">
                  <c:v>0.17438019532376162</c:v>
                </c:pt>
                <c:pt idx="5">
                  <c:v>7.1769357122208707E-2</c:v>
                </c:pt>
              </c:numCache>
            </c:numRef>
          </c:val>
        </c:ser>
        <c:dLbls>
          <c:showLegendKey val="0"/>
          <c:showVal val="0"/>
          <c:showCatName val="0"/>
          <c:showSerName val="0"/>
          <c:showPercent val="0"/>
          <c:showBubbleSize val="0"/>
        </c:dLbls>
        <c:gapWidth val="70"/>
        <c:axId val="78831616"/>
        <c:axId val="78833536"/>
      </c:barChart>
      <c:catAx>
        <c:axId val="78831616"/>
        <c:scaling>
          <c:orientation val="minMax"/>
        </c:scaling>
        <c:delete val="0"/>
        <c:axPos val="l"/>
        <c:title>
          <c:tx>
            <c:rich>
              <a:bodyPr rot="-5400000" vert="horz"/>
              <a:lstStyle/>
              <a:p>
                <a:pPr>
                  <a:defRPr/>
                </a:pPr>
                <a:r>
                  <a:rPr lang="en-AU" sz="800" b="0">
                    <a:latin typeface="Arial" pitchFamily="34" charset="0"/>
                    <a:cs typeface="Arial" pitchFamily="34" charset="0"/>
                  </a:rPr>
                  <a:t>Age</a:t>
                </a:r>
                <a:r>
                  <a:rPr lang="en-AU" sz="800" b="0" baseline="0">
                    <a:latin typeface="Arial" pitchFamily="34" charset="0"/>
                    <a:cs typeface="Arial" pitchFamily="34" charset="0"/>
                  </a:rPr>
                  <a:t> group (years)</a:t>
                </a:r>
                <a:endParaRPr lang="en-AU" sz="800" b="0">
                  <a:latin typeface="Arial" pitchFamily="34" charset="0"/>
                  <a:cs typeface="Arial" pitchFamily="34" charset="0"/>
                </a:endParaRPr>
              </a:p>
            </c:rich>
          </c:tx>
          <c:layout>
            <c:manualLayout>
              <c:xMode val="edge"/>
              <c:yMode val="edge"/>
              <c:x val="2.2222222222222223E-2"/>
              <c:y val="0.29790135608048995"/>
            </c:manualLayout>
          </c:layout>
          <c:overlay val="0"/>
        </c:title>
        <c:majorTickMark val="none"/>
        <c:minorTickMark val="none"/>
        <c:tickLblPos val="nextTo"/>
        <c:spPr>
          <a:ln>
            <a:solidFill>
              <a:schemeClr val="tx1"/>
            </a:solidFill>
          </a:ln>
        </c:spPr>
        <c:txPr>
          <a:bodyPr/>
          <a:lstStyle/>
          <a:p>
            <a:pPr>
              <a:defRPr sz="800">
                <a:latin typeface="Arial" pitchFamily="34" charset="0"/>
                <a:cs typeface="Arial" pitchFamily="34" charset="0"/>
              </a:defRPr>
            </a:pPr>
            <a:endParaRPr lang="en-US"/>
          </a:p>
        </c:txPr>
        <c:crossAx val="78833536"/>
        <c:crosses val="autoZero"/>
        <c:auto val="1"/>
        <c:lblAlgn val="ctr"/>
        <c:lblOffset val="100"/>
        <c:noMultiLvlLbl val="0"/>
      </c:catAx>
      <c:valAx>
        <c:axId val="78833536"/>
        <c:scaling>
          <c:orientation val="minMax"/>
        </c:scaling>
        <c:delete val="0"/>
        <c:axPos val="b"/>
        <c:majorGridlines/>
        <c:title>
          <c:tx>
            <c:rich>
              <a:bodyPr/>
              <a:lstStyle/>
              <a:p>
                <a:pPr>
                  <a:defRPr sz="800" b="0">
                    <a:latin typeface="Arial" pitchFamily="34" charset="0"/>
                    <a:cs typeface="Arial" pitchFamily="34" charset="0"/>
                  </a:defRPr>
                </a:pPr>
                <a:r>
                  <a:rPr lang="en-AU" sz="800" b="0">
                    <a:latin typeface="Arial" pitchFamily="34" charset="0"/>
                    <a:cs typeface="Arial" pitchFamily="34" charset="0"/>
                  </a:rPr>
                  <a:t>Percentage</a:t>
                </a:r>
                <a:r>
                  <a:rPr lang="en-AU" sz="800" b="0" baseline="0">
                    <a:latin typeface="Arial" pitchFamily="34" charset="0"/>
                    <a:cs typeface="Arial" pitchFamily="34" charset="0"/>
                  </a:rPr>
                  <a:t> of non-fatal serious claims</a:t>
                </a:r>
                <a:endParaRPr lang="en-AU" sz="800" b="0">
                  <a:latin typeface="Arial" pitchFamily="34" charset="0"/>
                  <a:cs typeface="Arial" pitchFamily="34" charset="0"/>
                </a:endParaRPr>
              </a:p>
            </c:rich>
          </c:tx>
          <c:layout>
            <c:manualLayout>
              <c:xMode val="edge"/>
              <c:yMode val="edge"/>
              <c:x val="0.37851355106474671"/>
              <c:y val="0.90739339816531606"/>
            </c:manualLayout>
          </c:layout>
          <c:overlay val="0"/>
        </c:title>
        <c:numFmt formatCode="0%" sourceLinked="0"/>
        <c:majorTickMark val="out"/>
        <c:minorTickMark val="none"/>
        <c:tickLblPos val="nextTo"/>
        <c:spPr>
          <a:ln>
            <a:solidFill>
              <a:schemeClr val="tx1"/>
            </a:solidFill>
          </a:ln>
        </c:spPr>
        <c:txPr>
          <a:bodyPr/>
          <a:lstStyle/>
          <a:p>
            <a:pPr>
              <a:defRPr sz="800">
                <a:latin typeface="Arial" pitchFamily="34" charset="0"/>
                <a:cs typeface="Arial" pitchFamily="34" charset="0"/>
              </a:defRPr>
            </a:pPr>
            <a:endParaRPr lang="en-US"/>
          </a:p>
        </c:txPr>
        <c:crossAx val="78831616"/>
        <c:crosses val="autoZero"/>
        <c:crossBetween val="between"/>
      </c:valAx>
      <c:spPr>
        <a:ln>
          <a:solidFill>
            <a:schemeClr val="tx1"/>
          </a:solidFill>
        </a:ln>
      </c:spPr>
    </c:plotArea>
    <c:legend>
      <c:legendPos val="r"/>
      <c:layout>
        <c:manualLayout>
          <c:xMode val="edge"/>
          <c:yMode val="edge"/>
          <c:x val="0.81721228530141188"/>
          <c:y val="0.63545008038488215"/>
          <c:w val="0.14031846019247593"/>
          <c:h val="0.16743438320209975"/>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773906386701663"/>
          <c:y val="8.7962962962962965E-2"/>
          <c:w val="0.7710317147856518"/>
          <c:h val="0.75902012248468942"/>
        </c:manualLayout>
      </c:layout>
      <c:barChart>
        <c:barDir val="bar"/>
        <c:grouping val="clustered"/>
        <c:varyColors val="0"/>
        <c:ser>
          <c:idx val="0"/>
          <c:order val="0"/>
          <c:tx>
            <c:v>Females</c:v>
          </c:tx>
          <c:spPr>
            <a:solidFill>
              <a:schemeClr val="bg1">
                <a:lumMod val="75000"/>
              </a:schemeClr>
            </a:solidFill>
          </c:spPr>
          <c:invertIfNegative val="0"/>
          <c:cat>
            <c:strRef>
              <c:f>'AGE SEX STRUCTURE'!$K$36:$K$41</c:f>
              <c:strCache>
                <c:ptCount val="6"/>
                <c:pt idx="0">
                  <c:v>65 and over</c:v>
                </c:pt>
                <c:pt idx="1">
                  <c:v>55–64</c:v>
                </c:pt>
                <c:pt idx="2">
                  <c:v>45–54</c:v>
                </c:pt>
                <c:pt idx="3">
                  <c:v>35–44</c:v>
                </c:pt>
                <c:pt idx="4">
                  <c:v>25–34</c:v>
                </c:pt>
                <c:pt idx="5">
                  <c:v>Under 25</c:v>
                </c:pt>
              </c:strCache>
            </c:strRef>
          </c:cat>
          <c:val>
            <c:numRef>
              <c:f>'AGE SEX STRUCTURE'!$L$36:$L$41</c:f>
              <c:numCache>
                <c:formatCode>0.0%</c:formatCode>
                <c:ptCount val="6"/>
                <c:pt idx="0">
                  <c:v>2.1504354516834094E-3</c:v>
                </c:pt>
                <c:pt idx="1">
                  <c:v>1.6640967711280666E-2</c:v>
                </c:pt>
                <c:pt idx="2">
                  <c:v>3.2342365264413128E-2</c:v>
                </c:pt>
                <c:pt idx="3">
                  <c:v>4.3425614552454993E-2</c:v>
                </c:pt>
                <c:pt idx="4">
                  <c:v>3.5516671622528841E-2</c:v>
                </c:pt>
                <c:pt idx="5">
                  <c:v>1.8702504192046301E-2</c:v>
                </c:pt>
              </c:numCache>
            </c:numRef>
          </c:val>
        </c:ser>
        <c:ser>
          <c:idx val="1"/>
          <c:order val="1"/>
          <c:tx>
            <c:v>Males</c:v>
          </c:tx>
          <c:spPr>
            <a:solidFill>
              <a:srgbClr val="004459"/>
            </a:solidFill>
          </c:spPr>
          <c:invertIfNegative val="0"/>
          <c:cat>
            <c:strRef>
              <c:f>'AGE SEX STRUCTURE'!$K$36:$K$41</c:f>
              <c:strCache>
                <c:ptCount val="6"/>
                <c:pt idx="0">
                  <c:v>65 and over</c:v>
                </c:pt>
                <c:pt idx="1">
                  <c:v>55–64</c:v>
                </c:pt>
                <c:pt idx="2">
                  <c:v>45–54</c:v>
                </c:pt>
                <c:pt idx="3">
                  <c:v>35–44</c:v>
                </c:pt>
                <c:pt idx="4">
                  <c:v>25–34</c:v>
                </c:pt>
                <c:pt idx="5">
                  <c:v>Under 25</c:v>
                </c:pt>
              </c:strCache>
            </c:strRef>
          </c:cat>
          <c:val>
            <c:numRef>
              <c:f>'AGE SEX STRUCTURE'!$M$36:$M$41</c:f>
              <c:numCache>
                <c:formatCode>0.0%</c:formatCode>
                <c:ptCount val="6"/>
                <c:pt idx="0">
                  <c:v>1.5594105691679976E-2</c:v>
                </c:pt>
                <c:pt idx="1">
                  <c:v>0.13468653916306217</c:v>
                </c:pt>
                <c:pt idx="2">
                  <c:v>0.23175195347824887</c:v>
                </c:pt>
                <c:pt idx="3">
                  <c:v>0.23388859426203126</c:v>
                </c:pt>
                <c:pt idx="4">
                  <c:v>0.16514210040678942</c:v>
                </c:pt>
                <c:pt idx="5">
                  <c:v>7.0158148203780968E-2</c:v>
                </c:pt>
              </c:numCache>
            </c:numRef>
          </c:val>
        </c:ser>
        <c:dLbls>
          <c:showLegendKey val="0"/>
          <c:showVal val="0"/>
          <c:showCatName val="0"/>
          <c:showSerName val="0"/>
          <c:showPercent val="0"/>
          <c:showBubbleSize val="0"/>
        </c:dLbls>
        <c:gapWidth val="70"/>
        <c:axId val="44378368"/>
        <c:axId val="44401024"/>
      </c:barChart>
      <c:catAx>
        <c:axId val="44378368"/>
        <c:scaling>
          <c:orientation val="minMax"/>
        </c:scaling>
        <c:delete val="0"/>
        <c:axPos val="l"/>
        <c:title>
          <c:tx>
            <c:rich>
              <a:bodyPr rot="-5400000" vert="horz"/>
              <a:lstStyle/>
              <a:p>
                <a:pPr>
                  <a:defRPr b="0"/>
                </a:pPr>
                <a:r>
                  <a:rPr lang="en-AU" b="0"/>
                  <a:t>Age group (years)</a:t>
                </a:r>
              </a:p>
            </c:rich>
          </c:tx>
          <c:layout>
            <c:manualLayout>
              <c:xMode val="edge"/>
              <c:yMode val="edge"/>
              <c:x val="2.2222222222222223E-2"/>
              <c:y val="0.30533172936716246"/>
            </c:manualLayout>
          </c:layout>
          <c:overlay val="0"/>
        </c:title>
        <c:majorTickMark val="none"/>
        <c:minorTickMark val="none"/>
        <c:tickLblPos val="nextTo"/>
        <c:spPr>
          <a:ln w="6350">
            <a:solidFill>
              <a:schemeClr val="tx1"/>
            </a:solidFill>
          </a:ln>
        </c:spPr>
        <c:crossAx val="44401024"/>
        <c:crosses val="autoZero"/>
        <c:auto val="1"/>
        <c:lblAlgn val="ctr"/>
        <c:lblOffset val="100"/>
        <c:noMultiLvlLbl val="0"/>
      </c:catAx>
      <c:valAx>
        <c:axId val="44401024"/>
        <c:scaling>
          <c:orientation val="minMax"/>
        </c:scaling>
        <c:delete val="0"/>
        <c:axPos val="b"/>
        <c:majorGridlines/>
        <c:title>
          <c:tx>
            <c:rich>
              <a:bodyPr/>
              <a:lstStyle/>
              <a:p>
                <a:pPr>
                  <a:defRPr b="0"/>
                </a:pPr>
                <a:r>
                  <a:rPr lang="en-AU" b="0"/>
                  <a:t>Percentage</a:t>
                </a:r>
                <a:r>
                  <a:rPr lang="en-AU" b="0" baseline="0"/>
                  <a:t> of employees</a:t>
                </a:r>
                <a:endParaRPr lang="en-AU" b="0"/>
              </a:p>
            </c:rich>
          </c:tx>
          <c:layout>
            <c:manualLayout>
              <c:xMode val="edge"/>
              <c:yMode val="edge"/>
              <c:x val="0.43628814009655015"/>
              <c:y val="0.92688428302216552"/>
            </c:manualLayout>
          </c:layout>
          <c:overlay val="0"/>
        </c:title>
        <c:numFmt formatCode="0%" sourceLinked="0"/>
        <c:majorTickMark val="out"/>
        <c:minorTickMark val="none"/>
        <c:tickLblPos val="nextTo"/>
        <c:spPr>
          <a:ln w="6350">
            <a:solidFill>
              <a:schemeClr val="tx1"/>
            </a:solidFill>
          </a:ln>
        </c:spPr>
        <c:crossAx val="44378368"/>
        <c:crosses val="autoZero"/>
        <c:crossBetween val="between"/>
      </c:valAx>
      <c:spPr>
        <a:ln>
          <a:solidFill>
            <a:schemeClr val="tx1"/>
          </a:solidFill>
        </a:ln>
      </c:spPr>
    </c:plotArea>
    <c:legend>
      <c:legendPos val="r"/>
      <c:layout>
        <c:manualLayout>
          <c:xMode val="edge"/>
          <c:yMode val="edge"/>
          <c:x val="0.81215325580268682"/>
          <c:y val="0.66163930374271562"/>
          <c:w val="0.12344603152900434"/>
          <c:h val="0.13552817198813205"/>
        </c:manualLayout>
      </c:layout>
      <c:overlay val="0"/>
    </c:legend>
    <c:plotVisOnly val="1"/>
    <c:dispBlanksAs val="gap"/>
    <c:showDLblsOverMax val="0"/>
  </c:chart>
  <c:spPr>
    <a:ln>
      <a:noFill/>
    </a:ln>
  </c:spPr>
  <c:txPr>
    <a:bodyPr/>
    <a:lstStyle/>
    <a:p>
      <a:pPr>
        <a:defRPr sz="800">
          <a:latin typeface="Arial" pitchFamily="34" charset="0"/>
          <a:cs typeface="Arial"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607239720034999"/>
          <c:y val="5.0925925925925923E-2"/>
          <c:w val="0.75936614173228345"/>
          <c:h val="0.73587197433654128"/>
        </c:manualLayout>
      </c:layout>
      <c:barChart>
        <c:barDir val="bar"/>
        <c:grouping val="clustered"/>
        <c:varyColors val="0"/>
        <c:ser>
          <c:idx val="0"/>
          <c:order val="0"/>
          <c:tx>
            <c:strRef>
              <c:f>'AGE RATES'!$P$26</c:f>
              <c:strCache>
                <c:ptCount val="1"/>
                <c:pt idx="0">
                  <c:v>Females</c:v>
                </c:pt>
              </c:strCache>
            </c:strRef>
          </c:tx>
          <c:spPr>
            <a:solidFill>
              <a:schemeClr val="bg1">
                <a:lumMod val="75000"/>
              </a:schemeClr>
            </a:solidFill>
          </c:spPr>
          <c:invertIfNegative val="0"/>
          <c:cat>
            <c:strRef>
              <c:f>'AGE RATES'!$O$27:$O$32</c:f>
              <c:strCache>
                <c:ptCount val="6"/>
                <c:pt idx="0">
                  <c:v>65 and over</c:v>
                </c:pt>
                <c:pt idx="1">
                  <c:v>55–64</c:v>
                </c:pt>
                <c:pt idx="2">
                  <c:v>45–54</c:v>
                </c:pt>
                <c:pt idx="3">
                  <c:v>35–44</c:v>
                </c:pt>
                <c:pt idx="4">
                  <c:v>25–34</c:v>
                </c:pt>
                <c:pt idx="5">
                  <c:v>Under 25</c:v>
                </c:pt>
              </c:strCache>
            </c:strRef>
          </c:cat>
          <c:val>
            <c:numRef>
              <c:f>'AGE RATES'!$P$27:$P$32</c:f>
              <c:numCache>
                <c:formatCode>_-* #,##0.0_-;\-* #,##0.0_-;_-* "-"??_-;_-@_-</c:formatCode>
                <c:ptCount val="6"/>
                <c:pt idx="0">
                  <c:v>0</c:v>
                </c:pt>
                <c:pt idx="1">
                  <c:v>4.7658653403334261</c:v>
                </c:pt>
                <c:pt idx="2">
                  <c:v>7.1352068622340177</c:v>
                </c:pt>
                <c:pt idx="3">
                  <c:v>7.9829521389241842</c:v>
                </c:pt>
                <c:pt idx="4">
                  <c:v>4.5945106162610045</c:v>
                </c:pt>
                <c:pt idx="5">
                  <c:v>3.1961973446975902</c:v>
                </c:pt>
              </c:numCache>
            </c:numRef>
          </c:val>
        </c:ser>
        <c:ser>
          <c:idx val="1"/>
          <c:order val="1"/>
          <c:tx>
            <c:strRef>
              <c:f>'AGE RATES'!$Q$26</c:f>
              <c:strCache>
                <c:ptCount val="1"/>
                <c:pt idx="0">
                  <c:v>Males</c:v>
                </c:pt>
              </c:strCache>
            </c:strRef>
          </c:tx>
          <c:spPr>
            <a:solidFill>
              <a:srgbClr val="004459"/>
            </a:solidFill>
          </c:spPr>
          <c:invertIfNegative val="0"/>
          <c:cat>
            <c:strRef>
              <c:f>'AGE RATES'!$O$27:$O$32</c:f>
              <c:strCache>
                <c:ptCount val="6"/>
                <c:pt idx="0">
                  <c:v>65 and over</c:v>
                </c:pt>
                <c:pt idx="1">
                  <c:v>55–64</c:v>
                </c:pt>
                <c:pt idx="2">
                  <c:v>45–54</c:v>
                </c:pt>
                <c:pt idx="3">
                  <c:v>35–44</c:v>
                </c:pt>
                <c:pt idx="4">
                  <c:v>25–34</c:v>
                </c:pt>
                <c:pt idx="5">
                  <c:v>Under 25</c:v>
                </c:pt>
              </c:strCache>
            </c:strRef>
          </c:cat>
          <c:val>
            <c:numRef>
              <c:f>'AGE RATES'!$Q$27:$Q$32</c:f>
              <c:numCache>
                <c:formatCode>_-* #,##0.0_-;\-* #,##0.0_-;_-* "-"??_-;_-@_-</c:formatCode>
                <c:ptCount val="6"/>
                <c:pt idx="0">
                  <c:v>40.675938667190877</c:v>
                </c:pt>
                <c:pt idx="1">
                  <c:v>39.891354568525017</c:v>
                </c:pt>
                <c:pt idx="2">
                  <c:v>36.278734929001786</c:v>
                </c:pt>
                <c:pt idx="3">
                  <c:v>35.984298305973347</c:v>
                </c:pt>
                <c:pt idx="4">
                  <c:v>33.223169950716041</c:v>
                </c:pt>
                <c:pt idx="5">
                  <c:v>32.185677145915697</c:v>
                </c:pt>
              </c:numCache>
            </c:numRef>
          </c:val>
        </c:ser>
        <c:dLbls>
          <c:showLegendKey val="0"/>
          <c:showVal val="0"/>
          <c:showCatName val="0"/>
          <c:showSerName val="0"/>
          <c:showPercent val="0"/>
          <c:showBubbleSize val="0"/>
        </c:dLbls>
        <c:gapWidth val="70"/>
        <c:axId val="78787712"/>
        <c:axId val="78789632"/>
      </c:barChart>
      <c:catAx>
        <c:axId val="78787712"/>
        <c:scaling>
          <c:orientation val="minMax"/>
        </c:scaling>
        <c:delete val="0"/>
        <c:axPos val="l"/>
        <c:title>
          <c:tx>
            <c:rich>
              <a:bodyPr rot="-5400000" vert="horz"/>
              <a:lstStyle/>
              <a:p>
                <a:pPr>
                  <a:defRPr b="0">
                    <a:latin typeface="Arial" pitchFamily="34" charset="0"/>
                    <a:cs typeface="Arial" pitchFamily="34" charset="0"/>
                  </a:defRPr>
                </a:pPr>
                <a:r>
                  <a:rPr lang="en-AU" b="0">
                    <a:latin typeface="Arial" pitchFamily="34" charset="0"/>
                    <a:cs typeface="Arial" pitchFamily="34" charset="0"/>
                  </a:rPr>
                  <a:t>Ag</a:t>
                </a:r>
                <a:r>
                  <a:rPr lang="en-AU" b="0" baseline="0">
                    <a:latin typeface="Arial" pitchFamily="34" charset="0"/>
                    <a:cs typeface="Arial" pitchFamily="34" charset="0"/>
                  </a:rPr>
                  <a:t>e group (years)</a:t>
                </a:r>
                <a:endParaRPr lang="en-AU" b="0">
                  <a:latin typeface="Arial" pitchFamily="34" charset="0"/>
                  <a:cs typeface="Arial" pitchFamily="34" charset="0"/>
                </a:endParaRPr>
              </a:p>
            </c:rich>
          </c:tx>
          <c:layout>
            <c:manualLayout>
              <c:xMode val="edge"/>
              <c:yMode val="edge"/>
              <c:x val="3.6930490938068633E-2"/>
              <c:y val="0.29136165700364763"/>
            </c:manualLayout>
          </c:layout>
          <c:overlay val="0"/>
        </c:title>
        <c:majorTickMark val="none"/>
        <c:minorTickMark val="none"/>
        <c:tickLblPos val="nextTo"/>
        <c:spPr>
          <a:ln>
            <a:solidFill>
              <a:schemeClr val="tx1"/>
            </a:solidFill>
          </a:ln>
        </c:spPr>
        <c:txPr>
          <a:bodyPr/>
          <a:lstStyle/>
          <a:p>
            <a:pPr>
              <a:defRPr>
                <a:latin typeface="Arial" pitchFamily="34" charset="0"/>
                <a:cs typeface="Arial" pitchFamily="34" charset="0"/>
              </a:defRPr>
            </a:pPr>
            <a:endParaRPr lang="en-US"/>
          </a:p>
        </c:txPr>
        <c:crossAx val="78789632"/>
        <c:crosses val="autoZero"/>
        <c:auto val="1"/>
        <c:lblAlgn val="ctr"/>
        <c:lblOffset val="100"/>
        <c:noMultiLvlLbl val="0"/>
      </c:catAx>
      <c:valAx>
        <c:axId val="78789632"/>
        <c:scaling>
          <c:orientation val="minMax"/>
          <c:max val="41"/>
          <c:min val="0"/>
        </c:scaling>
        <c:delete val="0"/>
        <c:axPos val="b"/>
        <c:majorGridlines/>
        <c:title>
          <c:tx>
            <c:rich>
              <a:bodyPr/>
              <a:lstStyle/>
              <a:p>
                <a:pPr>
                  <a:defRPr/>
                </a:pPr>
                <a:r>
                  <a:rPr lang="en-AU" b="0">
                    <a:latin typeface="Arial" pitchFamily="34" charset="0"/>
                    <a:cs typeface="Arial" pitchFamily="34" charset="0"/>
                  </a:rPr>
                  <a:t>Serious</a:t>
                </a:r>
                <a:r>
                  <a:rPr lang="en-AU" b="0" baseline="0">
                    <a:latin typeface="Arial" pitchFamily="34" charset="0"/>
                    <a:cs typeface="Arial" pitchFamily="34" charset="0"/>
                  </a:rPr>
                  <a:t> non-fatal claims per 1000 employees</a:t>
                </a:r>
              </a:p>
            </c:rich>
          </c:tx>
          <c:layout>
            <c:manualLayout>
              <c:xMode val="edge"/>
              <c:yMode val="edge"/>
              <c:x val="0.34550861713005593"/>
              <c:y val="0.87179794224577623"/>
            </c:manualLayout>
          </c:layout>
          <c:overlay val="0"/>
        </c:title>
        <c:numFmt formatCode="#,##0" sourceLinked="0"/>
        <c:majorTickMark val="out"/>
        <c:minorTickMark val="none"/>
        <c:tickLblPos val="nextTo"/>
        <c:spPr>
          <a:ln>
            <a:solidFill>
              <a:schemeClr val="tx1"/>
            </a:solidFill>
          </a:ln>
        </c:spPr>
        <c:txPr>
          <a:bodyPr/>
          <a:lstStyle/>
          <a:p>
            <a:pPr>
              <a:defRPr>
                <a:latin typeface="Arial" pitchFamily="34" charset="0"/>
                <a:cs typeface="Arial" pitchFamily="34" charset="0"/>
              </a:defRPr>
            </a:pPr>
            <a:endParaRPr lang="en-US"/>
          </a:p>
        </c:txPr>
        <c:crossAx val="78787712"/>
        <c:crosses val="autoZero"/>
        <c:crossBetween val="between"/>
        <c:majorUnit val="10"/>
      </c:valAx>
      <c:spPr>
        <a:ln>
          <a:solidFill>
            <a:schemeClr val="tx1"/>
          </a:solidFill>
        </a:ln>
      </c:spPr>
    </c:plotArea>
    <c:legend>
      <c:legendPos val="r"/>
      <c:layout>
        <c:manualLayout>
          <c:xMode val="edge"/>
          <c:yMode val="edge"/>
          <c:x val="0.79798091715104058"/>
          <c:y val="6.76672730948049E-2"/>
          <c:w val="0.12116347318375616"/>
          <c:h val="0.14506780402449693"/>
        </c:manualLayout>
      </c:layout>
      <c:overlay val="0"/>
      <c:txPr>
        <a:bodyPr/>
        <a:lstStyle/>
        <a:p>
          <a:pPr>
            <a:defRPr>
              <a:latin typeface="Arial" pitchFamily="34" charset="0"/>
              <a:cs typeface="Arial" pitchFamily="34" charset="0"/>
            </a:defRPr>
          </a:pPr>
          <a:endParaRPr lang="en-US"/>
        </a:p>
      </c:txPr>
    </c:legend>
    <c:plotVisOnly val="1"/>
    <c:dispBlanksAs val="gap"/>
    <c:showDLblsOverMax val="0"/>
  </c:chart>
  <c:spPr>
    <a:ln>
      <a:noFill/>
    </a:ln>
  </c:spPr>
  <c:txPr>
    <a:bodyPr/>
    <a:lstStyle/>
    <a:p>
      <a:pPr>
        <a:defRPr sz="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978-1-74361-180-7</PublicationIdentifier>
    <ParentFolderID xmlns="http://schemas.microsoft.com/sharepoint/v3/fields">807</ParentFolderID>
  </documentManagement>
</p:properties>
</file>

<file path=customXml/itemProps1.xml><?xml version="1.0" encoding="utf-8"?>
<ds:datastoreItem xmlns:ds="http://schemas.openxmlformats.org/officeDocument/2006/customXml" ds:itemID="{E46CE5A1-4C3C-4353-AEAD-9DF90A5202C2}"/>
</file>

<file path=customXml/itemProps2.xml><?xml version="1.0" encoding="utf-8"?>
<ds:datastoreItem xmlns:ds="http://schemas.openxmlformats.org/officeDocument/2006/customXml" ds:itemID="{96336E2F-33FF-4065-8DE5-0678E7D6FB64}"/>
</file>

<file path=customXml/itemProps3.xml><?xml version="1.0" encoding="utf-8"?>
<ds:datastoreItem xmlns:ds="http://schemas.openxmlformats.org/officeDocument/2006/customXml" ds:itemID="{17E6791E-0F4A-4CF0-806F-DB3B1139710E}"/>
</file>

<file path=docProps/app.xml><?xml version="1.0" encoding="utf-8"?>
<Properties xmlns="http://schemas.openxmlformats.org/officeDocument/2006/extended-properties" xmlns:vt="http://schemas.openxmlformats.org/officeDocument/2006/docPropsVTypes">
  <Template>E3E9425F.dotm</Template>
  <TotalTime>495</TotalTime>
  <Pages>28</Pages>
  <Words>7620</Words>
  <Characters>40103</Characters>
  <Application>Microsoft Office Word</Application>
  <DocSecurity>0</DocSecurity>
  <Lines>334</Lines>
  <Paragraphs>95</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Disclaimer</vt:lpstr>
      <vt:lpstr>Creative Commons</vt:lpstr>
      <vt:lpstr>    Road freight transport worker fatalities</vt:lpstr>
      <vt:lpstr>    Road freight transport non-fatal serious workers’ compensation claims</vt:lpstr>
      <vt:lpstr>    Work-related fatalities due to injuries 2003–04 to 2010–11</vt:lpstr>
      <vt:lpstr>    Demographic characteristics</vt:lpstr>
      <vt:lpstr>    Fatalities while driving on a public road</vt:lpstr>
      <vt:lpstr>    Fatalities other than those on public roads</vt:lpstr>
      <vt:lpstr>    Loading and unloading</vt:lpstr>
      <vt:lpstr>    Repair and maintenance</vt:lpstr>
      <vt:lpstr>    Other activities</vt:lpstr>
      <vt:lpstr>    Claims and rates by jurisdiction</vt:lpstr>
      <vt:lpstr>    Claims by age and sex</vt:lpstr>
      <vt:lpstr>    Types of injury and disease</vt:lpstr>
      <vt:lpstr>    Mechanism and Breakdown agency of claims</vt:lpstr>
      <vt:lpstr>    Median time lost from work and median cost of claims</vt:lpstr>
      <vt:lpstr>    Explanatory notes</vt:lpstr>
      <vt:lpstr>    Breakdown agency</vt:lpstr>
      <vt:lpstr>    Mechanism of incident</vt:lpstr>
      <vt:lpstr>    Mechanism of injury</vt:lpstr>
      <vt:lpstr>    Non-fatal serious claims</vt:lpstr>
      <vt:lpstr>    References</vt:lpstr>
    </vt:vector>
  </TitlesOfParts>
  <Company>Australian Government</Company>
  <LinksUpToDate>false</LinksUpToDate>
  <CharactersWithSpaces>47628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in the road freight transport industry</dc:title>
  <dc:creator>Keith Mallett</dc:creator>
  <cp:lastModifiedBy>Keith Mallett</cp:lastModifiedBy>
  <cp:revision>38</cp:revision>
  <dcterms:created xsi:type="dcterms:W3CDTF">2013-09-16T04:01:00Z</dcterms:created>
  <dcterms:modified xsi:type="dcterms:W3CDTF">2013-10-02T06:44:00Z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ies>
</file>