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DF0" w:rsidRDefault="00D63DF0" w:rsidP="00365F29">
      <w:pPr>
        <w:spacing w:line="240" w:lineRule="auto"/>
        <w:jc w:val="right"/>
        <w:rPr>
          <w:b/>
        </w:rPr>
      </w:pPr>
    </w:p>
    <w:p w:rsidR="0047558B" w:rsidRPr="005D04B6" w:rsidRDefault="0047558B" w:rsidP="005D04B6">
      <w:pPr>
        <w:spacing w:line="240" w:lineRule="auto"/>
        <w:jc w:val="right"/>
        <w:rPr>
          <w:rFonts w:eastAsiaTheme="minorHAnsi" w:cs="Arial"/>
          <w:b/>
          <w:sz w:val="18"/>
          <w:szCs w:val="18"/>
          <w:lang w:eastAsia="en-US"/>
        </w:rPr>
      </w:pPr>
    </w:p>
    <w:p w:rsidR="00365F29" w:rsidRDefault="00365F29" w:rsidP="00365F29">
      <w:pPr>
        <w:spacing w:line="240" w:lineRule="auto"/>
        <w:jc w:val="center"/>
        <w:rPr>
          <w:rFonts w:eastAsia="PMingLiU" w:cs="Arial"/>
          <w:b/>
          <w:sz w:val="52"/>
          <w:szCs w:val="52"/>
        </w:rPr>
      </w:pPr>
    </w:p>
    <w:p w:rsidR="00365F29" w:rsidRDefault="00365F29" w:rsidP="00365F29">
      <w:pPr>
        <w:spacing w:line="240" w:lineRule="auto"/>
        <w:jc w:val="center"/>
        <w:rPr>
          <w:rFonts w:eastAsia="PMingLiU" w:cs="Arial"/>
          <w:b/>
          <w:sz w:val="52"/>
          <w:szCs w:val="52"/>
        </w:rPr>
      </w:pPr>
    </w:p>
    <w:p w:rsidR="00972F0B" w:rsidRDefault="00972F0B" w:rsidP="00922A3E">
      <w:pPr>
        <w:spacing w:line="240" w:lineRule="auto"/>
        <w:jc w:val="center"/>
        <w:rPr>
          <w:rFonts w:eastAsia="PMingLiU" w:cs="Arial"/>
          <w:b/>
          <w:sz w:val="40"/>
          <w:szCs w:val="40"/>
        </w:rPr>
      </w:pPr>
      <w:r>
        <w:rPr>
          <w:rFonts w:eastAsia="PMingLiU" w:cs="Arial"/>
          <w:b/>
          <w:sz w:val="40"/>
          <w:szCs w:val="40"/>
        </w:rPr>
        <w:t>Review of hazards and health effects of inorganic lead</w:t>
      </w:r>
      <w:bookmarkStart w:id="0" w:name="_GoBack"/>
      <w:bookmarkEnd w:id="0"/>
      <w:r>
        <w:rPr>
          <w:rFonts w:eastAsia="PMingLiU" w:cs="Arial"/>
          <w:b/>
          <w:sz w:val="40"/>
          <w:szCs w:val="40"/>
        </w:rPr>
        <w:t xml:space="preserve"> – implications for WHS regulatory policy</w:t>
      </w:r>
    </w:p>
    <w:p w:rsidR="00697BE1" w:rsidRDefault="00697BE1" w:rsidP="00922A3E">
      <w:pPr>
        <w:spacing w:line="240" w:lineRule="auto"/>
        <w:jc w:val="center"/>
        <w:rPr>
          <w:rFonts w:eastAsia="PMingLiU" w:cs="Arial"/>
          <w:b/>
          <w:sz w:val="40"/>
          <w:szCs w:val="40"/>
        </w:rPr>
      </w:pPr>
    </w:p>
    <w:p w:rsidR="00697BE1" w:rsidRDefault="00697BE1" w:rsidP="00697BE1">
      <w:pPr>
        <w:pStyle w:val="Heading2"/>
        <w:jc w:val="center"/>
      </w:pPr>
      <w:r>
        <w:t>July 2014</w:t>
      </w:r>
    </w:p>
    <w:p w:rsidR="00365F29" w:rsidRPr="00922A3E" w:rsidRDefault="00365F29" w:rsidP="00922A3E">
      <w:pPr>
        <w:spacing w:line="240" w:lineRule="auto"/>
        <w:jc w:val="center"/>
        <w:rPr>
          <w:rFonts w:eastAsia="PMingLiU" w:cs="Arial"/>
          <w:b/>
          <w:sz w:val="40"/>
          <w:szCs w:val="40"/>
        </w:rPr>
      </w:pPr>
    </w:p>
    <w:p w:rsidR="005C669F" w:rsidRPr="00922A3E" w:rsidRDefault="005C669F" w:rsidP="00922A3E">
      <w:pPr>
        <w:spacing w:line="240" w:lineRule="auto"/>
        <w:jc w:val="center"/>
        <w:rPr>
          <w:rFonts w:eastAsia="PMingLiU" w:cs="Arial"/>
          <w:b/>
          <w:sz w:val="40"/>
          <w:szCs w:val="40"/>
        </w:rPr>
      </w:pPr>
    </w:p>
    <w:p w:rsidR="00652025" w:rsidRDefault="00652025">
      <w:pPr>
        <w:rPr>
          <w:rFonts w:eastAsia="Times New Roman" w:cs="Arial"/>
          <w:sz w:val="20"/>
          <w:szCs w:val="20"/>
          <w:lang w:eastAsia="en-AU"/>
        </w:rPr>
      </w:pPr>
    </w:p>
    <w:p w:rsidR="005502EB" w:rsidRDefault="005502EB">
      <w:pPr>
        <w:rPr>
          <w:rFonts w:eastAsia="Times New Roman" w:cs="Arial"/>
          <w:b/>
          <w:lang w:eastAsia="en-AU"/>
        </w:rPr>
      </w:pPr>
      <w:r>
        <w:rPr>
          <w:rFonts w:eastAsia="Times New Roman" w:cs="Arial"/>
          <w:b/>
          <w:lang w:eastAsia="en-AU"/>
        </w:rPr>
        <w:br w:type="page"/>
      </w:r>
    </w:p>
    <w:p w:rsidR="005502EB" w:rsidRDefault="005502EB" w:rsidP="00316781">
      <w:pPr>
        <w:rPr>
          <w:rFonts w:eastAsia="Times New Roman" w:cs="Arial"/>
          <w:b/>
          <w:lang w:eastAsia="en-AU"/>
        </w:rPr>
      </w:pPr>
      <w:r>
        <w:rPr>
          <w:rFonts w:eastAsia="Times New Roman" w:cs="Arial"/>
          <w:b/>
          <w:noProof/>
          <w:lang w:eastAsia="en-AU"/>
        </w:rPr>
        <w:lastRenderedPageBreak/>
        <w:drawing>
          <wp:inline distT="0" distB="0" distL="0" distR="0">
            <wp:extent cx="2415397" cy="486086"/>
            <wp:effectExtent l="0" t="0" r="4445" b="9525"/>
            <wp:docPr id="4" name="Picture 4" title="s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WEB.jpg"/>
                    <pic:cNvPicPr/>
                  </pic:nvPicPr>
                  <pic:blipFill>
                    <a:blip r:embed="rId10">
                      <a:extLst>
                        <a:ext uri="{28A0092B-C50C-407E-A947-70E740481C1C}">
                          <a14:useLocalDpi xmlns:a14="http://schemas.microsoft.com/office/drawing/2010/main" val="0"/>
                        </a:ext>
                      </a:extLst>
                    </a:blip>
                    <a:stretch>
                      <a:fillRect/>
                    </a:stretch>
                  </pic:blipFill>
                  <pic:spPr>
                    <a:xfrm>
                      <a:off x="0" y="0"/>
                      <a:ext cx="2412658" cy="485535"/>
                    </a:xfrm>
                    <a:prstGeom prst="rect">
                      <a:avLst/>
                    </a:prstGeom>
                  </pic:spPr>
                </pic:pic>
              </a:graphicData>
            </a:graphic>
          </wp:inline>
        </w:drawing>
      </w:r>
    </w:p>
    <w:p w:rsidR="001B10CC" w:rsidRPr="001B10CC" w:rsidRDefault="001B10CC" w:rsidP="001B10CC">
      <w:pPr>
        <w:rPr>
          <w:rFonts w:eastAsia="Times New Roman" w:cs="Arial"/>
          <w:b/>
          <w:sz w:val="28"/>
          <w:lang w:eastAsia="en-AU"/>
        </w:rPr>
      </w:pPr>
      <w:r>
        <w:rPr>
          <w:rFonts w:eastAsia="Times New Roman" w:cs="Arial"/>
          <w:b/>
          <w:lang w:eastAsia="en-AU"/>
        </w:rPr>
        <w:t xml:space="preserve">Acknowledgements </w:t>
      </w:r>
    </w:p>
    <w:p w:rsidR="001B10CC" w:rsidRPr="001B10CC" w:rsidRDefault="001B10CC" w:rsidP="001B10CC">
      <w:pPr>
        <w:pStyle w:val="Default"/>
        <w:spacing w:after="120"/>
        <w:rPr>
          <w:color w:val="000000" w:themeColor="text1"/>
          <w:sz w:val="22"/>
          <w:szCs w:val="22"/>
        </w:rPr>
      </w:pPr>
      <w:r w:rsidRPr="001B10CC">
        <w:rPr>
          <w:color w:val="000000" w:themeColor="text1"/>
          <w:sz w:val="22"/>
          <w:szCs w:val="22"/>
        </w:rPr>
        <w:t>This research report was undertaken by ToxConsult Pty Ltd under commission from Safe Work Australia. This report is authored by Dr Roger Drew, PhD, DABT and Ms Tarah Hagen, MSc.</w:t>
      </w:r>
    </w:p>
    <w:p w:rsidR="001B10CC" w:rsidRDefault="001B10CC" w:rsidP="001B10CC">
      <w:pPr>
        <w:pStyle w:val="Default"/>
        <w:spacing w:after="120"/>
        <w:rPr>
          <w:sz w:val="22"/>
          <w:szCs w:val="22"/>
        </w:rPr>
      </w:pPr>
      <w:r w:rsidRPr="001B10CC">
        <w:rPr>
          <w:color w:val="000000" w:themeColor="text1"/>
          <w:sz w:val="22"/>
          <w:szCs w:val="22"/>
        </w:rPr>
        <w:t>The authors would like to thank Dr Stephen Leonard from the United States National Institute for Occupational Safety and Health for his review of the report.</w:t>
      </w:r>
      <w:r>
        <w:rPr>
          <w:sz w:val="22"/>
          <w:szCs w:val="22"/>
        </w:rPr>
        <w:t xml:space="preserve"> </w:t>
      </w:r>
    </w:p>
    <w:p w:rsidR="005502EB" w:rsidRDefault="005502EB" w:rsidP="00316781">
      <w:pPr>
        <w:rPr>
          <w:rFonts w:eastAsia="Times New Roman" w:cs="Arial"/>
          <w:b/>
          <w:lang w:eastAsia="en-AU"/>
        </w:rPr>
      </w:pPr>
    </w:p>
    <w:p w:rsidR="00316781" w:rsidRPr="004E2824" w:rsidRDefault="00316781" w:rsidP="00316781">
      <w:pPr>
        <w:rPr>
          <w:rFonts w:eastAsia="Times New Roman" w:cs="Arial"/>
          <w:b/>
          <w:sz w:val="28"/>
          <w:lang w:eastAsia="en-AU"/>
        </w:rPr>
      </w:pPr>
      <w:r w:rsidRPr="004E2824">
        <w:rPr>
          <w:rFonts w:eastAsia="Times New Roman" w:cs="Arial"/>
          <w:b/>
          <w:lang w:eastAsia="en-AU"/>
        </w:rPr>
        <w:t>Disclaimer</w:t>
      </w:r>
    </w:p>
    <w:p w:rsidR="005502EB" w:rsidRDefault="005502EB" w:rsidP="000C61B2">
      <w:pPr>
        <w:spacing w:line="276" w:lineRule="auto"/>
        <w:rPr>
          <w:rFonts w:cs="Arial"/>
        </w:rPr>
      </w:pPr>
      <w:r>
        <w:rPr>
          <w:rFonts w:cs="Arial"/>
        </w:rP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rsidR="000C61B2" w:rsidRPr="001B10CC" w:rsidRDefault="005502EB" w:rsidP="001B10CC">
      <w:pPr>
        <w:spacing w:line="240" w:lineRule="auto"/>
        <w:rPr>
          <w:rFonts w:eastAsia="Times New Roman" w:cs="Arial"/>
          <w:lang w:eastAsia="en-AU"/>
        </w:rPr>
      </w:pPr>
      <w:r>
        <w:rPr>
          <w:rFonts w:eastAsia="Times New Roman" w:cs="Arial"/>
          <w:lang w:eastAsia="en-AU"/>
        </w:rPr>
        <w:t xml:space="preserve"> </w:t>
      </w:r>
    </w:p>
    <w:p w:rsidR="000C61B2" w:rsidRDefault="000C61B2" w:rsidP="000C61B2">
      <w:pPr>
        <w:rPr>
          <w:rFonts w:eastAsia="Times New Roman" w:cs="Arial"/>
          <w:b/>
          <w:lang w:eastAsia="en-AU"/>
        </w:rPr>
      </w:pPr>
      <w:r>
        <w:rPr>
          <w:rFonts w:eastAsia="Times New Roman" w:cs="Arial"/>
          <w:b/>
          <w:lang w:eastAsia="en-AU"/>
        </w:rPr>
        <w:t>Creative Commons</w:t>
      </w:r>
    </w:p>
    <w:p w:rsidR="000C61B2" w:rsidRDefault="008453B5" w:rsidP="000C61B2">
      <w:pPr>
        <w:rPr>
          <w:rFonts w:eastAsia="Times New Roman" w:cs="Arial"/>
          <w:b/>
          <w:lang w:eastAsia="en-AU"/>
        </w:rPr>
      </w:pPr>
      <w:r>
        <w:rPr>
          <w:noProof/>
          <w:lang w:eastAsia="en-AU"/>
        </w:rPr>
        <w:drawing>
          <wp:inline distT="0" distB="0" distL="0" distR="0" wp14:anchorId="40FAC64C" wp14:editId="6F961A5D">
            <wp:extent cx="1530985" cy="531495"/>
            <wp:effectExtent l="0" t="0" r="0" b="1905"/>
            <wp:docPr id="6" name="Picture 0" descr="Creative commons CC By logo"/>
            <wp:cNvGraphicFramePr/>
            <a:graphic xmlns:a="http://schemas.openxmlformats.org/drawingml/2006/main">
              <a:graphicData uri="http://schemas.openxmlformats.org/drawingml/2006/picture">
                <pic:pic xmlns:pic="http://schemas.openxmlformats.org/drawingml/2006/picture">
                  <pic:nvPicPr>
                    <pic:cNvPr id="159" name="Picture 0" descr="Creative commons CC By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985" cy="531495"/>
                    </a:xfrm>
                    <a:prstGeom prst="rect">
                      <a:avLst/>
                    </a:prstGeom>
                    <a:noFill/>
                    <a:ln>
                      <a:noFill/>
                    </a:ln>
                  </pic:spPr>
                </pic:pic>
              </a:graphicData>
            </a:graphic>
          </wp:inline>
        </w:drawing>
      </w:r>
    </w:p>
    <w:p w:rsidR="000C61B2" w:rsidRDefault="000C61B2" w:rsidP="000C61B2">
      <w:pPr>
        <w:spacing w:line="276" w:lineRule="auto"/>
        <w:rPr>
          <w:rFonts w:cs="Arial"/>
        </w:rPr>
      </w:pPr>
      <w:r>
        <w:rPr>
          <w:rFonts w:cs="Arial"/>
        </w:rPr>
        <w:t xml:space="preserve">With the exception of the Safe Work Australia logo, this report is licensed by Safe Work Australia under a Creative Commons 3.0 Australia Licence. To view a copy of this licence, visit http://creativecommons.org/licenses/by/3.0/au/deed.en </w:t>
      </w:r>
    </w:p>
    <w:p w:rsidR="000C61B2" w:rsidRDefault="000C61B2" w:rsidP="000C61B2">
      <w:pPr>
        <w:spacing w:line="276" w:lineRule="auto"/>
        <w:rPr>
          <w:rFonts w:cs="Arial"/>
        </w:rPr>
      </w:pPr>
      <w:r>
        <w:rPr>
          <w:rFonts w:cs="Arial"/>
        </w:rPr>
        <w:t xml:space="preserve">In essence, you are free to copy, communicate and adapt the work, as long as you attribute the work to Safe Work Australia and abide by the other licensing terms. </w:t>
      </w:r>
    </w:p>
    <w:p w:rsidR="000C61B2" w:rsidRDefault="000C61B2" w:rsidP="000C61B2">
      <w:pPr>
        <w:rPr>
          <w:rStyle w:val="Strong"/>
        </w:rPr>
      </w:pPr>
    </w:p>
    <w:p w:rsidR="000C61B2" w:rsidRDefault="000C61B2" w:rsidP="000C61B2">
      <w:pPr>
        <w:rPr>
          <w:rStyle w:val="Strong"/>
          <w:rFonts w:eastAsiaTheme="majorEastAsia"/>
          <w:szCs w:val="20"/>
        </w:rPr>
      </w:pPr>
      <w:r>
        <w:rPr>
          <w:rStyle w:val="Strong"/>
        </w:rPr>
        <w:t>Suggested citation</w:t>
      </w:r>
    </w:p>
    <w:p w:rsidR="000C61B2" w:rsidRDefault="000C61B2" w:rsidP="000C61B2">
      <w:pPr>
        <w:spacing w:line="276" w:lineRule="auto"/>
        <w:rPr>
          <w:rFonts w:eastAsia="Times New Roman" w:cs="Arial"/>
        </w:rPr>
      </w:pPr>
      <w:r>
        <w:rPr>
          <w:rFonts w:cs="Arial"/>
        </w:rPr>
        <w:t xml:space="preserve">Safe Work Australia. (2014). </w:t>
      </w:r>
      <w:r w:rsidRPr="000C61B2">
        <w:rPr>
          <w:rFonts w:cs="Arial"/>
        </w:rPr>
        <w:t>Review of hazards and health effects of inorganic lead – implications for WHS regulatory policy</w:t>
      </w:r>
      <w:r>
        <w:rPr>
          <w:rFonts w:cs="Arial"/>
        </w:rPr>
        <w:t>. Canberra: Safe Work Australia.</w:t>
      </w:r>
    </w:p>
    <w:p w:rsidR="000C61B2" w:rsidRDefault="000C61B2" w:rsidP="000C61B2">
      <w:pPr>
        <w:rPr>
          <w:rFonts w:cs="Arial"/>
        </w:rPr>
      </w:pPr>
    </w:p>
    <w:p w:rsidR="000C61B2" w:rsidRDefault="000C61B2" w:rsidP="000C61B2">
      <w:pPr>
        <w:spacing w:line="276" w:lineRule="auto"/>
        <w:rPr>
          <w:rFonts w:cs="Arial"/>
        </w:rPr>
      </w:pPr>
      <w:r>
        <w:rPr>
          <w:rFonts w:cs="Arial"/>
        </w:rPr>
        <w:t xml:space="preserve">Enquiries regarding the licence and any use of the report are welcome at: </w:t>
      </w:r>
    </w:p>
    <w:p w:rsidR="000C61B2" w:rsidRDefault="000C61B2" w:rsidP="000C61B2">
      <w:pPr>
        <w:spacing w:line="276" w:lineRule="auto"/>
        <w:rPr>
          <w:rFonts w:cs="Arial"/>
        </w:rPr>
      </w:pPr>
      <w:r>
        <w:rPr>
          <w:rFonts w:cs="Arial"/>
        </w:rPr>
        <w:t xml:space="preserve">Copyright Officer </w:t>
      </w:r>
    </w:p>
    <w:p w:rsidR="000C61B2" w:rsidRDefault="000C61B2" w:rsidP="000C61B2">
      <w:pPr>
        <w:spacing w:line="276" w:lineRule="auto"/>
        <w:rPr>
          <w:rFonts w:cs="Arial"/>
        </w:rPr>
      </w:pPr>
      <w:r>
        <w:rPr>
          <w:rFonts w:cs="Arial"/>
        </w:rPr>
        <w:t xml:space="preserve">Safe Work Australia </w:t>
      </w:r>
    </w:p>
    <w:p w:rsidR="000C61B2" w:rsidRDefault="000C61B2" w:rsidP="000C61B2">
      <w:pPr>
        <w:spacing w:line="276" w:lineRule="auto"/>
        <w:rPr>
          <w:rFonts w:cs="Arial"/>
        </w:rPr>
      </w:pPr>
      <w:r>
        <w:rPr>
          <w:rFonts w:cs="Arial"/>
        </w:rPr>
        <w:t xml:space="preserve">GPO Box 641 Canberra ACT 2601 </w:t>
      </w:r>
    </w:p>
    <w:p w:rsidR="000C61B2" w:rsidRDefault="000C61B2" w:rsidP="000C61B2">
      <w:pPr>
        <w:spacing w:line="276" w:lineRule="auto"/>
        <w:rPr>
          <w:rFonts w:cs="Arial"/>
        </w:rPr>
      </w:pPr>
      <w:r>
        <w:rPr>
          <w:rFonts w:cs="Arial"/>
        </w:rPr>
        <w:t xml:space="preserve">Email: </w:t>
      </w:r>
      <w:hyperlink r:id="rId12" w:history="1">
        <w:r>
          <w:rPr>
            <w:rStyle w:val="Hyperlink"/>
            <w:rFonts w:cs="Arial"/>
          </w:rPr>
          <w:t>copyrightrequests@swa.gov.au</w:t>
        </w:r>
      </w:hyperlink>
    </w:p>
    <w:p w:rsidR="000C61B2" w:rsidRPr="00AF4516" w:rsidRDefault="000C61B2" w:rsidP="000C61B2">
      <w:pPr>
        <w:spacing w:line="240" w:lineRule="auto"/>
        <w:rPr>
          <w:rFonts w:cs="Arial"/>
          <w:sz w:val="20"/>
          <w:szCs w:val="20"/>
        </w:rPr>
      </w:pPr>
      <w:r w:rsidRPr="00AF4516">
        <w:rPr>
          <w:rFonts w:cs="Arial"/>
          <w:sz w:val="20"/>
          <w:szCs w:val="20"/>
        </w:rPr>
        <w:t xml:space="preserve">ISBN </w:t>
      </w:r>
      <w:r w:rsidR="00AF4516" w:rsidRPr="00AF4516">
        <w:rPr>
          <w:rFonts w:cs="Arial"/>
          <w:sz w:val="20"/>
          <w:szCs w:val="20"/>
        </w:rPr>
        <w:t>978-1-74361-719-9 </w:t>
      </w:r>
      <w:r w:rsidRPr="00AF4516">
        <w:rPr>
          <w:rFonts w:cs="Arial"/>
          <w:sz w:val="20"/>
          <w:szCs w:val="20"/>
        </w:rPr>
        <w:t>  [PDF]</w:t>
      </w:r>
    </w:p>
    <w:p w:rsidR="000C61B2" w:rsidRPr="00AF4516" w:rsidRDefault="000C61B2" w:rsidP="000C61B2">
      <w:pPr>
        <w:spacing w:line="240" w:lineRule="auto"/>
        <w:rPr>
          <w:rFonts w:cs="Arial"/>
          <w:sz w:val="20"/>
          <w:szCs w:val="20"/>
        </w:rPr>
      </w:pPr>
      <w:r w:rsidRPr="00AF4516">
        <w:rPr>
          <w:rFonts w:cs="Arial"/>
          <w:sz w:val="20"/>
          <w:szCs w:val="20"/>
        </w:rPr>
        <w:t xml:space="preserve">ISBN </w:t>
      </w:r>
      <w:r w:rsidR="00AF4516" w:rsidRPr="00AF4516">
        <w:rPr>
          <w:rFonts w:cs="Arial"/>
          <w:sz w:val="20"/>
          <w:szCs w:val="20"/>
        </w:rPr>
        <w:t>978-1-74361-720-5 </w:t>
      </w:r>
      <w:r w:rsidRPr="00AF4516">
        <w:rPr>
          <w:rFonts w:cs="Arial"/>
          <w:sz w:val="20"/>
          <w:szCs w:val="20"/>
        </w:rPr>
        <w:t xml:space="preserve"> [DOCX]</w:t>
      </w:r>
    </w:p>
    <w:p w:rsidR="000C61B2" w:rsidRDefault="000C61B2" w:rsidP="000C61B2">
      <w:pPr>
        <w:rPr>
          <w:rFonts w:eastAsia="Times New Roman" w:cs="Arial"/>
          <w:b/>
          <w:lang w:eastAsia="en-AU"/>
        </w:rPr>
      </w:pPr>
    </w:p>
    <w:p w:rsidR="00316781" w:rsidRDefault="00316781">
      <w:r>
        <w:br w:type="page"/>
      </w:r>
    </w:p>
    <w:p w:rsidR="00F942C9" w:rsidRDefault="00F942C9" w:rsidP="00F942C9">
      <w:pPr>
        <w:pStyle w:val="Heading1"/>
      </w:pPr>
      <w:bookmarkStart w:id="1" w:name="_Toc391288209"/>
      <w:r>
        <w:lastRenderedPageBreak/>
        <w:t>Foreword</w:t>
      </w:r>
      <w:bookmarkEnd w:id="1"/>
    </w:p>
    <w:p w:rsidR="0005093A" w:rsidRPr="0005093A" w:rsidRDefault="0005093A" w:rsidP="0005093A">
      <w:pPr>
        <w:pStyle w:val="Default"/>
        <w:spacing w:after="120"/>
        <w:rPr>
          <w:color w:val="000000" w:themeColor="text1"/>
          <w:sz w:val="22"/>
          <w:szCs w:val="22"/>
        </w:rPr>
      </w:pPr>
      <w:r w:rsidRPr="0005093A">
        <w:rPr>
          <w:color w:val="000000" w:themeColor="text1"/>
          <w:sz w:val="22"/>
          <w:szCs w:val="22"/>
        </w:rPr>
        <w:t xml:space="preserve">Safe Work Australia is currently (2014) reviewing workplace blood lead removal levels, i.e. the levels at which a worker must be removed from lead risk work, and the associated workplace exposure standard for lead and has commissioned this report to examine the health effects of exposure to lead and based on the analysis, advise on appropriate blood lead removal levels and a workplace exposure standard for lead. </w:t>
      </w:r>
    </w:p>
    <w:p w:rsidR="0005093A" w:rsidRPr="0005093A" w:rsidRDefault="0005093A" w:rsidP="0005093A">
      <w:pPr>
        <w:pStyle w:val="Default"/>
        <w:spacing w:after="120"/>
        <w:rPr>
          <w:color w:val="000000" w:themeColor="text1"/>
          <w:sz w:val="22"/>
          <w:szCs w:val="22"/>
        </w:rPr>
      </w:pPr>
      <w:r w:rsidRPr="0005093A">
        <w:rPr>
          <w:color w:val="000000" w:themeColor="text1"/>
          <w:sz w:val="22"/>
          <w:szCs w:val="22"/>
        </w:rPr>
        <w:t xml:space="preserve">This report covers the following areas: </w:t>
      </w:r>
    </w:p>
    <w:p w:rsidR="0005093A" w:rsidRPr="0005093A" w:rsidRDefault="0005093A" w:rsidP="0005093A">
      <w:pPr>
        <w:pStyle w:val="Default"/>
        <w:numPr>
          <w:ilvl w:val="0"/>
          <w:numId w:val="41"/>
        </w:numPr>
        <w:adjustRightInd/>
        <w:spacing w:after="120"/>
        <w:rPr>
          <w:color w:val="000000" w:themeColor="text1"/>
          <w:sz w:val="22"/>
          <w:szCs w:val="22"/>
        </w:rPr>
      </w:pPr>
      <w:r w:rsidRPr="0005093A">
        <w:rPr>
          <w:color w:val="000000" w:themeColor="text1"/>
          <w:sz w:val="22"/>
          <w:szCs w:val="22"/>
        </w:rPr>
        <w:t xml:space="preserve">documentation and assessment of international regulatory standards including airborne exposure standards, biological exposure standards and blood lead removal levels </w:t>
      </w:r>
    </w:p>
    <w:p w:rsidR="0005093A" w:rsidRPr="0005093A" w:rsidRDefault="0005093A" w:rsidP="0005093A">
      <w:pPr>
        <w:pStyle w:val="Default"/>
        <w:numPr>
          <w:ilvl w:val="0"/>
          <w:numId w:val="41"/>
        </w:numPr>
        <w:adjustRightInd/>
        <w:spacing w:after="120"/>
        <w:rPr>
          <w:color w:val="000000" w:themeColor="text1"/>
          <w:sz w:val="22"/>
          <w:szCs w:val="22"/>
        </w:rPr>
      </w:pPr>
      <w:r w:rsidRPr="0005093A">
        <w:rPr>
          <w:color w:val="000000" w:themeColor="text1"/>
          <w:sz w:val="22"/>
          <w:szCs w:val="22"/>
        </w:rPr>
        <w:t xml:space="preserve">information on alternative biomonitoring methods for lead </w:t>
      </w:r>
    </w:p>
    <w:p w:rsidR="0005093A" w:rsidRPr="0005093A" w:rsidRDefault="0005093A" w:rsidP="0005093A">
      <w:pPr>
        <w:pStyle w:val="Default"/>
        <w:numPr>
          <w:ilvl w:val="0"/>
          <w:numId w:val="41"/>
        </w:numPr>
        <w:adjustRightInd/>
        <w:spacing w:after="120"/>
        <w:rPr>
          <w:color w:val="000000" w:themeColor="text1"/>
          <w:sz w:val="22"/>
          <w:szCs w:val="22"/>
        </w:rPr>
      </w:pPr>
      <w:r w:rsidRPr="0005093A">
        <w:rPr>
          <w:color w:val="000000" w:themeColor="text1"/>
          <w:sz w:val="22"/>
          <w:szCs w:val="22"/>
        </w:rPr>
        <w:t xml:space="preserve">identification and review of key epidemiological and toxicological studies relevant to workplace exposure and the setting of revised blood lead removal levels and workplace exposure standard </w:t>
      </w:r>
    </w:p>
    <w:p w:rsidR="0005093A" w:rsidRPr="0005093A" w:rsidRDefault="0005093A" w:rsidP="0005093A">
      <w:pPr>
        <w:pStyle w:val="Default"/>
        <w:numPr>
          <w:ilvl w:val="0"/>
          <w:numId w:val="41"/>
        </w:numPr>
        <w:adjustRightInd/>
        <w:spacing w:after="120"/>
        <w:rPr>
          <w:color w:val="000000" w:themeColor="text1"/>
          <w:sz w:val="22"/>
          <w:szCs w:val="22"/>
        </w:rPr>
      </w:pPr>
      <w:r w:rsidRPr="0005093A">
        <w:rPr>
          <w:color w:val="000000" w:themeColor="text1"/>
          <w:sz w:val="22"/>
          <w:szCs w:val="22"/>
        </w:rPr>
        <w:t xml:space="preserve">the relationship between air lead levels and expected blood lead levels </w:t>
      </w:r>
    </w:p>
    <w:p w:rsidR="0005093A" w:rsidRPr="0005093A" w:rsidRDefault="0005093A" w:rsidP="0005093A">
      <w:pPr>
        <w:pStyle w:val="Default"/>
        <w:numPr>
          <w:ilvl w:val="0"/>
          <w:numId w:val="41"/>
        </w:numPr>
        <w:adjustRightInd/>
        <w:spacing w:after="120"/>
        <w:rPr>
          <w:color w:val="000000" w:themeColor="text1"/>
          <w:sz w:val="22"/>
          <w:szCs w:val="22"/>
        </w:rPr>
      </w:pPr>
      <w:r w:rsidRPr="0005093A">
        <w:rPr>
          <w:color w:val="000000" w:themeColor="text1"/>
          <w:sz w:val="22"/>
          <w:szCs w:val="22"/>
        </w:rPr>
        <w:t xml:space="preserve">advice about the risks to worker health at a range of air lead exposures and the health benefits of lowering blood lead levels, and </w:t>
      </w:r>
    </w:p>
    <w:p w:rsidR="0005093A" w:rsidRPr="0005093A" w:rsidRDefault="0005093A" w:rsidP="0005093A">
      <w:pPr>
        <w:pStyle w:val="Default"/>
        <w:numPr>
          <w:ilvl w:val="0"/>
          <w:numId w:val="41"/>
        </w:numPr>
        <w:adjustRightInd/>
        <w:spacing w:after="120"/>
        <w:rPr>
          <w:color w:val="000000" w:themeColor="text1"/>
          <w:sz w:val="22"/>
          <w:szCs w:val="22"/>
        </w:rPr>
      </w:pPr>
      <w:r w:rsidRPr="0005093A">
        <w:rPr>
          <w:color w:val="000000" w:themeColor="text1"/>
          <w:sz w:val="22"/>
          <w:szCs w:val="22"/>
        </w:rPr>
        <w:t xml:space="preserve">consideration of sensitive workers and advice as to the protection afforded to them by reduced blood lead removal levels and workplace exposure standard. </w:t>
      </w:r>
    </w:p>
    <w:p w:rsidR="0005093A" w:rsidRPr="0005093A" w:rsidRDefault="0005093A" w:rsidP="0005093A">
      <w:pPr>
        <w:pStyle w:val="Default"/>
        <w:spacing w:after="120"/>
        <w:rPr>
          <w:color w:val="000000" w:themeColor="text1"/>
          <w:sz w:val="22"/>
          <w:szCs w:val="22"/>
        </w:rPr>
      </w:pPr>
      <w:r w:rsidRPr="0005093A">
        <w:rPr>
          <w:color w:val="000000" w:themeColor="text1"/>
          <w:sz w:val="22"/>
          <w:szCs w:val="22"/>
        </w:rPr>
        <w:t>This report and subsequent business consultation will inform a consultation Regulation Impact Statement on proposed changes to the workplace blood lead removal levels and workplace exposure standard for lead.</w:t>
      </w:r>
    </w:p>
    <w:p w:rsidR="0005093A" w:rsidRDefault="0005093A" w:rsidP="0005093A">
      <w:pPr>
        <w:pStyle w:val="Default"/>
        <w:spacing w:after="120"/>
        <w:rPr>
          <w:color w:val="000000" w:themeColor="text1"/>
          <w:sz w:val="22"/>
          <w:szCs w:val="22"/>
        </w:rPr>
      </w:pPr>
      <w:r w:rsidRPr="0005093A">
        <w:rPr>
          <w:color w:val="000000" w:themeColor="text1"/>
          <w:sz w:val="22"/>
          <w:szCs w:val="22"/>
        </w:rPr>
        <w:t xml:space="preserve">For further information visit </w:t>
      </w:r>
      <w:hyperlink r:id="rId13" w:history="1">
        <w:r w:rsidRPr="0005093A">
          <w:rPr>
            <w:rStyle w:val="Hyperlink"/>
            <w:rFonts w:eastAsiaTheme="majorEastAsia"/>
            <w:color w:val="000000" w:themeColor="text1"/>
            <w:sz w:val="22"/>
            <w:szCs w:val="22"/>
          </w:rPr>
          <w:t>www.safeworkaustralia.gov.au</w:t>
        </w:r>
      </w:hyperlink>
    </w:p>
    <w:p w:rsidR="0005093A" w:rsidRDefault="0005093A" w:rsidP="0005093A">
      <w:pPr>
        <w:pStyle w:val="Default"/>
        <w:spacing w:after="120"/>
        <w:rPr>
          <w:color w:val="000000" w:themeColor="text1"/>
          <w:sz w:val="22"/>
          <w:szCs w:val="22"/>
        </w:rPr>
      </w:pPr>
    </w:p>
    <w:p w:rsidR="0005093A" w:rsidRPr="0005093A" w:rsidRDefault="0005093A" w:rsidP="0005093A">
      <w:pPr>
        <w:pStyle w:val="Default"/>
        <w:spacing w:after="120"/>
        <w:rPr>
          <w:color w:val="000000" w:themeColor="text1"/>
          <w:sz w:val="22"/>
          <w:szCs w:val="22"/>
        </w:rPr>
      </w:pPr>
      <w:r w:rsidRPr="0005093A">
        <w:rPr>
          <w:color w:val="000000" w:themeColor="text1"/>
          <w:sz w:val="22"/>
          <w:szCs w:val="22"/>
        </w:rPr>
        <w:t xml:space="preserve"> </w:t>
      </w:r>
    </w:p>
    <w:p w:rsidR="00F942C9" w:rsidRDefault="00F942C9">
      <w:pPr>
        <w:rPr>
          <w:rFonts w:eastAsiaTheme="majorEastAsia" w:cstheme="majorBidi"/>
          <w:b/>
          <w:bCs/>
          <w:sz w:val="20"/>
          <w:szCs w:val="20"/>
        </w:rPr>
      </w:pPr>
      <w:r>
        <w:rPr>
          <w:sz w:val="20"/>
          <w:szCs w:val="20"/>
        </w:rPr>
        <w:br w:type="page"/>
      </w:r>
    </w:p>
    <w:p w:rsidR="003653D9" w:rsidRDefault="00316781" w:rsidP="0005093A">
      <w:pPr>
        <w:pStyle w:val="Heading1"/>
      </w:pPr>
      <w:bookmarkStart w:id="2" w:name="_Toc391288210"/>
      <w:r>
        <w:lastRenderedPageBreak/>
        <w:t>Executive Summary</w:t>
      </w:r>
      <w:bookmarkEnd w:id="2"/>
    </w:p>
    <w:p w:rsidR="003653D9" w:rsidRPr="00DE2374" w:rsidRDefault="003653D9" w:rsidP="003653D9">
      <w:pPr>
        <w:rPr>
          <w:i/>
        </w:rPr>
      </w:pPr>
      <w:r w:rsidRPr="00DE2374">
        <w:rPr>
          <w:i/>
        </w:rPr>
        <w:t>Overview</w:t>
      </w:r>
    </w:p>
    <w:p w:rsidR="003653D9" w:rsidRDefault="003653D9" w:rsidP="003653D9">
      <w:r>
        <w:t xml:space="preserve">The health effects of lead are directly related to the concentration of lead in the affected organ systems. This in turn is directly proportional to whole blood concentrations. </w:t>
      </w:r>
      <w:r w:rsidR="009C1B38">
        <w:t>Blood lead (</w:t>
      </w:r>
      <w:r w:rsidR="000C3863">
        <w:t>PbB</w:t>
      </w:r>
      <w:r w:rsidR="009C1B38">
        <w:t>)</w:t>
      </w:r>
      <w:r>
        <w:t xml:space="preserve"> concentrations have been the traditional measurement of internal exposures to lead and indicators for management </w:t>
      </w:r>
      <w:r w:rsidR="009C1B38">
        <w:t>actions</w:t>
      </w:r>
      <w:r>
        <w:t xml:space="preserve"> for persons overexposed to lead in the workplace. This report examines the dose-response of lead to inform selection of </w:t>
      </w:r>
      <w:r w:rsidR="00E11337">
        <w:t xml:space="preserve">Blood Lead Removal Levels (BLRL) and </w:t>
      </w:r>
      <w:r>
        <w:t xml:space="preserve">a target PbB that will be protective </w:t>
      </w:r>
      <w:r w:rsidR="005C0C19">
        <w:t>of nearly all</w:t>
      </w:r>
      <w:r>
        <w:t xml:space="preserve"> workers in lead related jobs. These </w:t>
      </w:r>
      <w:r w:rsidR="005C0C19">
        <w:t>Blood Lead R</w:t>
      </w:r>
      <w:r>
        <w:t>emoval Levels (</w:t>
      </w:r>
      <w:r w:rsidR="00314205">
        <w:t>BLRL</w:t>
      </w:r>
      <w:r>
        <w:t xml:space="preserve">) </w:t>
      </w:r>
      <w:r w:rsidR="00E11337">
        <w:t xml:space="preserve">are </w:t>
      </w:r>
      <w:r>
        <w:t xml:space="preserve">used by </w:t>
      </w:r>
      <w:r w:rsidR="00804AA3">
        <w:t xml:space="preserve">duty holders under the model Work Health and Safety (WHS) Regulations and </w:t>
      </w:r>
      <w:r>
        <w:t>medical staff to manage the health of workers in lead industries. The relationship between PbB and concentrations of PbAir provides information for selection of WES</w:t>
      </w:r>
      <w:r w:rsidR="00FB6676">
        <w:t>s</w:t>
      </w:r>
      <w:r>
        <w:t>.</w:t>
      </w:r>
    </w:p>
    <w:p w:rsidR="003653D9" w:rsidRDefault="003653D9" w:rsidP="003653D9"/>
    <w:p w:rsidR="003653D9" w:rsidRDefault="003653D9" w:rsidP="003653D9">
      <w:r>
        <w:t xml:space="preserve">The </w:t>
      </w:r>
      <w:r w:rsidR="00314205">
        <w:t>BLRL</w:t>
      </w:r>
      <w:r>
        <w:t xml:space="preserve">s </w:t>
      </w:r>
      <w:r w:rsidRPr="002551EB">
        <w:t xml:space="preserve">are different for different </w:t>
      </w:r>
      <w:r>
        <w:t xml:space="preserve">worker </w:t>
      </w:r>
      <w:r w:rsidRPr="002551EB">
        <w:t>population</w:t>
      </w:r>
      <w:r>
        <w:t>s</w:t>
      </w:r>
      <w:r w:rsidRPr="002551EB">
        <w:t xml:space="preserve"> in industry. For ease of reading</w:t>
      </w:r>
      <w:r>
        <w:t>,</w:t>
      </w:r>
      <w:r w:rsidRPr="002551EB">
        <w:t xml:space="preserve"> this su</w:t>
      </w:r>
      <w:r>
        <w:t xml:space="preserve">mmary primarily refers to men </w:t>
      </w:r>
      <w:r w:rsidR="004B7CF0">
        <w:t>and</w:t>
      </w:r>
      <w:r>
        <w:t xml:space="preserve"> women of </w:t>
      </w:r>
      <w:r w:rsidRPr="002551EB">
        <w:t>non-reproductive capacity</w:t>
      </w:r>
      <w:r>
        <w:t>. For information on</w:t>
      </w:r>
      <w:r w:rsidRPr="002551EB">
        <w:t xml:space="preserve"> women of reproductive capacity and pregnant/breast feeding women the reader is encouraged to consult the text of this report.</w:t>
      </w:r>
    </w:p>
    <w:p w:rsidR="003653D9" w:rsidRDefault="003653D9" w:rsidP="003653D9"/>
    <w:p w:rsidR="003653D9" w:rsidRDefault="003653D9" w:rsidP="003653D9">
      <w:r>
        <w:t xml:space="preserve">The </w:t>
      </w:r>
      <w:r w:rsidR="00314205">
        <w:t>BLRL</w:t>
      </w:r>
      <w:r>
        <w:t>s are reported as micrograms of lead per 100</w:t>
      </w:r>
      <w:r w:rsidR="00F423C9">
        <w:t xml:space="preserve"> </w:t>
      </w:r>
      <w:r>
        <w:t xml:space="preserve">mL of blood, these units are simplified to  </w:t>
      </w:r>
      <w:r w:rsidRPr="00580632">
        <w:t>µg/dL</w:t>
      </w:r>
      <w:r>
        <w:t xml:space="preserve">. The WESs are concentrations of </w:t>
      </w:r>
      <w:r w:rsidR="0072100B">
        <w:t>PbAir</w:t>
      </w:r>
      <w:r>
        <w:t xml:space="preserve"> reported as milligrams of lead per cubic metre of air; simplified to mg/m</w:t>
      </w:r>
      <w:r>
        <w:rPr>
          <w:vertAlign w:val="superscript"/>
        </w:rPr>
        <w:t>3</w:t>
      </w:r>
      <w:r>
        <w:t>.</w:t>
      </w:r>
      <w:r w:rsidRPr="00580632">
        <w:t xml:space="preserve">  </w:t>
      </w:r>
    </w:p>
    <w:p w:rsidR="003653D9" w:rsidRDefault="003653D9" w:rsidP="003653D9"/>
    <w:p w:rsidR="003653D9" w:rsidRDefault="003653D9" w:rsidP="003653D9">
      <w:pPr>
        <w:rPr>
          <w:i/>
        </w:rPr>
      </w:pPr>
      <w:r>
        <w:rPr>
          <w:i/>
        </w:rPr>
        <w:t>International benchmarking</w:t>
      </w:r>
    </w:p>
    <w:p w:rsidR="003653D9" w:rsidRDefault="003653D9" w:rsidP="003653D9">
      <w:r>
        <w:t xml:space="preserve">A review of current </w:t>
      </w:r>
      <w:r w:rsidR="00314205">
        <w:t>BLRL</w:t>
      </w:r>
      <w:r>
        <w:t xml:space="preserve">s and WESs established by international authorities or recommended by committees of scientific/medical experts indicates a trend for decreased values as knowledge of the health effects of lead has been acquired over the last two decades. Nevertheless many of the </w:t>
      </w:r>
      <w:r w:rsidR="00314205">
        <w:t>BLRL</w:t>
      </w:r>
      <w:r>
        <w:t xml:space="preserve">s and WESs currently on the regulatory statutes of </w:t>
      </w:r>
      <w:r w:rsidR="00702548">
        <w:t>various</w:t>
      </w:r>
      <w:r>
        <w:t xml:space="preserve"> countries were established </w:t>
      </w:r>
      <w:r w:rsidR="00702548">
        <w:t>a long time</w:t>
      </w:r>
      <w:r>
        <w:t xml:space="preserve"> ago and are not well documented. </w:t>
      </w:r>
      <w:r w:rsidRPr="00914121">
        <w:t xml:space="preserve">The </w:t>
      </w:r>
      <w:r>
        <w:t xml:space="preserve">deliberations of the </w:t>
      </w:r>
      <w:r w:rsidR="00FB6676">
        <w:t>American Conference of Government Industrial Hygienists</w:t>
      </w:r>
      <w:r w:rsidR="00FB6676" w:rsidRPr="00914121">
        <w:t xml:space="preserve"> </w:t>
      </w:r>
      <w:r w:rsidR="00FB6676">
        <w:t>(</w:t>
      </w:r>
      <w:r w:rsidRPr="00914121">
        <w:t>ACG</w:t>
      </w:r>
      <w:r>
        <w:t>IH</w:t>
      </w:r>
      <w:r w:rsidR="00FB6676">
        <w:t>)</w:t>
      </w:r>
      <w:r>
        <w:t xml:space="preserve"> in 1995 have been influential since</w:t>
      </w:r>
      <w:r w:rsidRPr="00914121">
        <w:t xml:space="preserve"> many juris</w:t>
      </w:r>
      <w:r w:rsidR="00471CCC">
        <w:t>dictions appear to have ‘picked</w:t>
      </w:r>
      <w:r w:rsidRPr="00914121">
        <w:t xml:space="preserve"> up</w:t>
      </w:r>
      <w:r w:rsidR="00471CCC">
        <w:t>’</w:t>
      </w:r>
      <w:r w:rsidRPr="00914121">
        <w:t xml:space="preserve"> the ACGIH recommendations</w:t>
      </w:r>
      <w:r>
        <w:t xml:space="preserve">. </w:t>
      </w:r>
    </w:p>
    <w:p w:rsidR="003653D9" w:rsidRDefault="003653D9" w:rsidP="003653D9"/>
    <w:p w:rsidR="003653D9" w:rsidRPr="00635087" w:rsidRDefault="003653D9" w:rsidP="003653D9">
      <w:r>
        <w:t xml:space="preserve">WESs set </w:t>
      </w:r>
      <w:r w:rsidR="009C1B38">
        <w:t xml:space="preserve">by national and international authorities </w:t>
      </w:r>
      <w:r>
        <w:t xml:space="preserve">in the early 1990s were 0.15 </w:t>
      </w:r>
      <w:r>
        <w:rPr>
          <w:rFonts w:cs="Arial"/>
        </w:rPr>
        <w:t>m</w:t>
      </w:r>
      <w:r>
        <w:t>g/m</w:t>
      </w:r>
      <w:r>
        <w:rPr>
          <w:vertAlign w:val="superscript"/>
        </w:rPr>
        <w:t>3</w:t>
      </w:r>
      <w:r>
        <w:t xml:space="preserve">. </w:t>
      </w:r>
      <w:r w:rsidR="009C1B38">
        <w:t xml:space="preserve">This is still the current WES in Australia. </w:t>
      </w:r>
      <w:r>
        <w:t xml:space="preserve">More recent WESs have been set at </w:t>
      </w:r>
      <w:r w:rsidR="00FB6676">
        <w:t>0.1</w:t>
      </w:r>
      <w:r>
        <w:t xml:space="preserve"> or </w:t>
      </w:r>
      <w:r w:rsidR="00FB6676">
        <w:t>0.05</w:t>
      </w:r>
      <w:r>
        <w:t xml:space="preserve"> mg/m</w:t>
      </w:r>
      <w:r>
        <w:rPr>
          <w:vertAlign w:val="superscript"/>
        </w:rPr>
        <w:t>3</w:t>
      </w:r>
      <w:r>
        <w:t xml:space="preserve">, although </w:t>
      </w:r>
      <w:r w:rsidRPr="00635087">
        <w:t>California</w:t>
      </w:r>
      <w:r w:rsidR="003F0E7C">
        <w:t xml:space="preserve"> </w:t>
      </w:r>
      <w:r w:rsidR="003F0E7C" w:rsidRPr="00DE45CB">
        <w:t>in 2013</w:t>
      </w:r>
      <w:r w:rsidRPr="00635087">
        <w:t xml:space="preserve"> has </w:t>
      </w:r>
      <w:r>
        <w:t xml:space="preserve">recently </w:t>
      </w:r>
      <w:r w:rsidRPr="00635087">
        <w:t>proposed</w:t>
      </w:r>
      <w:r>
        <w:t xml:space="preserve"> 0.0005 </w:t>
      </w:r>
      <w:r>
        <w:rPr>
          <w:rFonts w:cs="Arial"/>
        </w:rPr>
        <w:t>m</w:t>
      </w:r>
      <w:r>
        <w:t>g/m</w:t>
      </w:r>
      <w:r>
        <w:rPr>
          <w:vertAlign w:val="superscript"/>
        </w:rPr>
        <w:t>3</w:t>
      </w:r>
      <w:r>
        <w:t xml:space="preserve">. </w:t>
      </w:r>
    </w:p>
    <w:p w:rsidR="003653D9" w:rsidRDefault="003653D9" w:rsidP="003653D9"/>
    <w:p w:rsidR="003653D9" w:rsidRDefault="003653D9" w:rsidP="003653D9">
      <w:r>
        <w:lastRenderedPageBreak/>
        <w:t xml:space="preserve">The early regulatory </w:t>
      </w:r>
      <w:r w:rsidR="00314205">
        <w:t>BLRL</w:t>
      </w:r>
      <w:r w:rsidRPr="00635087">
        <w:t xml:space="preserve">s </w:t>
      </w:r>
      <w:r w:rsidR="009C1B38">
        <w:t xml:space="preserve">set by international authorities </w:t>
      </w:r>
      <w:r w:rsidRPr="00635087">
        <w:t>for men were 50 µg/dL, or higher</w:t>
      </w:r>
      <w:r>
        <w:t xml:space="preserve">, and as mentioned above </w:t>
      </w:r>
      <w:r w:rsidR="003F0E7C">
        <w:t xml:space="preserve">not </w:t>
      </w:r>
      <w:r>
        <w:t xml:space="preserve">many have been reviewed in </w:t>
      </w:r>
      <w:r w:rsidR="003F0E7C">
        <w:t xml:space="preserve">recent </w:t>
      </w:r>
      <w:r>
        <w:t xml:space="preserve">years. </w:t>
      </w:r>
      <w:r w:rsidR="009C1B38">
        <w:t xml:space="preserve">The current BLRL in Australia for men is 50 </w:t>
      </w:r>
      <w:r w:rsidR="009C1B38" w:rsidRPr="00635087">
        <w:t>µg/dL</w:t>
      </w:r>
      <w:r w:rsidR="009C1B38">
        <w:t xml:space="preserve">. </w:t>
      </w:r>
      <w:r>
        <w:t xml:space="preserve">Contemporary </w:t>
      </w:r>
      <w:r w:rsidR="00314205">
        <w:t>BLRL</w:t>
      </w:r>
      <w:r>
        <w:t xml:space="preserve">s </w:t>
      </w:r>
      <w:r w:rsidRPr="004E5E72">
        <w:t xml:space="preserve">are </w:t>
      </w:r>
      <w:r w:rsidR="00754780" w:rsidRPr="004E5E72">
        <w:t>most</w:t>
      </w:r>
      <w:r w:rsidRPr="004E5E72">
        <w:t>ly</w:t>
      </w:r>
      <w:r>
        <w:t xml:space="preserve"> set at 20 – 30 </w:t>
      </w:r>
      <w:r w:rsidRPr="00635087">
        <w:t>µg/dL</w:t>
      </w:r>
      <w:r>
        <w:t>.</w:t>
      </w:r>
    </w:p>
    <w:p w:rsidR="003653D9" w:rsidRDefault="003653D9" w:rsidP="003653D9"/>
    <w:p w:rsidR="003653D9" w:rsidRDefault="003653D9" w:rsidP="003653D9"/>
    <w:p w:rsidR="003653D9" w:rsidRDefault="003653D9" w:rsidP="003653D9">
      <w:r>
        <w:rPr>
          <w:i/>
        </w:rPr>
        <w:t>Biomonitoring</w:t>
      </w:r>
    </w:p>
    <w:p w:rsidR="003653D9" w:rsidRDefault="003653D9" w:rsidP="003653D9">
      <w:r>
        <w:t xml:space="preserve">PbB is by far </w:t>
      </w:r>
      <w:r w:rsidRPr="00AB1C1B">
        <w:t xml:space="preserve">the </w:t>
      </w:r>
      <w:r w:rsidR="00754780" w:rsidRPr="00AB1C1B">
        <w:t>most</w:t>
      </w:r>
      <w:r w:rsidRPr="00AB1C1B">
        <w:t xml:space="preserve"> common and arguably </w:t>
      </w:r>
      <w:r w:rsidR="00754780" w:rsidRPr="00AB1C1B">
        <w:t>most</w:t>
      </w:r>
      <w:r w:rsidRPr="00AB1C1B">
        <w:t xml:space="preserve"> convenient</w:t>
      </w:r>
      <w:r w:rsidRPr="004E5E72">
        <w:t xml:space="preserve"> exposure metric used by regulatory authorities, industry and researchers. This may however have arisen as a result of historical use. A number of alternatives have been suggested by the scientific community but have not found their way into the regulatory arena. These include lead mea</w:t>
      </w:r>
      <w:r w:rsidRPr="00975ADC">
        <w:t xml:space="preserve">surements in a range of accessible biological fluids and </w:t>
      </w:r>
      <w:r w:rsidR="003F0E7C">
        <w:t>tissues</w:t>
      </w:r>
      <w:r w:rsidRPr="00975ADC">
        <w:t xml:space="preserve">. Of these the procedure with </w:t>
      </w:r>
      <w:r w:rsidRPr="00AB1C1B">
        <w:t xml:space="preserve">the </w:t>
      </w:r>
      <w:r w:rsidR="00754780" w:rsidRPr="00AB1C1B">
        <w:t>most</w:t>
      </w:r>
      <w:r w:rsidRPr="00AB1C1B">
        <w:t xml:space="preserve"> promise</w:t>
      </w:r>
      <w:r w:rsidRPr="00E93C8F">
        <w:t xml:space="preserve"> </w:t>
      </w:r>
      <w:r>
        <w:t>for</w:t>
      </w:r>
      <w:r w:rsidRPr="00E93C8F">
        <w:t xml:space="preserve"> supplementing </w:t>
      </w:r>
      <w:r w:rsidR="000C3863">
        <w:t>PbB</w:t>
      </w:r>
      <w:r w:rsidRPr="00E93C8F">
        <w:t xml:space="preserve"> info</w:t>
      </w:r>
      <w:r>
        <w:t xml:space="preserve">rmation is </w:t>
      </w:r>
      <w:r w:rsidR="003F0E7C">
        <w:t xml:space="preserve">measurement of </w:t>
      </w:r>
      <w:r>
        <w:t>bone lead by non-invasive</w:t>
      </w:r>
      <w:r w:rsidRPr="00E93C8F">
        <w:t xml:space="preserve"> </w:t>
      </w:r>
      <w:r w:rsidR="009A2773">
        <w:t>X-Ray Fluorescence (</w:t>
      </w:r>
      <w:r w:rsidRPr="00E93C8F">
        <w:t>XRF</w:t>
      </w:r>
      <w:r w:rsidR="009A2773">
        <w:t>)</w:t>
      </w:r>
      <w:r w:rsidRPr="00E93C8F">
        <w:t xml:space="preserve"> techniques</w:t>
      </w:r>
      <w:r>
        <w:t>. I</w:t>
      </w:r>
      <w:r w:rsidRPr="00E93C8F">
        <w:t>t provides a good, perhaps better indication, of chronic past exposures and total body burden. Unfortunately since bone lead reflects chronic exposures it arguably may not be an ideal method in the workplace to identify ‘at risk’ persons</w:t>
      </w:r>
      <w:r w:rsidR="00932C8A">
        <w:t xml:space="preserve"> (i.e. persons currently </w:t>
      </w:r>
      <w:r w:rsidR="00F64575">
        <w:t>assimilating</w:t>
      </w:r>
      <w:r w:rsidR="001E6848">
        <w:t xml:space="preserve"> unacceptable</w:t>
      </w:r>
      <w:r w:rsidR="00932C8A">
        <w:t xml:space="preserve"> levels of Pb </w:t>
      </w:r>
      <w:r w:rsidR="001E6848">
        <w:t>from</w:t>
      </w:r>
      <w:r w:rsidR="00932C8A">
        <w:t xml:space="preserve"> workplace</w:t>
      </w:r>
      <w:r w:rsidR="001E6848">
        <w:t xml:space="preserve"> exposures</w:t>
      </w:r>
      <w:r w:rsidR="00932C8A">
        <w:t>)</w:t>
      </w:r>
      <w:r w:rsidRPr="00E93C8F">
        <w:t>. Whether the technique has been adequately developed and validated as a routine monitoring tool is also arguable.</w:t>
      </w:r>
    </w:p>
    <w:p w:rsidR="003653D9" w:rsidRDefault="003653D9" w:rsidP="003653D9"/>
    <w:p w:rsidR="003653D9" w:rsidRDefault="003653D9" w:rsidP="003653D9">
      <w:r>
        <w:t xml:space="preserve">Biochemical measurements of blood enzymes that are sensitive to inhibition by lead have been proposed by researchers. </w:t>
      </w:r>
      <w:r w:rsidRPr="002914BF">
        <w:t xml:space="preserve">A major issue with the use of biomarkers is the lack of relevant information linking the concentrations of lead with changes in biomarker and demonstrable health impacts. </w:t>
      </w:r>
    </w:p>
    <w:p w:rsidR="003653D9" w:rsidRDefault="003653D9" w:rsidP="003653D9"/>
    <w:p w:rsidR="003653D9" w:rsidRDefault="003653D9" w:rsidP="003653D9">
      <w:r w:rsidRPr="002914BF">
        <w:t xml:space="preserve">Because of its historical use, the database and available knowledge on </w:t>
      </w:r>
      <w:r w:rsidR="001E6848">
        <w:t xml:space="preserve">the relationships of </w:t>
      </w:r>
      <w:r w:rsidR="00F64575" w:rsidRPr="002914BF">
        <w:t>exposure</w:t>
      </w:r>
      <w:r w:rsidR="00F64575">
        <w:t>, PbB</w:t>
      </w:r>
      <w:r w:rsidRPr="002914BF">
        <w:t xml:space="preserve"> </w:t>
      </w:r>
      <w:r w:rsidR="001E6848">
        <w:t xml:space="preserve">and </w:t>
      </w:r>
      <w:r w:rsidRPr="002914BF">
        <w:t xml:space="preserve">health effects is </w:t>
      </w:r>
      <w:r>
        <w:t>large</w:t>
      </w:r>
      <w:r w:rsidR="001E6848">
        <w:t>. PbB therefore</w:t>
      </w:r>
      <w:r>
        <w:t xml:space="preserve"> remains the preferred metric for determining critical lead exposures</w:t>
      </w:r>
      <w:r w:rsidRPr="002914BF">
        <w:t>.</w:t>
      </w:r>
    </w:p>
    <w:p w:rsidR="00DE45CB" w:rsidRDefault="00DE45CB" w:rsidP="003653D9"/>
    <w:p w:rsidR="003653D9" w:rsidRDefault="003653D9" w:rsidP="003653D9"/>
    <w:p w:rsidR="003653D9" w:rsidRDefault="00F64575" w:rsidP="003653D9">
      <w:pPr>
        <w:rPr>
          <w:i/>
        </w:rPr>
      </w:pPr>
      <w:r>
        <w:rPr>
          <w:i/>
        </w:rPr>
        <w:t>Toxicology, health</w:t>
      </w:r>
      <w:r w:rsidR="003653D9">
        <w:rPr>
          <w:i/>
        </w:rPr>
        <w:t xml:space="preserve"> </w:t>
      </w:r>
      <w:r>
        <w:rPr>
          <w:i/>
        </w:rPr>
        <w:t>effect</w:t>
      </w:r>
      <w:r w:rsidR="004842EF">
        <w:rPr>
          <w:i/>
        </w:rPr>
        <w:t>s</w:t>
      </w:r>
      <w:r>
        <w:rPr>
          <w:i/>
        </w:rPr>
        <w:t xml:space="preserve"> and</w:t>
      </w:r>
      <w:r w:rsidR="003A7DB2">
        <w:rPr>
          <w:i/>
        </w:rPr>
        <w:t xml:space="preserve"> </w:t>
      </w:r>
      <w:r w:rsidR="00587B4B">
        <w:rPr>
          <w:i/>
        </w:rPr>
        <w:t xml:space="preserve">BLRL </w:t>
      </w:r>
    </w:p>
    <w:p w:rsidR="00E06F7A" w:rsidRDefault="003653D9" w:rsidP="003653D9">
      <w:r w:rsidRPr="00BB2039">
        <w:t>In humans</w:t>
      </w:r>
      <w:r>
        <w:t xml:space="preserve"> and animals, lead</w:t>
      </w:r>
      <w:r w:rsidRPr="00BB2039">
        <w:t xml:space="preserve"> </w:t>
      </w:r>
      <w:r>
        <w:t>has</w:t>
      </w:r>
      <w:r w:rsidRPr="00BB2039">
        <w:t xml:space="preserve"> a wide range of biological </w:t>
      </w:r>
      <w:r w:rsidRPr="004E5E72">
        <w:t xml:space="preserve">effects. </w:t>
      </w:r>
      <w:r w:rsidR="00754780" w:rsidRPr="001E6848">
        <w:t>M</w:t>
      </w:r>
      <w:r w:rsidR="00932C8A" w:rsidRPr="001E6848">
        <w:t>any</w:t>
      </w:r>
      <w:r w:rsidRPr="004E5E72">
        <w:t xml:space="preserve"> organ systems can be affected depending upon the level and duration of exposure. </w:t>
      </w:r>
      <w:r w:rsidR="00E06F7A" w:rsidRPr="00E06F7A">
        <w:t xml:space="preserve">It is noted that effects in adult males in the general community have been reported at lower PbB concentrations than for workers. This may be because there is a greater physiological diversity in the wider public which translates to more variability in effect sensitivity. It is also apparent that some subtle endpoints pursued in </w:t>
      </w:r>
      <w:r w:rsidR="00E06F7A">
        <w:t xml:space="preserve">general population epidemiology studies </w:t>
      </w:r>
      <w:r w:rsidR="00E06F7A" w:rsidRPr="00E06F7A">
        <w:t>have not been examined as thoroughly in the occupational setting. We consider the information on worker cohorts to be more germane for informing decisions regarding standards for workplace exposure than the general public information.</w:t>
      </w:r>
    </w:p>
    <w:p w:rsidR="00E06F7A" w:rsidRDefault="00E06F7A" w:rsidP="003653D9"/>
    <w:p w:rsidR="00D9545A" w:rsidRDefault="00754780" w:rsidP="003653D9">
      <w:r w:rsidRPr="001E6848">
        <w:lastRenderedPageBreak/>
        <w:t>Most</w:t>
      </w:r>
      <w:r w:rsidR="003653D9" w:rsidRPr="004E5E72">
        <w:t xml:space="preserve"> health</w:t>
      </w:r>
      <w:r w:rsidR="003653D9" w:rsidRPr="0097585F">
        <w:t xml:space="preserve"> endpoints </w:t>
      </w:r>
      <w:r w:rsidR="003653D9">
        <w:t>(effects on the nervous system</w:t>
      </w:r>
      <w:r w:rsidR="003653D9" w:rsidRPr="00205EC8">
        <w:t>, increased blood pressure, heart rate variability, kidney dysfunction, changes in</w:t>
      </w:r>
      <w:r w:rsidR="00D9545A" w:rsidRPr="00D9545A">
        <w:t xml:space="preserve"> immune system markers, reduced sperm quality, haematological effects) for which there is sufficient information for them to be reasonably linked with lead exposure at work have been associated with </w:t>
      </w:r>
      <w:r w:rsidR="00E06F7A">
        <w:t xml:space="preserve">occupational </w:t>
      </w:r>
      <w:r w:rsidR="00D9545A" w:rsidRPr="00D9545A">
        <w:t xml:space="preserve">cohort mean PbB levels of &gt;20 µg/dL. The majority of studies report health effect associations starting at worker population mean PbB levels of 25 - 30 µg/dL. At mean PbB concentrations &gt;30 µg/dL the associations become more robust and reliable. Hence in the workplace, for females not of reproductive capacity and for males it is suggested a BLRL of 20 – 30 µg/dL is appropriate. </w:t>
      </w:r>
    </w:p>
    <w:p w:rsidR="00D9545A" w:rsidRDefault="00D9545A" w:rsidP="003653D9"/>
    <w:p w:rsidR="00C02E86" w:rsidRDefault="00D9545A" w:rsidP="003653D9">
      <w:r w:rsidRPr="00D9545A">
        <w:t>Of this range, 20 µg/dL is a pragmatic N</w:t>
      </w:r>
      <w:r w:rsidR="00471CCC">
        <w:t xml:space="preserve">o </w:t>
      </w:r>
      <w:r w:rsidRPr="00D9545A">
        <w:t>O</w:t>
      </w:r>
      <w:r w:rsidR="00471CCC">
        <w:t xml:space="preserve">bserved </w:t>
      </w:r>
      <w:r w:rsidRPr="00D9545A">
        <w:t>A</w:t>
      </w:r>
      <w:r w:rsidR="00471CCC">
        <w:t xml:space="preserve">dverse </w:t>
      </w:r>
      <w:r w:rsidRPr="00D9545A">
        <w:t>E</w:t>
      </w:r>
      <w:r w:rsidR="00471CCC">
        <w:t xml:space="preserve">ffect </w:t>
      </w:r>
      <w:r w:rsidRPr="00D9545A">
        <w:t>L</w:t>
      </w:r>
      <w:r w:rsidR="00471CCC">
        <w:t>evel (NOAEL)</w:t>
      </w:r>
      <w:r w:rsidRPr="00D9545A">
        <w:t xml:space="preserve"> and can be </w:t>
      </w:r>
      <w:r w:rsidRPr="00DC7862">
        <w:rPr>
          <w:color w:val="000000" w:themeColor="text1"/>
        </w:rPr>
        <w:t xml:space="preserve">rationally argued as an appropriate precautionary BLRL for the protection of </w:t>
      </w:r>
      <w:r w:rsidR="00DC7862" w:rsidRPr="00DC7862">
        <w:rPr>
          <w:color w:val="000000" w:themeColor="text1"/>
        </w:rPr>
        <w:t xml:space="preserve">nearly all workers, particularly since it relates </w:t>
      </w:r>
      <w:r w:rsidRPr="00DC7862">
        <w:rPr>
          <w:color w:val="000000" w:themeColor="text1"/>
        </w:rPr>
        <w:t xml:space="preserve">to a </w:t>
      </w:r>
      <w:r w:rsidRPr="00D9545A">
        <w:t xml:space="preserve">central rather than a lower bound estimate for populations of lead exposed workers. Nevertheless there is uncertainty </w:t>
      </w:r>
      <w:r>
        <w:t>regarding the lead dose – response</w:t>
      </w:r>
      <w:r w:rsidRPr="00D9545A">
        <w:t xml:space="preserve"> relationship at low worker exposure, not all occupational investigations report health effects at </w:t>
      </w:r>
      <w:r w:rsidR="00E06F7A">
        <w:t>similar low</w:t>
      </w:r>
      <w:r w:rsidRPr="00D9545A">
        <w:t xml:space="preserve"> PbB</w:t>
      </w:r>
      <w:r w:rsidR="00E06F7A">
        <w:t xml:space="preserve"> levels</w:t>
      </w:r>
      <w:r w:rsidRPr="00D9545A">
        <w:t xml:space="preserve">, </w:t>
      </w:r>
      <w:r w:rsidR="00E06F7A">
        <w:t xml:space="preserve">and </w:t>
      </w:r>
      <w:r w:rsidRPr="00D9545A">
        <w:t xml:space="preserve">the effects are not necessarily clinically important for the individual. In addition some workplaces may initially struggle to comply with a BLRL of 20 µg/dL. It is therefore suggested a target PbB of 20 µg/dL and a BLRL of 30 µg/dL could also be considered. </w:t>
      </w:r>
      <w:r w:rsidR="003653D9" w:rsidRPr="00205EC8">
        <w:t xml:space="preserve"> </w:t>
      </w:r>
    </w:p>
    <w:p w:rsidR="00102011" w:rsidRDefault="00102011" w:rsidP="003653D9"/>
    <w:p w:rsidR="003653D9" w:rsidRDefault="00DE45CB" w:rsidP="003653D9">
      <w:r>
        <w:t>In this report deliberations on</w:t>
      </w:r>
      <w:r w:rsidR="00E06F7A" w:rsidRPr="00E06F7A">
        <w:t xml:space="preserve"> the </w:t>
      </w:r>
      <w:r>
        <w:t xml:space="preserve">potential </w:t>
      </w:r>
      <w:r w:rsidR="00E06F7A" w:rsidRPr="00E06F7A">
        <w:t>beneficial effects of lowe</w:t>
      </w:r>
      <w:r w:rsidR="00FF10A5">
        <w:t xml:space="preserve">ring the BLRL and determining </w:t>
      </w:r>
      <w:r w:rsidR="00E06F7A" w:rsidRPr="00E06F7A">
        <w:t>an attending WES consider either 20 or 30 µg/dL as the possible BLRL.</w:t>
      </w:r>
    </w:p>
    <w:p w:rsidR="00E06F7A" w:rsidRPr="00205EC8" w:rsidRDefault="00E06F7A" w:rsidP="003653D9"/>
    <w:p w:rsidR="003653D9" w:rsidRPr="00205EC8" w:rsidRDefault="00DA2CF4" w:rsidP="003653D9">
      <w:r>
        <w:t xml:space="preserve">A </w:t>
      </w:r>
      <w:r w:rsidR="001E6848">
        <w:t xml:space="preserve">recent </w:t>
      </w:r>
      <w:r>
        <w:t xml:space="preserve">study </w:t>
      </w:r>
      <w:r w:rsidR="002B15BE">
        <w:t xml:space="preserve">was </w:t>
      </w:r>
      <w:r>
        <w:t xml:space="preserve">published by the Monash Centre for Occupational and </w:t>
      </w:r>
      <w:r w:rsidR="00F64575">
        <w:t>Environmental</w:t>
      </w:r>
      <w:r>
        <w:t xml:space="preserve"> Health </w:t>
      </w:r>
      <w:r w:rsidR="003653D9" w:rsidRPr="00205EC8">
        <w:t>of workers</w:t>
      </w:r>
      <w:r w:rsidR="00DE45CB" w:rsidRPr="00DE45CB">
        <w:t xml:space="preserve"> currently</w:t>
      </w:r>
      <w:r w:rsidR="003653D9" w:rsidRPr="00205EC8">
        <w:t xml:space="preserve"> in ‘scheduled’ lead related jobs </w:t>
      </w:r>
      <w:r w:rsidRPr="00102011">
        <w:t>(i.e. lead exposed jobs)</w:t>
      </w:r>
      <w:r w:rsidR="002B15BE">
        <w:t xml:space="preserve">. Of workers for whom PbB results were available, </w:t>
      </w:r>
      <w:r w:rsidR="002B15BE" w:rsidRPr="00205EC8">
        <w:t>approximately 30%</w:t>
      </w:r>
      <w:r w:rsidR="002B15BE">
        <w:t xml:space="preserve"> </w:t>
      </w:r>
      <w:r w:rsidR="003653D9" w:rsidRPr="00205EC8">
        <w:t xml:space="preserve">have had at least one PbB measurement greater than 30 µg/dL. </w:t>
      </w:r>
      <w:r w:rsidR="00DE45CB">
        <w:t xml:space="preserve"> </w:t>
      </w:r>
    </w:p>
    <w:p w:rsidR="003653D9" w:rsidRPr="00205EC8" w:rsidRDefault="003653D9" w:rsidP="003653D9"/>
    <w:p w:rsidR="003653D9" w:rsidRPr="00BB2039" w:rsidRDefault="003653D9" w:rsidP="003653D9">
      <w:r w:rsidRPr="00205EC8">
        <w:t xml:space="preserve">The </w:t>
      </w:r>
      <w:r w:rsidRPr="00AB1C1B">
        <w:t xml:space="preserve">effects of </w:t>
      </w:r>
      <w:r w:rsidR="00754780" w:rsidRPr="00AB1C1B">
        <w:t>most</w:t>
      </w:r>
      <w:r w:rsidRPr="00AB1C1B">
        <w:t xml:space="preserve"> concern</w:t>
      </w:r>
      <w:r w:rsidRPr="00205EC8">
        <w:t xml:space="preserve"> are carcinogenicity (lead compounds have recently been reclassified </w:t>
      </w:r>
      <w:r w:rsidR="00205EC8">
        <w:t xml:space="preserve">by the International Agency for Research on Cancer </w:t>
      </w:r>
      <w:r w:rsidRPr="00205EC8">
        <w:t>from possible to probable human carcinogens), nervous system effects manifested as subtle behavioural changes, changed</w:t>
      </w:r>
      <w:r>
        <w:t xml:space="preserve"> risks for cardiovascular disease resulting from </w:t>
      </w:r>
      <w:r w:rsidR="00102011">
        <w:t xml:space="preserve">small </w:t>
      </w:r>
      <w:r>
        <w:t xml:space="preserve">lead associated increases in blood pressure, and changes in sperm quality that may be important for men with a natural tendency towards </w:t>
      </w:r>
      <w:r w:rsidR="00693A3D">
        <w:t>having low sperm count (i.e. men who may be oligiospermic or bordering on being oligospermic)</w:t>
      </w:r>
      <w:r>
        <w:t>.</w:t>
      </w:r>
    </w:p>
    <w:p w:rsidR="003653D9" w:rsidRDefault="003653D9" w:rsidP="003653D9"/>
    <w:p w:rsidR="003653D9" w:rsidRDefault="003653D9" w:rsidP="003653D9">
      <w:pPr>
        <w:rPr>
          <w:i/>
        </w:rPr>
      </w:pPr>
      <w:r>
        <w:rPr>
          <w:i/>
        </w:rPr>
        <w:t xml:space="preserve">Health implications of reducing the </w:t>
      </w:r>
      <w:r w:rsidR="00314205">
        <w:rPr>
          <w:i/>
        </w:rPr>
        <w:t>BLRL</w:t>
      </w:r>
      <w:r>
        <w:rPr>
          <w:i/>
        </w:rPr>
        <w:t xml:space="preserve"> </w:t>
      </w:r>
    </w:p>
    <w:p w:rsidR="003653D9" w:rsidRPr="001136B5" w:rsidRDefault="003653D9" w:rsidP="003653D9">
      <w:r>
        <w:t xml:space="preserve">For some of the health effects </w:t>
      </w:r>
      <w:r w:rsidR="00FF10A5">
        <w:t>associated with workplace exposure to lead</w:t>
      </w:r>
      <w:r>
        <w:t xml:space="preserve"> it is not possible to quantify the health gains that may be realised by lowering the </w:t>
      </w:r>
      <w:r w:rsidR="00314205">
        <w:t>BLRL</w:t>
      </w:r>
      <w:r>
        <w:t>. However l</w:t>
      </w:r>
      <w:r w:rsidRPr="001136B5">
        <w:t xml:space="preserve">owering the </w:t>
      </w:r>
      <w:r w:rsidR="00314205">
        <w:t>BLRL</w:t>
      </w:r>
      <w:r w:rsidRPr="001136B5">
        <w:t xml:space="preserve"> for males from 50 µg/dL to </w:t>
      </w:r>
      <w:r w:rsidR="00FF10A5">
        <w:t>2</w:t>
      </w:r>
      <w:r w:rsidRPr="00102011">
        <w:t xml:space="preserve">0 or </w:t>
      </w:r>
      <w:r w:rsidR="00FF10A5">
        <w:t>3</w:t>
      </w:r>
      <w:r w:rsidRPr="00102011">
        <w:t>0</w:t>
      </w:r>
      <w:r w:rsidRPr="001136B5">
        <w:t xml:space="preserve"> µg/dL is </w:t>
      </w:r>
      <w:r>
        <w:t xml:space="preserve">expected to be </w:t>
      </w:r>
      <w:r w:rsidRPr="001136B5">
        <w:t>associated with:</w:t>
      </w:r>
    </w:p>
    <w:p w:rsidR="003653D9" w:rsidRPr="001136B5" w:rsidRDefault="003653D9" w:rsidP="003653D9">
      <w:pPr>
        <w:numPr>
          <w:ilvl w:val="0"/>
          <w:numId w:val="31"/>
        </w:numPr>
        <w:shd w:val="clear" w:color="auto" w:fill="FFFFFF" w:themeFill="background1"/>
        <w:contextualSpacing/>
      </w:pPr>
      <w:r w:rsidRPr="001136B5">
        <w:lastRenderedPageBreak/>
        <w:t xml:space="preserve">Reduction </w:t>
      </w:r>
      <w:r w:rsidR="00566F01">
        <w:t xml:space="preserve">in </w:t>
      </w:r>
      <w:r w:rsidRPr="001136B5">
        <w:t xml:space="preserve">cardiovascular disease associated with ameliorating </w:t>
      </w:r>
      <w:r w:rsidR="00637B4C">
        <w:t>lead</w:t>
      </w:r>
      <w:r w:rsidR="00637B4C" w:rsidRPr="001136B5">
        <w:t xml:space="preserve"> </w:t>
      </w:r>
      <w:r w:rsidRPr="001136B5">
        <w:t xml:space="preserve">induced increased blood pressure (Section 4.4.2). Although the reductions in blood pressure are only </w:t>
      </w:r>
      <w:r w:rsidR="00A006E5">
        <w:t xml:space="preserve">small or </w:t>
      </w:r>
      <w:r w:rsidRPr="001136B5">
        <w:t>modest for an individual, the prevalence of cardiovas</w:t>
      </w:r>
      <w:r>
        <w:t>c</w:t>
      </w:r>
      <w:r w:rsidRPr="001136B5">
        <w:t xml:space="preserve">ular disease and cost of medication prevention is such that there could be marked gains for the overall </w:t>
      </w:r>
      <w:r w:rsidR="00A006E5">
        <w:t xml:space="preserve">lead exposed </w:t>
      </w:r>
      <w:r w:rsidRPr="001136B5">
        <w:t>workforce.</w:t>
      </w:r>
    </w:p>
    <w:p w:rsidR="003653D9" w:rsidRPr="001136B5" w:rsidRDefault="003653D9" w:rsidP="003653D9">
      <w:pPr>
        <w:numPr>
          <w:ilvl w:val="0"/>
          <w:numId w:val="31"/>
        </w:numPr>
        <w:shd w:val="clear" w:color="auto" w:fill="FFFFFF" w:themeFill="background1"/>
        <w:contextualSpacing/>
      </w:pPr>
      <w:r w:rsidRPr="001136B5">
        <w:t>Gains in sperm quality for potentially oligospermic men (Section 4.4.3).</w:t>
      </w:r>
    </w:p>
    <w:p w:rsidR="003653D9" w:rsidRPr="001136B5" w:rsidRDefault="003653D9" w:rsidP="003653D9">
      <w:pPr>
        <w:numPr>
          <w:ilvl w:val="0"/>
          <w:numId w:val="31"/>
        </w:numPr>
        <w:shd w:val="clear" w:color="auto" w:fill="FFFFFF" w:themeFill="background1"/>
        <w:contextualSpacing/>
      </w:pPr>
      <w:r w:rsidRPr="001136B5">
        <w:t>A decrease</w:t>
      </w:r>
      <w:r w:rsidR="00D751A6">
        <w:t>d</w:t>
      </w:r>
      <w:r w:rsidRPr="001136B5">
        <w:t xml:space="preserve"> risk of cancer for a large proportion of men who work in ‘scheduled’ lead jobs and </w:t>
      </w:r>
      <w:r w:rsidR="00F64575">
        <w:t>currently</w:t>
      </w:r>
      <w:r w:rsidR="00566F01">
        <w:t xml:space="preserve"> </w:t>
      </w:r>
      <w:r w:rsidRPr="001136B5">
        <w:t xml:space="preserve">have PbB &gt; 30 µg/dL. </w:t>
      </w:r>
      <w:r w:rsidR="00704CEA">
        <w:t xml:space="preserve">Assuming that the PbB results for 2612 workers </w:t>
      </w:r>
      <w:r w:rsidR="002B15BE" w:rsidRPr="001136B5">
        <w:t xml:space="preserve">in ‘scheduled’ lead jobs </w:t>
      </w:r>
      <w:r w:rsidRPr="001136B5">
        <w:t>in Victoria and NSW</w:t>
      </w:r>
      <w:r w:rsidR="00DA2CF4">
        <w:t xml:space="preserve"> combined</w:t>
      </w:r>
      <w:r w:rsidR="00704CEA">
        <w:t xml:space="preserve"> are representative of the full cohort (4114 workers), approximately 1200 persons will </w:t>
      </w:r>
      <w:r w:rsidR="002B15BE">
        <w:t xml:space="preserve">have had at least one blood lead level above </w:t>
      </w:r>
      <w:r w:rsidR="002B15BE" w:rsidRPr="001136B5">
        <w:t>30 µg/dL</w:t>
      </w:r>
      <w:r w:rsidR="00704CEA">
        <w:t xml:space="preserve"> at some time</w:t>
      </w:r>
      <w:r w:rsidRPr="001136B5">
        <w:t xml:space="preserve"> (Section 4.4.4).</w:t>
      </w:r>
      <w:r>
        <w:t xml:space="preserve"> </w:t>
      </w:r>
      <w:r w:rsidRPr="00562D29">
        <w:t xml:space="preserve">Of the epidemiological studies </w:t>
      </w:r>
      <w:r>
        <w:t xml:space="preserve">investigating associations with cancer </w:t>
      </w:r>
      <w:r w:rsidRPr="00562D29">
        <w:t xml:space="preserve">in which PbB concentrations </w:t>
      </w:r>
      <w:r>
        <w:t>have been</w:t>
      </w:r>
      <w:r w:rsidRPr="00562D29">
        <w:t xml:space="preserve"> reported</w:t>
      </w:r>
      <w:r w:rsidR="00A006E5">
        <w:t>,</w:t>
      </w:r>
      <w:r w:rsidRPr="00562D29">
        <w:t xml:space="preserve"> mean PbB concentrations were 28-80 µg/dL, with </w:t>
      </w:r>
      <w:r w:rsidR="00A006E5">
        <w:t xml:space="preserve">many </w:t>
      </w:r>
      <w:r w:rsidRPr="00562D29">
        <w:t>above 50 µg/dL</w:t>
      </w:r>
      <w:r>
        <w:t xml:space="preserve">. </w:t>
      </w:r>
    </w:p>
    <w:p w:rsidR="003653D9" w:rsidRPr="001136B5" w:rsidRDefault="003653D9" w:rsidP="003653D9">
      <w:pPr>
        <w:shd w:val="clear" w:color="auto" w:fill="FFFFFF" w:themeFill="background1"/>
      </w:pPr>
    </w:p>
    <w:p w:rsidR="003653D9" w:rsidRPr="001136B5" w:rsidRDefault="003653D9" w:rsidP="003653D9">
      <w:pPr>
        <w:shd w:val="clear" w:color="auto" w:fill="FFFFFF" w:themeFill="background1"/>
      </w:pPr>
      <w:r w:rsidRPr="001136B5">
        <w:t>For women</w:t>
      </w:r>
      <w:r w:rsidR="00B611A6">
        <w:t xml:space="preserve"> of reproductive capacity</w:t>
      </w:r>
      <w:r w:rsidR="002D785F">
        <w:t>,</w:t>
      </w:r>
      <w:r w:rsidRPr="001136B5">
        <w:t xml:space="preserve"> lowering the </w:t>
      </w:r>
      <w:r w:rsidR="00314205">
        <w:t>BLRL</w:t>
      </w:r>
      <w:r w:rsidRPr="001136B5">
        <w:t xml:space="preserve"> from </w:t>
      </w:r>
      <w:r>
        <w:t>15</w:t>
      </w:r>
      <w:r w:rsidR="00B611A6">
        <w:t xml:space="preserve"> or 20</w:t>
      </w:r>
      <w:r>
        <w:t xml:space="preserve"> to </w:t>
      </w:r>
      <w:r w:rsidRPr="001136B5">
        <w:t xml:space="preserve">10 µg/dL is </w:t>
      </w:r>
      <w:r>
        <w:t xml:space="preserve">likely to be </w:t>
      </w:r>
      <w:r w:rsidRPr="001136B5">
        <w:t>associated with:</w:t>
      </w:r>
    </w:p>
    <w:p w:rsidR="003653D9" w:rsidRDefault="003653D9" w:rsidP="003653D9">
      <w:pPr>
        <w:numPr>
          <w:ilvl w:val="0"/>
          <w:numId w:val="32"/>
        </w:numPr>
        <w:shd w:val="clear" w:color="auto" w:fill="FFFFFF" w:themeFill="background1"/>
        <w:contextualSpacing/>
      </w:pPr>
      <w:r w:rsidRPr="001136B5">
        <w:t xml:space="preserve">Lowered body burden and hence lower risk of detrimental intellectual development of their as yet </w:t>
      </w:r>
      <w:r w:rsidR="002D785F">
        <w:t xml:space="preserve">conceived and </w:t>
      </w:r>
      <w:r w:rsidRPr="001136B5">
        <w:t>unborn children.</w:t>
      </w:r>
    </w:p>
    <w:p w:rsidR="003653D9" w:rsidRDefault="003653D9" w:rsidP="003653D9">
      <w:pPr>
        <w:numPr>
          <w:ilvl w:val="0"/>
          <w:numId w:val="32"/>
        </w:numPr>
        <w:shd w:val="clear" w:color="auto" w:fill="FFFFFF" w:themeFill="background1"/>
        <w:contextualSpacing/>
      </w:pPr>
      <w:r w:rsidRPr="0046292D">
        <w:t>Decreased risk of spontaneous abortion (Section 4.4.3).</w:t>
      </w:r>
    </w:p>
    <w:p w:rsidR="003653D9" w:rsidRDefault="003653D9" w:rsidP="003653D9">
      <w:pPr>
        <w:shd w:val="clear" w:color="auto" w:fill="FFFFFF" w:themeFill="background1"/>
        <w:contextualSpacing/>
        <w:rPr>
          <w:i/>
        </w:rPr>
      </w:pPr>
    </w:p>
    <w:p w:rsidR="003653D9" w:rsidRDefault="0072100B" w:rsidP="003653D9">
      <w:pPr>
        <w:shd w:val="clear" w:color="auto" w:fill="FFFFFF" w:themeFill="background1"/>
        <w:contextualSpacing/>
      </w:pPr>
      <w:r>
        <w:rPr>
          <w:i/>
        </w:rPr>
        <w:t>PbAir</w:t>
      </w:r>
      <w:r w:rsidR="003653D9">
        <w:rPr>
          <w:i/>
        </w:rPr>
        <w:t xml:space="preserve"> and </w:t>
      </w:r>
      <w:r w:rsidR="000C3863">
        <w:rPr>
          <w:i/>
        </w:rPr>
        <w:t>PbB</w:t>
      </w:r>
    </w:p>
    <w:p w:rsidR="003653D9" w:rsidRDefault="003653D9" w:rsidP="003653D9">
      <w:pPr>
        <w:shd w:val="clear" w:color="auto" w:fill="FFFFFF" w:themeFill="background1"/>
        <w:contextualSpacing/>
      </w:pPr>
      <w:r>
        <w:t xml:space="preserve">In addition to good occupational hygiene practice </w:t>
      </w:r>
      <w:r w:rsidR="00DA2CF4">
        <w:t xml:space="preserve">another </w:t>
      </w:r>
      <w:r>
        <w:t xml:space="preserve">way to manage lead exposure in the workplace and judge the effectiveness of engineering controls is to measure </w:t>
      </w:r>
      <w:r w:rsidR="0072100B">
        <w:t>PbAir</w:t>
      </w:r>
      <w:r>
        <w:t xml:space="preserve">. However to use air measurements as a routine method for judging whether exposures are likely, or not, to compromise worker health, the WES should be at a concentration such that absorption of lead will result in PbB levels less than the </w:t>
      </w:r>
      <w:r w:rsidR="00314205">
        <w:t>BLRL</w:t>
      </w:r>
      <w:r>
        <w:t xml:space="preserve"> for </w:t>
      </w:r>
      <w:r w:rsidR="004A351A">
        <w:t xml:space="preserve">nearly all </w:t>
      </w:r>
      <w:r>
        <w:t>workers</w:t>
      </w:r>
      <w:r w:rsidR="00CC46D5">
        <w:t xml:space="preserve">. </w:t>
      </w:r>
      <w:r w:rsidR="00566F01" w:rsidRPr="00566F01">
        <w:rPr>
          <w:i/>
        </w:rPr>
        <w:t>Prima facie</w:t>
      </w:r>
      <w:r w:rsidR="00566F01" w:rsidRPr="00566F01">
        <w:t xml:space="preserve"> this is contingent on incidental ingestion </w:t>
      </w:r>
      <w:r w:rsidR="00566F01">
        <w:t xml:space="preserve">in the workplace </w:t>
      </w:r>
      <w:r w:rsidR="00566F01" w:rsidRPr="00566F01">
        <w:t xml:space="preserve">not being a significant contributor to PbB levels. </w:t>
      </w:r>
      <w:r w:rsidR="00566F01">
        <w:t>Nevertheless</w:t>
      </w:r>
      <w:r w:rsidR="00566F01" w:rsidRPr="00566F01">
        <w:t xml:space="preserve"> deliberations in this document have incorporated non-inhalation exposures when determining WESs compatible with the BLRLs.  </w:t>
      </w:r>
    </w:p>
    <w:p w:rsidR="00566F01" w:rsidRDefault="00566F01" w:rsidP="003653D9">
      <w:pPr>
        <w:shd w:val="clear" w:color="auto" w:fill="FFFFFF" w:themeFill="background1"/>
        <w:contextualSpacing/>
      </w:pPr>
    </w:p>
    <w:p w:rsidR="003653D9" w:rsidRDefault="003653D9" w:rsidP="003653D9">
      <w:r>
        <w:t xml:space="preserve">The relationship of </w:t>
      </w:r>
      <w:r w:rsidR="0072100B">
        <w:t>PbAir</w:t>
      </w:r>
      <w:r>
        <w:t xml:space="preserve"> and PbB is called the air slope factor (ASF).  The ASF </w:t>
      </w:r>
      <w:r w:rsidRPr="00550DBC">
        <w:t xml:space="preserve">reflects the incremental increase in PbB for each unit increase in </w:t>
      </w:r>
      <w:r w:rsidR="0072100B">
        <w:t>PbAir</w:t>
      </w:r>
      <w:r>
        <w:t xml:space="preserve"> </w:t>
      </w:r>
      <w:r w:rsidRPr="00550DBC">
        <w:t>concentration and has the units (µg/dL)(µg/m</w:t>
      </w:r>
      <w:r w:rsidRPr="00550DBC">
        <w:rPr>
          <w:vertAlign w:val="superscript"/>
        </w:rPr>
        <w:t>3</w:t>
      </w:r>
      <w:r w:rsidRPr="00550DBC">
        <w:t>)</w:t>
      </w:r>
      <w:r w:rsidRPr="00550DBC">
        <w:rPr>
          <w:vertAlign w:val="superscript"/>
        </w:rPr>
        <w:t>-1</w:t>
      </w:r>
      <w:r w:rsidRPr="00550DBC">
        <w:t xml:space="preserve">. The </w:t>
      </w:r>
      <w:r>
        <w:t xml:space="preserve">relationship is not linear; the </w:t>
      </w:r>
      <w:r w:rsidRPr="00550DBC">
        <w:t xml:space="preserve">relative contribution of PbAir to PbB is greater at low air concentrations </w:t>
      </w:r>
      <w:r>
        <w:t>compared</w:t>
      </w:r>
      <w:r w:rsidRPr="00550DBC">
        <w:t xml:space="preserve"> to high concentrations.</w:t>
      </w:r>
      <w:r>
        <w:t xml:space="preserve"> </w:t>
      </w:r>
      <w:r w:rsidRPr="005F6A23">
        <w:t xml:space="preserve">Given the non-linear nature of the association of </w:t>
      </w:r>
      <w:r>
        <w:t xml:space="preserve">PbAir </w:t>
      </w:r>
      <w:r w:rsidRPr="005F6A23">
        <w:t xml:space="preserve">with PbB, and PbB with health effects, a single </w:t>
      </w:r>
      <w:r>
        <w:t>ASF</w:t>
      </w:r>
      <w:r w:rsidRPr="005F6A23">
        <w:t xml:space="preserve"> to describe the relationship of PbB (and health effects) with </w:t>
      </w:r>
      <w:r w:rsidR="00CC46D5">
        <w:t>different</w:t>
      </w:r>
      <w:r w:rsidR="00CC46D5" w:rsidRPr="005F6A23">
        <w:t xml:space="preserve"> </w:t>
      </w:r>
      <w:r w:rsidRPr="005F6A23">
        <w:t>air concentration</w:t>
      </w:r>
      <w:r w:rsidR="00CC46D5">
        <w:t>s</w:t>
      </w:r>
      <w:r w:rsidRPr="005F6A23">
        <w:t xml:space="preserve"> will be misleading. </w:t>
      </w:r>
      <w:r>
        <w:t xml:space="preserve">ASFs in this report have therefore been determined from the literature for three nominated PbAir concentrations. These </w:t>
      </w:r>
      <w:r>
        <w:lastRenderedPageBreak/>
        <w:t xml:space="preserve">are </w:t>
      </w:r>
      <w:r w:rsidRPr="00C8132B">
        <w:t>0.15 mg/m</w:t>
      </w:r>
      <w:r w:rsidRPr="00C8132B">
        <w:rPr>
          <w:vertAlign w:val="superscript"/>
        </w:rPr>
        <w:t>3</w:t>
      </w:r>
      <w:r w:rsidRPr="00C8132B">
        <w:t xml:space="preserve"> (the current WES), 0.1 and 0.05 mg/m</w:t>
      </w:r>
      <w:r w:rsidRPr="00C8132B">
        <w:rPr>
          <w:vertAlign w:val="superscript"/>
        </w:rPr>
        <w:t>3</w:t>
      </w:r>
      <w:r>
        <w:t xml:space="preserve"> (the alternative WESs being explored by </w:t>
      </w:r>
      <w:r w:rsidR="00ED7F03">
        <w:t>Safe Work Australia</w:t>
      </w:r>
      <w:r>
        <w:t xml:space="preserve">). </w:t>
      </w:r>
    </w:p>
    <w:p w:rsidR="003653D9" w:rsidRDefault="003653D9" w:rsidP="003653D9"/>
    <w:p w:rsidR="002742DF" w:rsidRDefault="002742DF" w:rsidP="003653D9">
      <w:r>
        <w:t>While the ASFs in this document account</w:t>
      </w:r>
      <w:r w:rsidRPr="002742DF">
        <w:t xml:space="preserve"> for background non-occupational exposures, </w:t>
      </w:r>
      <w:r>
        <w:t xml:space="preserve">they </w:t>
      </w:r>
      <w:r w:rsidRPr="002742DF">
        <w:t xml:space="preserve">purposefully </w:t>
      </w:r>
      <w:r>
        <w:t xml:space="preserve">do </w:t>
      </w:r>
      <w:r w:rsidRPr="002742DF">
        <w:t xml:space="preserve">not separate PbB </w:t>
      </w:r>
      <w:r w:rsidR="00566F01">
        <w:t xml:space="preserve">arising </w:t>
      </w:r>
      <w:r w:rsidRPr="002742DF">
        <w:t xml:space="preserve">from incidental ingestion of lead dusts (e.g. by hand-to-mouth action) from that due to PbAir. Firstly it is difficult to undertake such analysis </w:t>
      </w:r>
      <w:r w:rsidR="00C80884">
        <w:t xml:space="preserve">using the available literature information </w:t>
      </w:r>
      <w:r w:rsidRPr="002742DF">
        <w:t xml:space="preserve">and secondly it was considered unnecessary for the purposes of determining a WES compatible with the nominated BLRLs. It </w:t>
      </w:r>
      <w:r w:rsidR="00566F01">
        <w:t>has been</w:t>
      </w:r>
      <w:r w:rsidRPr="002742DF">
        <w:t xml:space="preserve"> reasoned, </w:t>
      </w:r>
      <w:r>
        <w:t>that due to lead particulate fallout</w:t>
      </w:r>
      <w:r w:rsidR="00566F01">
        <w:t>,</w:t>
      </w:r>
      <w:r w:rsidRPr="002742DF">
        <w:t xml:space="preserve"> the fraction of PbB attributable to </w:t>
      </w:r>
      <w:r w:rsidR="00C80884">
        <w:t xml:space="preserve">workplace </w:t>
      </w:r>
      <w:r w:rsidRPr="002742DF">
        <w:t>non-inhalation exposure is likely to be proportional to the WES. Consequently calculations for a WES should account for the associated non-</w:t>
      </w:r>
      <w:r w:rsidR="00F64575" w:rsidRPr="002742DF">
        <w:t>inhalation</w:t>
      </w:r>
      <w:r w:rsidRPr="002742DF">
        <w:t xml:space="preserve"> exposure rather than assuming good hygiene practice </w:t>
      </w:r>
      <w:r w:rsidR="00566F01">
        <w:t xml:space="preserve">is in place and </w:t>
      </w:r>
      <w:r w:rsidRPr="002742DF">
        <w:t xml:space="preserve">will totally eliminate such exposures. </w:t>
      </w:r>
      <w:r w:rsidR="00566F01">
        <w:t xml:space="preserve">This was achieved by </w:t>
      </w:r>
      <w:r w:rsidRPr="002742DF">
        <w:t>develop</w:t>
      </w:r>
      <w:r w:rsidR="00566F01">
        <w:t>ing</w:t>
      </w:r>
      <w:r w:rsidRPr="002742DF">
        <w:t xml:space="preserve">, from </w:t>
      </w:r>
      <w:r w:rsidR="00C80884">
        <w:t xml:space="preserve">the literature for </w:t>
      </w:r>
      <w:r w:rsidRPr="002742DF">
        <w:t>a range of lead industries, ASFs that inherently incorporated non-inhalation exposure</w:t>
      </w:r>
      <w:r w:rsidR="00C80884">
        <w:t xml:space="preserve">. </w:t>
      </w:r>
      <w:r w:rsidRPr="002742DF">
        <w:t>Thus the ASFs herein do not represent the ‘pure’ relation</w:t>
      </w:r>
      <w:r w:rsidR="00C80884">
        <w:t>ship</w:t>
      </w:r>
      <w:r w:rsidRPr="002742DF">
        <w:t xml:space="preserve"> between PbAir and PbB. It is recognised there is uncertainty in the estimated ASFs</w:t>
      </w:r>
      <w:r w:rsidR="00C80884">
        <w:t xml:space="preserve"> and they could overestimate PbB from PbAir exposure. N</w:t>
      </w:r>
      <w:r w:rsidRPr="002742DF">
        <w:t xml:space="preserve">evertheless the determined WESs for the nominated BLRLs </w:t>
      </w:r>
      <w:r w:rsidR="00C80884">
        <w:t xml:space="preserve">using the estimated ASFs in this document </w:t>
      </w:r>
      <w:r w:rsidRPr="002742DF">
        <w:t>are consistent with international values.</w:t>
      </w:r>
    </w:p>
    <w:p w:rsidR="002742DF" w:rsidRDefault="002742DF" w:rsidP="003653D9"/>
    <w:p w:rsidR="003653D9" w:rsidRDefault="003653D9" w:rsidP="003653D9">
      <w:pPr>
        <w:shd w:val="clear" w:color="auto" w:fill="FFFFFF" w:themeFill="background1"/>
        <w:contextualSpacing/>
      </w:pPr>
      <w:r w:rsidRPr="00940E35">
        <w:t xml:space="preserve">If a group of people are exposed to the same air concentration of lead for the same amount of time there will be a range of resulting PbB </w:t>
      </w:r>
      <w:r w:rsidR="00F64575">
        <w:t>concentrations</w:t>
      </w:r>
      <w:r w:rsidR="00CC46D5">
        <w:t xml:space="preserve">. This is </w:t>
      </w:r>
      <w:r w:rsidRPr="00940E35">
        <w:t xml:space="preserve">due to physiological differences between people that affect the kinetics of lead absorption from the lung.  </w:t>
      </w:r>
      <w:r>
        <w:t xml:space="preserve">This variation was determined </w:t>
      </w:r>
      <w:r w:rsidR="00CC46D5">
        <w:t xml:space="preserve">by identifying </w:t>
      </w:r>
      <w:r>
        <w:t xml:space="preserve">the </w:t>
      </w:r>
      <w:r w:rsidRPr="00940E35">
        <w:t xml:space="preserve">maximum to mean PbB ratio </w:t>
      </w:r>
      <w:r>
        <w:t xml:space="preserve">reported </w:t>
      </w:r>
      <w:r w:rsidRPr="00940E35">
        <w:t xml:space="preserve">across a number and variety of </w:t>
      </w:r>
      <w:r w:rsidR="003447DD">
        <w:t>epidemiology</w:t>
      </w:r>
      <w:r w:rsidR="003447DD" w:rsidRPr="00940E35">
        <w:t xml:space="preserve"> </w:t>
      </w:r>
      <w:r w:rsidRPr="00940E35">
        <w:t>studies</w:t>
      </w:r>
      <w:r>
        <w:t>; it</w:t>
      </w:r>
      <w:r w:rsidRPr="00940E35">
        <w:t xml:space="preserve"> was determined to be on average two fold (range 1.4 – 2.6). This average variability ratio </w:t>
      </w:r>
      <w:r>
        <w:t>has been</w:t>
      </w:r>
      <w:r w:rsidRPr="00940E35">
        <w:t xml:space="preserve"> coupled with the average ASF at the nominated PbAir (equivalent to the different international WESs) to provide an indication of the proportion of workers who will be below the target </w:t>
      </w:r>
      <w:r w:rsidR="00314205">
        <w:t>BLRL</w:t>
      </w:r>
      <w:r w:rsidRPr="00940E35">
        <w:t xml:space="preserve"> for the WES.</w:t>
      </w:r>
    </w:p>
    <w:p w:rsidR="003653D9" w:rsidRDefault="003653D9" w:rsidP="003653D9">
      <w:pPr>
        <w:shd w:val="clear" w:color="auto" w:fill="FFFFFF" w:themeFill="background1"/>
        <w:contextualSpacing/>
      </w:pPr>
    </w:p>
    <w:p w:rsidR="003447DD" w:rsidRDefault="003447DD" w:rsidP="003653D9">
      <w:pPr>
        <w:shd w:val="clear" w:color="auto" w:fill="FFFFFF" w:themeFill="background1"/>
        <w:contextualSpacing/>
      </w:pPr>
    </w:p>
    <w:p w:rsidR="003447DD" w:rsidRDefault="003447DD" w:rsidP="003653D9">
      <w:pPr>
        <w:shd w:val="clear" w:color="auto" w:fill="FFFFFF" w:themeFill="background1"/>
        <w:contextualSpacing/>
      </w:pPr>
    </w:p>
    <w:p w:rsidR="003653D9" w:rsidRDefault="003653D9" w:rsidP="003653D9">
      <w:pPr>
        <w:shd w:val="clear" w:color="auto" w:fill="FFFFFF" w:themeFill="background1"/>
        <w:contextualSpacing/>
        <w:rPr>
          <w:i/>
        </w:rPr>
      </w:pPr>
      <w:r>
        <w:rPr>
          <w:i/>
        </w:rPr>
        <w:t>Implications for WESs</w:t>
      </w:r>
    </w:p>
    <w:p w:rsidR="00DC69F7" w:rsidRDefault="003653D9" w:rsidP="003653D9">
      <w:pPr>
        <w:shd w:val="clear" w:color="auto" w:fill="FFFFFF" w:themeFill="background1"/>
        <w:contextualSpacing/>
      </w:pPr>
      <w:r>
        <w:t xml:space="preserve">In this report two WESs have been derived; one from the central estimates (i.e. averages) of the ASFs and another that incorporates the worker population variability in PbB for exposure to the same </w:t>
      </w:r>
      <w:r w:rsidR="009A578C">
        <w:t>lead exposures</w:t>
      </w:r>
      <w:r>
        <w:t xml:space="preserve">. </w:t>
      </w:r>
      <w:r w:rsidR="00DC69F7">
        <w:t xml:space="preserve">Different WES values have been calculated for potential compliance with a BLRL of 20 or 30 </w:t>
      </w:r>
      <w:r w:rsidR="00DC69F7">
        <w:rPr>
          <w:rFonts w:cs="Arial"/>
        </w:rPr>
        <w:t>µ</w:t>
      </w:r>
      <w:r w:rsidR="00DC69F7">
        <w:t>g/dL.</w:t>
      </w:r>
    </w:p>
    <w:p w:rsidR="00DC69F7" w:rsidRDefault="00DC69F7" w:rsidP="008453B5">
      <w:pPr>
        <w:pStyle w:val="ListParagraph"/>
        <w:numPr>
          <w:ilvl w:val="0"/>
          <w:numId w:val="35"/>
        </w:numPr>
        <w:shd w:val="clear" w:color="auto" w:fill="FFFFFF" w:themeFill="background1"/>
      </w:pPr>
      <w:r>
        <w:t>At the current WES of 0.15 mg/m</w:t>
      </w:r>
      <w:r>
        <w:rPr>
          <w:vertAlign w:val="superscript"/>
        </w:rPr>
        <w:t>3</w:t>
      </w:r>
      <w:r>
        <w:t xml:space="preserve"> the</w:t>
      </w:r>
      <w:r w:rsidR="003447DD">
        <w:t xml:space="preserve"> nominated</w:t>
      </w:r>
      <w:r>
        <w:t xml:space="preserve"> BLRLs would be </w:t>
      </w:r>
      <w:r w:rsidR="00F64575">
        <w:t>achieved</w:t>
      </w:r>
      <w:r>
        <w:t xml:space="preserve"> in less than 50% of workers. It is therefore recommended the WES be reduced.</w:t>
      </w:r>
    </w:p>
    <w:p w:rsidR="00DC69F7" w:rsidRDefault="00DC69F7" w:rsidP="008453B5">
      <w:pPr>
        <w:pStyle w:val="ListParagraph"/>
        <w:numPr>
          <w:ilvl w:val="0"/>
          <w:numId w:val="35"/>
        </w:numPr>
        <w:shd w:val="clear" w:color="auto" w:fill="FFFFFF" w:themeFill="background1"/>
      </w:pPr>
      <w:r>
        <w:lastRenderedPageBreak/>
        <w:t>Lowering the WES to 0.1 mg/m</w:t>
      </w:r>
      <w:r>
        <w:rPr>
          <w:vertAlign w:val="superscript"/>
        </w:rPr>
        <w:t>3</w:t>
      </w:r>
      <w:r>
        <w:t xml:space="preserve"> would allow more than 50% of workers to have PbB less than 30 </w:t>
      </w:r>
      <w:r>
        <w:rPr>
          <w:rFonts w:cs="Arial"/>
        </w:rPr>
        <w:t>µ</w:t>
      </w:r>
      <w:r>
        <w:t>g/dL</w:t>
      </w:r>
      <w:r w:rsidR="00F9208B">
        <w:t xml:space="preserve"> but less than 50% would be </w:t>
      </w:r>
      <w:r w:rsidR="003447DD">
        <w:t>below</w:t>
      </w:r>
      <w:r w:rsidR="00F9208B">
        <w:t xml:space="preserve"> 20 </w:t>
      </w:r>
      <w:r w:rsidR="00F9208B">
        <w:rPr>
          <w:rFonts w:cs="Arial"/>
        </w:rPr>
        <w:t>µ</w:t>
      </w:r>
      <w:r w:rsidR="00F9208B">
        <w:t>g/dL.</w:t>
      </w:r>
    </w:p>
    <w:p w:rsidR="00F9208B" w:rsidRDefault="00F9208B" w:rsidP="008453B5">
      <w:pPr>
        <w:pStyle w:val="ListParagraph"/>
        <w:numPr>
          <w:ilvl w:val="0"/>
          <w:numId w:val="35"/>
        </w:numPr>
        <w:shd w:val="clear" w:color="auto" w:fill="FFFFFF" w:themeFill="background1"/>
      </w:pPr>
      <w:r>
        <w:t>A WES of 0.05 mg/m</w:t>
      </w:r>
      <w:r>
        <w:rPr>
          <w:vertAlign w:val="superscript"/>
        </w:rPr>
        <w:t>3</w:t>
      </w:r>
      <w:r>
        <w:t xml:space="preserve"> would allow more workers to have PbB less than 30 </w:t>
      </w:r>
      <w:r>
        <w:rPr>
          <w:rFonts w:cs="Arial"/>
        </w:rPr>
        <w:t>µ</w:t>
      </w:r>
      <w:r>
        <w:t xml:space="preserve">g/dL but </w:t>
      </w:r>
      <w:r w:rsidR="003447DD">
        <w:t>in excess of</w:t>
      </w:r>
      <w:r>
        <w:t xml:space="preserve"> 50% would </w:t>
      </w:r>
      <w:r w:rsidR="003447DD">
        <w:t>higher than</w:t>
      </w:r>
      <w:r>
        <w:t xml:space="preserve"> the target of 20 </w:t>
      </w:r>
      <w:r w:rsidRPr="00F9208B">
        <w:t>µg/dL</w:t>
      </w:r>
      <w:r>
        <w:t>. This WES</w:t>
      </w:r>
      <w:r w:rsidRPr="00F9208B">
        <w:t xml:space="preserve"> is anticipated to provide approximately the same level of compliance to the target BLRL of 20 – 30 µg/dL as the current WES (0.15 </w:t>
      </w:r>
      <w:r w:rsidR="006C3C76">
        <w:t>m</w:t>
      </w:r>
      <w:r w:rsidRPr="00F9208B">
        <w:t>g/m</w:t>
      </w:r>
      <w:r w:rsidRPr="00F9208B">
        <w:rPr>
          <w:vertAlign w:val="superscript"/>
        </w:rPr>
        <w:t>3</w:t>
      </w:r>
      <w:r w:rsidRPr="00F9208B">
        <w:t>) did in 1994 for the BLRL of</w:t>
      </w:r>
      <w:r>
        <w:t xml:space="preserve"> 50</w:t>
      </w:r>
      <w:r w:rsidRPr="00F9208B">
        <w:t xml:space="preserve"> µg/dL</w:t>
      </w:r>
      <w:r>
        <w:t xml:space="preserve">.  </w:t>
      </w:r>
    </w:p>
    <w:p w:rsidR="00DC69F7" w:rsidRDefault="00DC69F7" w:rsidP="003653D9">
      <w:pPr>
        <w:shd w:val="clear" w:color="auto" w:fill="FFFFFF" w:themeFill="background1"/>
        <w:contextualSpacing/>
      </w:pPr>
    </w:p>
    <w:p w:rsidR="00F9208B" w:rsidRDefault="00F9208B" w:rsidP="003653D9">
      <w:pPr>
        <w:shd w:val="clear" w:color="auto" w:fill="FFFFFF" w:themeFill="background1"/>
        <w:contextualSpacing/>
      </w:pPr>
      <w:r>
        <w:t>I</w:t>
      </w:r>
      <w:r w:rsidRPr="00F9208B">
        <w:t xml:space="preserve">t is noted that </w:t>
      </w:r>
      <w:r>
        <w:t>decreasing</w:t>
      </w:r>
      <w:r w:rsidRPr="00F9208B">
        <w:t xml:space="preserve"> the WES from 0.1 mg/m</w:t>
      </w:r>
      <w:r w:rsidRPr="00F9208B">
        <w:rPr>
          <w:vertAlign w:val="superscript"/>
        </w:rPr>
        <w:t>3</w:t>
      </w:r>
      <w:r w:rsidRPr="00F9208B">
        <w:t xml:space="preserve"> to 0.05 mg/m</w:t>
      </w:r>
      <w:r w:rsidRPr="00F9208B">
        <w:rPr>
          <w:vertAlign w:val="superscript"/>
        </w:rPr>
        <w:t>3</w:t>
      </w:r>
      <w:r w:rsidRPr="00F9208B">
        <w:t xml:space="preserve"> </w:t>
      </w:r>
      <w:r>
        <w:t>provides</w:t>
      </w:r>
      <w:r w:rsidRPr="00F9208B">
        <w:t xml:space="preserve"> relatively small decreases in PbB.  </w:t>
      </w:r>
      <w:r w:rsidR="003447DD">
        <w:t>We suggest</w:t>
      </w:r>
      <w:r w:rsidRPr="00F9208B">
        <w:t xml:space="preserve"> a WES of 0.05 mg/m</w:t>
      </w:r>
      <w:r w:rsidRPr="00F9208B">
        <w:rPr>
          <w:vertAlign w:val="superscript"/>
        </w:rPr>
        <w:t>3</w:t>
      </w:r>
      <w:r w:rsidRPr="00F9208B">
        <w:t xml:space="preserve"> would be compatible with a BLRL 30 µg/dL for </w:t>
      </w:r>
      <w:r w:rsidR="006F0E6D">
        <w:t>considerably</w:t>
      </w:r>
      <w:r w:rsidR="006F0E6D" w:rsidDel="006F0E6D">
        <w:t xml:space="preserve"> </w:t>
      </w:r>
      <w:r>
        <w:t>more than</w:t>
      </w:r>
      <w:r w:rsidRPr="00F9208B">
        <w:t xml:space="preserve"> half of workers in lead related jobs.  However since the ASFs used to estimate the PbB include non-inhalational occupational exposures it is anticipated workplaces with very good occupational hygiene could achieve better results.</w:t>
      </w:r>
    </w:p>
    <w:p w:rsidR="00E11337" w:rsidRDefault="00E11337" w:rsidP="003653D9">
      <w:pPr>
        <w:shd w:val="clear" w:color="auto" w:fill="FFFFFF" w:themeFill="background1"/>
        <w:contextualSpacing/>
      </w:pPr>
    </w:p>
    <w:p w:rsidR="00BF7B11" w:rsidRPr="003447DD" w:rsidRDefault="00E11337" w:rsidP="003653D9">
      <w:pPr>
        <w:shd w:val="clear" w:color="auto" w:fill="FFFFFF" w:themeFill="background1"/>
        <w:rPr>
          <w:rFonts w:cs="Arial"/>
        </w:rPr>
      </w:pPr>
      <w:r w:rsidRPr="00E142FE">
        <w:t xml:space="preserve">Information was not located </w:t>
      </w:r>
      <w:r>
        <w:t>on absorption</w:t>
      </w:r>
      <w:r w:rsidR="00696232">
        <w:t xml:space="preserve"> via inhalation</w:t>
      </w:r>
      <w:r>
        <w:t xml:space="preserve"> </w:t>
      </w:r>
      <w:r w:rsidRPr="00E142FE">
        <w:t xml:space="preserve">for mineralised forms of lead. </w:t>
      </w:r>
      <w:r>
        <w:t xml:space="preserve">No information, for example, could be found for insoluble lead sulphides. </w:t>
      </w:r>
      <w:r w:rsidRPr="00194943">
        <w:t xml:space="preserve">Thus there is currently insufficient information for deriving appropriate adjustment factors which could potentially be applied to a WES for different forms of lead. </w:t>
      </w:r>
      <w:r>
        <w:t xml:space="preserve">  </w:t>
      </w:r>
    </w:p>
    <w:p w:rsidR="00E11337" w:rsidRDefault="00E11337" w:rsidP="003653D9">
      <w:pPr>
        <w:shd w:val="clear" w:color="auto" w:fill="FFFFFF" w:themeFill="background1"/>
        <w:rPr>
          <w:rFonts w:cs="Arial"/>
          <w:i/>
        </w:rPr>
      </w:pPr>
    </w:p>
    <w:p w:rsidR="003653D9" w:rsidRDefault="003653D9" w:rsidP="003653D9">
      <w:pPr>
        <w:shd w:val="clear" w:color="auto" w:fill="FFFFFF" w:themeFill="background1"/>
        <w:rPr>
          <w:rFonts w:cs="Arial"/>
          <w:i/>
        </w:rPr>
      </w:pPr>
      <w:r>
        <w:rPr>
          <w:rFonts w:cs="Arial"/>
          <w:i/>
        </w:rPr>
        <w:t>Summary and Recommendations</w:t>
      </w:r>
    </w:p>
    <w:p w:rsidR="003653D9" w:rsidRDefault="00965D56" w:rsidP="003653D9">
      <w:pPr>
        <w:shd w:val="clear" w:color="auto" w:fill="FFFFFF" w:themeFill="background1"/>
        <w:rPr>
          <w:rFonts w:cs="Arial"/>
        </w:rPr>
      </w:pPr>
      <w:r>
        <w:rPr>
          <w:rFonts w:cs="Arial"/>
        </w:rPr>
        <w:t xml:space="preserve">The current BLRLs are not sufficiently protective of the health of workers in lead related jobs. </w:t>
      </w:r>
      <w:r w:rsidR="003653D9">
        <w:rPr>
          <w:rFonts w:cs="Arial"/>
        </w:rPr>
        <w:t>For females of non-reproductive capacity</w:t>
      </w:r>
      <w:r w:rsidR="00B1318A">
        <w:rPr>
          <w:rFonts w:cs="Arial"/>
        </w:rPr>
        <w:t xml:space="preserve"> and men</w:t>
      </w:r>
      <w:r w:rsidR="00E27921">
        <w:rPr>
          <w:rFonts w:cs="Arial"/>
        </w:rPr>
        <w:t>,</w:t>
      </w:r>
      <w:r w:rsidR="003653D9">
        <w:rPr>
          <w:rFonts w:cs="Arial"/>
        </w:rPr>
        <w:t xml:space="preserve"> </w:t>
      </w:r>
      <w:r w:rsidR="00314205">
        <w:rPr>
          <w:rFonts w:cs="Arial"/>
        </w:rPr>
        <w:t>BLRL</w:t>
      </w:r>
      <w:r w:rsidR="003653D9">
        <w:rPr>
          <w:rFonts w:cs="Arial"/>
        </w:rPr>
        <w:t xml:space="preserve">s of 20 </w:t>
      </w:r>
      <w:r w:rsidR="00C979F5">
        <w:rPr>
          <w:rFonts w:cs="Arial"/>
        </w:rPr>
        <w:t xml:space="preserve">- </w:t>
      </w:r>
      <w:r w:rsidR="003653D9">
        <w:rPr>
          <w:rFonts w:cs="Arial"/>
        </w:rPr>
        <w:t xml:space="preserve">30 </w:t>
      </w:r>
      <w:r w:rsidR="003653D9" w:rsidRPr="005642AE">
        <w:rPr>
          <w:rFonts w:cs="Arial"/>
        </w:rPr>
        <w:t>µg/dL</w:t>
      </w:r>
      <w:r w:rsidR="003653D9">
        <w:rPr>
          <w:rFonts w:cs="Arial"/>
        </w:rPr>
        <w:t xml:space="preserve"> are suggested as appropriate PbB concentrations for minimising the potential for adverse effects. Since occupational epidemiology</w:t>
      </w:r>
      <w:r w:rsidR="003653D9" w:rsidRPr="006930F9">
        <w:rPr>
          <w:rFonts w:cs="Arial"/>
        </w:rPr>
        <w:t xml:space="preserve"> </w:t>
      </w:r>
      <w:r w:rsidR="003653D9">
        <w:rPr>
          <w:rFonts w:cs="Arial"/>
        </w:rPr>
        <w:t xml:space="preserve">investigations indicate effects, including cancer, are </w:t>
      </w:r>
      <w:r w:rsidR="00C979F5">
        <w:rPr>
          <w:rFonts w:cs="Arial"/>
        </w:rPr>
        <w:t xml:space="preserve">mostly </w:t>
      </w:r>
      <w:r w:rsidR="003653D9">
        <w:rPr>
          <w:rFonts w:cs="Arial"/>
        </w:rPr>
        <w:t xml:space="preserve">associated with concentrations greater than 30 </w:t>
      </w:r>
      <w:r w:rsidR="003653D9" w:rsidRPr="005642AE">
        <w:rPr>
          <w:rFonts w:cs="Arial"/>
        </w:rPr>
        <w:t>µg/dL</w:t>
      </w:r>
      <w:r w:rsidR="003653D9">
        <w:rPr>
          <w:rFonts w:cs="Arial"/>
        </w:rPr>
        <w:t xml:space="preserve"> a </w:t>
      </w:r>
      <w:r w:rsidR="00314205">
        <w:rPr>
          <w:rFonts w:cs="Arial"/>
        </w:rPr>
        <w:t>BLRL</w:t>
      </w:r>
      <w:r w:rsidR="003653D9">
        <w:rPr>
          <w:rFonts w:cs="Arial"/>
        </w:rPr>
        <w:t xml:space="preserve"> of 20 </w:t>
      </w:r>
      <w:r w:rsidR="003653D9" w:rsidRPr="005642AE">
        <w:rPr>
          <w:rFonts w:cs="Arial"/>
        </w:rPr>
        <w:t>µg/dL</w:t>
      </w:r>
      <w:r w:rsidR="003653D9">
        <w:rPr>
          <w:rFonts w:cs="Arial"/>
        </w:rPr>
        <w:t xml:space="preserve"> </w:t>
      </w:r>
      <w:r>
        <w:rPr>
          <w:rFonts w:cs="Arial"/>
        </w:rPr>
        <w:t xml:space="preserve">(a pragmatic no observed </w:t>
      </w:r>
      <w:r w:rsidR="003447DD">
        <w:rPr>
          <w:rFonts w:cs="Arial"/>
        </w:rPr>
        <w:t xml:space="preserve">adverse </w:t>
      </w:r>
      <w:r>
        <w:rPr>
          <w:rFonts w:cs="Arial"/>
        </w:rPr>
        <w:t xml:space="preserve">effect level) </w:t>
      </w:r>
      <w:r w:rsidR="003653D9">
        <w:rPr>
          <w:rFonts w:cs="Arial"/>
        </w:rPr>
        <w:t xml:space="preserve">would </w:t>
      </w:r>
      <w:r>
        <w:rPr>
          <w:rFonts w:cs="Arial"/>
        </w:rPr>
        <w:t xml:space="preserve">be precautionary and </w:t>
      </w:r>
      <w:r w:rsidR="003653D9">
        <w:rPr>
          <w:rFonts w:cs="Arial"/>
        </w:rPr>
        <w:t xml:space="preserve">provide a </w:t>
      </w:r>
      <w:r>
        <w:rPr>
          <w:rFonts w:cs="Arial"/>
        </w:rPr>
        <w:t xml:space="preserve">moderate </w:t>
      </w:r>
      <w:r w:rsidR="003447DD">
        <w:rPr>
          <w:rFonts w:cs="Arial"/>
        </w:rPr>
        <w:t xml:space="preserve">margin of safety. </w:t>
      </w:r>
    </w:p>
    <w:p w:rsidR="003653D9" w:rsidRDefault="003653D9" w:rsidP="003653D9">
      <w:pPr>
        <w:shd w:val="clear" w:color="auto" w:fill="FFFFFF" w:themeFill="background1"/>
        <w:rPr>
          <w:rFonts w:cs="Arial"/>
        </w:rPr>
      </w:pPr>
    </w:p>
    <w:p w:rsidR="003653D9" w:rsidRDefault="003447DD" w:rsidP="003653D9">
      <w:pPr>
        <w:shd w:val="clear" w:color="auto" w:fill="FFFFFF" w:themeFill="background1"/>
        <w:contextualSpacing/>
      </w:pPr>
      <w:r w:rsidRPr="003447DD">
        <w:t xml:space="preserve">However given the current inability to reasonably quantitate differences in health gains </w:t>
      </w:r>
      <w:r w:rsidR="006753C2">
        <w:t xml:space="preserve">between </w:t>
      </w:r>
      <w:r w:rsidRPr="003447DD">
        <w:t xml:space="preserve">BLRLs of 20 </w:t>
      </w:r>
      <w:r w:rsidR="006753C2">
        <w:t>and</w:t>
      </w:r>
      <w:r w:rsidRPr="003447DD">
        <w:t xml:space="preserve"> 30 µg/dL, it could be argued </w:t>
      </w:r>
      <w:r w:rsidR="00E11337">
        <w:t>that in</w:t>
      </w:r>
      <w:r w:rsidR="00E11337" w:rsidRPr="003447DD">
        <w:t xml:space="preserve"> regard to protecting worker health</w:t>
      </w:r>
      <w:r w:rsidR="00E11337">
        <w:t xml:space="preserve">, the health risk at </w:t>
      </w:r>
      <w:r w:rsidRPr="003447DD">
        <w:t xml:space="preserve">these BLRLs </w:t>
      </w:r>
      <w:r w:rsidR="00E11337">
        <w:t xml:space="preserve">is not </w:t>
      </w:r>
      <w:r w:rsidR="00C12B95">
        <w:t xml:space="preserve">markedly </w:t>
      </w:r>
      <w:r w:rsidR="00E11337">
        <w:t>different</w:t>
      </w:r>
      <w:r w:rsidRPr="003447DD">
        <w:t>.</w:t>
      </w:r>
    </w:p>
    <w:p w:rsidR="00A47B92" w:rsidRDefault="00A47B92" w:rsidP="003653D9">
      <w:pPr>
        <w:shd w:val="clear" w:color="auto" w:fill="FFFFFF" w:themeFill="background1"/>
        <w:contextualSpacing/>
      </w:pPr>
    </w:p>
    <w:p w:rsidR="003653D9" w:rsidRDefault="003653D9" w:rsidP="003653D9">
      <w:pPr>
        <w:shd w:val="clear" w:color="auto" w:fill="FFFFFF" w:themeFill="background1"/>
        <w:contextualSpacing/>
      </w:pPr>
      <w:r>
        <w:t>A WES of 0.05 mg/m</w:t>
      </w:r>
      <w:r>
        <w:rPr>
          <w:vertAlign w:val="superscript"/>
        </w:rPr>
        <w:t>3</w:t>
      </w:r>
      <w:r>
        <w:t xml:space="preserve"> would cater for more than half the male workers in terms of </w:t>
      </w:r>
      <w:r w:rsidR="00C979F5">
        <w:t xml:space="preserve">a BLRL of </w:t>
      </w:r>
      <w:r>
        <w:t xml:space="preserve">30 </w:t>
      </w:r>
      <w:r w:rsidRPr="00CD4D14">
        <w:t>µg/dL</w:t>
      </w:r>
      <w:r>
        <w:t>,</w:t>
      </w:r>
      <w:r w:rsidR="00FF5CD2">
        <w:t xml:space="preserve"> </w:t>
      </w:r>
      <w:r>
        <w:t>but 0.03 mg/m</w:t>
      </w:r>
      <w:r>
        <w:rPr>
          <w:vertAlign w:val="superscript"/>
        </w:rPr>
        <w:t>3</w:t>
      </w:r>
      <w:r>
        <w:t xml:space="preserve"> may be needed to ensure </w:t>
      </w:r>
      <w:r w:rsidR="00E27921">
        <w:t>nearly all workers</w:t>
      </w:r>
      <w:r w:rsidR="00FF5CD2">
        <w:t xml:space="preserve"> </w:t>
      </w:r>
      <w:r>
        <w:t>meet th</w:t>
      </w:r>
      <w:r w:rsidR="00E27921">
        <w:t>is</w:t>
      </w:r>
      <w:r>
        <w:t xml:space="preserve"> </w:t>
      </w:r>
      <w:r w:rsidR="00314205">
        <w:t>BLRL</w:t>
      </w:r>
      <w:r>
        <w:t xml:space="preserve"> criterion. However the uncertainty in the calculations, while not being quantifiable, is such that it would not be unreasonable to adopt a WES of 0.05 mg/m</w:t>
      </w:r>
      <w:r>
        <w:rPr>
          <w:vertAlign w:val="superscript"/>
        </w:rPr>
        <w:t>3</w:t>
      </w:r>
      <w:r>
        <w:t xml:space="preserve"> with the knowledge that residual health effects are likely </w:t>
      </w:r>
      <w:r w:rsidR="00575E2B">
        <w:t xml:space="preserve">not </w:t>
      </w:r>
      <w:r>
        <w:t>to be severe and at low incidence.</w:t>
      </w:r>
      <w:r w:rsidR="00FF5CD2">
        <w:t xml:space="preserve"> </w:t>
      </w:r>
      <w:r w:rsidR="00A47B92" w:rsidRPr="00A47B92">
        <w:t>This is also consistent with 0.05 mg/m</w:t>
      </w:r>
      <w:r w:rsidR="00A47B92" w:rsidRPr="0071343E">
        <w:rPr>
          <w:vertAlign w:val="superscript"/>
        </w:rPr>
        <w:t>3</w:t>
      </w:r>
      <w:r w:rsidR="00A47B92" w:rsidRPr="00A47B92">
        <w:t xml:space="preserve"> currently being the lowest legislated WES in the international arena.    </w:t>
      </w:r>
    </w:p>
    <w:p w:rsidR="003653D9" w:rsidRDefault="003653D9" w:rsidP="003653D9">
      <w:pPr>
        <w:shd w:val="clear" w:color="auto" w:fill="FFFFFF" w:themeFill="background1"/>
        <w:contextualSpacing/>
      </w:pPr>
    </w:p>
    <w:p w:rsidR="003653D9" w:rsidRDefault="003653D9" w:rsidP="003653D9">
      <w:pPr>
        <w:shd w:val="clear" w:color="auto" w:fill="FFFFFF" w:themeFill="background1"/>
        <w:contextualSpacing/>
      </w:pPr>
      <w:r>
        <w:lastRenderedPageBreak/>
        <w:t xml:space="preserve">For women of reproductive capacity, </w:t>
      </w:r>
      <w:r w:rsidR="00A8207B">
        <w:t xml:space="preserve">including </w:t>
      </w:r>
      <w:r w:rsidR="006753C2">
        <w:t xml:space="preserve">those </w:t>
      </w:r>
      <w:r>
        <w:t>who are pregnant or are breast feeding</w:t>
      </w:r>
      <w:r w:rsidR="00DC4810">
        <w:rPr>
          <w:rStyle w:val="FootnoteReference"/>
        </w:rPr>
        <w:footnoteReference w:id="1"/>
      </w:r>
      <w:r w:rsidR="006753C2">
        <w:t>,</w:t>
      </w:r>
      <w:r>
        <w:t xml:space="preserve"> a </w:t>
      </w:r>
      <w:r w:rsidR="00314205">
        <w:t>BLRL</w:t>
      </w:r>
      <w:r>
        <w:t xml:space="preserve"> of 10 </w:t>
      </w:r>
      <w:r w:rsidRPr="00BD0A85">
        <w:t>µg/dL</w:t>
      </w:r>
      <w:r>
        <w:t xml:space="preserve"> is an appropriate criterion and consistent with the deliberations of the </w:t>
      </w:r>
      <w:r w:rsidR="000D644E">
        <w:t>National Health and Medical Research Council (</w:t>
      </w:r>
      <w:r>
        <w:t>NHMRC</w:t>
      </w:r>
      <w:r w:rsidR="000D644E">
        <w:t>)</w:t>
      </w:r>
      <w:r>
        <w:t>. The WES required to satisfy this criterion is 0.01 mg/m</w:t>
      </w:r>
      <w:r>
        <w:rPr>
          <w:vertAlign w:val="superscript"/>
        </w:rPr>
        <w:t>3</w:t>
      </w:r>
      <w:r>
        <w:t xml:space="preserve">. This is 20 times higher than the ambient air guideline </w:t>
      </w:r>
      <w:r w:rsidR="00575E2B">
        <w:t>of 0.5 µg/m</w:t>
      </w:r>
      <w:r w:rsidR="00575E2B">
        <w:rPr>
          <w:vertAlign w:val="superscript"/>
        </w:rPr>
        <w:t>3</w:t>
      </w:r>
      <w:r w:rsidR="000E713C">
        <w:t xml:space="preserve"> (annual average)</w:t>
      </w:r>
      <w:r w:rsidR="00575E2B" w:rsidRPr="00575E2B">
        <w:t xml:space="preserve"> </w:t>
      </w:r>
      <w:r>
        <w:t>for lead in Australia.</w:t>
      </w:r>
    </w:p>
    <w:p w:rsidR="00965D56" w:rsidRDefault="00965D56" w:rsidP="005A708B">
      <w:pPr>
        <w:shd w:val="clear" w:color="auto" w:fill="FFFFFF" w:themeFill="background1"/>
        <w:contextualSpacing/>
      </w:pPr>
    </w:p>
    <w:p w:rsidR="00A47B92" w:rsidRPr="00965D56" w:rsidRDefault="00A47B92" w:rsidP="00A47B92">
      <w:pPr>
        <w:shd w:val="clear" w:color="auto" w:fill="FFFFFF" w:themeFill="background1"/>
        <w:contextualSpacing/>
        <w:rPr>
          <w:i/>
        </w:rPr>
      </w:pPr>
      <w:r>
        <w:rPr>
          <w:i/>
        </w:rPr>
        <w:t xml:space="preserve">Overall summary: </w:t>
      </w:r>
    </w:p>
    <w:p w:rsidR="00A47B92" w:rsidRDefault="00A47B92" w:rsidP="00A47B92">
      <w:pPr>
        <w:shd w:val="clear" w:color="auto" w:fill="FFFFFF" w:themeFill="background1"/>
        <w:contextualSpacing/>
      </w:pPr>
      <w:r>
        <w:t xml:space="preserve">To minimise potential adverse health effects associated with lead exposure in the workplace </w:t>
      </w:r>
      <w:r w:rsidR="006753C2">
        <w:t xml:space="preserve">the following </w:t>
      </w:r>
      <w:r>
        <w:t>is proposed.</w:t>
      </w:r>
    </w:p>
    <w:p w:rsidR="00A47B92" w:rsidRDefault="00A47B92" w:rsidP="008453B5">
      <w:pPr>
        <w:pStyle w:val="ListParagraph"/>
        <w:numPr>
          <w:ilvl w:val="0"/>
          <w:numId w:val="38"/>
        </w:numPr>
        <w:shd w:val="clear" w:color="auto" w:fill="FFFFFF" w:themeFill="background1"/>
      </w:pPr>
      <w:r>
        <w:t>For women of non-reproductive capacity and men two options are suggested:</w:t>
      </w:r>
    </w:p>
    <w:p w:rsidR="00A47B92" w:rsidRDefault="00A47B92" w:rsidP="008453B5">
      <w:pPr>
        <w:pStyle w:val="ListParagraph"/>
        <w:numPr>
          <w:ilvl w:val="0"/>
          <w:numId w:val="37"/>
        </w:numPr>
        <w:shd w:val="clear" w:color="auto" w:fill="FFFFFF" w:themeFill="background1"/>
        <w:ind w:firstLine="66"/>
      </w:pPr>
      <w:r>
        <w:t xml:space="preserve">BLRL of 20 µg/dL, or </w:t>
      </w:r>
    </w:p>
    <w:p w:rsidR="00A47B92" w:rsidRDefault="00A47B92" w:rsidP="008453B5">
      <w:pPr>
        <w:pStyle w:val="ListParagraph"/>
        <w:numPr>
          <w:ilvl w:val="0"/>
          <w:numId w:val="37"/>
        </w:numPr>
        <w:shd w:val="clear" w:color="auto" w:fill="FFFFFF" w:themeFill="background1"/>
        <w:ind w:firstLine="66"/>
      </w:pPr>
      <w:r>
        <w:t>Target PbB of 20 µg/dL and BLRL of 30 µg/dL.</w:t>
      </w:r>
    </w:p>
    <w:p w:rsidR="00A47B92" w:rsidRDefault="00A47B92" w:rsidP="008453B5">
      <w:pPr>
        <w:pStyle w:val="ListParagraph"/>
        <w:numPr>
          <w:ilvl w:val="0"/>
          <w:numId w:val="38"/>
        </w:numPr>
        <w:shd w:val="clear" w:color="auto" w:fill="FFFFFF" w:themeFill="background1"/>
      </w:pPr>
      <w:r>
        <w:t>For women of reproductive capacity a BLRL of 10 µg/dL is recommended.</w:t>
      </w:r>
    </w:p>
    <w:p w:rsidR="00A47B92" w:rsidRDefault="00A47B92" w:rsidP="008453B5">
      <w:pPr>
        <w:pStyle w:val="ListParagraph"/>
        <w:numPr>
          <w:ilvl w:val="0"/>
          <w:numId w:val="38"/>
        </w:numPr>
        <w:shd w:val="clear" w:color="auto" w:fill="FFFFFF" w:themeFill="background1"/>
      </w:pPr>
      <w:r>
        <w:t>To help achieve these BLRLs it is suggested the WES be reduced from 0.15 mg/m</w:t>
      </w:r>
      <w:r w:rsidRPr="00A47B92">
        <w:rPr>
          <w:vertAlign w:val="superscript"/>
        </w:rPr>
        <w:t>3</w:t>
      </w:r>
      <w:r>
        <w:t xml:space="preserve"> to 0.05 mg/m</w:t>
      </w:r>
      <w:r w:rsidRPr="00A47B92">
        <w:rPr>
          <w:vertAlign w:val="superscript"/>
        </w:rPr>
        <w:t>3</w:t>
      </w:r>
      <w:r>
        <w:t>.</w:t>
      </w:r>
    </w:p>
    <w:p w:rsidR="00512579" w:rsidRPr="00A47B92" w:rsidRDefault="00A47B92" w:rsidP="008453B5">
      <w:pPr>
        <w:pStyle w:val="ListParagraph"/>
        <w:numPr>
          <w:ilvl w:val="0"/>
          <w:numId w:val="38"/>
        </w:numPr>
        <w:shd w:val="clear" w:color="auto" w:fill="FFFFFF" w:themeFill="background1"/>
      </w:pPr>
      <w:r>
        <w:t xml:space="preserve">Furthermore the importance of good occupational hygiene is stressed. </w:t>
      </w:r>
      <w:r w:rsidR="00512579">
        <w:br w:type="page"/>
      </w:r>
    </w:p>
    <w:p w:rsidR="00EC2BAE" w:rsidRDefault="00002403" w:rsidP="0016072C">
      <w:pPr>
        <w:pStyle w:val="Heading1"/>
        <w:tabs>
          <w:tab w:val="left" w:pos="4057"/>
        </w:tabs>
      </w:pPr>
      <w:bookmarkStart w:id="3" w:name="_Toc391288211"/>
      <w:r>
        <w:lastRenderedPageBreak/>
        <w:t>Abbreviations</w:t>
      </w:r>
      <w:bookmarkEnd w:id="3"/>
      <w:r w:rsidR="00FB6676">
        <w:tab/>
      </w:r>
    </w:p>
    <w:p w:rsidR="00EC2BAE" w:rsidRDefault="00EC2BAE">
      <w:r>
        <w:t>ACGIH:</w:t>
      </w:r>
      <w:r>
        <w:tab/>
        <w:t>American Conference of Government Industrial Hygienists</w:t>
      </w:r>
    </w:p>
    <w:p w:rsidR="000D644E" w:rsidRDefault="000D644E">
      <w:r>
        <w:t>ASF</w:t>
      </w:r>
      <w:r w:rsidR="0005093A">
        <w:t>:</w:t>
      </w:r>
      <w:r>
        <w:tab/>
      </w:r>
      <w:r>
        <w:tab/>
        <w:t>Air Slope Factor</w:t>
      </w:r>
    </w:p>
    <w:p w:rsidR="00153A91" w:rsidRDefault="00153A91">
      <w:r>
        <w:t>BAR:</w:t>
      </w:r>
      <w:r>
        <w:tab/>
      </w:r>
      <w:r w:rsidR="00E25319">
        <w:tab/>
      </w:r>
      <w:r w:rsidRPr="00153A91">
        <w:t>Biolog</w:t>
      </w:r>
      <w:r>
        <w:t>ische Arbeitsstoff-Referenzwert</w:t>
      </w:r>
    </w:p>
    <w:p w:rsidR="00153A91" w:rsidRDefault="00153A91">
      <w:r>
        <w:t>BAT:</w:t>
      </w:r>
      <w:r>
        <w:tab/>
      </w:r>
      <w:r w:rsidR="00E25319">
        <w:tab/>
      </w:r>
      <w:r>
        <w:rPr>
          <w:rStyle w:val="st"/>
          <w:rFonts w:cs="Arial"/>
          <w:color w:val="222222"/>
        </w:rPr>
        <w:t>Biologischer Arbeitsstoff-Toleranz-Wert</w:t>
      </w:r>
    </w:p>
    <w:p w:rsidR="00002403" w:rsidRDefault="00153A91">
      <w:r>
        <w:t>BEI:</w:t>
      </w:r>
      <w:r>
        <w:tab/>
      </w:r>
      <w:r w:rsidR="00E25319">
        <w:tab/>
      </w:r>
      <w:r>
        <w:t>B</w:t>
      </w:r>
      <w:r w:rsidR="00002403">
        <w:t>iological exposure index</w:t>
      </w:r>
    </w:p>
    <w:p w:rsidR="00002403" w:rsidRDefault="00153A91">
      <w:r>
        <w:t>BES:</w:t>
      </w:r>
      <w:r>
        <w:tab/>
      </w:r>
      <w:r w:rsidR="00E25319">
        <w:tab/>
      </w:r>
      <w:r>
        <w:t>B</w:t>
      </w:r>
      <w:r w:rsidR="00002403">
        <w:t>iological exposure standard</w:t>
      </w:r>
    </w:p>
    <w:p w:rsidR="00153A91" w:rsidRDefault="00314205">
      <w:r>
        <w:t>BLRL</w:t>
      </w:r>
      <w:r w:rsidR="00153A91">
        <w:t>:</w:t>
      </w:r>
      <w:r w:rsidR="00153A91">
        <w:tab/>
      </w:r>
      <w:r w:rsidR="00E25319">
        <w:tab/>
      </w:r>
      <w:r w:rsidR="00153A91">
        <w:t>Blood lead removal level</w:t>
      </w:r>
    </w:p>
    <w:p w:rsidR="00153A91" w:rsidRDefault="00153A91">
      <w:r>
        <w:t>BLW:</w:t>
      </w:r>
      <w:r>
        <w:tab/>
      </w:r>
      <w:r w:rsidR="00E25319">
        <w:tab/>
      </w:r>
      <w:r w:rsidRPr="00153A91">
        <w:t>Biologischer Leit-Wert</w:t>
      </w:r>
    </w:p>
    <w:p w:rsidR="00A87F7C" w:rsidRDefault="00A87F7C">
      <w:r>
        <w:t>Cal DP</w:t>
      </w:r>
      <w:r w:rsidR="00AB1C1B">
        <w:t>H</w:t>
      </w:r>
      <w:r>
        <w:t>:</w:t>
      </w:r>
      <w:r>
        <w:tab/>
        <w:t xml:space="preserve">California Department of </w:t>
      </w:r>
      <w:r w:rsidR="00AB1C1B">
        <w:t xml:space="preserve">Public </w:t>
      </w:r>
      <w:r>
        <w:t xml:space="preserve">Health </w:t>
      </w:r>
    </w:p>
    <w:p w:rsidR="00E25319" w:rsidRDefault="00E25319">
      <w:r>
        <w:t>CDC:</w:t>
      </w:r>
      <w:r>
        <w:tab/>
      </w:r>
      <w:r>
        <w:tab/>
        <w:t>Centers for Disease Control</w:t>
      </w:r>
    </w:p>
    <w:p w:rsidR="00153A91" w:rsidRDefault="00153A91">
      <w:r>
        <w:t>DFG:</w:t>
      </w:r>
      <w:r>
        <w:tab/>
      </w:r>
      <w:r w:rsidR="00E25319">
        <w:tab/>
      </w:r>
      <w:r>
        <w:t>Deutsche Forschungsgemeinschaft (German Research Foundation)</w:t>
      </w:r>
    </w:p>
    <w:p w:rsidR="00153A91" w:rsidRDefault="00153A91">
      <w:r>
        <w:t>MAK:</w:t>
      </w:r>
      <w:r>
        <w:tab/>
      </w:r>
      <w:r w:rsidR="00E25319">
        <w:tab/>
      </w:r>
      <w:r>
        <w:t>Maximale Arbeitsplatz-Konzentration</w:t>
      </w:r>
    </w:p>
    <w:p w:rsidR="00153A91" w:rsidRDefault="00153A91" w:rsidP="00153A91">
      <w:r>
        <w:rPr>
          <w:rFonts w:cs="Arial"/>
        </w:rPr>
        <w:t>m</w:t>
      </w:r>
      <w:r>
        <w:t>g/m</w:t>
      </w:r>
      <w:r>
        <w:rPr>
          <w:vertAlign w:val="superscript"/>
        </w:rPr>
        <w:t>3</w:t>
      </w:r>
      <w:r>
        <w:t>:</w:t>
      </w:r>
      <w:r>
        <w:tab/>
      </w:r>
      <w:r w:rsidR="00E25319">
        <w:tab/>
      </w:r>
      <w:r>
        <w:t>Milligram per metre cubed</w:t>
      </w:r>
    </w:p>
    <w:p w:rsidR="00B611A6" w:rsidRDefault="000D644E" w:rsidP="00153A91">
      <w:r>
        <w:t>NHANES</w:t>
      </w:r>
      <w:r w:rsidR="00CC4150">
        <w:t>:</w:t>
      </w:r>
      <w:r>
        <w:tab/>
        <w:t>National Health and Nutrition Examination Survey</w:t>
      </w:r>
      <w:r w:rsidR="009655DC">
        <w:t xml:space="preserve"> </w:t>
      </w:r>
    </w:p>
    <w:p w:rsidR="00E25319" w:rsidRDefault="00E25319" w:rsidP="00153A91">
      <w:r>
        <w:t>NHMRC:</w:t>
      </w:r>
      <w:r>
        <w:tab/>
        <w:t>National Health and Medical Research Council</w:t>
      </w:r>
    </w:p>
    <w:p w:rsidR="00A87F7C" w:rsidRDefault="00A87F7C" w:rsidP="00153A91">
      <w:r>
        <w:t>OEHHA:</w:t>
      </w:r>
      <w:r>
        <w:tab/>
        <w:t>Office of Environmental Health and Hazard Assessment (California)</w:t>
      </w:r>
    </w:p>
    <w:p w:rsidR="00A87F7C" w:rsidRDefault="00002403" w:rsidP="00153A91">
      <w:r>
        <w:t>OEL:</w:t>
      </w:r>
      <w:r w:rsidR="00153A91">
        <w:t xml:space="preserve"> </w:t>
      </w:r>
      <w:r w:rsidR="00153A91">
        <w:tab/>
      </w:r>
      <w:r w:rsidR="00E25319">
        <w:tab/>
      </w:r>
      <w:r w:rsidR="00153A91">
        <w:t>O</w:t>
      </w:r>
      <w:r>
        <w:t>ccupational exposure limit</w:t>
      </w:r>
    </w:p>
    <w:p w:rsidR="00A6640C" w:rsidRDefault="00CD3FC0" w:rsidP="00BC4A7E">
      <w:r>
        <w:t xml:space="preserve">OR: </w:t>
      </w:r>
      <w:r>
        <w:tab/>
      </w:r>
      <w:r>
        <w:tab/>
        <w:t>O</w:t>
      </w:r>
      <w:r w:rsidR="00A6640C">
        <w:t>dds ratio</w:t>
      </w:r>
    </w:p>
    <w:p w:rsidR="00002403" w:rsidRDefault="00153A91" w:rsidP="00BC4A7E">
      <w:r>
        <w:t>Pb:</w:t>
      </w:r>
      <w:r>
        <w:tab/>
      </w:r>
      <w:r w:rsidR="00E25319">
        <w:tab/>
      </w:r>
      <w:r>
        <w:t>L</w:t>
      </w:r>
      <w:r w:rsidR="00002403">
        <w:t>ead</w:t>
      </w:r>
    </w:p>
    <w:p w:rsidR="00D42324" w:rsidRDefault="00D42324" w:rsidP="00BC4A7E">
      <w:pPr>
        <w:rPr>
          <w:rFonts w:cs="Arial"/>
        </w:rPr>
      </w:pPr>
      <w:r>
        <w:rPr>
          <w:rFonts w:cs="Arial"/>
        </w:rPr>
        <w:t>PbAir:</w:t>
      </w:r>
      <w:r>
        <w:rPr>
          <w:rFonts w:cs="Arial"/>
        </w:rPr>
        <w:tab/>
      </w:r>
      <w:r>
        <w:rPr>
          <w:rFonts w:cs="Arial"/>
        </w:rPr>
        <w:tab/>
        <w:t xml:space="preserve">Lead in </w:t>
      </w:r>
      <w:r w:rsidR="000B7A47">
        <w:rPr>
          <w:rFonts w:cs="Arial"/>
        </w:rPr>
        <w:t xml:space="preserve">workplace </w:t>
      </w:r>
      <w:r>
        <w:rPr>
          <w:rFonts w:cs="Arial"/>
        </w:rPr>
        <w:t>air</w:t>
      </w:r>
    </w:p>
    <w:p w:rsidR="00002403" w:rsidRDefault="00153A91" w:rsidP="00BC4A7E">
      <w:pPr>
        <w:rPr>
          <w:rFonts w:cs="Arial"/>
        </w:rPr>
      </w:pPr>
      <w:r>
        <w:rPr>
          <w:rFonts w:cs="Arial"/>
        </w:rPr>
        <w:t>PbB:</w:t>
      </w:r>
      <w:r>
        <w:rPr>
          <w:rFonts w:cs="Arial"/>
        </w:rPr>
        <w:tab/>
      </w:r>
      <w:r w:rsidR="00E25319">
        <w:rPr>
          <w:rFonts w:cs="Arial"/>
        </w:rPr>
        <w:tab/>
      </w:r>
      <w:r>
        <w:rPr>
          <w:rFonts w:cs="Arial"/>
        </w:rPr>
        <w:t>B</w:t>
      </w:r>
      <w:r w:rsidR="00002403">
        <w:rPr>
          <w:rFonts w:cs="Arial"/>
        </w:rPr>
        <w:t>lood lead</w:t>
      </w:r>
      <w:r w:rsidR="00727E1E">
        <w:rPr>
          <w:rFonts w:cs="Arial"/>
        </w:rPr>
        <w:t xml:space="preserve"> (whole blood)</w:t>
      </w:r>
    </w:p>
    <w:p w:rsidR="00BC6044" w:rsidRDefault="00BC6044" w:rsidP="005D6674">
      <w:pPr>
        <w:rPr>
          <w:rFonts w:cs="Arial"/>
        </w:rPr>
      </w:pPr>
      <w:r>
        <w:rPr>
          <w:rFonts w:cs="Arial"/>
        </w:rPr>
        <w:t>RR:</w:t>
      </w:r>
      <w:r>
        <w:rPr>
          <w:rFonts w:cs="Arial"/>
        </w:rPr>
        <w:tab/>
      </w:r>
      <w:r>
        <w:rPr>
          <w:rFonts w:cs="Arial"/>
        </w:rPr>
        <w:tab/>
        <w:t>Relative risk</w:t>
      </w:r>
    </w:p>
    <w:p w:rsidR="00BC6044" w:rsidRDefault="00BC6044" w:rsidP="005D6674">
      <w:pPr>
        <w:rPr>
          <w:rFonts w:cs="Arial"/>
        </w:rPr>
      </w:pPr>
      <w:r>
        <w:rPr>
          <w:rFonts w:cs="Arial"/>
        </w:rPr>
        <w:t>SIR:</w:t>
      </w:r>
      <w:r>
        <w:rPr>
          <w:rFonts w:cs="Arial"/>
        </w:rPr>
        <w:tab/>
      </w:r>
      <w:r>
        <w:rPr>
          <w:rFonts w:cs="Arial"/>
        </w:rPr>
        <w:tab/>
        <w:t>Standardised incidence ratio</w:t>
      </w:r>
    </w:p>
    <w:p w:rsidR="00BC6044" w:rsidRDefault="00BC6044" w:rsidP="005D6674">
      <w:pPr>
        <w:rPr>
          <w:rFonts w:cs="Arial"/>
        </w:rPr>
      </w:pPr>
      <w:r>
        <w:rPr>
          <w:rFonts w:cs="Arial"/>
        </w:rPr>
        <w:t xml:space="preserve">SMR: </w:t>
      </w:r>
      <w:r>
        <w:rPr>
          <w:rFonts w:cs="Arial"/>
        </w:rPr>
        <w:tab/>
      </w:r>
      <w:r>
        <w:rPr>
          <w:rFonts w:cs="Arial"/>
        </w:rPr>
        <w:tab/>
        <w:t>Standardised mortality ratio</w:t>
      </w:r>
    </w:p>
    <w:p w:rsidR="00002403" w:rsidRDefault="00002403" w:rsidP="005D6674">
      <w:r w:rsidRPr="00002403">
        <w:rPr>
          <w:rFonts w:cs="Arial"/>
        </w:rPr>
        <w:t>µ</w:t>
      </w:r>
      <w:r>
        <w:t>g/</w:t>
      </w:r>
      <w:r w:rsidR="00153A91">
        <w:t>dL:</w:t>
      </w:r>
      <w:r w:rsidR="00153A91">
        <w:tab/>
      </w:r>
      <w:r w:rsidR="00E25319">
        <w:tab/>
      </w:r>
      <w:r w:rsidR="00153A91">
        <w:t>M</w:t>
      </w:r>
      <w:r>
        <w:t>icrogram</w:t>
      </w:r>
      <w:r w:rsidR="00471CCC">
        <w:t>s</w:t>
      </w:r>
      <w:r>
        <w:t xml:space="preserve"> per deciliter</w:t>
      </w:r>
    </w:p>
    <w:p w:rsidR="00BC4A7E" w:rsidRDefault="00BC4A7E" w:rsidP="00BC4A7E">
      <w:r w:rsidRPr="00002403">
        <w:rPr>
          <w:rFonts w:cs="Arial"/>
        </w:rPr>
        <w:t>µ</w:t>
      </w:r>
      <w:r>
        <w:t>g/m</w:t>
      </w:r>
      <w:r>
        <w:rPr>
          <w:vertAlign w:val="superscript"/>
        </w:rPr>
        <w:t>3</w:t>
      </w:r>
      <w:r>
        <w:t>:</w:t>
      </w:r>
      <w:r>
        <w:tab/>
      </w:r>
      <w:r w:rsidR="00E25319">
        <w:tab/>
      </w:r>
      <w:r>
        <w:t>Micrograms per metre cubed</w:t>
      </w:r>
    </w:p>
    <w:p w:rsidR="000D644E" w:rsidRPr="00002403" w:rsidRDefault="000D644E" w:rsidP="00BC4A7E">
      <w:r w:rsidRPr="00002403">
        <w:rPr>
          <w:rFonts w:cs="Arial"/>
        </w:rPr>
        <w:t>µ</w:t>
      </w:r>
      <w:r>
        <w:t>m</w:t>
      </w:r>
      <w:r w:rsidR="0005093A">
        <w:t>:</w:t>
      </w:r>
      <w:r>
        <w:tab/>
      </w:r>
      <w:r>
        <w:tab/>
        <w:t>Micrometre</w:t>
      </w:r>
    </w:p>
    <w:p w:rsidR="00002403" w:rsidRDefault="00153A91" w:rsidP="00BC4A7E">
      <w:r>
        <w:t>WES:</w:t>
      </w:r>
      <w:r>
        <w:tab/>
      </w:r>
      <w:r w:rsidR="00E25319">
        <w:tab/>
      </w:r>
      <w:r>
        <w:t>W</w:t>
      </w:r>
      <w:r w:rsidR="00002403">
        <w:t>orkplace exposure standard</w:t>
      </w:r>
    </w:p>
    <w:p w:rsidR="00002403" w:rsidRDefault="00002403" w:rsidP="00BC4A7E">
      <w:r>
        <w:t xml:space="preserve">WHO: </w:t>
      </w:r>
      <w:r>
        <w:tab/>
      </w:r>
      <w:r w:rsidR="00E25319">
        <w:tab/>
      </w:r>
      <w:r>
        <w:t>World Health Organi</w:t>
      </w:r>
      <w:r w:rsidR="008C22F3">
        <w:t>z</w:t>
      </w:r>
      <w:r>
        <w:t>ation</w:t>
      </w:r>
    </w:p>
    <w:p w:rsidR="00002403" w:rsidRDefault="00002403" w:rsidP="00BC4A7E"/>
    <w:p w:rsidR="00002403" w:rsidRDefault="00002403" w:rsidP="005D6674"/>
    <w:p w:rsidR="00C7609F" w:rsidRDefault="00002403" w:rsidP="00483634">
      <w:pPr>
        <w:pStyle w:val="Heading1"/>
        <w:spacing w:line="240" w:lineRule="auto"/>
      </w:pPr>
      <w:r>
        <w:br w:type="page"/>
      </w:r>
      <w:bookmarkStart w:id="4" w:name="_Toc391288212"/>
      <w:r w:rsidR="00C7609F">
        <w:lastRenderedPageBreak/>
        <w:t>Contents</w:t>
      </w:r>
      <w:bookmarkEnd w:id="4"/>
    </w:p>
    <w:p w:rsidR="00F942C9" w:rsidRDefault="003D35E2">
      <w:pPr>
        <w:pStyle w:val="TOC1"/>
        <w:tabs>
          <w:tab w:val="right" w:leader="dot" w:pos="9913"/>
        </w:tabs>
        <w:rPr>
          <w:rFonts w:asciiTheme="minorHAnsi" w:hAnsiTheme="minorHAnsi"/>
          <w:noProof/>
          <w:lang w:eastAsia="en-AU"/>
        </w:rPr>
      </w:pPr>
      <w:r>
        <w:fldChar w:fldCharType="begin"/>
      </w:r>
      <w:r w:rsidR="00C7609F">
        <w:instrText xml:space="preserve"> TOC \o "1-3" \h \z \u </w:instrText>
      </w:r>
      <w:r>
        <w:fldChar w:fldCharType="separate"/>
      </w:r>
      <w:hyperlink w:anchor="_Toc391288209" w:history="1">
        <w:r w:rsidR="00F942C9" w:rsidRPr="00A752BD">
          <w:rPr>
            <w:rStyle w:val="Hyperlink"/>
            <w:noProof/>
          </w:rPr>
          <w:t>Foreword</w:t>
        </w:r>
        <w:r w:rsidR="00F942C9">
          <w:rPr>
            <w:noProof/>
            <w:webHidden/>
          </w:rPr>
          <w:tab/>
        </w:r>
        <w:r w:rsidR="00F942C9">
          <w:rPr>
            <w:noProof/>
            <w:webHidden/>
          </w:rPr>
          <w:fldChar w:fldCharType="begin"/>
        </w:r>
        <w:r w:rsidR="00F942C9">
          <w:rPr>
            <w:noProof/>
            <w:webHidden/>
          </w:rPr>
          <w:instrText xml:space="preserve"> PAGEREF _Toc391288209 \h </w:instrText>
        </w:r>
        <w:r w:rsidR="00F942C9">
          <w:rPr>
            <w:noProof/>
            <w:webHidden/>
          </w:rPr>
        </w:r>
        <w:r w:rsidR="00F942C9">
          <w:rPr>
            <w:noProof/>
            <w:webHidden/>
          </w:rPr>
          <w:fldChar w:fldCharType="separate"/>
        </w:r>
        <w:r w:rsidR="00F942C9">
          <w:rPr>
            <w:noProof/>
            <w:webHidden/>
          </w:rPr>
          <w:t>3</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10" w:history="1">
        <w:r w:rsidR="00F942C9" w:rsidRPr="00A752BD">
          <w:rPr>
            <w:rStyle w:val="Hyperlink"/>
            <w:noProof/>
          </w:rPr>
          <w:t>Executive Summary</w:t>
        </w:r>
        <w:r w:rsidR="00F942C9">
          <w:rPr>
            <w:noProof/>
            <w:webHidden/>
          </w:rPr>
          <w:tab/>
        </w:r>
        <w:r w:rsidR="00F942C9">
          <w:rPr>
            <w:noProof/>
            <w:webHidden/>
          </w:rPr>
          <w:fldChar w:fldCharType="begin"/>
        </w:r>
        <w:r w:rsidR="00F942C9">
          <w:rPr>
            <w:noProof/>
            <w:webHidden/>
          </w:rPr>
          <w:instrText xml:space="preserve"> PAGEREF _Toc391288210 \h </w:instrText>
        </w:r>
        <w:r w:rsidR="00F942C9">
          <w:rPr>
            <w:noProof/>
            <w:webHidden/>
          </w:rPr>
        </w:r>
        <w:r w:rsidR="00F942C9">
          <w:rPr>
            <w:noProof/>
            <w:webHidden/>
          </w:rPr>
          <w:fldChar w:fldCharType="separate"/>
        </w:r>
        <w:r w:rsidR="00F942C9">
          <w:rPr>
            <w:noProof/>
            <w:webHidden/>
          </w:rPr>
          <w:t>4</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11" w:history="1">
        <w:r w:rsidR="00F942C9" w:rsidRPr="00A752BD">
          <w:rPr>
            <w:rStyle w:val="Hyperlink"/>
            <w:noProof/>
          </w:rPr>
          <w:t>Abbreviations</w:t>
        </w:r>
        <w:r w:rsidR="00F942C9">
          <w:rPr>
            <w:noProof/>
            <w:webHidden/>
          </w:rPr>
          <w:tab/>
        </w:r>
        <w:r w:rsidR="00F942C9">
          <w:rPr>
            <w:noProof/>
            <w:webHidden/>
          </w:rPr>
          <w:fldChar w:fldCharType="begin"/>
        </w:r>
        <w:r w:rsidR="00F942C9">
          <w:rPr>
            <w:noProof/>
            <w:webHidden/>
          </w:rPr>
          <w:instrText xml:space="preserve"> PAGEREF _Toc391288211 \h </w:instrText>
        </w:r>
        <w:r w:rsidR="00F942C9">
          <w:rPr>
            <w:noProof/>
            <w:webHidden/>
          </w:rPr>
        </w:r>
        <w:r w:rsidR="00F942C9">
          <w:rPr>
            <w:noProof/>
            <w:webHidden/>
          </w:rPr>
          <w:fldChar w:fldCharType="separate"/>
        </w:r>
        <w:r w:rsidR="00F942C9">
          <w:rPr>
            <w:noProof/>
            <w:webHidden/>
          </w:rPr>
          <w:t>11</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12" w:history="1">
        <w:r w:rsidR="00F942C9" w:rsidRPr="00A752BD">
          <w:rPr>
            <w:rStyle w:val="Hyperlink"/>
            <w:noProof/>
          </w:rPr>
          <w:t>Contents</w:t>
        </w:r>
        <w:r w:rsidR="00F942C9">
          <w:rPr>
            <w:noProof/>
            <w:webHidden/>
          </w:rPr>
          <w:tab/>
        </w:r>
        <w:r w:rsidR="00F942C9">
          <w:rPr>
            <w:noProof/>
            <w:webHidden/>
          </w:rPr>
          <w:fldChar w:fldCharType="begin"/>
        </w:r>
        <w:r w:rsidR="00F942C9">
          <w:rPr>
            <w:noProof/>
            <w:webHidden/>
          </w:rPr>
          <w:instrText xml:space="preserve"> PAGEREF _Toc391288212 \h </w:instrText>
        </w:r>
        <w:r w:rsidR="00F942C9">
          <w:rPr>
            <w:noProof/>
            <w:webHidden/>
          </w:rPr>
        </w:r>
        <w:r w:rsidR="00F942C9">
          <w:rPr>
            <w:noProof/>
            <w:webHidden/>
          </w:rPr>
          <w:fldChar w:fldCharType="separate"/>
        </w:r>
        <w:r w:rsidR="00F942C9">
          <w:rPr>
            <w:noProof/>
            <w:webHidden/>
          </w:rPr>
          <w:t>12</w:t>
        </w:r>
        <w:r w:rsidR="00F942C9">
          <w:rPr>
            <w:noProof/>
            <w:webHidden/>
          </w:rPr>
          <w:fldChar w:fldCharType="end"/>
        </w:r>
      </w:hyperlink>
    </w:p>
    <w:p w:rsidR="00F942C9" w:rsidRDefault="00697BE1">
      <w:pPr>
        <w:pStyle w:val="TOC1"/>
        <w:tabs>
          <w:tab w:val="left" w:pos="440"/>
          <w:tab w:val="right" w:leader="dot" w:pos="9913"/>
        </w:tabs>
        <w:rPr>
          <w:rFonts w:asciiTheme="minorHAnsi" w:hAnsiTheme="minorHAnsi"/>
          <w:noProof/>
          <w:lang w:eastAsia="en-AU"/>
        </w:rPr>
      </w:pPr>
      <w:hyperlink w:anchor="_Toc391288213" w:history="1">
        <w:r w:rsidR="00F942C9" w:rsidRPr="00A752BD">
          <w:rPr>
            <w:rStyle w:val="Hyperlink"/>
            <w:noProof/>
          </w:rPr>
          <w:t>1.</w:t>
        </w:r>
        <w:r w:rsidR="00F942C9">
          <w:rPr>
            <w:rFonts w:asciiTheme="minorHAnsi" w:hAnsiTheme="minorHAnsi"/>
            <w:noProof/>
            <w:lang w:eastAsia="en-AU"/>
          </w:rPr>
          <w:tab/>
        </w:r>
        <w:r w:rsidR="00F942C9" w:rsidRPr="00A752BD">
          <w:rPr>
            <w:rStyle w:val="Hyperlink"/>
            <w:noProof/>
          </w:rPr>
          <w:t>Introduction and scope</w:t>
        </w:r>
        <w:r w:rsidR="00F942C9">
          <w:rPr>
            <w:noProof/>
            <w:webHidden/>
          </w:rPr>
          <w:tab/>
        </w:r>
        <w:r w:rsidR="00F942C9">
          <w:rPr>
            <w:noProof/>
            <w:webHidden/>
          </w:rPr>
          <w:fldChar w:fldCharType="begin"/>
        </w:r>
        <w:r w:rsidR="00F942C9">
          <w:rPr>
            <w:noProof/>
            <w:webHidden/>
          </w:rPr>
          <w:instrText xml:space="preserve"> PAGEREF _Toc391288213 \h </w:instrText>
        </w:r>
        <w:r w:rsidR="00F942C9">
          <w:rPr>
            <w:noProof/>
            <w:webHidden/>
          </w:rPr>
        </w:r>
        <w:r w:rsidR="00F942C9">
          <w:rPr>
            <w:noProof/>
            <w:webHidden/>
          </w:rPr>
          <w:fldChar w:fldCharType="separate"/>
        </w:r>
        <w:r w:rsidR="00F942C9">
          <w:rPr>
            <w:noProof/>
            <w:webHidden/>
          </w:rPr>
          <w:t>14</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14" w:history="1">
        <w:r w:rsidR="00F942C9" w:rsidRPr="00A752BD">
          <w:rPr>
            <w:rStyle w:val="Hyperlink"/>
            <w:noProof/>
          </w:rPr>
          <w:t>2. International regulatory benchmarking</w:t>
        </w:r>
        <w:r w:rsidR="00F942C9">
          <w:rPr>
            <w:noProof/>
            <w:webHidden/>
          </w:rPr>
          <w:tab/>
        </w:r>
        <w:r w:rsidR="00F942C9">
          <w:rPr>
            <w:noProof/>
            <w:webHidden/>
          </w:rPr>
          <w:fldChar w:fldCharType="begin"/>
        </w:r>
        <w:r w:rsidR="00F942C9">
          <w:rPr>
            <w:noProof/>
            <w:webHidden/>
          </w:rPr>
          <w:instrText xml:space="preserve"> PAGEREF _Toc391288214 \h </w:instrText>
        </w:r>
        <w:r w:rsidR="00F942C9">
          <w:rPr>
            <w:noProof/>
            <w:webHidden/>
          </w:rPr>
        </w:r>
        <w:r w:rsidR="00F942C9">
          <w:rPr>
            <w:noProof/>
            <w:webHidden/>
          </w:rPr>
          <w:fldChar w:fldCharType="separate"/>
        </w:r>
        <w:r w:rsidR="00F942C9">
          <w:rPr>
            <w:noProof/>
            <w:webHidden/>
          </w:rPr>
          <w:t>14</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15" w:history="1">
        <w:r w:rsidR="00F942C9" w:rsidRPr="00A752BD">
          <w:rPr>
            <w:rStyle w:val="Hyperlink"/>
            <w:noProof/>
          </w:rPr>
          <w:t>2.1. Contemporary WES for inorganic PbAir and BLRL</w:t>
        </w:r>
        <w:r w:rsidR="00F942C9">
          <w:rPr>
            <w:noProof/>
            <w:webHidden/>
          </w:rPr>
          <w:tab/>
        </w:r>
        <w:r w:rsidR="00F942C9">
          <w:rPr>
            <w:noProof/>
            <w:webHidden/>
          </w:rPr>
          <w:fldChar w:fldCharType="begin"/>
        </w:r>
        <w:r w:rsidR="00F942C9">
          <w:rPr>
            <w:noProof/>
            <w:webHidden/>
          </w:rPr>
          <w:instrText xml:space="preserve"> PAGEREF _Toc391288215 \h </w:instrText>
        </w:r>
        <w:r w:rsidR="00F942C9">
          <w:rPr>
            <w:noProof/>
            <w:webHidden/>
          </w:rPr>
        </w:r>
        <w:r w:rsidR="00F942C9">
          <w:rPr>
            <w:noProof/>
            <w:webHidden/>
          </w:rPr>
          <w:fldChar w:fldCharType="separate"/>
        </w:r>
        <w:r w:rsidR="00F942C9">
          <w:rPr>
            <w:noProof/>
            <w:webHidden/>
          </w:rPr>
          <w:t>15</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16" w:history="1">
        <w:r w:rsidR="00F942C9" w:rsidRPr="00A752BD">
          <w:rPr>
            <w:rStyle w:val="Hyperlink"/>
            <w:noProof/>
          </w:rPr>
          <w:t>2.1.1 Summary of WES and BLRL</w:t>
        </w:r>
        <w:r w:rsidR="00F942C9">
          <w:rPr>
            <w:noProof/>
            <w:webHidden/>
          </w:rPr>
          <w:tab/>
        </w:r>
        <w:r w:rsidR="00F942C9">
          <w:rPr>
            <w:noProof/>
            <w:webHidden/>
          </w:rPr>
          <w:fldChar w:fldCharType="begin"/>
        </w:r>
        <w:r w:rsidR="00F942C9">
          <w:rPr>
            <w:noProof/>
            <w:webHidden/>
          </w:rPr>
          <w:instrText xml:space="preserve"> PAGEREF _Toc391288216 \h </w:instrText>
        </w:r>
        <w:r w:rsidR="00F942C9">
          <w:rPr>
            <w:noProof/>
            <w:webHidden/>
          </w:rPr>
        </w:r>
        <w:r w:rsidR="00F942C9">
          <w:rPr>
            <w:noProof/>
            <w:webHidden/>
          </w:rPr>
          <w:fldChar w:fldCharType="separate"/>
        </w:r>
        <w:r w:rsidR="00F942C9">
          <w:rPr>
            <w:noProof/>
            <w:webHidden/>
          </w:rPr>
          <w:t>15</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17" w:history="1">
        <w:r w:rsidR="00F942C9" w:rsidRPr="00A752BD">
          <w:rPr>
            <w:rStyle w:val="Hyperlink"/>
            <w:noProof/>
          </w:rPr>
          <w:t>2.1.2 Basis of workplace standards</w:t>
        </w:r>
        <w:r w:rsidR="00F942C9">
          <w:rPr>
            <w:noProof/>
            <w:webHidden/>
          </w:rPr>
          <w:tab/>
        </w:r>
        <w:r w:rsidR="00F942C9">
          <w:rPr>
            <w:noProof/>
            <w:webHidden/>
          </w:rPr>
          <w:fldChar w:fldCharType="begin"/>
        </w:r>
        <w:r w:rsidR="00F942C9">
          <w:rPr>
            <w:noProof/>
            <w:webHidden/>
          </w:rPr>
          <w:instrText xml:space="preserve"> PAGEREF _Toc391288217 \h </w:instrText>
        </w:r>
        <w:r w:rsidR="00F942C9">
          <w:rPr>
            <w:noProof/>
            <w:webHidden/>
          </w:rPr>
        </w:r>
        <w:r w:rsidR="00F942C9">
          <w:rPr>
            <w:noProof/>
            <w:webHidden/>
          </w:rPr>
          <w:fldChar w:fldCharType="separate"/>
        </w:r>
        <w:r w:rsidR="00F942C9">
          <w:rPr>
            <w:noProof/>
            <w:webHidden/>
          </w:rPr>
          <w:t>26</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18" w:history="1">
        <w:r w:rsidR="00F942C9" w:rsidRPr="00A752BD">
          <w:rPr>
            <w:rStyle w:val="Hyperlink"/>
            <w:noProof/>
          </w:rPr>
          <w:t>2.2 Key points in Section 2</w:t>
        </w:r>
        <w:r w:rsidR="00F942C9">
          <w:rPr>
            <w:noProof/>
            <w:webHidden/>
          </w:rPr>
          <w:tab/>
        </w:r>
        <w:r w:rsidR="00F942C9">
          <w:rPr>
            <w:noProof/>
            <w:webHidden/>
          </w:rPr>
          <w:fldChar w:fldCharType="begin"/>
        </w:r>
        <w:r w:rsidR="00F942C9">
          <w:rPr>
            <w:noProof/>
            <w:webHidden/>
          </w:rPr>
          <w:instrText xml:space="preserve"> PAGEREF _Toc391288218 \h </w:instrText>
        </w:r>
        <w:r w:rsidR="00F942C9">
          <w:rPr>
            <w:noProof/>
            <w:webHidden/>
          </w:rPr>
        </w:r>
        <w:r w:rsidR="00F942C9">
          <w:rPr>
            <w:noProof/>
            <w:webHidden/>
          </w:rPr>
          <w:fldChar w:fldCharType="separate"/>
        </w:r>
        <w:r w:rsidR="00F942C9">
          <w:rPr>
            <w:noProof/>
            <w:webHidden/>
          </w:rPr>
          <w:t>35</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19" w:history="1">
        <w:r w:rsidR="00F942C9" w:rsidRPr="00A752BD">
          <w:rPr>
            <w:rStyle w:val="Hyperlink"/>
            <w:noProof/>
          </w:rPr>
          <w:t>3. Alternatives to PbB</w:t>
        </w:r>
        <w:r w:rsidR="00F942C9">
          <w:rPr>
            <w:noProof/>
            <w:webHidden/>
          </w:rPr>
          <w:tab/>
        </w:r>
        <w:r w:rsidR="00F942C9">
          <w:rPr>
            <w:noProof/>
            <w:webHidden/>
          </w:rPr>
          <w:fldChar w:fldCharType="begin"/>
        </w:r>
        <w:r w:rsidR="00F942C9">
          <w:rPr>
            <w:noProof/>
            <w:webHidden/>
          </w:rPr>
          <w:instrText xml:space="preserve"> PAGEREF _Toc391288219 \h </w:instrText>
        </w:r>
        <w:r w:rsidR="00F942C9">
          <w:rPr>
            <w:noProof/>
            <w:webHidden/>
          </w:rPr>
        </w:r>
        <w:r w:rsidR="00F942C9">
          <w:rPr>
            <w:noProof/>
            <w:webHidden/>
          </w:rPr>
          <w:fldChar w:fldCharType="separate"/>
        </w:r>
        <w:r w:rsidR="00F942C9">
          <w:rPr>
            <w:noProof/>
            <w:webHidden/>
          </w:rPr>
          <w:t>35</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20" w:history="1">
        <w:r w:rsidR="00F942C9" w:rsidRPr="00A752BD">
          <w:rPr>
            <w:rStyle w:val="Hyperlink"/>
            <w:noProof/>
          </w:rPr>
          <w:t>3.1 Measuring lead in biological media</w:t>
        </w:r>
        <w:r w:rsidR="00F942C9">
          <w:rPr>
            <w:noProof/>
            <w:webHidden/>
          </w:rPr>
          <w:tab/>
        </w:r>
        <w:r w:rsidR="00F942C9">
          <w:rPr>
            <w:noProof/>
            <w:webHidden/>
          </w:rPr>
          <w:fldChar w:fldCharType="begin"/>
        </w:r>
        <w:r w:rsidR="00F942C9">
          <w:rPr>
            <w:noProof/>
            <w:webHidden/>
          </w:rPr>
          <w:instrText xml:space="preserve"> PAGEREF _Toc391288220 \h </w:instrText>
        </w:r>
        <w:r w:rsidR="00F942C9">
          <w:rPr>
            <w:noProof/>
            <w:webHidden/>
          </w:rPr>
        </w:r>
        <w:r w:rsidR="00F942C9">
          <w:rPr>
            <w:noProof/>
            <w:webHidden/>
          </w:rPr>
          <w:fldChar w:fldCharType="separate"/>
        </w:r>
        <w:r w:rsidR="00F942C9">
          <w:rPr>
            <w:noProof/>
            <w:webHidden/>
          </w:rPr>
          <w:t>35</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21" w:history="1">
        <w:r w:rsidR="00F942C9" w:rsidRPr="00A752BD">
          <w:rPr>
            <w:rStyle w:val="Hyperlink"/>
            <w:noProof/>
          </w:rPr>
          <w:t>3.2 Biochemical parameters</w:t>
        </w:r>
        <w:r w:rsidR="00F942C9">
          <w:rPr>
            <w:noProof/>
            <w:webHidden/>
          </w:rPr>
          <w:tab/>
        </w:r>
        <w:r w:rsidR="00F942C9">
          <w:rPr>
            <w:noProof/>
            <w:webHidden/>
          </w:rPr>
          <w:fldChar w:fldCharType="begin"/>
        </w:r>
        <w:r w:rsidR="00F942C9">
          <w:rPr>
            <w:noProof/>
            <w:webHidden/>
          </w:rPr>
          <w:instrText xml:space="preserve"> PAGEREF _Toc391288221 \h </w:instrText>
        </w:r>
        <w:r w:rsidR="00F942C9">
          <w:rPr>
            <w:noProof/>
            <w:webHidden/>
          </w:rPr>
        </w:r>
        <w:r w:rsidR="00F942C9">
          <w:rPr>
            <w:noProof/>
            <w:webHidden/>
          </w:rPr>
          <w:fldChar w:fldCharType="separate"/>
        </w:r>
        <w:r w:rsidR="00F942C9">
          <w:rPr>
            <w:noProof/>
            <w:webHidden/>
          </w:rPr>
          <w:t>40</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22" w:history="1">
        <w:r w:rsidR="00F942C9" w:rsidRPr="00A752BD">
          <w:rPr>
            <w:rStyle w:val="Hyperlink"/>
            <w:noProof/>
          </w:rPr>
          <w:t>3.3 Key points in Section 3</w:t>
        </w:r>
        <w:r w:rsidR="00F942C9">
          <w:rPr>
            <w:noProof/>
            <w:webHidden/>
          </w:rPr>
          <w:tab/>
        </w:r>
        <w:r w:rsidR="00F942C9">
          <w:rPr>
            <w:noProof/>
            <w:webHidden/>
          </w:rPr>
          <w:fldChar w:fldCharType="begin"/>
        </w:r>
        <w:r w:rsidR="00F942C9">
          <w:rPr>
            <w:noProof/>
            <w:webHidden/>
          </w:rPr>
          <w:instrText xml:space="preserve"> PAGEREF _Toc391288222 \h </w:instrText>
        </w:r>
        <w:r w:rsidR="00F942C9">
          <w:rPr>
            <w:noProof/>
            <w:webHidden/>
          </w:rPr>
        </w:r>
        <w:r w:rsidR="00F942C9">
          <w:rPr>
            <w:noProof/>
            <w:webHidden/>
          </w:rPr>
          <w:fldChar w:fldCharType="separate"/>
        </w:r>
        <w:r w:rsidR="00F942C9">
          <w:rPr>
            <w:noProof/>
            <w:webHidden/>
          </w:rPr>
          <w:t>40</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23" w:history="1">
        <w:r w:rsidR="00F942C9" w:rsidRPr="00A752BD">
          <w:rPr>
            <w:rStyle w:val="Hyperlink"/>
            <w:noProof/>
          </w:rPr>
          <w:t>4. Toxicological information for lead</w:t>
        </w:r>
        <w:r w:rsidR="00F942C9">
          <w:rPr>
            <w:noProof/>
            <w:webHidden/>
          </w:rPr>
          <w:tab/>
        </w:r>
        <w:r w:rsidR="00F942C9">
          <w:rPr>
            <w:noProof/>
            <w:webHidden/>
          </w:rPr>
          <w:fldChar w:fldCharType="begin"/>
        </w:r>
        <w:r w:rsidR="00F942C9">
          <w:rPr>
            <w:noProof/>
            <w:webHidden/>
          </w:rPr>
          <w:instrText xml:space="preserve"> PAGEREF _Toc391288223 \h </w:instrText>
        </w:r>
        <w:r w:rsidR="00F942C9">
          <w:rPr>
            <w:noProof/>
            <w:webHidden/>
          </w:rPr>
        </w:r>
        <w:r w:rsidR="00F942C9">
          <w:rPr>
            <w:noProof/>
            <w:webHidden/>
          </w:rPr>
          <w:fldChar w:fldCharType="separate"/>
        </w:r>
        <w:r w:rsidR="00F942C9">
          <w:rPr>
            <w:noProof/>
            <w:webHidden/>
          </w:rPr>
          <w:t>41</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24" w:history="1">
        <w:r w:rsidR="00F942C9" w:rsidRPr="00A752BD">
          <w:rPr>
            <w:rStyle w:val="Hyperlink"/>
            <w:noProof/>
          </w:rPr>
          <w:t>4.1 Overview</w:t>
        </w:r>
        <w:r w:rsidR="00F942C9">
          <w:rPr>
            <w:noProof/>
            <w:webHidden/>
          </w:rPr>
          <w:tab/>
        </w:r>
        <w:r w:rsidR="00F942C9">
          <w:rPr>
            <w:noProof/>
            <w:webHidden/>
          </w:rPr>
          <w:fldChar w:fldCharType="begin"/>
        </w:r>
        <w:r w:rsidR="00F942C9">
          <w:rPr>
            <w:noProof/>
            <w:webHidden/>
          </w:rPr>
          <w:instrText xml:space="preserve"> PAGEREF _Toc391288224 \h </w:instrText>
        </w:r>
        <w:r w:rsidR="00F942C9">
          <w:rPr>
            <w:noProof/>
            <w:webHidden/>
          </w:rPr>
        </w:r>
        <w:r w:rsidR="00F942C9">
          <w:rPr>
            <w:noProof/>
            <w:webHidden/>
          </w:rPr>
          <w:fldChar w:fldCharType="separate"/>
        </w:r>
        <w:r w:rsidR="00F942C9">
          <w:rPr>
            <w:noProof/>
            <w:webHidden/>
          </w:rPr>
          <w:t>41</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25" w:history="1">
        <w:r w:rsidR="00F942C9" w:rsidRPr="00A752BD">
          <w:rPr>
            <w:rStyle w:val="Hyperlink"/>
            <w:noProof/>
          </w:rPr>
          <w:t>4.2 Kinetics and absorption</w:t>
        </w:r>
        <w:r w:rsidR="00F942C9">
          <w:rPr>
            <w:noProof/>
            <w:webHidden/>
          </w:rPr>
          <w:tab/>
        </w:r>
        <w:r w:rsidR="00F942C9">
          <w:rPr>
            <w:noProof/>
            <w:webHidden/>
          </w:rPr>
          <w:fldChar w:fldCharType="begin"/>
        </w:r>
        <w:r w:rsidR="00F942C9">
          <w:rPr>
            <w:noProof/>
            <w:webHidden/>
          </w:rPr>
          <w:instrText xml:space="preserve"> PAGEREF _Toc391288225 \h </w:instrText>
        </w:r>
        <w:r w:rsidR="00F942C9">
          <w:rPr>
            <w:noProof/>
            <w:webHidden/>
          </w:rPr>
        </w:r>
        <w:r w:rsidR="00F942C9">
          <w:rPr>
            <w:noProof/>
            <w:webHidden/>
          </w:rPr>
          <w:fldChar w:fldCharType="separate"/>
        </w:r>
        <w:r w:rsidR="00F942C9">
          <w:rPr>
            <w:noProof/>
            <w:webHidden/>
          </w:rPr>
          <w:t>42</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26" w:history="1">
        <w:r w:rsidR="00F942C9" w:rsidRPr="00A752BD">
          <w:rPr>
            <w:rStyle w:val="Hyperlink"/>
            <w:noProof/>
          </w:rPr>
          <w:t>4.2.1 Absorption via inhalation</w:t>
        </w:r>
        <w:r w:rsidR="00F942C9">
          <w:rPr>
            <w:noProof/>
            <w:webHidden/>
          </w:rPr>
          <w:tab/>
        </w:r>
        <w:r w:rsidR="00F942C9">
          <w:rPr>
            <w:noProof/>
            <w:webHidden/>
          </w:rPr>
          <w:fldChar w:fldCharType="begin"/>
        </w:r>
        <w:r w:rsidR="00F942C9">
          <w:rPr>
            <w:noProof/>
            <w:webHidden/>
          </w:rPr>
          <w:instrText xml:space="preserve"> PAGEREF _Toc391288226 \h </w:instrText>
        </w:r>
        <w:r w:rsidR="00F942C9">
          <w:rPr>
            <w:noProof/>
            <w:webHidden/>
          </w:rPr>
        </w:r>
        <w:r w:rsidR="00F942C9">
          <w:rPr>
            <w:noProof/>
            <w:webHidden/>
          </w:rPr>
          <w:fldChar w:fldCharType="separate"/>
        </w:r>
        <w:r w:rsidR="00F942C9">
          <w:rPr>
            <w:noProof/>
            <w:webHidden/>
          </w:rPr>
          <w:t>43</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27" w:history="1">
        <w:r w:rsidR="00F942C9" w:rsidRPr="00A752BD">
          <w:rPr>
            <w:rStyle w:val="Hyperlink"/>
            <w:noProof/>
          </w:rPr>
          <w:t>4.2.2 Oral absorption</w:t>
        </w:r>
        <w:r w:rsidR="00F942C9">
          <w:rPr>
            <w:noProof/>
            <w:webHidden/>
          </w:rPr>
          <w:tab/>
        </w:r>
        <w:r w:rsidR="00F942C9">
          <w:rPr>
            <w:noProof/>
            <w:webHidden/>
          </w:rPr>
          <w:fldChar w:fldCharType="begin"/>
        </w:r>
        <w:r w:rsidR="00F942C9">
          <w:rPr>
            <w:noProof/>
            <w:webHidden/>
          </w:rPr>
          <w:instrText xml:space="preserve"> PAGEREF _Toc391288227 \h </w:instrText>
        </w:r>
        <w:r w:rsidR="00F942C9">
          <w:rPr>
            <w:noProof/>
            <w:webHidden/>
          </w:rPr>
        </w:r>
        <w:r w:rsidR="00F942C9">
          <w:rPr>
            <w:noProof/>
            <w:webHidden/>
          </w:rPr>
          <w:fldChar w:fldCharType="separate"/>
        </w:r>
        <w:r w:rsidR="00F942C9">
          <w:rPr>
            <w:noProof/>
            <w:webHidden/>
          </w:rPr>
          <w:t>44</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28" w:history="1">
        <w:r w:rsidR="00F942C9" w:rsidRPr="00A752BD">
          <w:rPr>
            <w:rStyle w:val="Hyperlink"/>
            <w:noProof/>
          </w:rPr>
          <w:t>4.2.3 Dermal absorption</w:t>
        </w:r>
        <w:r w:rsidR="00F942C9">
          <w:rPr>
            <w:noProof/>
            <w:webHidden/>
          </w:rPr>
          <w:tab/>
        </w:r>
        <w:r w:rsidR="00F942C9">
          <w:rPr>
            <w:noProof/>
            <w:webHidden/>
          </w:rPr>
          <w:fldChar w:fldCharType="begin"/>
        </w:r>
        <w:r w:rsidR="00F942C9">
          <w:rPr>
            <w:noProof/>
            <w:webHidden/>
          </w:rPr>
          <w:instrText xml:space="preserve"> PAGEREF _Toc391288228 \h </w:instrText>
        </w:r>
        <w:r w:rsidR="00F942C9">
          <w:rPr>
            <w:noProof/>
            <w:webHidden/>
          </w:rPr>
        </w:r>
        <w:r w:rsidR="00F942C9">
          <w:rPr>
            <w:noProof/>
            <w:webHidden/>
          </w:rPr>
          <w:fldChar w:fldCharType="separate"/>
        </w:r>
        <w:r w:rsidR="00F942C9">
          <w:rPr>
            <w:noProof/>
            <w:webHidden/>
          </w:rPr>
          <w:t>44</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29" w:history="1">
        <w:r w:rsidR="00F942C9" w:rsidRPr="00A752BD">
          <w:rPr>
            <w:rStyle w:val="Hyperlink"/>
            <w:noProof/>
          </w:rPr>
          <w:t>4.2.4 Distribution and Deposition</w:t>
        </w:r>
        <w:r w:rsidR="00F942C9">
          <w:rPr>
            <w:noProof/>
            <w:webHidden/>
          </w:rPr>
          <w:tab/>
        </w:r>
        <w:r w:rsidR="00F942C9">
          <w:rPr>
            <w:noProof/>
            <w:webHidden/>
          </w:rPr>
          <w:fldChar w:fldCharType="begin"/>
        </w:r>
        <w:r w:rsidR="00F942C9">
          <w:rPr>
            <w:noProof/>
            <w:webHidden/>
          </w:rPr>
          <w:instrText xml:space="preserve"> PAGEREF _Toc391288229 \h </w:instrText>
        </w:r>
        <w:r w:rsidR="00F942C9">
          <w:rPr>
            <w:noProof/>
            <w:webHidden/>
          </w:rPr>
        </w:r>
        <w:r w:rsidR="00F942C9">
          <w:rPr>
            <w:noProof/>
            <w:webHidden/>
          </w:rPr>
          <w:fldChar w:fldCharType="separate"/>
        </w:r>
        <w:r w:rsidR="00F942C9">
          <w:rPr>
            <w:noProof/>
            <w:webHidden/>
          </w:rPr>
          <w:t>45</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30" w:history="1">
        <w:r w:rsidR="00F942C9" w:rsidRPr="00A752BD">
          <w:rPr>
            <w:rStyle w:val="Hyperlink"/>
            <w:noProof/>
          </w:rPr>
          <w:t>4.3 Overview of health effects from epidemiological studies</w:t>
        </w:r>
        <w:r w:rsidR="00F942C9">
          <w:rPr>
            <w:noProof/>
            <w:webHidden/>
          </w:rPr>
          <w:tab/>
        </w:r>
        <w:r w:rsidR="00F942C9">
          <w:rPr>
            <w:noProof/>
            <w:webHidden/>
          </w:rPr>
          <w:fldChar w:fldCharType="begin"/>
        </w:r>
        <w:r w:rsidR="00F942C9">
          <w:rPr>
            <w:noProof/>
            <w:webHidden/>
          </w:rPr>
          <w:instrText xml:space="preserve"> PAGEREF _Toc391288230 \h </w:instrText>
        </w:r>
        <w:r w:rsidR="00F942C9">
          <w:rPr>
            <w:noProof/>
            <w:webHidden/>
          </w:rPr>
        </w:r>
        <w:r w:rsidR="00F942C9">
          <w:rPr>
            <w:noProof/>
            <w:webHidden/>
          </w:rPr>
          <w:fldChar w:fldCharType="separate"/>
        </w:r>
        <w:r w:rsidR="00F942C9">
          <w:rPr>
            <w:noProof/>
            <w:webHidden/>
          </w:rPr>
          <w:t>46</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31" w:history="1">
        <w:r w:rsidR="00F942C9" w:rsidRPr="00A752BD">
          <w:rPr>
            <w:rStyle w:val="Hyperlink"/>
            <w:noProof/>
          </w:rPr>
          <w:t>4.3.1 Occupational exposure studies</w:t>
        </w:r>
        <w:r w:rsidR="00F942C9">
          <w:rPr>
            <w:noProof/>
            <w:webHidden/>
          </w:rPr>
          <w:tab/>
        </w:r>
        <w:r w:rsidR="00F942C9">
          <w:rPr>
            <w:noProof/>
            <w:webHidden/>
          </w:rPr>
          <w:fldChar w:fldCharType="begin"/>
        </w:r>
        <w:r w:rsidR="00F942C9">
          <w:rPr>
            <w:noProof/>
            <w:webHidden/>
          </w:rPr>
          <w:instrText xml:space="preserve"> PAGEREF _Toc391288231 \h </w:instrText>
        </w:r>
        <w:r w:rsidR="00F942C9">
          <w:rPr>
            <w:noProof/>
            <w:webHidden/>
          </w:rPr>
        </w:r>
        <w:r w:rsidR="00F942C9">
          <w:rPr>
            <w:noProof/>
            <w:webHidden/>
          </w:rPr>
          <w:fldChar w:fldCharType="separate"/>
        </w:r>
        <w:r w:rsidR="00F942C9">
          <w:rPr>
            <w:noProof/>
            <w:webHidden/>
          </w:rPr>
          <w:t>48</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32" w:history="1">
        <w:r w:rsidR="00F942C9" w:rsidRPr="00A752BD">
          <w:rPr>
            <w:rStyle w:val="Hyperlink"/>
            <w:noProof/>
          </w:rPr>
          <w:t>4.3.2 Non-occupational exposure studies</w:t>
        </w:r>
        <w:r w:rsidR="00F942C9">
          <w:rPr>
            <w:noProof/>
            <w:webHidden/>
          </w:rPr>
          <w:tab/>
        </w:r>
        <w:r w:rsidR="00F942C9">
          <w:rPr>
            <w:noProof/>
            <w:webHidden/>
          </w:rPr>
          <w:fldChar w:fldCharType="begin"/>
        </w:r>
        <w:r w:rsidR="00F942C9">
          <w:rPr>
            <w:noProof/>
            <w:webHidden/>
          </w:rPr>
          <w:instrText xml:space="preserve"> PAGEREF _Toc391288232 \h </w:instrText>
        </w:r>
        <w:r w:rsidR="00F942C9">
          <w:rPr>
            <w:noProof/>
            <w:webHidden/>
          </w:rPr>
        </w:r>
        <w:r w:rsidR="00F942C9">
          <w:rPr>
            <w:noProof/>
            <w:webHidden/>
          </w:rPr>
          <w:fldChar w:fldCharType="separate"/>
        </w:r>
        <w:r w:rsidR="00F942C9">
          <w:rPr>
            <w:noProof/>
            <w:webHidden/>
          </w:rPr>
          <w:t>53</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33" w:history="1">
        <w:r w:rsidR="00F942C9" w:rsidRPr="00A752BD">
          <w:rPr>
            <w:rStyle w:val="Hyperlink"/>
            <w:noProof/>
          </w:rPr>
          <w:t>4.4 Data for quantitation of benefits for reduced BLRL</w:t>
        </w:r>
        <w:r w:rsidR="00F942C9">
          <w:rPr>
            <w:noProof/>
            <w:webHidden/>
          </w:rPr>
          <w:tab/>
        </w:r>
        <w:r w:rsidR="00F942C9">
          <w:rPr>
            <w:noProof/>
            <w:webHidden/>
          </w:rPr>
          <w:fldChar w:fldCharType="begin"/>
        </w:r>
        <w:r w:rsidR="00F942C9">
          <w:rPr>
            <w:noProof/>
            <w:webHidden/>
          </w:rPr>
          <w:instrText xml:space="preserve"> PAGEREF _Toc391288233 \h </w:instrText>
        </w:r>
        <w:r w:rsidR="00F942C9">
          <w:rPr>
            <w:noProof/>
            <w:webHidden/>
          </w:rPr>
        </w:r>
        <w:r w:rsidR="00F942C9">
          <w:rPr>
            <w:noProof/>
            <w:webHidden/>
          </w:rPr>
          <w:fldChar w:fldCharType="separate"/>
        </w:r>
        <w:r w:rsidR="00F942C9">
          <w:rPr>
            <w:noProof/>
            <w:webHidden/>
          </w:rPr>
          <w:t>57</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34" w:history="1">
        <w:r w:rsidR="00F942C9" w:rsidRPr="00A752BD">
          <w:rPr>
            <w:rStyle w:val="Hyperlink"/>
            <w:noProof/>
          </w:rPr>
          <w:t>4.4.1 Nervous system effects</w:t>
        </w:r>
        <w:r w:rsidR="00F942C9">
          <w:rPr>
            <w:noProof/>
            <w:webHidden/>
          </w:rPr>
          <w:tab/>
        </w:r>
        <w:r w:rsidR="00F942C9">
          <w:rPr>
            <w:noProof/>
            <w:webHidden/>
          </w:rPr>
          <w:fldChar w:fldCharType="begin"/>
        </w:r>
        <w:r w:rsidR="00F942C9">
          <w:rPr>
            <w:noProof/>
            <w:webHidden/>
          </w:rPr>
          <w:instrText xml:space="preserve"> PAGEREF _Toc391288234 \h </w:instrText>
        </w:r>
        <w:r w:rsidR="00F942C9">
          <w:rPr>
            <w:noProof/>
            <w:webHidden/>
          </w:rPr>
        </w:r>
        <w:r w:rsidR="00F942C9">
          <w:rPr>
            <w:noProof/>
            <w:webHidden/>
          </w:rPr>
          <w:fldChar w:fldCharType="separate"/>
        </w:r>
        <w:r w:rsidR="00F942C9">
          <w:rPr>
            <w:noProof/>
            <w:webHidden/>
          </w:rPr>
          <w:t>57</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35" w:history="1">
        <w:r w:rsidR="00F942C9" w:rsidRPr="00A752BD">
          <w:rPr>
            <w:rStyle w:val="Hyperlink"/>
            <w:noProof/>
          </w:rPr>
          <w:t>4.4.2 Cardiovascular system effects</w:t>
        </w:r>
        <w:r w:rsidR="00F942C9">
          <w:rPr>
            <w:noProof/>
            <w:webHidden/>
          </w:rPr>
          <w:tab/>
        </w:r>
        <w:r w:rsidR="00F942C9">
          <w:rPr>
            <w:noProof/>
            <w:webHidden/>
          </w:rPr>
          <w:fldChar w:fldCharType="begin"/>
        </w:r>
        <w:r w:rsidR="00F942C9">
          <w:rPr>
            <w:noProof/>
            <w:webHidden/>
          </w:rPr>
          <w:instrText xml:space="preserve"> PAGEREF _Toc391288235 \h </w:instrText>
        </w:r>
        <w:r w:rsidR="00F942C9">
          <w:rPr>
            <w:noProof/>
            <w:webHidden/>
          </w:rPr>
        </w:r>
        <w:r w:rsidR="00F942C9">
          <w:rPr>
            <w:noProof/>
            <w:webHidden/>
          </w:rPr>
          <w:fldChar w:fldCharType="separate"/>
        </w:r>
        <w:r w:rsidR="00F942C9">
          <w:rPr>
            <w:noProof/>
            <w:webHidden/>
          </w:rPr>
          <w:t>65</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36" w:history="1">
        <w:r w:rsidR="00F942C9" w:rsidRPr="00A752BD">
          <w:rPr>
            <w:rStyle w:val="Hyperlink"/>
            <w:noProof/>
          </w:rPr>
          <w:t>4.4.3 Reproductive effects</w:t>
        </w:r>
        <w:r w:rsidR="00F942C9">
          <w:rPr>
            <w:noProof/>
            <w:webHidden/>
          </w:rPr>
          <w:tab/>
        </w:r>
        <w:r w:rsidR="00F942C9">
          <w:rPr>
            <w:noProof/>
            <w:webHidden/>
          </w:rPr>
          <w:fldChar w:fldCharType="begin"/>
        </w:r>
        <w:r w:rsidR="00F942C9">
          <w:rPr>
            <w:noProof/>
            <w:webHidden/>
          </w:rPr>
          <w:instrText xml:space="preserve"> PAGEREF _Toc391288236 \h </w:instrText>
        </w:r>
        <w:r w:rsidR="00F942C9">
          <w:rPr>
            <w:noProof/>
            <w:webHidden/>
          </w:rPr>
        </w:r>
        <w:r w:rsidR="00F942C9">
          <w:rPr>
            <w:noProof/>
            <w:webHidden/>
          </w:rPr>
          <w:fldChar w:fldCharType="separate"/>
        </w:r>
        <w:r w:rsidR="00F942C9">
          <w:rPr>
            <w:noProof/>
            <w:webHidden/>
          </w:rPr>
          <w:t>74</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37" w:history="1">
        <w:r w:rsidR="00F942C9" w:rsidRPr="00A752BD">
          <w:rPr>
            <w:rStyle w:val="Hyperlink"/>
            <w:noProof/>
          </w:rPr>
          <w:t>4.4.4 Cancer</w:t>
        </w:r>
        <w:r w:rsidR="00F942C9">
          <w:rPr>
            <w:noProof/>
            <w:webHidden/>
          </w:rPr>
          <w:tab/>
        </w:r>
        <w:r w:rsidR="00F942C9">
          <w:rPr>
            <w:noProof/>
            <w:webHidden/>
          </w:rPr>
          <w:fldChar w:fldCharType="begin"/>
        </w:r>
        <w:r w:rsidR="00F942C9">
          <w:rPr>
            <w:noProof/>
            <w:webHidden/>
          </w:rPr>
          <w:instrText xml:space="preserve"> PAGEREF _Toc391288237 \h </w:instrText>
        </w:r>
        <w:r w:rsidR="00F942C9">
          <w:rPr>
            <w:noProof/>
            <w:webHidden/>
          </w:rPr>
        </w:r>
        <w:r w:rsidR="00F942C9">
          <w:rPr>
            <w:noProof/>
            <w:webHidden/>
          </w:rPr>
          <w:fldChar w:fldCharType="separate"/>
        </w:r>
        <w:r w:rsidR="00F942C9">
          <w:rPr>
            <w:noProof/>
            <w:webHidden/>
          </w:rPr>
          <w:t>75</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38" w:history="1">
        <w:r w:rsidR="00F942C9" w:rsidRPr="00A752BD">
          <w:rPr>
            <w:rStyle w:val="Hyperlink"/>
            <w:noProof/>
          </w:rPr>
          <w:t>4.5 Suggested PbB targets for workers</w:t>
        </w:r>
        <w:r w:rsidR="00F942C9">
          <w:rPr>
            <w:noProof/>
            <w:webHidden/>
          </w:rPr>
          <w:tab/>
        </w:r>
        <w:r w:rsidR="00F942C9">
          <w:rPr>
            <w:noProof/>
            <w:webHidden/>
          </w:rPr>
          <w:fldChar w:fldCharType="begin"/>
        </w:r>
        <w:r w:rsidR="00F942C9">
          <w:rPr>
            <w:noProof/>
            <w:webHidden/>
          </w:rPr>
          <w:instrText xml:space="preserve"> PAGEREF _Toc391288238 \h </w:instrText>
        </w:r>
        <w:r w:rsidR="00F942C9">
          <w:rPr>
            <w:noProof/>
            <w:webHidden/>
          </w:rPr>
        </w:r>
        <w:r w:rsidR="00F942C9">
          <w:rPr>
            <w:noProof/>
            <w:webHidden/>
          </w:rPr>
          <w:fldChar w:fldCharType="separate"/>
        </w:r>
        <w:r w:rsidR="00F942C9">
          <w:rPr>
            <w:noProof/>
            <w:webHidden/>
          </w:rPr>
          <w:t>80</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39" w:history="1">
        <w:r w:rsidR="00F942C9" w:rsidRPr="00A752BD">
          <w:rPr>
            <w:rStyle w:val="Hyperlink"/>
            <w:noProof/>
          </w:rPr>
          <w:t>4.6 Sensitive workers</w:t>
        </w:r>
        <w:r w:rsidR="00F942C9">
          <w:rPr>
            <w:noProof/>
            <w:webHidden/>
          </w:rPr>
          <w:tab/>
        </w:r>
        <w:r w:rsidR="00F942C9">
          <w:rPr>
            <w:noProof/>
            <w:webHidden/>
          </w:rPr>
          <w:fldChar w:fldCharType="begin"/>
        </w:r>
        <w:r w:rsidR="00F942C9">
          <w:rPr>
            <w:noProof/>
            <w:webHidden/>
          </w:rPr>
          <w:instrText xml:space="preserve"> PAGEREF _Toc391288239 \h </w:instrText>
        </w:r>
        <w:r w:rsidR="00F942C9">
          <w:rPr>
            <w:noProof/>
            <w:webHidden/>
          </w:rPr>
        </w:r>
        <w:r w:rsidR="00F942C9">
          <w:rPr>
            <w:noProof/>
            <w:webHidden/>
          </w:rPr>
          <w:fldChar w:fldCharType="separate"/>
        </w:r>
        <w:r w:rsidR="00F942C9">
          <w:rPr>
            <w:noProof/>
            <w:webHidden/>
          </w:rPr>
          <w:t>81</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40" w:history="1">
        <w:r w:rsidR="00F942C9" w:rsidRPr="00A752BD">
          <w:rPr>
            <w:rStyle w:val="Hyperlink"/>
            <w:noProof/>
          </w:rPr>
          <w:t>4.7 Key points in Section 4</w:t>
        </w:r>
        <w:r w:rsidR="00F942C9">
          <w:rPr>
            <w:noProof/>
            <w:webHidden/>
          </w:rPr>
          <w:tab/>
        </w:r>
        <w:r w:rsidR="00F942C9">
          <w:rPr>
            <w:noProof/>
            <w:webHidden/>
          </w:rPr>
          <w:fldChar w:fldCharType="begin"/>
        </w:r>
        <w:r w:rsidR="00F942C9">
          <w:rPr>
            <w:noProof/>
            <w:webHidden/>
          </w:rPr>
          <w:instrText xml:space="preserve"> PAGEREF _Toc391288240 \h </w:instrText>
        </w:r>
        <w:r w:rsidR="00F942C9">
          <w:rPr>
            <w:noProof/>
            <w:webHidden/>
          </w:rPr>
        </w:r>
        <w:r w:rsidR="00F942C9">
          <w:rPr>
            <w:noProof/>
            <w:webHidden/>
          </w:rPr>
          <w:fldChar w:fldCharType="separate"/>
        </w:r>
        <w:r w:rsidR="00F942C9">
          <w:rPr>
            <w:noProof/>
            <w:webHidden/>
          </w:rPr>
          <w:t>83</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41" w:history="1">
        <w:r w:rsidR="00F942C9" w:rsidRPr="00A752BD">
          <w:rPr>
            <w:rStyle w:val="Hyperlink"/>
            <w:rFonts w:cs="Arial"/>
            <w:noProof/>
          </w:rPr>
          <w:t>5. PbAir and PbB relationships</w:t>
        </w:r>
        <w:r w:rsidR="00F942C9">
          <w:rPr>
            <w:noProof/>
            <w:webHidden/>
          </w:rPr>
          <w:tab/>
        </w:r>
        <w:r w:rsidR="00F942C9">
          <w:rPr>
            <w:noProof/>
            <w:webHidden/>
          </w:rPr>
          <w:fldChar w:fldCharType="begin"/>
        </w:r>
        <w:r w:rsidR="00F942C9">
          <w:rPr>
            <w:noProof/>
            <w:webHidden/>
          </w:rPr>
          <w:instrText xml:space="preserve"> PAGEREF _Toc391288241 \h </w:instrText>
        </w:r>
        <w:r w:rsidR="00F942C9">
          <w:rPr>
            <w:noProof/>
            <w:webHidden/>
          </w:rPr>
        </w:r>
        <w:r w:rsidR="00F942C9">
          <w:rPr>
            <w:noProof/>
            <w:webHidden/>
          </w:rPr>
          <w:fldChar w:fldCharType="separate"/>
        </w:r>
        <w:r w:rsidR="00F942C9">
          <w:rPr>
            <w:noProof/>
            <w:webHidden/>
          </w:rPr>
          <w:t>84</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42" w:history="1">
        <w:r w:rsidR="00F942C9" w:rsidRPr="00A752BD">
          <w:rPr>
            <w:rStyle w:val="Hyperlink"/>
            <w:noProof/>
          </w:rPr>
          <w:t>5.1 Introduction</w:t>
        </w:r>
        <w:r w:rsidR="00F942C9">
          <w:rPr>
            <w:noProof/>
            <w:webHidden/>
          </w:rPr>
          <w:tab/>
        </w:r>
        <w:r w:rsidR="00F942C9">
          <w:rPr>
            <w:noProof/>
            <w:webHidden/>
          </w:rPr>
          <w:fldChar w:fldCharType="begin"/>
        </w:r>
        <w:r w:rsidR="00F942C9">
          <w:rPr>
            <w:noProof/>
            <w:webHidden/>
          </w:rPr>
          <w:instrText xml:space="preserve"> PAGEREF _Toc391288242 \h </w:instrText>
        </w:r>
        <w:r w:rsidR="00F942C9">
          <w:rPr>
            <w:noProof/>
            <w:webHidden/>
          </w:rPr>
        </w:r>
        <w:r w:rsidR="00F942C9">
          <w:rPr>
            <w:noProof/>
            <w:webHidden/>
          </w:rPr>
          <w:fldChar w:fldCharType="separate"/>
        </w:r>
        <w:r w:rsidR="00F942C9">
          <w:rPr>
            <w:noProof/>
            <w:webHidden/>
          </w:rPr>
          <w:t>84</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43" w:history="1">
        <w:r w:rsidR="00F942C9" w:rsidRPr="00A752BD">
          <w:rPr>
            <w:rStyle w:val="Hyperlink"/>
            <w:noProof/>
          </w:rPr>
          <w:t>5.2 Bounding the air slope factor assessment</w:t>
        </w:r>
        <w:r w:rsidR="00F942C9">
          <w:rPr>
            <w:noProof/>
            <w:webHidden/>
          </w:rPr>
          <w:tab/>
        </w:r>
        <w:r w:rsidR="00F942C9">
          <w:rPr>
            <w:noProof/>
            <w:webHidden/>
          </w:rPr>
          <w:fldChar w:fldCharType="begin"/>
        </w:r>
        <w:r w:rsidR="00F942C9">
          <w:rPr>
            <w:noProof/>
            <w:webHidden/>
          </w:rPr>
          <w:instrText xml:space="preserve"> PAGEREF _Toc391288243 \h </w:instrText>
        </w:r>
        <w:r w:rsidR="00F942C9">
          <w:rPr>
            <w:noProof/>
            <w:webHidden/>
          </w:rPr>
        </w:r>
        <w:r w:rsidR="00F942C9">
          <w:rPr>
            <w:noProof/>
            <w:webHidden/>
          </w:rPr>
          <w:fldChar w:fldCharType="separate"/>
        </w:r>
        <w:r w:rsidR="00F942C9">
          <w:rPr>
            <w:noProof/>
            <w:webHidden/>
          </w:rPr>
          <w:t>85</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44" w:history="1">
        <w:r w:rsidR="00F942C9" w:rsidRPr="00A752BD">
          <w:rPr>
            <w:rStyle w:val="Hyperlink"/>
            <w:noProof/>
          </w:rPr>
          <w:t>5.3 Background PbB</w:t>
        </w:r>
        <w:r w:rsidR="00F942C9">
          <w:rPr>
            <w:noProof/>
            <w:webHidden/>
          </w:rPr>
          <w:tab/>
        </w:r>
        <w:r w:rsidR="00F942C9">
          <w:rPr>
            <w:noProof/>
            <w:webHidden/>
          </w:rPr>
          <w:fldChar w:fldCharType="begin"/>
        </w:r>
        <w:r w:rsidR="00F942C9">
          <w:rPr>
            <w:noProof/>
            <w:webHidden/>
          </w:rPr>
          <w:instrText xml:space="preserve"> PAGEREF _Toc391288244 \h </w:instrText>
        </w:r>
        <w:r w:rsidR="00F942C9">
          <w:rPr>
            <w:noProof/>
            <w:webHidden/>
          </w:rPr>
        </w:r>
        <w:r w:rsidR="00F942C9">
          <w:rPr>
            <w:noProof/>
            <w:webHidden/>
          </w:rPr>
          <w:fldChar w:fldCharType="separate"/>
        </w:r>
        <w:r w:rsidR="00F942C9">
          <w:rPr>
            <w:noProof/>
            <w:webHidden/>
          </w:rPr>
          <w:t>88</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45" w:history="1">
        <w:r w:rsidR="00F942C9" w:rsidRPr="00A752BD">
          <w:rPr>
            <w:rStyle w:val="Hyperlink"/>
            <w:noProof/>
          </w:rPr>
          <w:t>5.3.1 General considerations</w:t>
        </w:r>
        <w:r w:rsidR="00F942C9">
          <w:rPr>
            <w:noProof/>
            <w:webHidden/>
          </w:rPr>
          <w:tab/>
        </w:r>
        <w:r w:rsidR="00F942C9">
          <w:rPr>
            <w:noProof/>
            <w:webHidden/>
          </w:rPr>
          <w:fldChar w:fldCharType="begin"/>
        </w:r>
        <w:r w:rsidR="00F942C9">
          <w:rPr>
            <w:noProof/>
            <w:webHidden/>
          </w:rPr>
          <w:instrText xml:space="preserve"> PAGEREF _Toc391288245 \h </w:instrText>
        </w:r>
        <w:r w:rsidR="00F942C9">
          <w:rPr>
            <w:noProof/>
            <w:webHidden/>
          </w:rPr>
        </w:r>
        <w:r w:rsidR="00F942C9">
          <w:rPr>
            <w:noProof/>
            <w:webHidden/>
          </w:rPr>
          <w:fldChar w:fldCharType="separate"/>
        </w:r>
        <w:r w:rsidR="00F942C9">
          <w:rPr>
            <w:noProof/>
            <w:webHidden/>
          </w:rPr>
          <w:t>88</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46" w:history="1">
        <w:r w:rsidR="00F942C9" w:rsidRPr="00A752BD">
          <w:rPr>
            <w:rStyle w:val="Hyperlink"/>
            <w:noProof/>
          </w:rPr>
          <w:t>5.3.2 Community ‘background’ PbB</w:t>
        </w:r>
        <w:r w:rsidR="00F942C9">
          <w:rPr>
            <w:noProof/>
            <w:webHidden/>
          </w:rPr>
          <w:tab/>
        </w:r>
        <w:r w:rsidR="00F942C9">
          <w:rPr>
            <w:noProof/>
            <w:webHidden/>
          </w:rPr>
          <w:fldChar w:fldCharType="begin"/>
        </w:r>
        <w:r w:rsidR="00F942C9">
          <w:rPr>
            <w:noProof/>
            <w:webHidden/>
          </w:rPr>
          <w:instrText xml:space="preserve"> PAGEREF _Toc391288246 \h </w:instrText>
        </w:r>
        <w:r w:rsidR="00F942C9">
          <w:rPr>
            <w:noProof/>
            <w:webHidden/>
          </w:rPr>
        </w:r>
        <w:r w:rsidR="00F942C9">
          <w:rPr>
            <w:noProof/>
            <w:webHidden/>
          </w:rPr>
          <w:fldChar w:fldCharType="separate"/>
        </w:r>
        <w:r w:rsidR="00F942C9">
          <w:rPr>
            <w:noProof/>
            <w:webHidden/>
          </w:rPr>
          <w:t>89</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47" w:history="1">
        <w:r w:rsidR="00F942C9" w:rsidRPr="00A752BD">
          <w:rPr>
            <w:rStyle w:val="Hyperlink"/>
            <w:noProof/>
          </w:rPr>
          <w:t>5.3.3 Non-airborne workplace contamination</w:t>
        </w:r>
        <w:r w:rsidR="00F942C9">
          <w:rPr>
            <w:noProof/>
            <w:webHidden/>
          </w:rPr>
          <w:tab/>
        </w:r>
        <w:r w:rsidR="00F942C9">
          <w:rPr>
            <w:noProof/>
            <w:webHidden/>
          </w:rPr>
          <w:fldChar w:fldCharType="begin"/>
        </w:r>
        <w:r w:rsidR="00F942C9">
          <w:rPr>
            <w:noProof/>
            <w:webHidden/>
          </w:rPr>
          <w:instrText xml:space="preserve"> PAGEREF _Toc391288247 \h </w:instrText>
        </w:r>
        <w:r w:rsidR="00F942C9">
          <w:rPr>
            <w:noProof/>
            <w:webHidden/>
          </w:rPr>
        </w:r>
        <w:r w:rsidR="00F942C9">
          <w:rPr>
            <w:noProof/>
            <w:webHidden/>
          </w:rPr>
          <w:fldChar w:fldCharType="separate"/>
        </w:r>
        <w:r w:rsidR="00F942C9">
          <w:rPr>
            <w:noProof/>
            <w:webHidden/>
          </w:rPr>
          <w:t>91</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48" w:history="1">
        <w:r w:rsidR="00F942C9" w:rsidRPr="00A752BD">
          <w:rPr>
            <w:rStyle w:val="Hyperlink"/>
            <w:noProof/>
          </w:rPr>
          <w:t>5.4 Particle size</w:t>
        </w:r>
        <w:r w:rsidR="00F942C9">
          <w:rPr>
            <w:noProof/>
            <w:webHidden/>
          </w:rPr>
          <w:tab/>
        </w:r>
        <w:r w:rsidR="00F942C9">
          <w:rPr>
            <w:noProof/>
            <w:webHidden/>
          </w:rPr>
          <w:fldChar w:fldCharType="begin"/>
        </w:r>
        <w:r w:rsidR="00F942C9">
          <w:rPr>
            <w:noProof/>
            <w:webHidden/>
          </w:rPr>
          <w:instrText xml:space="preserve"> PAGEREF _Toc391288248 \h </w:instrText>
        </w:r>
        <w:r w:rsidR="00F942C9">
          <w:rPr>
            <w:noProof/>
            <w:webHidden/>
          </w:rPr>
        </w:r>
        <w:r w:rsidR="00F942C9">
          <w:rPr>
            <w:noProof/>
            <w:webHidden/>
          </w:rPr>
          <w:fldChar w:fldCharType="separate"/>
        </w:r>
        <w:r w:rsidR="00F942C9">
          <w:rPr>
            <w:noProof/>
            <w:webHidden/>
          </w:rPr>
          <w:t>92</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49" w:history="1">
        <w:r w:rsidR="00F942C9" w:rsidRPr="00A752BD">
          <w:rPr>
            <w:rStyle w:val="Hyperlink"/>
            <w:noProof/>
          </w:rPr>
          <w:t>5.5 Variability</w:t>
        </w:r>
        <w:r w:rsidR="00F942C9">
          <w:rPr>
            <w:noProof/>
            <w:webHidden/>
          </w:rPr>
          <w:tab/>
        </w:r>
        <w:r w:rsidR="00F942C9">
          <w:rPr>
            <w:noProof/>
            <w:webHidden/>
          </w:rPr>
          <w:fldChar w:fldCharType="begin"/>
        </w:r>
        <w:r w:rsidR="00F942C9">
          <w:rPr>
            <w:noProof/>
            <w:webHidden/>
          </w:rPr>
          <w:instrText xml:space="preserve"> PAGEREF _Toc391288249 \h </w:instrText>
        </w:r>
        <w:r w:rsidR="00F942C9">
          <w:rPr>
            <w:noProof/>
            <w:webHidden/>
          </w:rPr>
        </w:r>
        <w:r w:rsidR="00F942C9">
          <w:rPr>
            <w:noProof/>
            <w:webHidden/>
          </w:rPr>
          <w:fldChar w:fldCharType="separate"/>
        </w:r>
        <w:r w:rsidR="00F942C9">
          <w:rPr>
            <w:noProof/>
            <w:webHidden/>
          </w:rPr>
          <w:t>92</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50" w:history="1">
        <w:r w:rsidR="00F942C9" w:rsidRPr="00A752BD">
          <w:rPr>
            <w:rStyle w:val="Hyperlink"/>
            <w:noProof/>
          </w:rPr>
          <w:t>5.6 Air slope factors</w:t>
        </w:r>
        <w:r w:rsidR="00F942C9">
          <w:rPr>
            <w:noProof/>
            <w:webHidden/>
          </w:rPr>
          <w:tab/>
        </w:r>
        <w:r w:rsidR="00F942C9">
          <w:rPr>
            <w:noProof/>
            <w:webHidden/>
          </w:rPr>
          <w:fldChar w:fldCharType="begin"/>
        </w:r>
        <w:r w:rsidR="00F942C9">
          <w:rPr>
            <w:noProof/>
            <w:webHidden/>
          </w:rPr>
          <w:instrText xml:space="preserve"> PAGEREF _Toc391288250 \h </w:instrText>
        </w:r>
        <w:r w:rsidR="00F942C9">
          <w:rPr>
            <w:noProof/>
            <w:webHidden/>
          </w:rPr>
        </w:r>
        <w:r w:rsidR="00F942C9">
          <w:rPr>
            <w:noProof/>
            <w:webHidden/>
          </w:rPr>
          <w:fldChar w:fldCharType="separate"/>
        </w:r>
        <w:r w:rsidR="00F942C9">
          <w:rPr>
            <w:noProof/>
            <w:webHidden/>
          </w:rPr>
          <w:t>95</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51" w:history="1">
        <w:r w:rsidR="00F942C9" w:rsidRPr="00A752BD">
          <w:rPr>
            <w:rStyle w:val="Hyperlink"/>
            <w:noProof/>
          </w:rPr>
          <w:t>5.6.1 Determination</w:t>
        </w:r>
        <w:r w:rsidR="00F942C9">
          <w:rPr>
            <w:noProof/>
            <w:webHidden/>
          </w:rPr>
          <w:tab/>
        </w:r>
        <w:r w:rsidR="00F942C9">
          <w:rPr>
            <w:noProof/>
            <w:webHidden/>
          </w:rPr>
          <w:fldChar w:fldCharType="begin"/>
        </w:r>
        <w:r w:rsidR="00F942C9">
          <w:rPr>
            <w:noProof/>
            <w:webHidden/>
          </w:rPr>
          <w:instrText xml:space="preserve"> PAGEREF _Toc391288251 \h </w:instrText>
        </w:r>
        <w:r w:rsidR="00F942C9">
          <w:rPr>
            <w:noProof/>
            <w:webHidden/>
          </w:rPr>
        </w:r>
        <w:r w:rsidR="00F942C9">
          <w:rPr>
            <w:noProof/>
            <w:webHidden/>
          </w:rPr>
          <w:fldChar w:fldCharType="separate"/>
        </w:r>
        <w:r w:rsidR="00F942C9">
          <w:rPr>
            <w:noProof/>
            <w:webHidden/>
          </w:rPr>
          <w:t>95</w:t>
        </w:r>
        <w:r w:rsidR="00F942C9">
          <w:rPr>
            <w:noProof/>
            <w:webHidden/>
          </w:rPr>
          <w:fldChar w:fldCharType="end"/>
        </w:r>
      </w:hyperlink>
    </w:p>
    <w:p w:rsidR="00F942C9" w:rsidRDefault="00697BE1">
      <w:pPr>
        <w:pStyle w:val="TOC3"/>
        <w:tabs>
          <w:tab w:val="right" w:leader="dot" w:pos="9913"/>
        </w:tabs>
        <w:rPr>
          <w:rFonts w:asciiTheme="minorHAnsi" w:hAnsiTheme="minorHAnsi"/>
          <w:noProof/>
          <w:lang w:eastAsia="en-AU"/>
        </w:rPr>
      </w:pPr>
      <w:hyperlink w:anchor="_Toc391288252" w:history="1">
        <w:r w:rsidR="00F942C9" w:rsidRPr="00A752BD">
          <w:rPr>
            <w:rStyle w:val="Hyperlink"/>
            <w:noProof/>
          </w:rPr>
          <w:t>5.6.2 Uncertainties</w:t>
        </w:r>
        <w:r w:rsidR="00F942C9">
          <w:rPr>
            <w:noProof/>
            <w:webHidden/>
          </w:rPr>
          <w:tab/>
        </w:r>
        <w:r w:rsidR="00F942C9">
          <w:rPr>
            <w:noProof/>
            <w:webHidden/>
          </w:rPr>
          <w:fldChar w:fldCharType="begin"/>
        </w:r>
        <w:r w:rsidR="00F942C9">
          <w:rPr>
            <w:noProof/>
            <w:webHidden/>
          </w:rPr>
          <w:instrText xml:space="preserve"> PAGEREF _Toc391288252 \h </w:instrText>
        </w:r>
        <w:r w:rsidR="00F942C9">
          <w:rPr>
            <w:noProof/>
            <w:webHidden/>
          </w:rPr>
        </w:r>
        <w:r w:rsidR="00F942C9">
          <w:rPr>
            <w:noProof/>
            <w:webHidden/>
          </w:rPr>
          <w:fldChar w:fldCharType="separate"/>
        </w:r>
        <w:r w:rsidR="00F942C9">
          <w:rPr>
            <w:noProof/>
            <w:webHidden/>
          </w:rPr>
          <w:t>97</w:t>
        </w:r>
        <w:r w:rsidR="00F942C9">
          <w:rPr>
            <w:noProof/>
            <w:webHidden/>
          </w:rPr>
          <w:fldChar w:fldCharType="end"/>
        </w:r>
      </w:hyperlink>
    </w:p>
    <w:p w:rsidR="00F942C9" w:rsidRDefault="00697BE1">
      <w:pPr>
        <w:pStyle w:val="TOC2"/>
        <w:tabs>
          <w:tab w:val="right" w:leader="dot" w:pos="9913"/>
        </w:tabs>
        <w:rPr>
          <w:rFonts w:asciiTheme="minorHAnsi" w:hAnsiTheme="minorHAnsi"/>
          <w:noProof/>
          <w:lang w:eastAsia="en-AU"/>
        </w:rPr>
      </w:pPr>
      <w:hyperlink w:anchor="_Toc391288253" w:history="1">
        <w:r w:rsidR="00F942C9" w:rsidRPr="00A752BD">
          <w:rPr>
            <w:rStyle w:val="Hyperlink"/>
            <w:noProof/>
          </w:rPr>
          <w:t>5.7 Key points in Section 5</w:t>
        </w:r>
        <w:r w:rsidR="00F942C9">
          <w:rPr>
            <w:noProof/>
            <w:webHidden/>
          </w:rPr>
          <w:tab/>
        </w:r>
        <w:r w:rsidR="00F942C9">
          <w:rPr>
            <w:noProof/>
            <w:webHidden/>
          </w:rPr>
          <w:fldChar w:fldCharType="begin"/>
        </w:r>
        <w:r w:rsidR="00F942C9">
          <w:rPr>
            <w:noProof/>
            <w:webHidden/>
          </w:rPr>
          <w:instrText xml:space="preserve"> PAGEREF _Toc391288253 \h </w:instrText>
        </w:r>
        <w:r w:rsidR="00F942C9">
          <w:rPr>
            <w:noProof/>
            <w:webHidden/>
          </w:rPr>
        </w:r>
        <w:r w:rsidR="00F942C9">
          <w:rPr>
            <w:noProof/>
            <w:webHidden/>
          </w:rPr>
          <w:fldChar w:fldCharType="separate"/>
        </w:r>
        <w:r w:rsidR="00F942C9">
          <w:rPr>
            <w:noProof/>
            <w:webHidden/>
          </w:rPr>
          <w:t>98</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54" w:history="1">
        <w:r w:rsidR="00F942C9" w:rsidRPr="00A752BD">
          <w:rPr>
            <w:rStyle w:val="Hyperlink"/>
            <w:noProof/>
          </w:rPr>
          <w:t>6. Implications for recommended WES</w:t>
        </w:r>
        <w:r w:rsidR="00F942C9">
          <w:rPr>
            <w:noProof/>
            <w:webHidden/>
          </w:rPr>
          <w:tab/>
        </w:r>
        <w:r w:rsidR="00F942C9">
          <w:rPr>
            <w:noProof/>
            <w:webHidden/>
          </w:rPr>
          <w:fldChar w:fldCharType="begin"/>
        </w:r>
        <w:r w:rsidR="00F942C9">
          <w:rPr>
            <w:noProof/>
            <w:webHidden/>
          </w:rPr>
          <w:instrText xml:space="preserve"> PAGEREF _Toc391288254 \h </w:instrText>
        </w:r>
        <w:r w:rsidR="00F942C9">
          <w:rPr>
            <w:noProof/>
            <w:webHidden/>
          </w:rPr>
        </w:r>
        <w:r w:rsidR="00F942C9">
          <w:rPr>
            <w:noProof/>
            <w:webHidden/>
          </w:rPr>
          <w:fldChar w:fldCharType="separate"/>
        </w:r>
        <w:r w:rsidR="00F942C9">
          <w:rPr>
            <w:noProof/>
            <w:webHidden/>
          </w:rPr>
          <w:t>100</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55" w:history="1">
        <w:r w:rsidR="00F942C9" w:rsidRPr="00A752BD">
          <w:rPr>
            <w:rStyle w:val="Hyperlink"/>
            <w:noProof/>
          </w:rPr>
          <w:t>7. Concluding remarks</w:t>
        </w:r>
        <w:r w:rsidR="00F942C9">
          <w:rPr>
            <w:noProof/>
            <w:webHidden/>
          </w:rPr>
          <w:tab/>
        </w:r>
        <w:r w:rsidR="00F942C9">
          <w:rPr>
            <w:noProof/>
            <w:webHidden/>
          </w:rPr>
          <w:fldChar w:fldCharType="begin"/>
        </w:r>
        <w:r w:rsidR="00F942C9">
          <w:rPr>
            <w:noProof/>
            <w:webHidden/>
          </w:rPr>
          <w:instrText xml:space="preserve"> PAGEREF _Toc391288255 \h </w:instrText>
        </w:r>
        <w:r w:rsidR="00F942C9">
          <w:rPr>
            <w:noProof/>
            <w:webHidden/>
          </w:rPr>
        </w:r>
        <w:r w:rsidR="00F942C9">
          <w:rPr>
            <w:noProof/>
            <w:webHidden/>
          </w:rPr>
          <w:fldChar w:fldCharType="separate"/>
        </w:r>
        <w:r w:rsidR="00F942C9">
          <w:rPr>
            <w:noProof/>
            <w:webHidden/>
          </w:rPr>
          <w:t>103</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56" w:history="1">
        <w:r w:rsidR="00F942C9" w:rsidRPr="00A752BD">
          <w:rPr>
            <w:rStyle w:val="Hyperlink"/>
            <w:noProof/>
          </w:rPr>
          <w:t>References</w:t>
        </w:r>
        <w:r w:rsidR="00F942C9">
          <w:rPr>
            <w:noProof/>
            <w:webHidden/>
          </w:rPr>
          <w:tab/>
        </w:r>
        <w:r w:rsidR="00F942C9">
          <w:rPr>
            <w:noProof/>
            <w:webHidden/>
          </w:rPr>
          <w:fldChar w:fldCharType="begin"/>
        </w:r>
        <w:r w:rsidR="00F942C9">
          <w:rPr>
            <w:noProof/>
            <w:webHidden/>
          </w:rPr>
          <w:instrText xml:space="preserve"> PAGEREF _Toc391288256 \h </w:instrText>
        </w:r>
        <w:r w:rsidR="00F942C9">
          <w:rPr>
            <w:noProof/>
            <w:webHidden/>
          </w:rPr>
        </w:r>
        <w:r w:rsidR="00F942C9">
          <w:rPr>
            <w:noProof/>
            <w:webHidden/>
          </w:rPr>
          <w:fldChar w:fldCharType="separate"/>
        </w:r>
        <w:r w:rsidR="00F942C9">
          <w:rPr>
            <w:noProof/>
            <w:webHidden/>
          </w:rPr>
          <w:t>105</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57" w:history="1">
        <w:r w:rsidR="00F942C9" w:rsidRPr="00A752BD">
          <w:rPr>
            <w:rStyle w:val="Hyperlink"/>
            <w:noProof/>
          </w:rPr>
          <w:t>Appendix A: Literature search strategy, Part A</w:t>
        </w:r>
        <w:r w:rsidR="00F942C9">
          <w:rPr>
            <w:noProof/>
            <w:webHidden/>
          </w:rPr>
          <w:tab/>
        </w:r>
        <w:r w:rsidR="00F942C9">
          <w:rPr>
            <w:noProof/>
            <w:webHidden/>
          </w:rPr>
          <w:fldChar w:fldCharType="begin"/>
        </w:r>
        <w:r w:rsidR="00F942C9">
          <w:rPr>
            <w:noProof/>
            <w:webHidden/>
          </w:rPr>
          <w:instrText xml:space="preserve"> PAGEREF _Toc391288257 \h </w:instrText>
        </w:r>
        <w:r w:rsidR="00F942C9">
          <w:rPr>
            <w:noProof/>
            <w:webHidden/>
          </w:rPr>
        </w:r>
        <w:r w:rsidR="00F942C9">
          <w:rPr>
            <w:noProof/>
            <w:webHidden/>
          </w:rPr>
          <w:fldChar w:fldCharType="separate"/>
        </w:r>
        <w:r w:rsidR="00F942C9">
          <w:rPr>
            <w:noProof/>
            <w:webHidden/>
          </w:rPr>
          <w:t>129</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58" w:history="1">
        <w:r w:rsidR="00F942C9" w:rsidRPr="00A752BD">
          <w:rPr>
            <w:rStyle w:val="Hyperlink"/>
            <w:noProof/>
          </w:rPr>
          <w:t>Appendix B: Literature search strategy, Part B</w:t>
        </w:r>
        <w:r w:rsidR="00F942C9">
          <w:rPr>
            <w:noProof/>
            <w:webHidden/>
          </w:rPr>
          <w:tab/>
        </w:r>
        <w:r w:rsidR="00F942C9">
          <w:rPr>
            <w:noProof/>
            <w:webHidden/>
          </w:rPr>
          <w:fldChar w:fldCharType="begin"/>
        </w:r>
        <w:r w:rsidR="00F942C9">
          <w:rPr>
            <w:noProof/>
            <w:webHidden/>
          </w:rPr>
          <w:instrText xml:space="preserve"> PAGEREF _Toc391288258 \h </w:instrText>
        </w:r>
        <w:r w:rsidR="00F942C9">
          <w:rPr>
            <w:noProof/>
            <w:webHidden/>
          </w:rPr>
        </w:r>
        <w:r w:rsidR="00F942C9">
          <w:rPr>
            <w:noProof/>
            <w:webHidden/>
          </w:rPr>
          <w:fldChar w:fldCharType="separate"/>
        </w:r>
        <w:r w:rsidR="00F942C9">
          <w:rPr>
            <w:noProof/>
            <w:webHidden/>
          </w:rPr>
          <w:t>132</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59" w:history="1">
        <w:r w:rsidR="00F942C9" w:rsidRPr="00A752BD">
          <w:rPr>
            <w:rStyle w:val="Hyperlink"/>
            <w:noProof/>
          </w:rPr>
          <w:t>Appendix C: Background PbB in adults</w:t>
        </w:r>
        <w:r w:rsidR="00F942C9">
          <w:rPr>
            <w:noProof/>
            <w:webHidden/>
          </w:rPr>
          <w:tab/>
        </w:r>
        <w:r w:rsidR="00F942C9">
          <w:rPr>
            <w:noProof/>
            <w:webHidden/>
          </w:rPr>
          <w:fldChar w:fldCharType="begin"/>
        </w:r>
        <w:r w:rsidR="00F942C9">
          <w:rPr>
            <w:noProof/>
            <w:webHidden/>
          </w:rPr>
          <w:instrText xml:space="preserve"> PAGEREF _Toc391288259 \h </w:instrText>
        </w:r>
        <w:r w:rsidR="00F942C9">
          <w:rPr>
            <w:noProof/>
            <w:webHidden/>
          </w:rPr>
        </w:r>
        <w:r w:rsidR="00F942C9">
          <w:rPr>
            <w:noProof/>
            <w:webHidden/>
          </w:rPr>
          <w:fldChar w:fldCharType="separate"/>
        </w:r>
        <w:r w:rsidR="00F942C9">
          <w:rPr>
            <w:noProof/>
            <w:webHidden/>
          </w:rPr>
          <w:t>133</w:t>
        </w:r>
        <w:r w:rsidR="00F942C9">
          <w:rPr>
            <w:noProof/>
            <w:webHidden/>
          </w:rPr>
          <w:fldChar w:fldCharType="end"/>
        </w:r>
      </w:hyperlink>
    </w:p>
    <w:p w:rsidR="00F942C9" w:rsidRDefault="00697BE1">
      <w:pPr>
        <w:pStyle w:val="TOC1"/>
        <w:tabs>
          <w:tab w:val="right" w:leader="dot" w:pos="9913"/>
        </w:tabs>
        <w:rPr>
          <w:rFonts w:asciiTheme="minorHAnsi" w:hAnsiTheme="minorHAnsi"/>
          <w:noProof/>
          <w:lang w:eastAsia="en-AU"/>
        </w:rPr>
      </w:pPr>
      <w:hyperlink w:anchor="_Toc391288260" w:history="1">
        <w:r w:rsidR="00F942C9" w:rsidRPr="00A752BD">
          <w:rPr>
            <w:rStyle w:val="Hyperlink"/>
            <w:noProof/>
          </w:rPr>
          <w:t>Appendix D: Leaded petrol consumption in Australia and overseas</w:t>
        </w:r>
        <w:r w:rsidR="00F942C9">
          <w:rPr>
            <w:noProof/>
            <w:webHidden/>
          </w:rPr>
          <w:tab/>
        </w:r>
        <w:r w:rsidR="00F942C9">
          <w:rPr>
            <w:noProof/>
            <w:webHidden/>
          </w:rPr>
          <w:fldChar w:fldCharType="begin"/>
        </w:r>
        <w:r w:rsidR="00F942C9">
          <w:rPr>
            <w:noProof/>
            <w:webHidden/>
          </w:rPr>
          <w:instrText xml:space="preserve"> PAGEREF _Toc391288260 \h </w:instrText>
        </w:r>
        <w:r w:rsidR="00F942C9">
          <w:rPr>
            <w:noProof/>
            <w:webHidden/>
          </w:rPr>
        </w:r>
        <w:r w:rsidR="00F942C9">
          <w:rPr>
            <w:noProof/>
            <w:webHidden/>
          </w:rPr>
          <w:fldChar w:fldCharType="separate"/>
        </w:r>
        <w:r w:rsidR="00F942C9">
          <w:rPr>
            <w:noProof/>
            <w:webHidden/>
          </w:rPr>
          <w:t>141</w:t>
        </w:r>
        <w:r w:rsidR="00F942C9">
          <w:rPr>
            <w:noProof/>
            <w:webHidden/>
          </w:rPr>
          <w:fldChar w:fldCharType="end"/>
        </w:r>
      </w:hyperlink>
    </w:p>
    <w:p w:rsidR="00C7609F" w:rsidRDefault="003D35E2" w:rsidP="00483634">
      <w:pPr>
        <w:spacing w:line="240" w:lineRule="auto"/>
      </w:pPr>
      <w:r>
        <w:fldChar w:fldCharType="end"/>
      </w:r>
      <w:r w:rsidR="00C7609F">
        <w:br w:type="page"/>
      </w:r>
    </w:p>
    <w:p w:rsidR="00C7609F" w:rsidRDefault="00C7609F" w:rsidP="00242F1D">
      <w:pPr>
        <w:pStyle w:val="Heading1"/>
        <w:numPr>
          <w:ilvl w:val="0"/>
          <w:numId w:val="12"/>
        </w:numPr>
      </w:pPr>
      <w:bookmarkStart w:id="5" w:name="_Toc391288213"/>
      <w:r>
        <w:lastRenderedPageBreak/>
        <w:t>Introduction</w:t>
      </w:r>
      <w:r w:rsidR="005C4ED0">
        <w:t xml:space="preserve"> and s</w:t>
      </w:r>
      <w:r>
        <w:t>cope</w:t>
      </w:r>
      <w:bookmarkEnd w:id="5"/>
    </w:p>
    <w:p w:rsidR="006C3C76" w:rsidRDefault="005C4ED0" w:rsidP="005C4ED0">
      <w:r w:rsidRPr="005C4ED0">
        <w:t xml:space="preserve">This report is the culmination of a project commissioned by </w:t>
      </w:r>
      <w:r w:rsidR="00ED7F03">
        <w:t>Safe Work</w:t>
      </w:r>
      <w:r w:rsidRPr="005C4ED0">
        <w:t xml:space="preserve"> Australia to assist with revision of the </w:t>
      </w:r>
      <w:r w:rsidR="006C3C76">
        <w:t>current blood lead removal levels</w:t>
      </w:r>
      <w:r w:rsidR="006C3C76" w:rsidRPr="005C4ED0">
        <w:t xml:space="preserve"> (</w:t>
      </w:r>
      <w:r w:rsidR="006C3C76" w:rsidRPr="005C147B">
        <w:t>BLRL)</w:t>
      </w:r>
      <w:r w:rsidR="006C3C76">
        <w:t xml:space="preserve"> and associated </w:t>
      </w:r>
      <w:r w:rsidRPr="005C4ED0">
        <w:t xml:space="preserve">workplace exposure standard (WES) for lead in </w:t>
      </w:r>
      <w:r w:rsidR="00657CC5">
        <w:t xml:space="preserve">workplace </w:t>
      </w:r>
      <w:r w:rsidRPr="005C4ED0">
        <w:t xml:space="preserve">air </w:t>
      </w:r>
      <w:r w:rsidR="0072100B">
        <w:t>(PbAir)</w:t>
      </w:r>
      <w:r w:rsidR="006C3C76">
        <w:t>.</w:t>
      </w:r>
    </w:p>
    <w:p w:rsidR="00F12C6B" w:rsidRDefault="00F12C6B" w:rsidP="005C4ED0"/>
    <w:p w:rsidR="00AD42DE" w:rsidRDefault="00AD42DE" w:rsidP="00AD42DE">
      <w:r>
        <w:t>The report consists of the following:</w:t>
      </w:r>
    </w:p>
    <w:p w:rsidR="00AD42DE" w:rsidRDefault="00AD42DE" w:rsidP="008453B5">
      <w:pPr>
        <w:pStyle w:val="ListParagraph"/>
        <w:numPr>
          <w:ilvl w:val="0"/>
          <w:numId w:val="33"/>
        </w:numPr>
      </w:pPr>
      <w:r>
        <w:t xml:space="preserve">In order to provide perspective on overseas opinions and regulatory status of </w:t>
      </w:r>
      <w:r w:rsidR="005041F4">
        <w:t>lead</w:t>
      </w:r>
      <w:r>
        <w:t xml:space="preserve"> in the workplace, a review of international </w:t>
      </w:r>
      <w:r w:rsidR="005041F4">
        <w:t xml:space="preserve">BLRLs and WES’s, </w:t>
      </w:r>
      <w:r>
        <w:t xml:space="preserve">and their derivation is provided. </w:t>
      </w:r>
    </w:p>
    <w:p w:rsidR="00AD42DE" w:rsidRDefault="00AD42DE" w:rsidP="008453B5">
      <w:pPr>
        <w:pStyle w:val="ListParagraph"/>
        <w:numPr>
          <w:ilvl w:val="0"/>
          <w:numId w:val="33"/>
        </w:numPr>
      </w:pPr>
      <w:r>
        <w:t>An examination of the alternatives to blood lead (PbB) for biomonitoring.</w:t>
      </w:r>
      <w:r w:rsidR="00AB7AE2">
        <w:t xml:space="preserve"> </w:t>
      </w:r>
      <w:r>
        <w:t>This is to inform whether measurements of lead in a different biological medium to whole blood, or something other than lead (e.g. ch</w:t>
      </w:r>
      <w:r w:rsidR="005041F4">
        <w:t>anges in certain enzyme activities</w:t>
      </w:r>
      <w:r>
        <w:t xml:space="preserve"> in blood) could be measured that would give more sensitive and/or more meaningful information regarding exposure and health effects than does PbB.  </w:t>
      </w:r>
    </w:p>
    <w:p w:rsidR="00AD42DE" w:rsidRDefault="00AD42DE" w:rsidP="008453B5">
      <w:pPr>
        <w:pStyle w:val="ListParagraph"/>
        <w:numPr>
          <w:ilvl w:val="0"/>
          <w:numId w:val="33"/>
        </w:numPr>
      </w:pPr>
      <w:r>
        <w:t xml:space="preserve">A review of toxicological information for lead relevant to workplace exposures. Rather than re-reviewing vast amounts of literature already adequately reviewed by national and international authorities, existing agency reviews were consulted for the bulk of the health information. However critical papers and reports identified in the reviews </w:t>
      </w:r>
      <w:r w:rsidR="005041F4">
        <w:t>have been</w:t>
      </w:r>
      <w:r>
        <w:t xml:space="preserve"> sourced and consulted. An updated literature search was also conducted to </w:t>
      </w:r>
      <w:r w:rsidR="005041F4">
        <w:t>identify</w:t>
      </w:r>
      <w:r>
        <w:t xml:space="preserve"> recently published relevant information. The toxicological information for lead was used to inform suggested BLRL</w:t>
      </w:r>
      <w:r w:rsidR="005041F4">
        <w:t>s</w:t>
      </w:r>
      <w:r>
        <w:t xml:space="preserve"> for prevention of health effects. </w:t>
      </w:r>
    </w:p>
    <w:p w:rsidR="00AD42DE" w:rsidRDefault="00AD42DE" w:rsidP="008453B5">
      <w:pPr>
        <w:pStyle w:val="ListParagraph"/>
        <w:numPr>
          <w:ilvl w:val="0"/>
          <w:numId w:val="33"/>
        </w:numPr>
      </w:pPr>
      <w:r>
        <w:t xml:space="preserve">An investigation of the </w:t>
      </w:r>
      <w:r w:rsidR="00AB7AE2">
        <w:t>relationship</w:t>
      </w:r>
      <w:r>
        <w:t xml:space="preserve">(s) between PbAir and PbB. The decision on an appropriate WES depends to a great extent on a PbB concentration considered to be health protective and the concentration of lead in workplace air that will achieve a PbB below the nominated BLRL.  </w:t>
      </w:r>
    </w:p>
    <w:p w:rsidR="006E3917" w:rsidRDefault="00AD42DE" w:rsidP="008453B5">
      <w:pPr>
        <w:pStyle w:val="ListParagraph"/>
        <w:numPr>
          <w:ilvl w:val="0"/>
          <w:numId w:val="33"/>
        </w:numPr>
      </w:pPr>
      <w:r>
        <w:t>A discussion of the overall information in relation to the derivation of an BLRL</w:t>
      </w:r>
      <w:r w:rsidR="005041F4">
        <w:t xml:space="preserve"> and WES</w:t>
      </w:r>
      <w:r>
        <w:t xml:space="preserve"> that will be appropriately heal</w:t>
      </w:r>
      <w:r w:rsidR="005041F4">
        <w:t>th protective for nearly all wor</w:t>
      </w:r>
      <w:r>
        <w:t>kers. In this</w:t>
      </w:r>
      <w:r w:rsidR="005041F4">
        <w:t>,</w:t>
      </w:r>
      <w:r>
        <w:t xml:space="preserve"> women of non-reproductive capacity and men have been considered as a group, and women of reproductive capacity as a separate group</w:t>
      </w:r>
      <w:r w:rsidR="004C7969">
        <w:t xml:space="preserve"> </w:t>
      </w:r>
      <w:r>
        <w:t xml:space="preserve"> </w:t>
      </w:r>
    </w:p>
    <w:p w:rsidR="008246C3" w:rsidRDefault="008246C3" w:rsidP="008246C3"/>
    <w:p w:rsidR="005C4ED0" w:rsidRPr="005C4ED0" w:rsidRDefault="005C4ED0" w:rsidP="005C4ED0">
      <w:pPr>
        <w:pStyle w:val="Heading1"/>
      </w:pPr>
      <w:bookmarkStart w:id="6" w:name="_Toc391288214"/>
      <w:r w:rsidRPr="005C4ED0">
        <w:t>2. International regulatory benchmarking</w:t>
      </w:r>
      <w:bookmarkEnd w:id="6"/>
    </w:p>
    <w:p w:rsidR="005C4ED0" w:rsidRDefault="005C4ED0" w:rsidP="00DA17FF">
      <w:r w:rsidRPr="005C4ED0">
        <w:t xml:space="preserve">In this </w:t>
      </w:r>
      <w:r w:rsidR="001F6539">
        <w:t>section</w:t>
      </w:r>
      <w:r w:rsidRPr="005C4ED0">
        <w:t xml:space="preserve"> contemporary international </w:t>
      </w:r>
      <w:r w:rsidR="00002403">
        <w:t xml:space="preserve">WES </w:t>
      </w:r>
      <w:r w:rsidRPr="005C4ED0">
        <w:t xml:space="preserve">and </w:t>
      </w:r>
      <w:r w:rsidR="005C147B" w:rsidRPr="005C147B">
        <w:t xml:space="preserve">BLRL </w:t>
      </w:r>
      <w:r w:rsidRPr="005C147B">
        <w:t xml:space="preserve">for lead are reviewed. </w:t>
      </w:r>
      <w:r w:rsidR="00002403" w:rsidRPr="005C147B">
        <w:t>Although the terminology used in this report is WES (i.e. workplace exposure standard)</w:t>
      </w:r>
      <w:r w:rsidR="00EE730E" w:rsidRPr="005C147B">
        <w:t xml:space="preserve"> and </w:t>
      </w:r>
      <w:r w:rsidR="005C147B" w:rsidRPr="005C147B">
        <w:t xml:space="preserve">BLRL </w:t>
      </w:r>
      <w:r w:rsidR="00EE730E" w:rsidRPr="005C147B">
        <w:t xml:space="preserve">(i.e. </w:t>
      </w:r>
      <w:r w:rsidR="005C147B" w:rsidRPr="00AB1FC5">
        <w:t>blood lead removal level</w:t>
      </w:r>
      <w:r w:rsidR="00EE730E" w:rsidRPr="00AB1FC5">
        <w:t>)</w:t>
      </w:r>
      <w:r w:rsidR="00002403" w:rsidRPr="005C147B">
        <w:t xml:space="preserve">, agencies may </w:t>
      </w:r>
      <w:r w:rsidR="00EE730E" w:rsidRPr="005C147B">
        <w:t>have different</w:t>
      </w:r>
      <w:r w:rsidR="00EE730E">
        <w:t xml:space="preserve"> names for such </w:t>
      </w:r>
      <w:r w:rsidR="00002403">
        <w:t>limit</w:t>
      </w:r>
      <w:r w:rsidR="00EE730E">
        <w:t>s</w:t>
      </w:r>
      <w:r w:rsidR="00002403">
        <w:t xml:space="preserve"> (e.g. occupational exposure limit, threshold limit value, permissible exposure limit, Maximale Abeitsplatzkonzentration, </w:t>
      </w:r>
      <w:r w:rsidR="00EE730E">
        <w:t xml:space="preserve">biological exposure index, </w:t>
      </w:r>
      <w:r w:rsidR="00002403">
        <w:t xml:space="preserve">etc.). </w:t>
      </w:r>
    </w:p>
    <w:p w:rsidR="005C4ED0" w:rsidRDefault="005C4ED0" w:rsidP="00DA17FF"/>
    <w:p w:rsidR="00C85E4A" w:rsidRDefault="005C4ED0" w:rsidP="00DA17FF">
      <w:r w:rsidRPr="005C4ED0">
        <w:lastRenderedPageBreak/>
        <w:t xml:space="preserve">The literature search strategy for </w:t>
      </w:r>
      <w:r w:rsidR="00DA17FF">
        <w:t>identifying</w:t>
      </w:r>
      <w:r w:rsidRPr="005C4ED0">
        <w:t xml:space="preserve"> existing exposure standards for lead </w:t>
      </w:r>
      <w:r w:rsidR="00DA17FF">
        <w:t xml:space="preserve">and alternatives for </w:t>
      </w:r>
      <w:r w:rsidR="000C3863">
        <w:t>PbB</w:t>
      </w:r>
      <w:r w:rsidR="00DA17FF">
        <w:t xml:space="preserve"> measurement </w:t>
      </w:r>
      <w:r w:rsidRPr="005C4ED0">
        <w:t xml:space="preserve">is described in Appendix A. The search canvassed 30 international Federal or State agencies and while the primary target of the search was for promulgations within the last five years few were found. Of particular interest were </w:t>
      </w:r>
      <w:r w:rsidR="00002403">
        <w:t xml:space="preserve">WES </w:t>
      </w:r>
      <w:r w:rsidRPr="005C147B">
        <w:t xml:space="preserve">and/or </w:t>
      </w:r>
      <w:r w:rsidR="005C147B" w:rsidRPr="005C147B">
        <w:t>BLRL</w:t>
      </w:r>
      <w:r w:rsidR="005C147B" w:rsidRPr="005C4ED0">
        <w:t xml:space="preserve"> </w:t>
      </w:r>
      <w:r w:rsidRPr="005C4ED0">
        <w:t xml:space="preserve">that had accessible supporting documentation.  </w:t>
      </w:r>
      <w:r w:rsidR="00DA17FF" w:rsidRPr="00DA17FF">
        <w:t xml:space="preserve">When </w:t>
      </w:r>
      <w:r w:rsidR="0009468C">
        <w:t xml:space="preserve">such </w:t>
      </w:r>
      <w:r w:rsidR="00DA17FF" w:rsidRPr="00DA17FF">
        <w:t xml:space="preserve">background documentation </w:t>
      </w:r>
      <w:r w:rsidR="00DA17FF">
        <w:t>was</w:t>
      </w:r>
      <w:r w:rsidR="00DA17FF" w:rsidRPr="00DA17FF">
        <w:t xml:space="preserve"> available it has been reviewed and a summary of the technical rationale provided.</w:t>
      </w:r>
    </w:p>
    <w:p w:rsidR="00025217" w:rsidRDefault="00025217" w:rsidP="00DA17FF"/>
    <w:p w:rsidR="008246C3" w:rsidRPr="00DA17FF" w:rsidRDefault="008246C3" w:rsidP="00DA17FF">
      <w:pPr>
        <w:pStyle w:val="Heading2"/>
      </w:pPr>
      <w:bookmarkStart w:id="7" w:name="_Toc391288215"/>
      <w:r w:rsidRPr="00DA17FF">
        <w:t>2</w:t>
      </w:r>
      <w:r w:rsidR="00DA17FF">
        <w:t>.1</w:t>
      </w:r>
      <w:r w:rsidRPr="00DA17FF">
        <w:t xml:space="preserve">. </w:t>
      </w:r>
      <w:r w:rsidR="00B00E98" w:rsidRPr="00DA17FF">
        <w:t xml:space="preserve">Contemporary </w:t>
      </w:r>
      <w:r w:rsidR="000D644E">
        <w:t>WES</w:t>
      </w:r>
      <w:r w:rsidR="00B00E98" w:rsidRPr="00DA17FF">
        <w:t xml:space="preserve"> for </w:t>
      </w:r>
      <w:r w:rsidR="00CB763F" w:rsidRPr="00DA17FF">
        <w:t xml:space="preserve">inorganic </w:t>
      </w:r>
      <w:r w:rsidR="0072100B">
        <w:t>PbAir</w:t>
      </w:r>
      <w:r w:rsidR="00B00E98" w:rsidRPr="00DA17FF">
        <w:t xml:space="preserve"> and </w:t>
      </w:r>
      <w:r w:rsidR="00494A4B">
        <w:t>BLRL</w:t>
      </w:r>
      <w:bookmarkEnd w:id="7"/>
      <w:r w:rsidR="0072100B" w:rsidRPr="00DA17FF">
        <w:t xml:space="preserve"> </w:t>
      </w:r>
    </w:p>
    <w:p w:rsidR="00B00E98" w:rsidRDefault="00767288" w:rsidP="000D644E">
      <w:pPr>
        <w:pStyle w:val="Heading3"/>
        <w:tabs>
          <w:tab w:val="left" w:pos="6674"/>
        </w:tabs>
      </w:pPr>
      <w:bookmarkStart w:id="8" w:name="_Toc391288216"/>
      <w:r>
        <w:t>2.1</w:t>
      </w:r>
      <w:r w:rsidR="00DA17FF">
        <w:t>.1</w:t>
      </w:r>
      <w:r>
        <w:t xml:space="preserve"> Summary of </w:t>
      </w:r>
      <w:r w:rsidR="001619F2">
        <w:t xml:space="preserve">WES and </w:t>
      </w:r>
      <w:r w:rsidR="00314205">
        <w:t>BLRL</w:t>
      </w:r>
      <w:bookmarkEnd w:id="8"/>
      <w:r w:rsidR="000F4910">
        <w:tab/>
      </w:r>
    </w:p>
    <w:p w:rsidR="00AA3AE2" w:rsidRDefault="00AA3AE2" w:rsidP="00AA3AE2">
      <w:r>
        <w:t>Table</w:t>
      </w:r>
      <w:r w:rsidR="00024D0A">
        <w:t>s</w:t>
      </w:r>
      <w:r>
        <w:t xml:space="preserve"> 2.1 </w:t>
      </w:r>
      <w:r w:rsidR="00024D0A">
        <w:t xml:space="preserve">and 2.2 </w:t>
      </w:r>
      <w:r w:rsidR="00652025">
        <w:t>provide</w:t>
      </w:r>
      <w:r>
        <w:t xml:space="preserve"> a summary of international </w:t>
      </w:r>
      <w:r w:rsidR="000F4910">
        <w:t>WES</w:t>
      </w:r>
      <w:r w:rsidR="00FB6676">
        <w:t>s</w:t>
      </w:r>
      <w:r>
        <w:t xml:space="preserve"> for </w:t>
      </w:r>
      <w:r w:rsidR="0072100B">
        <w:t>PbAir</w:t>
      </w:r>
      <w:r w:rsidR="00E25319">
        <w:t xml:space="preserve">, as well as </w:t>
      </w:r>
      <w:r w:rsidR="00153A91" w:rsidRPr="007F30A6">
        <w:t xml:space="preserve">legislated </w:t>
      </w:r>
      <w:r w:rsidR="007F30A6" w:rsidRPr="007F30A6">
        <w:t xml:space="preserve">or non-legislated </w:t>
      </w:r>
      <w:r w:rsidR="00153A91" w:rsidRPr="007F30A6">
        <w:t>blood lead removal level</w:t>
      </w:r>
      <w:r w:rsidR="00E25319" w:rsidRPr="007F30A6">
        <w:t>s</w:t>
      </w:r>
      <w:r w:rsidR="00153A91" w:rsidRPr="007F30A6">
        <w:t xml:space="preserve"> (</w:t>
      </w:r>
      <w:r w:rsidR="00314205">
        <w:t>BLRL</w:t>
      </w:r>
      <w:r w:rsidR="00153A91" w:rsidRPr="007F30A6">
        <w:t>)</w:t>
      </w:r>
      <w:r w:rsidR="00E25319">
        <w:t>.</w:t>
      </w:r>
      <w:r w:rsidR="00153A91">
        <w:t xml:space="preserve"> </w:t>
      </w:r>
      <w:r>
        <w:t>From inspecting the table</w:t>
      </w:r>
      <w:r w:rsidR="00024D0A">
        <w:t>s</w:t>
      </w:r>
      <w:r>
        <w:t xml:space="preserve">, the following summary comments </w:t>
      </w:r>
      <w:r w:rsidR="00652025">
        <w:t>are</w:t>
      </w:r>
      <w:r>
        <w:t xml:space="preserve"> made:</w:t>
      </w:r>
    </w:p>
    <w:p w:rsidR="000A1BA9" w:rsidRDefault="000A1BA9" w:rsidP="00AA3AE2"/>
    <w:p w:rsidR="00AA3AE2" w:rsidRPr="00AA3AE2" w:rsidRDefault="00002403" w:rsidP="00AA3AE2">
      <w:pPr>
        <w:pStyle w:val="ListParagraph"/>
        <w:numPr>
          <w:ilvl w:val="0"/>
          <w:numId w:val="4"/>
        </w:numPr>
      </w:pPr>
      <w:r>
        <w:t>WES</w:t>
      </w:r>
      <w:r w:rsidR="00AA3AE2">
        <w:t xml:space="preserve"> for </w:t>
      </w:r>
      <w:r w:rsidR="001619F2">
        <w:t>PbAir</w:t>
      </w:r>
      <w:r w:rsidR="00AA3AE2">
        <w:t xml:space="preserve"> range from </w:t>
      </w:r>
      <w:r w:rsidR="00A87F7C">
        <w:t>0.03</w:t>
      </w:r>
      <w:r w:rsidR="00AA3AE2">
        <w:t xml:space="preserve"> to </w:t>
      </w:r>
      <w:r w:rsidR="00153A91">
        <w:t>0.</w:t>
      </w:r>
      <w:r w:rsidR="00AA3AE2">
        <w:t xml:space="preserve">15 </w:t>
      </w:r>
      <w:r w:rsidR="00153A91">
        <w:rPr>
          <w:rFonts w:cs="Arial"/>
        </w:rPr>
        <w:t>m</w:t>
      </w:r>
      <w:r w:rsidR="00AA3AE2" w:rsidRPr="00AA3AE2">
        <w:rPr>
          <w:rFonts w:cs="Arial"/>
        </w:rPr>
        <w:t>g/m</w:t>
      </w:r>
      <w:r w:rsidR="00AA3AE2" w:rsidRPr="00AA3AE2">
        <w:rPr>
          <w:rFonts w:cs="Arial"/>
          <w:vertAlign w:val="superscript"/>
        </w:rPr>
        <w:t>3</w:t>
      </w:r>
      <w:r w:rsidR="00AA3AE2">
        <w:rPr>
          <w:rFonts w:cs="Arial"/>
        </w:rPr>
        <w:t xml:space="preserve"> </w:t>
      </w:r>
      <w:r w:rsidR="00B72446">
        <w:rPr>
          <w:rFonts w:cs="Arial"/>
        </w:rPr>
        <w:t xml:space="preserve">measured </w:t>
      </w:r>
      <w:r w:rsidR="00AA3AE2">
        <w:rPr>
          <w:rFonts w:cs="Arial"/>
        </w:rPr>
        <w:t>as an 8-hour time-weighted average</w:t>
      </w:r>
      <w:r w:rsidR="00A87F7C">
        <w:rPr>
          <w:rStyle w:val="FootnoteReference"/>
          <w:rFonts w:cs="Arial"/>
        </w:rPr>
        <w:footnoteReference w:id="2"/>
      </w:r>
      <w:r w:rsidR="00AA3AE2">
        <w:rPr>
          <w:rFonts w:cs="Arial"/>
        </w:rPr>
        <w:t xml:space="preserve">. </w:t>
      </w:r>
    </w:p>
    <w:p w:rsidR="00AA3AE2" w:rsidRDefault="00754780" w:rsidP="00AA3AE2">
      <w:pPr>
        <w:pStyle w:val="ListParagraph"/>
        <w:numPr>
          <w:ilvl w:val="0"/>
          <w:numId w:val="4"/>
        </w:numPr>
      </w:pPr>
      <w:r w:rsidRPr="00E13BE2">
        <w:t>M</w:t>
      </w:r>
      <w:r w:rsidR="00494A4B" w:rsidRPr="00E13BE2">
        <w:t>any</w:t>
      </w:r>
      <w:r w:rsidR="00AA3AE2">
        <w:t xml:space="preserve"> of these </w:t>
      </w:r>
      <w:r w:rsidR="00002403">
        <w:t>WES</w:t>
      </w:r>
      <w:r w:rsidR="00AA3AE2">
        <w:t xml:space="preserve"> were originally set more than 10 to 20 years ago. In </w:t>
      </w:r>
      <w:r w:rsidRPr="00E13BE2">
        <w:t>m</w:t>
      </w:r>
      <w:r w:rsidR="00494A4B" w:rsidRPr="00E13BE2">
        <w:t>any</w:t>
      </w:r>
      <w:r w:rsidR="00AA3AE2">
        <w:t xml:space="preserve"> </w:t>
      </w:r>
      <w:r w:rsidR="00C96BA5">
        <w:t>instances</w:t>
      </w:r>
      <w:r w:rsidR="00B72446">
        <w:t>, it is</w:t>
      </w:r>
      <w:r w:rsidR="00AA3AE2">
        <w:t xml:space="preserve"> not stated if the</w:t>
      </w:r>
      <w:r w:rsidR="00B72446">
        <w:t xml:space="preserve"> </w:t>
      </w:r>
      <w:r w:rsidR="00002403">
        <w:t>WES</w:t>
      </w:r>
      <w:r w:rsidR="00B72446">
        <w:t xml:space="preserve"> have</w:t>
      </w:r>
      <w:r w:rsidR="00AA3AE2">
        <w:t xml:space="preserve"> ever been </w:t>
      </w:r>
      <w:r w:rsidR="00A40E7E">
        <w:t xml:space="preserve">or are currently being </w:t>
      </w:r>
      <w:r w:rsidR="00AA3AE2">
        <w:t xml:space="preserve">revised. </w:t>
      </w:r>
    </w:p>
    <w:p w:rsidR="00AA3AE2" w:rsidRDefault="00CE6936" w:rsidP="00AA3AE2">
      <w:pPr>
        <w:pStyle w:val="ListParagraph"/>
        <w:numPr>
          <w:ilvl w:val="0"/>
          <w:numId w:val="4"/>
        </w:numPr>
      </w:pPr>
      <w:r>
        <w:t xml:space="preserve">For the </w:t>
      </w:r>
      <w:r w:rsidR="00494A4B">
        <w:t xml:space="preserve">bulk </w:t>
      </w:r>
      <w:r>
        <w:t xml:space="preserve">of </w:t>
      </w:r>
      <w:r w:rsidR="00002403">
        <w:t>WES</w:t>
      </w:r>
      <w:r w:rsidR="00AA3AE2">
        <w:t xml:space="preserve">, the background documentation underlying the basis for the </w:t>
      </w:r>
      <w:r w:rsidR="00002403">
        <w:t>WES</w:t>
      </w:r>
      <w:r w:rsidR="00AA3AE2">
        <w:t xml:space="preserve"> could not be located. </w:t>
      </w:r>
    </w:p>
    <w:p w:rsidR="000A1BA9" w:rsidRDefault="00AA3AE2" w:rsidP="00525A86">
      <w:pPr>
        <w:pStyle w:val="ListParagraph"/>
        <w:numPr>
          <w:ilvl w:val="0"/>
          <w:numId w:val="4"/>
        </w:numPr>
      </w:pPr>
      <w:r>
        <w:t>Where background documentation</w:t>
      </w:r>
      <w:r w:rsidR="00B72446">
        <w:t xml:space="preserve"> was located</w:t>
      </w:r>
      <w:r>
        <w:t xml:space="preserve">, the technical rationale explaining the basis of the </w:t>
      </w:r>
      <w:r w:rsidR="00002403">
        <w:t>WES</w:t>
      </w:r>
      <w:r>
        <w:t xml:space="preserve"> was often missing. In those instances where the technical rationale was provided (Section 2.2</w:t>
      </w:r>
      <w:r w:rsidR="00494A4B">
        <w:t>.2</w:t>
      </w:r>
      <w:r>
        <w:t xml:space="preserve">), the derivation of the </w:t>
      </w:r>
      <w:r w:rsidR="00002403">
        <w:t>WES</w:t>
      </w:r>
      <w:r w:rsidR="001619F2">
        <w:t xml:space="preserve"> and/or </w:t>
      </w:r>
      <w:r w:rsidR="00314205">
        <w:t>BLRL</w:t>
      </w:r>
      <w:r>
        <w:t xml:space="preserve"> was not </w:t>
      </w:r>
      <w:r w:rsidR="000E3869">
        <w:t>sufficiently transparent to facilitate easy understanding by third parties</w:t>
      </w:r>
      <w:r>
        <w:t xml:space="preserve">. </w:t>
      </w:r>
      <w:r w:rsidR="00B72446">
        <w:t xml:space="preserve">Of these, the </w:t>
      </w:r>
      <w:r w:rsidR="00EC2BAE">
        <w:t>World Health Organiz</w:t>
      </w:r>
      <w:r w:rsidR="00002403">
        <w:t>ation (</w:t>
      </w:r>
      <w:r w:rsidR="00F5578C">
        <w:t xml:space="preserve">WHO 1980) </w:t>
      </w:r>
      <w:r w:rsidR="00B72446">
        <w:t>documentation</w:t>
      </w:r>
      <w:r w:rsidR="00F5578C">
        <w:t xml:space="preserve"> seems</w:t>
      </w:r>
      <w:r w:rsidR="00B72446">
        <w:t xml:space="preserve"> to have </w:t>
      </w:r>
      <w:r w:rsidR="00B72446" w:rsidRPr="005C147B">
        <w:t xml:space="preserve">the </w:t>
      </w:r>
      <w:r w:rsidR="00754780" w:rsidRPr="005C147B">
        <w:t>most</w:t>
      </w:r>
      <w:r w:rsidR="00B72446" w:rsidRPr="005C147B">
        <w:t xml:space="preserve"> robust</w:t>
      </w:r>
      <w:r w:rsidR="00B72446">
        <w:t xml:space="preserve"> rationale, although</w:t>
      </w:r>
      <w:r w:rsidR="00F5578C">
        <w:t xml:space="preserve"> this is based on toxicological and air slope factor</w:t>
      </w:r>
      <w:r w:rsidR="00F5578C">
        <w:rPr>
          <w:rStyle w:val="FootnoteReference"/>
        </w:rPr>
        <w:footnoteReference w:id="3"/>
      </w:r>
      <w:r w:rsidR="00F5578C">
        <w:t xml:space="preserve"> information</w:t>
      </w:r>
      <w:r w:rsidR="00BC4A7E">
        <w:t xml:space="preserve"> from studies more than 20 years ago</w:t>
      </w:r>
      <w:r w:rsidR="00CE6936">
        <w:t xml:space="preserve">. </w:t>
      </w:r>
      <w:r w:rsidR="00F5578C">
        <w:t xml:space="preserve"> </w:t>
      </w:r>
    </w:p>
    <w:p w:rsidR="00AA3AE2" w:rsidRPr="00680D52" w:rsidRDefault="00B72446" w:rsidP="00AA3AE2">
      <w:pPr>
        <w:pStyle w:val="ListParagraph"/>
        <w:numPr>
          <w:ilvl w:val="0"/>
          <w:numId w:val="4"/>
        </w:numPr>
      </w:pPr>
      <w:r>
        <w:t xml:space="preserve">Several countries have </w:t>
      </w:r>
      <w:r w:rsidR="00314205">
        <w:t>BLRL</w:t>
      </w:r>
      <w:r>
        <w:t xml:space="preserve"> in </w:t>
      </w:r>
      <w:r w:rsidR="005D6674">
        <w:t>males</w:t>
      </w:r>
      <w:r w:rsidR="00A40E7E">
        <w:t xml:space="preserve"> (and </w:t>
      </w:r>
      <w:r w:rsidR="005D6674">
        <w:t>females</w:t>
      </w:r>
      <w:r w:rsidR="00A40E7E">
        <w:t xml:space="preserve"> who are not of reproductive capacity) that differ from those for</w:t>
      </w:r>
      <w:r>
        <w:t xml:space="preserve"> </w:t>
      </w:r>
      <w:r w:rsidR="005D6674">
        <w:t>females</w:t>
      </w:r>
      <w:r>
        <w:t xml:space="preserve"> of reproductive capacity, or </w:t>
      </w:r>
      <w:r w:rsidR="005D6674">
        <w:t>females</w:t>
      </w:r>
      <w:r>
        <w:t xml:space="preserve"> that are pregnant or breastfeeding. </w:t>
      </w:r>
      <w:r w:rsidR="00314205">
        <w:t>BLRL</w:t>
      </w:r>
      <w:r w:rsidR="007F30A6">
        <w:t>s</w:t>
      </w:r>
      <w:r>
        <w:t xml:space="preserve"> range from 30 – </w:t>
      </w:r>
      <w:r w:rsidRPr="00B72446">
        <w:t>70 µg/dL</w:t>
      </w:r>
      <w:r>
        <w:t xml:space="preserve"> (</w:t>
      </w:r>
      <w:r w:rsidR="005D6674">
        <w:t>females</w:t>
      </w:r>
      <w:r>
        <w:t xml:space="preserve"> not of reproductive capacity</w:t>
      </w:r>
      <w:r w:rsidR="00B1318A">
        <w:t xml:space="preserve"> and males</w:t>
      </w:r>
      <w:r>
        <w:t>)</w:t>
      </w:r>
      <w:r>
        <w:rPr>
          <w:rStyle w:val="FootnoteReference"/>
        </w:rPr>
        <w:footnoteReference w:id="4"/>
      </w:r>
      <w:r>
        <w:t xml:space="preserve">, </w:t>
      </w:r>
      <w:r w:rsidR="000A1BA9">
        <w:t xml:space="preserve">and </w:t>
      </w:r>
      <w:r>
        <w:t xml:space="preserve">7 – 70 </w:t>
      </w:r>
      <w:r w:rsidRPr="00B72446">
        <w:rPr>
          <w:rFonts w:cs="Arial"/>
        </w:rPr>
        <w:t>µg/dL</w:t>
      </w:r>
      <w:r>
        <w:rPr>
          <w:rFonts w:cs="Arial"/>
        </w:rPr>
        <w:t xml:space="preserve"> (</w:t>
      </w:r>
      <w:r w:rsidR="005D6674">
        <w:rPr>
          <w:rFonts w:cs="Arial"/>
        </w:rPr>
        <w:t>females</w:t>
      </w:r>
      <w:r>
        <w:rPr>
          <w:rFonts w:cs="Arial"/>
        </w:rPr>
        <w:t xml:space="preserve"> of reproductive capacity, </w:t>
      </w:r>
      <w:r w:rsidR="005D6674">
        <w:rPr>
          <w:rFonts w:cs="Arial"/>
        </w:rPr>
        <w:t>females</w:t>
      </w:r>
      <w:r>
        <w:rPr>
          <w:rFonts w:cs="Arial"/>
        </w:rPr>
        <w:t xml:space="preserve"> who are pregnant or breastfeeding). </w:t>
      </w:r>
    </w:p>
    <w:p w:rsidR="00680D52" w:rsidRPr="000A1BA9" w:rsidRDefault="00680D52" w:rsidP="00AA3AE2">
      <w:pPr>
        <w:pStyle w:val="ListParagraph"/>
        <w:numPr>
          <w:ilvl w:val="0"/>
          <w:numId w:val="4"/>
        </w:numPr>
      </w:pPr>
      <w:r>
        <w:rPr>
          <w:rFonts w:cs="Arial"/>
        </w:rPr>
        <w:lastRenderedPageBreak/>
        <w:t xml:space="preserve">The UK and Sweden prohibit </w:t>
      </w:r>
      <w:r w:rsidR="005D6674">
        <w:rPr>
          <w:rFonts w:cs="Arial"/>
        </w:rPr>
        <w:t>females</w:t>
      </w:r>
      <w:r>
        <w:rPr>
          <w:rFonts w:cs="Arial"/>
        </w:rPr>
        <w:t xml:space="preserve"> who are pregnant or breastfeeding from working in lead-related jobs</w:t>
      </w:r>
      <w:r w:rsidR="00525A86">
        <w:rPr>
          <w:rFonts w:cs="Arial"/>
        </w:rPr>
        <w:t xml:space="preserve"> (UK HSE 2012, SWEA 2005b)</w:t>
      </w:r>
      <w:r>
        <w:rPr>
          <w:rFonts w:cs="Arial"/>
        </w:rPr>
        <w:t xml:space="preserve">. </w:t>
      </w:r>
      <w:r w:rsidR="008D648C">
        <w:rPr>
          <w:rFonts w:cs="Arial"/>
        </w:rPr>
        <w:t xml:space="preserve">Additionally, in the UK, </w:t>
      </w:r>
      <w:r w:rsidR="005D6674">
        <w:rPr>
          <w:rFonts w:cs="Arial"/>
        </w:rPr>
        <w:t>females</w:t>
      </w:r>
      <w:r w:rsidR="008D648C">
        <w:rPr>
          <w:rFonts w:cs="Arial"/>
        </w:rPr>
        <w:t xml:space="preserve"> of reproductive capacity are forbidden from working in certain high-risk </w:t>
      </w:r>
      <w:r w:rsidR="0026656B">
        <w:rPr>
          <w:rFonts w:cs="Arial"/>
        </w:rPr>
        <w:t xml:space="preserve">lead </w:t>
      </w:r>
      <w:r w:rsidR="008D648C">
        <w:rPr>
          <w:rFonts w:cs="Arial"/>
        </w:rPr>
        <w:t>jobs (e.g. lead battery manufacturing)</w:t>
      </w:r>
      <w:r w:rsidR="00525A86">
        <w:rPr>
          <w:rFonts w:cs="Arial"/>
        </w:rPr>
        <w:t xml:space="preserve"> (UK HSE 2012)</w:t>
      </w:r>
      <w:r w:rsidR="008D648C">
        <w:rPr>
          <w:rFonts w:cs="Arial"/>
        </w:rPr>
        <w:t xml:space="preserve">. </w:t>
      </w:r>
    </w:p>
    <w:p w:rsidR="000A1BA9" w:rsidRPr="00F5578C" w:rsidRDefault="000A1BA9" w:rsidP="00AA3AE2">
      <w:pPr>
        <w:pStyle w:val="ListParagraph"/>
        <w:numPr>
          <w:ilvl w:val="0"/>
          <w:numId w:val="4"/>
        </w:numPr>
      </w:pPr>
      <w:r>
        <w:rPr>
          <w:rFonts w:cs="Arial"/>
        </w:rPr>
        <w:t xml:space="preserve">The </w:t>
      </w:r>
      <w:r w:rsidR="00314205">
        <w:rPr>
          <w:rFonts w:cs="Arial"/>
        </w:rPr>
        <w:t>BLRL</w:t>
      </w:r>
      <w:r w:rsidR="007F30A6">
        <w:rPr>
          <w:rFonts w:cs="Arial"/>
        </w:rPr>
        <w:t>s</w:t>
      </w:r>
      <w:r>
        <w:rPr>
          <w:rFonts w:cs="Arial"/>
        </w:rPr>
        <w:t xml:space="preserve"> that appear to have been recently </w:t>
      </w:r>
      <w:r w:rsidR="00CE6936">
        <w:rPr>
          <w:rFonts w:cs="Arial"/>
        </w:rPr>
        <w:t xml:space="preserve">established </w:t>
      </w:r>
      <w:r>
        <w:rPr>
          <w:rFonts w:cs="Arial"/>
        </w:rPr>
        <w:t>or revised</w:t>
      </w:r>
      <w:r>
        <w:rPr>
          <w:rStyle w:val="FootnoteReference"/>
          <w:rFonts w:cs="Arial"/>
        </w:rPr>
        <w:footnoteReference w:id="5"/>
      </w:r>
      <w:r>
        <w:rPr>
          <w:rFonts w:cs="Arial"/>
        </w:rPr>
        <w:t xml:space="preserve"> </w:t>
      </w:r>
      <w:r w:rsidR="00CE6936">
        <w:rPr>
          <w:rFonts w:cs="Arial"/>
        </w:rPr>
        <w:t xml:space="preserve">have </w:t>
      </w:r>
      <w:r>
        <w:rPr>
          <w:rFonts w:cs="Arial"/>
        </w:rPr>
        <w:t xml:space="preserve">generally </w:t>
      </w:r>
      <w:r w:rsidR="00CE6936">
        <w:rPr>
          <w:rFonts w:cs="Arial"/>
        </w:rPr>
        <w:t xml:space="preserve">been set at </w:t>
      </w:r>
      <w:r w:rsidR="00930F41">
        <w:rPr>
          <w:rFonts w:cs="Arial"/>
        </w:rPr>
        <w:t>5</w:t>
      </w:r>
      <w:r>
        <w:rPr>
          <w:rFonts w:cs="Arial"/>
        </w:rPr>
        <w:t xml:space="preserve">0 </w:t>
      </w:r>
      <w:r w:rsidRPr="00B72446">
        <w:rPr>
          <w:rFonts w:cs="Arial"/>
        </w:rPr>
        <w:t>µg/dL</w:t>
      </w:r>
      <w:r>
        <w:rPr>
          <w:rFonts w:cs="Arial"/>
        </w:rPr>
        <w:t xml:space="preserve"> or less </w:t>
      </w:r>
      <w:r w:rsidR="00CE6936">
        <w:rPr>
          <w:rFonts w:cs="Arial"/>
        </w:rPr>
        <w:t xml:space="preserve">for </w:t>
      </w:r>
      <w:r w:rsidR="00525A86">
        <w:rPr>
          <w:rFonts w:cs="Arial"/>
        </w:rPr>
        <w:t>all occupational sectors</w:t>
      </w:r>
      <w:r w:rsidR="00CE6936">
        <w:rPr>
          <w:rFonts w:cs="Arial"/>
        </w:rPr>
        <w:t xml:space="preserve"> </w:t>
      </w:r>
      <w:r>
        <w:rPr>
          <w:rFonts w:cs="Arial"/>
        </w:rPr>
        <w:t>(</w:t>
      </w:r>
      <w:r w:rsidRPr="00930F41">
        <w:rPr>
          <w:rFonts w:cs="Arial"/>
        </w:rPr>
        <w:t>e.g. NZ DoL 2011, DFG 2013b, DWEA 2007, MoSAH 2012, WorkSafe Alberta 2009</w:t>
      </w:r>
      <w:r>
        <w:rPr>
          <w:rFonts w:cs="Arial"/>
        </w:rPr>
        <w:t>)</w:t>
      </w:r>
      <w:r w:rsidR="00930F41">
        <w:rPr>
          <w:rFonts w:cs="Arial"/>
        </w:rPr>
        <w:t xml:space="preserve">. </w:t>
      </w:r>
      <w:r w:rsidR="005D3BE7">
        <w:rPr>
          <w:rFonts w:cs="Arial"/>
        </w:rPr>
        <w:t>Even though some of these agencies set a BLRL</w:t>
      </w:r>
      <w:r w:rsidR="00930F41">
        <w:rPr>
          <w:rFonts w:cs="Arial"/>
        </w:rPr>
        <w:t xml:space="preserve"> at 50 </w:t>
      </w:r>
      <w:r w:rsidR="00930F41" w:rsidRPr="00B72446">
        <w:rPr>
          <w:rFonts w:cs="Arial"/>
        </w:rPr>
        <w:t>µg/dL</w:t>
      </w:r>
      <w:r w:rsidR="005D3BE7">
        <w:rPr>
          <w:rFonts w:cs="Arial"/>
        </w:rPr>
        <w:t>, they</w:t>
      </w:r>
      <w:r w:rsidR="00930F41">
        <w:rPr>
          <w:rFonts w:cs="Arial"/>
        </w:rPr>
        <w:t xml:space="preserve"> </w:t>
      </w:r>
      <w:r w:rsidR="005D3BE7">
        <w:rPr>
          <w:rFonts w:cs="Arial"/>
        </w:rPr>
        <w:t>also provide</w:t>
      </w:r>
      <w:r w:rsidR="00930F41">
        <w:rPr>
          <w:rFonts w:cs="Arial"/>
        </w:rPr>
        <w:t xml:space="preserve"> a PbB level </w:t>
      </w:r>
      <w:r w:rsidR="004A63EA">
        <w:rPr>
          <w:rFonts w:cs="Arial"/>
        </w:rPr>
        <w:t>of</w:t>
      </w:r>
      <w:r w:rsidR="00930F41">
        <w:rPr>
          <w:rFonts w:cs="Arial"/>
        </w:rPr>
        <w:t xml:space="preserve"> 30 </w:t>
      </w:r>
      <w:r w:rsidR="00930F41" w:rsidRPr="00B72446">
        <w:rPr>
          <w:rFonts w:cs="Arial"/>
        </w:rPr>
        <w:t>µg/dL</w:t>
      </w:r>
      <w:r w:rsidR="00930F41">
        <w:rPr>
          <w:rFonts w:cs="Arial"/>
        </w:rPr>
        <w:t xml:space="preserve"> </w:t>
      </w:r>
      <w:r w:rsidR="004A63EA">
        <w:rPr>
          <w:rFonts w:cs="Arial"/>
        </w:rPr>
        <w:t>as a</w:t>
      </w:r>
      <w:r w:rsidR="00930F41">
        <w:rPr>
          <w:rFonts w:cs="Arial"/>
        </w:rPr>
        <w:t xml:space="preserve"> health-based</w:t>
      </w:r>
      <w:r w:rsidR="005D3BE7">
        <w:rPr>
          <w:rFonts w:cs="Arial"/>
        </w:rPr>
        <w:t xml:space="preserve"> objective for females not of reproductive capacity and for males (NZ DoL 2011, DFG 2013b, DWEA 2007, MoSAH 2012, WorkSafe Alberta 2009)</w:t>
      </w:r>
      <w:r w:rsidR="00930F41">
        <w:rPr>
          <w:rFonts w:cs="Arial"/>
        </w:rPr>
        <w:t>.</w:t>
      </w:r>
      <w:r>
        <w:rPr>
          <w:rFonts w:cs="Arial"/>
        </w:rPr>
        <w:t xml:space="preserve"> </w:t>
      </w:r>
      <w:r w:rsidR="005D3BE7">
        <w:rPr>
          <w:rFonts w:cs="Arial"/>
        </w:rPr>
        <w:t>M</w:t>
      </w:r>
      <w:r>
        <w:rPr>
          <w:rFonts w:cs="Arial"/>
        </w:rPr>
        <w:t>any of the</w:t>
      </w:r>
      <w:r w:rsidR="00A81B34">
        <w:rPr>
          <w:rFonts w:cs="Arial"/>
        </w:rPr>
        <w:t>se</w:t>
      </w:r>
      <w:r>
        <w:rPr>
          <w:rFonts w:cs="Arial"/>
        </w:rPr>
        <w:t xml:space="preserve"> publications provide separate</w:t>
      </w:r>
      <w:r w:rsidR="00A81B34">
        <w:rPr>
          <w:rFonts w:cs="Arial"/>
        </w:rPr>
        <w:t>,</w:t>
      </w:r>
      <w:r>
        <w:rPr>
          <w:rFonts w:cs="Arial"/>
        </w:rPr>
        <w:t xml:space="preserve"> lower </w:t>
      </w:r>
      <w:r w:rsidR="00314205">
        <w:rPr>
          <w:rFonts w:cs="Arial"/>
        </w:rPr>
        <w:t>BLRL</w:t>
      </w:r>
      <w:r>
        <w:rPr>
          <w:rFonts w:cs="Arial"/>
        </w:rPr>
        <w:t xml:space="preserve"> recommendations </w:t>
      </w:r>
      <w:r w:rsidR="00A81B34">
        <w:rPr>
          <w:rFonts w:cs="Arial"/>
        </w:rPr>
        <w:t xml:space="preserve">of </w:t>
      </w:r>
      <w:r w:rsidR="00525A86">
        <w:rPr>
          <w:rFonts w:cs="Arial"/>
        </w:rPr>
        <w:t>7-25</w:t>
      </w:r>
      <w:r w:rsidR="00A81B34" w:rsidRPr="00A81B34">
        <w:rPr>
          <w:rFonts w:cs="Arial"/>
        </w:rPr>
        <w:t xml:space="preserve"> µg/dL</w:t>
      </w:r>
      <w:r w:rsidR="00A81B34">
        <w:rPr>
          <w:rFonts w:cs="Arial"/>
        </w:rPr>
        <w:t xml:space="preserve"> </w:t>
      </w:r>
      <w:r>
        <w:rPr>
          <w:rFonts w:cs="Arial"/>
        </w:rPr>
        <w:t xml:space="preserve">for </w:t>
      </w:r>
      <w:r w:rsidR="005D6674">
        <w:rPr>
          <w:rFonts w:cs="Arial"/>
        </w:rPr>
        <w:t>females</w:t>
      </w:r>
      <w:r>
        <w:rPr>
          <w:rFonts w:cs="Arial"/>
        </w:rPr>
        <w:t xml:space="preserve"> of reproductive capacity, or </w:t>
      </w:r>
      <w:r w:rsidR="005D6674">
        <w:rPr>
          <w:rFonts w:cs="Arial"/>
        </w:rPr>
        <w:t>females</w:t>
      </w:r>
      <w:r>
        <w:rPr>
          <w:rFonts w:cs="Arial"/>
        </w:rPr>
        <w:t xml:space="preserve"> who are pregnant or breastfeeding (</w:t>
      </w:r>
      <w:r w:rsidR="00434D68">
        <w:rPr>
          <w:rFonts w:cs="Arial"/>
        </w:rPr>
        <w:t>NOHSC 1994</w:t>
      </w:r>
      <w:r>
        <w:rPr>
          <w:rFonts w:cs="Arial"/>
        </w:rPr>
        <w:t>, DFG 2013b, B</w:t>
      </w:r>
      <w:r w:rsidR="00D36761">
        <w:rPr>
          <w:rFonts w:cs="Arial"/>
        </w:rPr>
        <w:t>Au</w:t>
      </w:r>
      <w:r>
        <w:rPr>
          <w:rFonts w:cs="Arial"/>
        </w:rPr>
        <w:t xml:space="preserve">A 2013b, INRS 2012, SUVA 2013, NIWL 2005, UK HSE 2012, WorkSafe Alberta 2009). </w:t>
      </w:r>
      <w:r w:rsidR="00A81B34">
        <w:rPr>
          <w:rFonts w:cs="Arial"/>
        </w:rPr>
        <w:t xml:space="preserve">The lower end of this range is close to or the same as </w:t>
      </w:r>
      <w:r w:rsidR="005041F4">
        <w:rPr>
          <w:rFonts w:cs="Arial"/>
        </w:rPr>
        <w:t xml:space="preserve">the </w:t>
      </w:r>
      <w:r w:rsidR="00A81B34">
        <w:rPr>
          <w:rFonts w:cs="Arial"/>
        </w:rPr>
        <w:t xml:space="preserve">target </w:t>
      </w:r>
      <w:r w:rsidR="000C3863">
        <w:rPr>
          <w:rFonts w:cs="Arial"/>
        </w:rPr>
        <w:t>PbB</w:t>
      </w:r>
      <w:r w:rsidR="00A81B34">
        <w:rPr>
          <w:rFonts w:cs="Arial"/>
        </w:rPr>
        <w:t xml:space="preserve"> concentrations of 10 </w:t>
      </w:r>
      <w:r w:rsidR="00A81B34" w:rsidRPr="00A81B34">
        <w:rPr>
          <w:rFonts w:cs="Arial"/>
        </w:rPr>
        <w:t>µg/dL</w:t>
      </w:r>
      <w:r w:rsidR="00907B68">
        <w:rPr>
          <w:rFonts w:cs="Arial"/>
        </w:rPr>
        <w:t xml:space="preserve"> recommended by the </w:t>
      </w:r>
      <w:r w:rsidR="00E25319">
        <w:rPr>
          <w:rFonts w:cs="Arial"/>
        </w:rPr>
        <w:t>Centers for Disease Control (</w:t>
      </w:r>
      <w:r w:rsidR="00907B68">
        <w:rPr>
          <w:rFonts w:cs="Arial"/>
        </w:rPr>
        <w:t>CDC</w:t>
      </w:r>
      <w:r w:rsidR="00E25319">
        <w:rPr>
          <w:rFonts w:cs="Arial"/>
        </w:rPr>
        <w:t>)</w:t>
      </w:r>
      <w:r w:rsidR="00907B68">
        <w:rPr>
          <w:rFonts w:cs="Arial"/>
        </w:rPr>
        <w:t xml:space="preserve"> </w:t>
      </w:r>
      <w:r w:rsidR="00C87396">
        <w:rPr>
          <w:rFonts w:cs="Arial"/>
        </w:rPr>
        <w:t xml:space="preserve">in 1991 </w:t>
      </w:r>
      <w:r w:rsidR="00907B68">
        <w:rPr>
          <w:rFonts w:cs="Arial"/>
        </w:rPr>
        <w:t>(</w:t>
      </w:r>
      <w:r w:rsidR="00C87396">
        <w:rPr>
          <w:rFonts w:cs="Arial"/>
        </w:rPr>
        <w:t>CDC 2005</w:t>
      </w:r>
      <w:r w:rsidR="00907B68">
        <w:rPr>
          <w:rFonts w:cs="Arial"/>
        </w:rPr>
        <w:t xml:space="preserve">) and </w:t>
      </w:r>
      <w:r w:rsidR="00E25319">
        <w:rPr>
          <w:rFonts w:cs="Arial"/>
        </w:rPr>
        <w:t>the National Health and Medical Research Council (</w:t>
      </w:r>
      <w:r w:rsidR="00907B68">
        <w:rPr>
          <w:rFonts w:cs="Arial"/>
        </w:rPr>
        <w:t>NHMRC</w:t>
      </w:r>
      <w:r w:rsidR="00C87396">
        <w:rPr>
          <w:rFonts w:cs="Arial"/>
        </w:rPr>
        <w:t xml:space="preserve"> 2009</w:t>
      </w:r>
      <w:r w:rsidR="00A81B34">
        <w:rPr>
          <w:rFonts w:cs="Arial"/>
        </w:rPr>
        <w:t>) for the general public.</w:t>
      </w:r>
    </w:p>
    <w:p w:rsidR="000A1BA9" w:rsidRPr="00D97319" w:rsidRDefault="00F5578C" w:rsidP="00BB46F9">
      <w:pPr>
        <w:pStyle w:val="ListParagraph"/>
        <w:numPr>
          <w:ilvl w:val="0"/>
          <w:numId w:val="4"/>
        </w:numPr>
      </w:pPr>
      <w:r>
        <w:rPr>
          <w:rFonts w:cs="Arial"/>
        </w:rPr>
        <w:t xml:space="preserve">It is </w:t>
      </w:r>
      <w:r w:rsidR="00A81B34">
        <w:rPr>
          <w:rFonts w:cs="Arial"/>
        </w:rPr>
        <w:t xml:space="preserve">noted </w:t>
      </w:r>
      <w:r>
        <w:rPr>
          <w:rFonts w:cs="Arial"/>
        </w:rPr>
        <w:t xml:space="preserve">WHO </w:t>
      </w:r>
      <w:r w:rsidR="00A81B34">
        <w:rPr>
          <w:rFonts w:cs="Arial"/>
        </w:rPr>
        <w:t>(</w:t>
      </w:r>
      <w:r>
        <w:rPr>
          <w:rFonts w:cs="Arial"/>
        </w:rPr>
        <w:t xml:space="preserve">1980) recommended lower health-based </w:t>
      </w:r>
      <w:r w:rsidR="005C147B">
        <w:rPr>
          <w:rFonts w:cs="Arial"/>
        </w:rPr>
        <w:t xml:space="preserve">BLRL </w:t>
      </w:r>
      <w:r>
        <w:rPr>
          <w:rFonts w:cs="Arial"/>
        </w:rPr>
        <w:t xml:space="preserve">for </w:t>
      </w:r>
      <w:r w:rsidR="005D6674">
        <w:rPr>
          <w:rFonts w:cs="Arial"/>
        </w:rPr>
        <w:t>females</w:t>
      </w:r>
      <w:r>
        <w:rPr>
          <w:rFonts w:cs="Arial"/>
        </w:rPr>
        <w:t xml:space="preserve"> of reproductive capacity than </w:t>
      </w:r>
      <w:r w:rsidR="00A40E7E">
        <w:rPr>
          <w:rFonts w:cs="Arial"/>
        </w:rPr>
        <w:t xml:space="preserve">for </w:t>
      </w:r>
      <w:r w:rsidR="005D6674">
        <w:rPr>
          <w:rFonts w:cs="Arial"/>
        </w:rPr>
        <w:t>females</w:t>
      </w:r>
      <w:r>
        <w:rPr>
          <w:rFonts w:cs="Arial"/>
        </w:rPr>
        <w:t xml:space="preserve"> of non-reproductive age</w:t>
      </w:r>
      <w:r w:rsidR="00B1318A">
        <w:rPr>
          <w:rFonts w:cs="Arial"/>
        </w:rPr>
        <w:t xml:space="preserve"> and males</w:t>
      </w:r>
      <w:r w:rsidR="00420FE4">
        <w:rPr>
          <w:rFonts w:cs="Arial"/>
        </w:rPr>
        <w:t xml:space="preserve">, yet </w:t>
      </w:r>
      <w:r>
        <w:rPr>
          <w:rFonts w:cs="Arial"/>
        </w:rPr>
        <w:t xml:space="preserve">many countries still have only a single </w:t>
      </w:r>
      <w:r w:rsidR="00314205">
        <w:rPr>
          <w:rFonts w:cs="Arial"/>
        </w:rPr>
        <w:t>BLRL</w:t>
      </w:r>
      <w:r>
        <w:rPr>
          <w:rFonts w:cs="Arial"/>
        </w:rPr>
        <w:t xml:space="preserve"> for both. This suggests regulation</w:t>
      </w:r>
      <w:r w:rsidR="00A40E7E">
        <w:rPr>
          <w:rFonts w:cs="Arial"/>
        </w:rPr>
        <w:t xml:space="preserve"> with respect to lead</w:t>
      </w:r>
      <w:r>
        <w:rPr>
          <w:rFonts w:cs="Arial"/>
        </w:rPr>
        <w:t xml:space="preserve"> has </w:t>
      </w:r>
      <w:r w:rsidR="007654F1">
        <w:rPr>
          <w:rFonts w:cs="Arial"/>
        </w:rPr>
        <w:t>been slow to evolve</w:t>
      </w:r>
      <w:r w:rsidR="00A81B34">
        <w:rPr>
          <w:rFonts w:cs="Arial"/>
        </w:rPr>
        <w:t>,</w:t>
      </w:r>
      <w:r w:rsidR="007654F1">
        <w:rPr>
          <w:rFonts w:cs="Arial"/>
        </w:rPr>
        <w:t xml:space="preserve"> or may have been driven by non-health based considerations (e.g. </w:t>
      </w:r>
      <w:r w:rsidR="00A81B34">
        <w:rPr>
          <w:rFonts w:cs="Arial"/>
        </w:rPr>
        <w:t>cost and achievability by</w:t>
      </w:r>
      <w:r w:rsidR="007654F1">
        <w:rPr>
          <w:rFonts w:cs="Arial"/>
        </w:rPr>
        <w:t xml:space="preserve"> industry). </w:t>
      </w:r>
    </w:p>
    <w:p w:rsidR="00471CCC" w:rsidRDefault="00D97319" w:rsidP="00D97319">
      <w:pPr>
        <w:pStyle w:val="ListParagraph"/>
        <w:numPr>
          <w:ilvl w:val="0"/>
          <w:numId w:val="4"/>
        </w:numPr>
        <w:rPr>
          <w:rFonts w:cs="Arial"/>
        </w:rPr>
      </w:pPr>
      <w:r w:rsidRPr="00420FE4">
        <w:rPr>
          <w:rFonts w:cs="Arial"/>
        </w:rPr>
        <w:t>The</w:t>
      </w:r>
      <w:r w:rsidR="00420FE4">
        <w:rPr>
          <w:rFonts w:cs="Arial"/>
        </w:rPr>
        <w:t xml:space="preserve"> </w:t>
      </w:r>
      <w:r w:rsidR="003E29DD">
        <w:rPr>
          <w:rFonts w:cs="Arial"/>
        </w:rPr>
        <w:t xml:space="preserve">agency </w:t>
      </w:r>
      <w:r w:rsidR="00314205">
        <w:rPr>
          <w:rFonts w:cs="Arial"/>
        </w:rPr>
        <w:t>BLRL</w:t>
      </w:r>
      <w:r w:rsidR="004A63EA">
        <w:rPr>
          <w:rFonts w:cs="Arial"/>
        </w:rPr>
        <w:t>’s</w:t>
      </w:r>
      <w:r w:rsidR="00420FE4">
        <w:rPr>
          <w:rFonts w:cs="Arial"/>
        </w:rPr>
        <w:t xml:space="preserve"> for which there is background documentation </w:t>
      </w:r>
      <w:r w:rsidR="00A81B34">
        <w:rPr>
          <w:rFonts w:cs="Arial"/>
        </w:rPr>
        <w:t>were</w:t>
      </w:r>
      <w:r w:rsidR="00420FE4">
        <w:rPr>
          <w:rFonts w:cs="Arial"/>
        </w:rPr>
        <w:t xml:space="preserve"> set </w:t>
      </w:r>
      <w:r w:rsidR="00E25319">
        <w:rPr>
          <w:rFonts w:cs="Arial"/>
        </w:rPr>
        <w:t xml:space="preserve">approximately </w:t>
      </w:r>
      <w:r w:rsidR="00420FE4">
        <w:rPr>
          <w:rFonts w:cs="Arial"/>
        </w:rPr>
        <w:t>10 or more years ago</w:t>
      </w:r>
      <w:r w:rsidR="00E25319">
        <w:rPr>
          <w:rFonts w:cs="Arial"/>
        </w:rPr>
        <w:t xml:space="preserve"> (ACGIH 2001a, SCOEL 2002, DFG 2005, WHO 1980)</w:t>
      </w:r>
      <w:r w:rsidR="00A81B34">
        <w:rPr>
          <w:rFonts w:cs="Arial"/>
        </w:rPr>
        <w:t xml:space="preserve">. </w:t>
      </w:r>
      <w:r w:rsidR="004A63EA">
        <w:rPr>
          <w:rFonts w:cs="Arial"/>
        </w:rPr>
        <w:t>Consequently they</w:t>
      </w:r>
      <w:r w:rsidR="00A81B34">
        <w:rPr>
          <w:rFonts w:cs="Arial"/>
        </w:rPr>
        <w:t xml:space="preserve"> do </w:t>
      </w:r>
      <w:r w:rsidR="00420FE4">
        <w:rPr>
          <w:rFonts w:cs="Arial"/>
        </w:rPr>
        <w:t xml:space="preserve">not consider recent information </w:t>
      </w:r>
      <w:r w:rsidR="00420FE4">
        <w:t xml:space="preserve">suggesting PbB &lt; 20 </w:t>
      </w:r>
      <w:r w:rsidR="00420FE4" w:rsidRPr="00DC5F6A">
        <w:rPr>
          <w:rFonts w:cs="Arial"/>
        </w:rPr>
        <w:t>µ</w:t>
      </w:r>
      <w:r w:rsidR="00420FE4">
        <w:rPr>
          <w:rFonts w:cs="Arial"/>
        </w:rPr>
        <w:t xml:space="preserve">g/dL </w:t>
      </w:r>
      <w:r w:rsidR="00420FE4">
        <w:t xml:space="preserve">in adults may be associated with subtle neurological effects, reductions in </w:t>
      </w:r>
      <w:r w:rsidR="00C74A6B">
        <w:t xml:space="preserve">renal </w:t>
      </w:r>
      <w:r w:rsidR="00420FE4" w:rsidRPr="00DC5F6A">
        <w:t>glomerular filtration rate</w:t>
      </w:r>
      <w:r w:rsidR="00420FE4">
        <w:t xml:space="preserve">, and </w:t>
      </w:r>
      <w:r w:rsidR="004A63EA">
        <w:t xml:space="preserve">small </w:t>
      </w:r>
      <w:r w:rsidR="00420FE4">
        <w:t>increase</w:t>
      </w:r>
      <w:r w:rsidR="004A63EA">
        <w:t>s</w:t>
      </w:r>
      <w:r w:rsidR="00420FE4">
        <w:t xml:space="preserve"> in systemic blood pressure (NZ MfE 2011, ATSDR 2007, US EPA 2006, NTP 2012, NRC 2013).</w:t>
      </w:r>
      <w:r w:rsidR="00420FE4">
        <w:rPr>
          <w:rFonts w:cs="Arial"/>
        </w:rPr>
        <w:t xml:space="preserve"> </w:t>
      </w:r>
      <w:r w:rsidR="00C74A6B">
        <w:rPr>
          <w:rFonts w:cs="Arial"/>
        </w:rPr>
        <w:t xml:space="preserve">At these concentrations there are also biochemical changes such as </w:t>
      </w:r>
      <w:r w:rsidR="00C74A6B" w:rsidRPr="00C74A6B">
        <w:rPr>
          <w:rFonts w:cs="Arial"/>
        </w:rPr>
        <w:t>depressed δ-aminolevulinic acid dehydratase</w:t>
      </w:r>
      <w:r w:rsidR="00C74A6B">
        <w:rPr>
          <w:rFonts w:cs="Arial"/>
        </w:rPr>
        <w:t xml:space="preserve">. </w:t>
      </w:r>
    </w:p>
    <w:p w:rsidR="00471CCC" w:rsidRDefault="00471CCC">
      <w:pPr>
        <w:rPr>
          <w:rFonts w:cs="Arial"/>
        </w:rPr>
      </w:pPr>
      <w:r>
        <w:rPr>
          <w:rFonts w:cs="Arial"/>
        </w:rPr>
        <w:br w:type="page"/>
      </w:r>
    </w:p>
    <w:p w:rsidR="00D97319" w:rsidRPr="007068F1" w:rsidRDefault="00D97319" w:rsidP="00471CCC">
      <w:pPr>
        <w:pStyle w:val="ListParagraph"/>
      </w:pPr>
    </w:p>
    <w:p w:rsidR="007068F1" w:rsidRPr="00530C73" w:rsidRDefault="007068F1" w:rsidP="00D97319">
      <w:pPr>
        <w:pStyle w:val="ListParagraph"/>
        <w:numPr>
          <w:ilvl w:val="0"/>
          <w:numId w:val="4"/>
        </w:numPr>
      </w:pPr>
      <w:r>
        <w:rPr>
          <w:rFonts w:cs="Arial"/>
        </w:rPr>
        <w:t xml:space="preserve">A </w:t>
      </w:r>
      <w:r w:rsidR="00C74A6B">
        <w:rPr>
          <w:rFonts w:cs="Arial"/>
        </w:rPr>
        <w:t>number of academics</w:t>
      </w:r>
      <w:r>
        <w:rPr>
          <w:rFonts w:cs="Arial"/>
        </w:rPr>
        <w:t xml:space="preserve"> and professional organisations</w:t>
      </w:r>
      <w:r w:rsidR="004A63EA">
        <w:rPr>
          <w:rFonts w:cs="Arial"/>
        </w:rPr>
        <w:t xml:space="preserve"> in the United States</w:t>
      </w:r>
      <w:r>
        <w:rPr>
          <w:rFonts w:cs="Arial"/>
        </w:rPr>
        <w:t xml:space="preserve"> have called for more protective guidelines for PbB </w:t>
      </w:r>
      <w:r w:rsidR="00C87396">
        <w:rPr>
          <w:rFonts w:cs="Arial"/>
        </w:rPr>
        <w:t xml:space="preserve">than the US OSHA standards of 30-60 </w:t>
      </w:r>
      <w:r w:rsidR="00C87396" w:rsidRPr="00DC5F6A">
        <w:rPr>
          <w:rFonts w:cs="Arial"/>
        </w:rPr>
        <w:t>µ</w:t>
      </w:r>
      <w:r w:rsidR="00C87396">
        <w:rPr>
          <w:rFonts w:cs="Arial"/>
        </w:rPr>
        <w:t>g/dL</w:t>
      </w:r>
      <w:r w:rsidR="00C87396">
        <w:rPr>
          <w:rStyle w:val="FootnoteReference"/>
          <w:rFonts w:cs="Arial"/>
        </w:rPr>
        <w:footnoteReference w:id="6"/>
      </w:r>
      <w:r w:rsidR="00C87396">
        <w:rPr>
          <w:rFonts w:cs="Arial"/>
        </w:rPr>
        <w:t xml:space="preserve"> </w:t>
      </w:r>
      <w:r>
        <w:rPr>
          <w:rFonts w:cs="Arial"/>
        </w:rPr>
        <w:t>(Schwartz and Hu 2007, Hu et al. 2007, ACOEM 2010, AOEC 2007</w:t>
      </w:r>
      <w:r w:rsidR="00C74A6B">
        <w:rPr>
          <w:rFonts w:cs="Arial"/>
        </w:rPr>
        <w:t>,</w:t>
      </w:r>
      <w:r>
        <w:rPr>
          <w:rFonts w:cs="Arial"/>
        </w:rPr>
        <w:t xml:space="preserve"> CSTE 2009). </w:t>
      </w:r>
      <w:r w:rsidRPr="00530C73">
        <w:rPr>
          <w:rFonts w:cs="Arial"/>
        </w:rPr>
        <w:t xml:space="preserve">For example, </w:t>
      </w:r>
      <w:r w:rsidR="0098572F">
        <w:rPr>
          <w:rFonts w:cs="Arial"/>
        </w:rPr>
        <w:t xml:space="preserve">Kosnett et al. </w:t>
      </w:r>
      <w:r w:rsidRPr="00530C73">
        <w:rPr>
          <w:rFonts w:cs="Arial"/>
        </w:rPr>
        <w:t>(2007) recommended</w:t>
      </w:r>
      <w:r w:rsidR="0098572F">
        <w:rPr>
          <w:rFonts w:cs="Arial"/>
        </w:rPr>
        <w:t xml:space="preserve"> a</w:t>
      </w:r>
      <w:r w:rsidRPr="00530C73">
        <w:rPr>
          <w:rFonts w:cs="Arial"/>
        </w:rPr>
        <w:t xml:space="preserve"> PbB </w:t>
      </w:r>
      <w:r w:rsidR="0098572F">
        <w:rPr>
          <w:rFonts w:cs="Arial"/>
        </w:rPr>
        <w:t xml:space="preserve">removal level of </w:t>
      </w:r>
      <w:r w:rsidRPr="00530C73">
        <w:rPr>
          <w:rFonts w:cs="Arial"/>
        </w:rPr>
        <w:t xml:space="preserve">20 µg/dL </w:t>
      </w:r>
      <w:r w:rsidR="0098572F">
        <w:rPr>
          <w:rFonts w:cs="Arial"/>
        </w:rPr>
        <w:t>for</w:t>
      </w:r>
      <w:r w:rsidR="00C87396">
        <w:rPr>
          <w:rFonts w:cs="Arial"/>
        </w:rPr>
        <w:t xml:space="preserve"> all</w:t>
      </w:r>
      <w:r w:rsidR="0098572F">
        <w:rPr>
          <w:rFonts w:cs="Arial"/>
        </w:rPr>
        <w:t xml:space="preserve"> workers </w:t>
      </w:r>
      <w:r w:rsidRPr="00530C73">
        <w:rPr>
          <w:rFonts w:cs="Arial"/>
        </w:rPr>
        <w:t>to prevent acu</w:t>
      </w:r>
      <w:r w:rsidR="00A40E7E">
        <w:rPr>
          <w:rFonts w:cs="Arial"/>
        </w:rPr>
        <w:t xml:space="preserve">te effects </w:t>
      </w:r>
      <w:r w:rsidR="002630D4">
        <w:rPr>
          <w:rFonts w:cs="Arial"/>
        </w:rPr>
        <w:t xml:space="preserve"> </w:t>
      </w:r>
      <w:r w:rsidR="00C74A6B">
        <w:rPr>
          <w:rFonts w:cs="Arial"/>
        </w:rPr>
        <w:t>associated with recent exposures</w:t>
      </w:r>
      <w:r w:rsidR="00A40E7E">
        <w:rPr>
          <w:rFonts w:cs="Arial"/>
        </w:rPr>
        <w:t xml:space="preserve">; </w:t>
      </w:r>
      <w:r w:rsidRPr="00530C73">
        <w:rPr>
          <w:rFonts w:cs="Arial"/>
        </w:rPr>
        <w:t xml:space="preserve">this has been supported by the American College of Occupational and Environmental Medicine (ACOEM 2010). For the prevention of chronic effects </w:t>
      </w:r>
      <w:r w:rsidR="002630D4">
        <w:rPr>
          <w:rFonts w:cs="Arial"/>
        </w:rPr>
        <w:t>that may occur with</w:t>
      </w:r>
      <w:r w:rsidR="002630D4" w:rsidRPr="00530C73">
        <w:rPr>
          <w:rFonts w:cs="Arial"/>
        </w:rPr>
        <w:t xml:space="preserve"> </w:t>
      </w:r>
      <w:r w:rsidRPr="00530C73">
        <w:rPr>
          <w:rFonts w:cs="Arial"/>
        </w:rPr>
        <w:t>cumulative doses</w:t>
      </w:r>
      <w:r w:rsidR="00A40E7E">
        <w:rPr>
          <w:rFonts w:cs="Arial"/>
        </w:rPr>
        <w:t>,</w:t>
      </w:r>
      <w:r w:rsidR="00C87396">
        <w:rPr>
          <w:rFonts w:cs="Arial"/>
        </w:rPr>
        <w:t xml:space="preserve"> Kosnett et al. (2007)</w:t>
      </w:r>
      <w:r w:rsidR="00A40E7E">
        <w:rPr>
          <w:rFonts w:cs="Arial"/>
        </w:rPr>
        <w:t xml:space="preserve"> recommended tibia lead</w:t>
      </w:r>
      <w:r w:rsidRPr="00530C73">
        <w:rPr>
          <w:rFonts w:cs="Arial"/>
        </w:rPr>
        <w:t xml:space="preserve"> levels</w:t>
      </w:r>
      <w:r w:rsidR="002B4710">
        <w:rPr>
          <w:rFonts w:cs="Arial"/>
        </w:rPr>
        <w:t xml:space="preserve"> not </w:t>
      </w:r>
      <w:r w:rsidRPr="00530C73">
        <w:rPr>
          <w:rFonts w:cs="Arial"/>
        </w:rPr>
        <w:t>be allowed to exceed 15 µg/g</w:t>
      </w:r>
      <w:r w:rsidR="002630D4">
        <w:rPr>
          <w:rFonts w:cs="Arial"/>
        </w:rPr>
        <w:t xml:space="preserve">. It is suggested this </w:t>
      </w:r>
      <w:r w:rsidRPr="00530C73">
        <w:rPr>
          <w:rFonts w:cs="Arial"/>
        </w:rPr>
        <w:t>could be achieved, for example, by keeping average</w:t>
      </w:r>
      <w:r w:rsidR="00024D0A">
        <w:rPr>
          <w:rStyle w:val="FootnoteReference"/>
          <w:rFonts w:cs="Arial"/>
        </w:rPr>
        <w:footnoteReference w:id="7"/>
      </w:r>
      <w:r w:rsidRPr="00530C73">
        <w:rPr>
          <w:rFonts w:cs="Arial"/>
        </w:rPr>
        <w:t xml:space="preserve"> PbB below 10 µg/dL for 40 years (Hu et al. 2007, Schwartz and Hu 2007</w:t>
      </w:r>
      <w:r w:rsidR="002B4710">
        <w:rPr>
          <w:rFonts w:cs="Arial"/>
        </w:rPr>
        <w:t>, Kosnett et al. 2007</w:t>
      </w:r>
      <w:r w:rsidRPr="00530C73">
        <w:rPr>
          <w:rFonts w:cs="Arial"/>
        </w:rPr>
        <w:t xml:space="preserve">). </w:t>
      </w:r>
      <w:r w:rsidR="003E29DD">
        <w:rPr>
          <w:rFonts w:cs="Arial"/>
        </w:rPr>
        <w:t xml:space="preserve">The </w:t>
      </w:r>
      <w:r w:rsidR="003E29DD" w:rsidRPr="003E29DD">
        <w:rPr>
          <w:rFonts w:cs="Arial"/>
        </w:rPr>
        <w:t xml:space="preserve">California Department of Public Health (Cal DPH 2009, 2010, 2011) has recommended the revised </w:t>
      </w:r>
      <w:r w:rsidR="00314205">
        <w:rPr>
          <w:rFonts w:cs="Arial"/>
        </w:rPr>
        <w:t>BLRL</w:t>
      </w:r>
      <w:r w:rsidR="003E29DD" w:rsidRPr="003E29DD">
        <w:rPr>
          <w:rFonts w:cs="Arial"/>
        </w:rPr>
        <w:t xml:space="preserve"> originally proposed by Kosnett et al. (2007) (see above) should be legislated. Specifically, the </w:t>
      </w:r>
      <w:r w:rsidR="00314205">
        <w:rPr>
          <w:rFonts w:cs="Arial"/>
        </w:rPr>
        <w:t>BLRL</w:t>
      </w:r>
      <w:r w:rsidR="006F17E4">
        <w:rPr>
          <w:rFonts w:cs="Arial"/>
        </w:rPr>
        <w:t>’s</w:t>
      </w:r>
      <w:r w:rsidR="003E29DD" w:rsidRPr="003E29DD">
        <w:rPr>
          <w:rFonts w:cs="Arial"/>
        </w:rPr>
        <w:t xml:space="preserve"> proposed by California are 30 µg/dL for a single PbB measurement, or 20 µg/dL for two consecutive PbB measurements (four weeks apart).</w:t>
      </w:r>
    </w:p>
    <w:p w:rsidR="00D97319" w:rsidRDefault="00D97319" w:rsidP="00D97319"/>
    <w:p w:rsidR="007068F1" w:rsidRPr="007654F1" w:rsidRDefault="007068F1" w:rsidP="00D97319">
      <w:pPr>
        <w:sectPr w:rsidR="007068F1" w:rsidRPr="007654F1" w:rsidSect="00E3785B">
          <w:headerReference w:type="default" r:id="rId14"/>
          <w:footerReference w:type="default" r:id="rId15"/>
          <w:headerReference w:type="first" r:id="rId16"/>
          <w:pgSz w:w="11906" w:h="16838"/>
          <w:pgMar w:top="1418" w:right="849" w:bottom="1440" w:left="1134" w:header="284" w:footer="697" w:gutter="0"/>
          <w:cols w:space="708"/>
          <w:titlePg/>
          <w:docGrid w:linePitch="360"/>
        </w:sectPr>
      </w:pPr>
    </w:p>
    <w:p w:rsidR="00BB46F9" w:rsidRPr="00BB46F9" w:rsidRDefault="00BB46F9" w:rsidP="00BB46F9">
      <w:pPr>
        <w:rPr>
          <w:b/>
        </w:rPr>
      </w:pPr>
      <w:r>
        <w:rPr>
          <w:b/>
        </w:rPr>
        <w:lastRenderedPageBreak/>
        <w:t xml:space="preserve">Table 2.1: Summary of </w:t>
      </w:r>
      <w:r w:rsidR="00E25319">
        <w:rPr>
          <w:b/>
        </w:rPr>
        <w:t>WES</w:t>
      </w:r>
      <w:r w:rsidR="001939AD">
        <w:rPr>
          <w:b/>
        </w:rPr>
        <w:t xml:space="preserve"> </w:t>
      </w:r>
      <w:r w:rsidR="00E25319">
        <w:rPr>
          <w:b/>
        </w:rPr>
        <w:t xml:space="preserve">and </w:t>
      </w:r>
      <w:r w:rsidR="00314205">
        <w:rPr>
          <w:b/>
        </w:rPr>
        <w:t>BLRL</w:t>
      </w:r>
      <w:r w:rsidR="009F23E9">
        <w:rPr>
          <w:b/>
        </w:rPr>
        <w:t xml:space="preserve"> </w:t>
      </w:r>
      <w:r w:rsidR="0009468C">
        <w:rPr>
          <w:b/>
        </w:rPr>
        <w:t>that have</w:t>
      </w:r>
      <w:r w:rsidR="00024D0A">
        <w:rPr>
          <w:b/>
        </w:rPr>
        <w:t xml:space="preserve"> supporting documentation</w:t>
      </w:r>
    </w:p>
    <w:tbl>
      <w:tblPr>
        <w:tblW w:w="13887"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1111"/>
        <w:gridCol w:w="1032"/>
        <w:gridCol w:w="795"/>
        <w:gridCol w:w="914"/>
        <w:gridCol w:w="1134"/>
        <w:gridCol w:w="820"/>
        <w:gridCol w:w="10"/>
        <w:gridCol w:w="702"/>
        <w:gridCol w:w="820"/>
        <w:gridCol w:w="740"/>
        <w:gridCol w:w="992"/>
        <w:gridCol w:w="3399"/>
        <w:gridCol w:w="1418"/>
      </w:tblGrid>
      <w:tr w:rsidR="00F87ED4" w:rsidTr="00175E94">
        <w:trPr>
          <w:cantSplit/>
          <w:trHeight w:val="469"/>
          <w:tblHeader/>
        </w:trPr>
        <w:tc>
          <w:tcPr>
            <w:tcW w:w="1111"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Country &amp; Agency</w:t>
            </w:r>
          </w:p>
        </w:tc>
        <w:tc>
          <w:tcPr>
            <w:tcW w:w="1032" w:type="dxa"/>
            <w:vMerge w:val="restart"/>
            <w:tcBorders>
              <w:top w:val="single" w:sz="12" w:space="0" w:color="auto"/>
            </w:tcBorders>
            <w:shd w:val="clear" w:color="auto" w:fill="D6E3BC" w:themeFill="accent3" w:themeFillTint="66"/>
            <w:vAlign w:val="center"/>
          </w:tcPr>
          <w:p w:rsidR="00F87ED4" w:rsidRPr="00BB46F9" w:rsidRDefault="00F87ED4" w:rsidP="00F6487E">
            <w:pPr>
              <w:spacing w:line="240" w:lineRule="auto"/>
              <w:jc w:val="center"/>
              <w:rPr>
                <w:b/>
                <w:vertAlign w:val="superscript"/>
              </w:rPr>
            </w:pPr>
            <w:r>
              <w:rPr>
                <w:b/>
              </w:rPr>
              <w:t>WES</w:t>
            </w:r>
            <w:r>
              <w:rPr>
                <w:b/>
                <w:vertAlign w:val="superscript"/>
              </w:rPr>
              <w:t>a</w:t>
            </w:r>
          </w:p>
          <w:p w:rsidR="00F87ED4" w:rsidRPr="00580F0B" w:rsidRDefault="00F87ED4" w:rsidP="00F6487E">
            <w:pPr>
              <w:spacing w:line="240" w:lineRule="auto"/>
              <w:jc w:val="center"/>
              <w:rPr>
                <w:b/>
                <w:vertAlign w:val="superscript"/>
              </w:rPr>
            </w:pPr>
            <w:r>
              <w:rPr>
                <w:b/>
              </w:rPr>
              <w:t>(</w:t>
            </w:r>
            <w:r>
              <w:rPr>
                <w:rFonts w:cs="Arial"/>
                <w:b/>
              </w:rPr>
              <w:t>m</w:t>
            </w:r>
            <w:r w:rsidRPr="00580F0B">
              <w:rPr>
                <w:rFonts w:cs="Arial"/>
                <w:b/>
              </w:rPr>
              <w:t>g</w:t>
            </w:r>
            <w:r>
              <w:rPr>
                <w:b/>
              </w:rPr>
              <w:t>/m</w:t>
            </w:r>
            <w:r>
              <w:rPr>
                <w:b/>
                <w:vertAlign w:val="superscript"/>
              </w:rPr>
              <w:t>3</w:t>
            </w:r>
            <w:r>
              <w:rPr>
                <w:b/>
              </w:rPr>
              <w:t>)</w:t>
            </w:r>
          </w:p>
        </w:tc>
        <w:tc>
          <w:tcPr>
            <w:tcW w:w="1709" w:type="dxa"/>
            <w:gridSpan w:val="2"/>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Date</w:t>
            </w:r>
          </w:p>
        </w:tc>
        <w:tc>
          <w:tcPr>
            <w:tcW w:w="1134"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Fraction</w:t>
            </w:r>
          </w:p>
        </w:tc>
        <w:tc>
          <w:tcPr>
            <w:tcW w:w="2352" w:type="dxa"/>
            <w:gridSpan w:val="4"/>
            <w:tcBorders>
              <w:top w:val="single" w:sz="12" w:space="0" w:color="auto"/>
              <w:bottom w:val="single" w:sz="8" w:space="0" w:color="auto"/>
            </w:tcBorders>
            <w:shd w:val="clear" w:color="auto" w:fill="D6E3BC" w:themeFill="accent3" w:themeFillTint="66"/>
            <w:vAlign w:val="center"/>
          </w:tcPr>
          <w:p w:rsidR="00F87ED4" w:rsidRPr="005E5809" w:rsidRDefault="001939AD" w:rsidP="00F6487E">
            <w:pPr>
              <w:spacing w:line="240" w:lineRule="auto"/>
              <w:jc w:val="center"/>
              <w:rPr>
                <w:vertAlign w:val="superscript"/>
              </w:rPr>
            </w:pPr>
            <w:r>
              <w:rPr>
                <w:b/>
              </w:rPr>
              <w:t>BLRL</w:t>
            </w:r>
            <w:r w:rsidR="00F87ED4">
              <w:rPr>
                <w:b/>
              </w:rPr>
              <w:t xml:space="preserve"> (</w:t>
            </w:r>
            <w:r w:rsidR="00F87ED4" w:rsidRPr="00580F0B">
              <w:rPr>
                <w:rFonts w:cs="Arial"/>
                <w:b/>
              </w:rPr>
              <w:t>µg</w:t>
            </w:r>
            <w:r w:rsidR="00F87ED4">
              <w:rPr>
                <w:rFonts w:cs="Arial"/>
                <w:b/>
              </w:rPr>
              <w:t>/dL)</w:t>
            </w:r>
            <w:r w:rsidR="00584D26">
              <w:rPr>
                <w:rFonts w:cs="Arial"/>
                <w:b/>
              </w:rPr>
              <w:t xml:space="preserve"> </w:t>
            </w:r>
            <w:r w:rsidRPr="00175E94">
              <w:rPr>
                <w:rFonts w:cs="Arial"/>
                <w:b/>
                <w:vertAlign w:val="superscript"/>
              </w:rPr>
              <w:t>a,</w:t>
            </w:r>
            <w:r>
              <w:rPr>
                <w:rFonts w:cs="Arial"/>
                <w:b/>
              </w:rPr>
              <w:t xml:space="preserve"> </w:t>
            </w:r>
            <w:r w:rsidR="00584D26">
              <w:rPr>
                <w:rFonts w:cs="Arial"/>
                <w:b/>
                <w:vertAlign w:val="superscript"/>
              </w:rPr>
              <w:t>b</w:t>
            </w:r>
          </w:p>
        </w:tc>
        <w:tc>
          <w:tcPr>
            <w:tcW w:w="1732" w:type="dxa"/>
            <w:gridSpan w:val="2"/>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Date</w:t>
            </w:r>
          </w:p>
        </w:tc>
        <w:tc>
          <w:tcPr>
            <w:tcW w:w="3399"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Comment</w:t>
            </w:r>
          </w:p>
        </w:tc>
        <w:tc>
          <w:tcPr>
            <w:tcW w:w="1418"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Reference</w:t>
            </w:r>
          </w:p>
        </w:tc>
      </w:tr>
      <w:tr w:rsidR="00F87ED4" w:rsidTr="00175E94">
        <w:trPr>
          <w:cantSplit/>
          <w:trHeight w:val="516"/>
          <w:tblHeader/>
        </w:trPr>
        <w:tc>
          <w:tcPr>
            <w:tcW w:w="1111" w:type="dxa"/>
            <w:vMerge/>
            <w:vAlign w:val="center"/>
          </w:tcPr>
          <w:p w:rsidR="00F87ED4" w:rsidRDefault="00F87ED4" w:rsidP="00F6487E">
            <w:pPr>
              <w:spacing w:line="240" w:lineRule="auto"/>
              <w:jc w:val="center"/>
            </w:pPr>
          </w:p>
        </w:tc>
        <w:tc>
          <w:tcPr>
            <w:tcW w:w="1032" w:type="dxa"/>
            <w:vMerge/>
            <w:vAlign w:val="center"/>
          </w:tcPr>
          <w:p w:rsidR="00F87ED4" w:rsidRDefault="00F87ED4" w:rsidP="00F6487E">
            <w:pPr>
              <w:spacing w:line="240" w:lineRule="auto"/>
              <w:jc w:val="center"/>
            </w:pPr>
          </w:p>
        </w:tc>
        <w:tc>
          <w:tcPr>
            <w:tcW w:w="795" w:type="dxa"/>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Set</w:t>
            </w:r>
          </w:p>
        </w:tc>
        <w:tc>
          <w:tcPr>
            <w:tcW w:w="914" w:type="dxa"/>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Revised</w:t>
            </w:r>
          </w:p>
        </w:tc>
        <w:tc>
          <w:tcPr>
            <w:tcW w:w="1134" w:type="dxa"/>
            <w:vMerge/>
            <w:vAlign w:val="center"/>
          </w:tcPr>
          <w:p w:rsidR="00F87ED4" w:rsidRDefault="00F87ED4" w:rsidP="00F6487E">
            <w:pPr>
              <w:spacing w:line="240" w:lineRule="auto"/>
              <w:jc w:val="center"/>
            </w:pPr>
          </w:p>
        </w:tc>
        <w:tc>
          <w:tcPr>
            <w:tcW w:w="820" w:type="dxa"/>
            <w:tcBorders>
              <w:top w:val="single" w:sz="8" w:space="0" w:color="auto"/>
            </w:tcBorders>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M &amp; FNR</w:t>
            </w:r>
          </w:p>
        </w:tc>
        <w:tc>
          <w:tcPr>
            <w:tcW w:w="712" w:type="dxa"/>
            <w:gridSpan w:val="2"/>
            <w:tcBorders>
              <w:top w:val="single" w:sz="8" w:space="0" w:color="auto"/>
            </w:tcBorders>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FR</w:t>
            </w:r>
          </w:p>
        </w:tc>
        <w:tc>
          <w:tcPr>
            <w:tcW w:w="820" w:type="dxa"/>
            <w:tcBorders>
              <w:top w:val="single" w:sz="8" w:space="0" w:color="auto"/>
            </w:tcBorders>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FP &amp; FB</w:t>
            </w:r>
          </w:p>
        </w:tc>
        <w:tc>
          <w:tcPr>
            <w:tcW w:w="740" w:type="dxa"/>
            <w:shd w:val="clear" w:color="auto" w:fill="D6E3BC" w:themeFill="accent3" w:themeFillTint="66"/>
            <w:vAlign w:val="center"/>
          </w:tcPr>
          <w:p w:rsidR="00F87ED4" w:rsidRDefault="00F87ED4" w:rsidP="00F6487E">
            <w:pPr>
              <w:spacing w:line="240" w:lineRule="auto"/>
              <w:jc w:val="center"/>
            </w:pPr>
            <w:r w:rsidRPr="00D15CBA">
              <w:rPr>
                <w:sz w:val="18"/>
                <w:szCs w:val="18"/>
              </w:rPr>
              <w:t>Set</w:t>
            </w:r>
          </w:p>
        </w:tc>
        <w:tc>
          <w:tcPr>
            <w:tcW w:w="992" w:type="dxa"/>
            <w:shd w:val="clear" w:color="auto" w:fill="D6E3BC" w:themeFill="accent3" w:themeFillTint="66"/>
            <w:vAlign w:val="center"/>
          </w:tcPr>
          <w:p w:rsidR="00F87ED4" w:rsidRDefault="00F87ED4" w:rsidP="00F6487E">
            <w:pPr>
              <w:spacing w:line="240" w:lineRule="auto"/>
              <w:jc w:val="center"/>
            </w:pPr>
            <w:r w:rsidRPr="00D15CBA">
              <w:rPr>
                <w:sz w:val="18"/>
                <w:szCs w:val="18"/>
              </w:rPr>
              <w:t>Revised</w:t>
            </w:r>
          </w:p>
        </w:tc>
        <w:tc>
          <w:tcPr>
            <w:tcW w:w="3399" w:type="dxa"/>
            <w:vMerge/>
            <w:vAlign w:val="center"/>
          </w:tcPr>
          <w:p w:rsidR="00F87ED4" w:rsidRDefault="00F87ED4" w:rsidP="00F6487E">
            <w:pPr>
              <w:spacing w:line="240" w:lineRule="auto"/>
              <w:jc w:val="center"/>
            </w:pPr>
          </w:p>
        </w:tc>
        <w:tc>
          <w:tcPr>
            <w:tcW w:w="1418" w:type="dxa"/>
            <w:vMerge/>
            <w:vAlign w:val="center"/>
          </w:tcPr>
          <w:p w:rsidR="00F87ED4" w:rsidRDefault="00F87ED4" w:rsidP="00F6487E">
            <w:pPr>
              <w:spacing w:line="240" w:lineRule="auto"/>
              <w:jc w:val="center"/>
            </w:pPr>
          </w:p>
        </w:tc>
      </w:tr>
      <w:tr w:rsidR="00F87ED4" w:rsidTr="00E13BE2">
        <w:trPr>
          <w:cantSplit/>
        </w:trPr>
        <w:tc>
          <w:tcPr>
            <w:tcW w:w="1111" w:type="dxa"/>
            <w:shd w:val="clear" w:color="auto" w:fill="DAEEF3" w:themeFill="accent5" w:themeFillTint="33"/>
            <w:vAlign w:val="center"/>
          </w:tcPr>
          <w:p w:rsidR="00F87ED4" w:rsidRDefault="00F87ED4" w:rsidP="00F6487E">
            <w:pPr>
              <w:spacing w:line="240" w:lineRule="auto"/>
              <w:jc w:val="center"/>
              <w:rPr>
                <w:sz w:val="20"/>
                <w:szCs w:val="20"/>
              </w:rPr>
            </w:pPr>
            <w:r>
              <w:rPr>
                <w:sz w:val="20"/>
                <w:szCs w:val="20"/>
              </w:rPr>
              <w:t>E</w:t>
            </w:r>
            <w:r w:rsidR="00CD3FC0">
              <w:rPr>
                <w:sz w:val="20"/>
                <w:szCs w:val="20"/>
              </w:rPr>
              <w:t>C</w:t>
            </w:r>
          </w:p>
          <w:p w:rsidR="00F87ED4" w:rsidRDefault="00F87ED4" w:rsidP="00F6487E">
            <w:pPr>
              <w:spacing w:line="240" w:lineRule="auto"/>
              <w:jc w:val="center"/>
              <w:rPr>
                <w:sz w:val="20"/>
                <w:szCs w:val="20"/>
              </w:rPr>
            </w:pPr>
            <w:r>
              <w:rPr>
                <w:sz w:val="20"/>
                <w:szCs w:val="20"/>
              </w:rPr>
              <w:t>(SCOEL)</w:t>
            </w:r>
          </w:p>
        </w:tc>
        <w:tc>
          <w:tcPr>
            <w:tcW w:w="1032" w:type="dxa"/>
            <w:shd w:val="clear" w:color="auto" w:fill="DAEEF3" w:themeFill="accent5" w:themeFillTint="33"/>
            <w:vAlign w:val="center"/>
          </w:tcPr>
          <w:p w:rsidR="00F87ED4" w:rsidRPr="00C05791" w:rsidRDefault="00F87ED4" w:rsidP="00F6487E">
            <w:pPr>
              <w:spacing w:line="240" w:lineRule="auto"/>
              <w:jc w:val="center"/>
              <w:rPr>
                <w:sz w:val="20"/>
                <w:szCs w:val="20"/>
                <w:vertAlign w:val="superscript"/>
              </w:rPr>
            </w:pPr>
            <w:r>
              <w:rPr>
                <w:sz w:val="20"/>
                <w:szCs w:val="20"/>
              </w:rPr>
              <w:t>0.1</w:t>
            </w:r>
          </w:p>
        </w:tc>
        <w:tc>
          <w:tcPr>
            <w:tcW w:w="795" w:type="dxa"/>
            <w:shd w:val="clear" w:color="auto" w:fill="DAEEF3" w:themeFill="accent5" w:themeFillTint="33"/>
            <w:vAlign w:val="center"/>
          </w:tcPr>
          <w:p w:rsidR="00F87ED4" w:rsidRDefault="00F87ED4" w:rsidP="00F6487E">
            <w:pPr>
              <w:spacing w:line="240" w:lineRule="auto"/>
              <w:jc w:val="center"/>
              <w:rPr>
                <w:sz w:val="20"/>
                <w:szCs w:val="20"/>
              </w:rPr>
            </w:pPr>
            <w:r>
              <w:rPr>
                <w:sz w:val="20"/>
                <w:szCs w:val="20"/>
              </w:rPr>
              <w:t>2002</w:t>
            </w:r>
          </w:p>
        </w:tc>
        <w:tc>
          <w:tcPr>
            <w:tcW w:w="914" w:type="dxa"/>
            <w:shd w:val="clear" w:color="auto" w:fill="DAEEF3" w:themeFill="accent5" w:themeFillTint="33"/>
            <w:vAlign w:val="center"/>
          </w:tcPr>
          <w:p w:rsidR="00F87ED4" w:rsidRDefault="00F87ED4" w:rsidP="00F6487E">
            <w:pPr>
              <w:spacing w:line="240" w:lineRule="auto"/>
              <w:jc w:val="center"/>
              <w:rPr>
                <w:sz w:val="20"/>
                <w:szCs w:val="20"/>
              </w:rPr>
            </w:pPr>
            <w:r>
              <w:rPr>
                <w:sz w:val="20"/>
                <w:szCs w:val="20"/>
              </w:rPr>
              <w:t>NS</w:t>
            </w:r>
          </w:p>
        </w:tc>
        <w:tc>
          <w:tcPr>
            <w:tcW w:w="1134" w:type="dxa"/>
            <w:shd w:val="clear" w:color="auto" w:fill="DAEEF3" w:themeFill="accent5" w:themeFillTint="33"/>
            <w:vAlign w:val="center"/>
          </w:tcPr>
          <w:p w:rsidR="00F87ED4" w:rsidRPr="009F109F" w:rsidRDefault="00E13BE2" w:rsidP="00F423C9">
            <w:pPr>
              <w:spacing w:line="240" w:lineRule="auto"/>
              <w:jc w:val="center"/>
              <w:rPr>
                <w:sz w:val="16"/>
                <w:szCs w:val="16"/>
              </w:rPr>
            </w:pPr>
            <w:r>
              <w:rPr>
                <w:sz w:val="18"/>
                <w:szCs w:val="18"/>
              </w:rPr>
              <w:t>Lead fumes and dusts</w:t>
            </w:r>
            <w:r w:rsidR="00852365" w:rsidRPr="009F109F" w:rsidDel="00852365">
              <w:rPr>
                <w:sz w:val="18"/>
                <w:szCs w:val="18"/>
              </w:rPr>
              <w:t xml:space="preserve"> </w:t>
            </w:r>
            <w:r w:rsidR="00F87ED4" w:rsidRPr="009F109F">
              <w:rPr>
                <w:sz w:val="16"/>
                <w:szCs w:val="16"/>
              </w:rPr>
              <w:t xml:space="preserve"> &lt;10</w:t>
            </w:r>
            <w:r w:rsidR="00F87ED4" w:rsidRPr="009F109F">
              <w:rPr>
                <w:rFonts w:cs="Arial"/>
                <w:sz w:val="16"/>
                <w:szCs w:val="16"/>
              </w:rPr>
              <w:t>µ</w:t>
            </w:r>
            <w:r w:rsidR="00F87ED4" w:rsidRPr="009F109F">
              <w:rPr>
                <w:sz w:val="16"/>
                <w:szCs w:val="16"/>
              </w:rPr>
              <w:t>m</w:t>
            </w:r>
          </w:p>
        </w:tc>
        <w:tc>
          <w:tcPr>
            <w:tcW w:w="2352" w:type="dxa"/>
            <w:gridSpan w:val="4"/>
            <w:shd w:val="clear" w:color="auto" w:fill="DAEEF3" w:themeFill="accent5" w:themeFillTint="33"/>
            <w:vAlign w:val="center"/>
          </w:tcPr>
          <w:p w:rsidR="00F87ED4" w:rsidRDefault="00F87ED4" w:rsidP="00F6487E">
            <w:pPr>
              <w:spacing w:line="240" w:lineRule="auto"/>
              <w:jc w:val="center"/>
              <w:rPr>
                <w:sz w:val="18"/>
                <w:szCs w:val="18"/>
              </w:rPr>
            </w:pPr>
            <w:r>
              <w:rPr>
                <w:sz w:val="20"/>
                <w:szCs w:val="20"/>
              </w:rPr>
              <w:t>30</w:t>
            </w:r>
            <w:r w:rsidR="00584D26">
              <w:rPr>
                <w:sz w:val="18"/>
                <w:szCs w:val="18"/>
              </w:rPr>
              <w:t xml:space="preserve"> </w:t>
            </w:r>
          </w:p>
          <w:p w:rsidR="000F37BB" w:rsidRDefault="000F37BB" w:rsidP="00F6487E">
            <w:pPr>
              <w:spacing w:line="240" w:lineRule="auto"/>
              <w:jc w:val="center"/>
              <w:rPr>
                <w:sz w:val="18"/>
                <w:szCs w:val="18"/>
              </w:rPr>
            </w:pPr>
          </w:p>
          <w:p w:rsidR="000F37BB" w:rsidRPr="00584D26" w:rsidRDefault="000F37BB" w:rsidP="00F6487E">
            <w:pPr>
              <w:spacing w:line="240" w:lineRule="auto"/>
              <w:jc w:val="center"/>
              <w:rPr>
                <w:sz w:val="18"/>
                <w:szCs w:val="18"/>
              </w:rPr>
            </w:pPr>
            <w:r>
              <w:rPr>
                <w:sz w:val="18"/>
                <w:szCs w:val="18"/>
              </w:rPr>
              <w:t>(non-legislated BLRL)</w:t>
            </w:r>
          </w:p>
        </w:tc>
        <w:tc>
          <w:tcPr>
            <w:tcW w:w="740" w:type="dxa"/>
            <w:shd w:val="clear" w:color="auto" w:fill="DAEEF3" w:themeFill="accent5" w:themeFillTint="33"/>
            <w:vAlign w:val="center"/>
          </w:tcPr>
          <w:p w:rsidR="00F87ED4" w:rsidRDefault="00F87ED4" w:rsidP="00F6487E">
            <w:pPr>
              <w:spacing w:line="240" w:lineRule="auto"/>
              <w:jc w:val="center"/>
              <w:rPr>
                <w:sz w:val="20"/>
                <w:szCs w:val="20"/>
              </w:rPr>
            </w:pPr>
            <w:r>
              <w:rPr>
                <w:sz w:val="20"/>
                <w:szCs w:val="20"/>
              </w:rPr>
              <w:t>2002</w:t>
            </w:r>
          </w:p>
        </w:tc>
        <w:tc>
          <w:tcPr>
            <w:tcW w:w="992" w:type="dxa"/>
            <w:shd w:val="clear" w:color="auto" w:fill="DAEEF3" w:themeFill="accent5" w:themeFillTint="33"/>
            <w:vAlign w:val="center"/>
          </w:tcPr>
          <w:p w:rsidR="00F87ED4" w:rsidRDefault="00F87ED4" w:rsidP="00F6487E">
            <w:pPr>
              <w:spacing w:line="240" w:lineRule="auto"/>
              <w:jc w:val="center"/>
              <w:rPr>
                <w:sz w:val="20"/>
                <w:szCs w:val="20"/>
              </w:rPr>
            </w:pPr>
            <w:r>
              <w:rPr>
                <w:sz w:val="20"/>
                <w:szCs w:val="20"/>
              </w:rPr>
              <w:t>NS</w:t>
            </w:r>
          </w:p>
        </w:tc>
        <w:tc>
          <w:tcPr>
            <w:tcW w:w="3399" w:type="dxa"/>
            <w:shd w:val="clear" w:color="auto" w:fill="DAEEF3" w:themeFill="accent5" w:themeFillTint="33"/>
            <w:vAlign w:val="center"/>
          </w:tcPr>
          <w:p w:rsidR="00CD3FC0" w:rsidRDefault="00CD3FC0" w:rsidP="00F6487E">
            <w:pPr>
              <w:spacing w:line="240" w:lineRule="auto"/>
              <w:rPr>
                <w:sz w:val="18"/>
                <w:szCs w:val="18"/>
              </w:rPr>
            </w:pPr>
            <w:r>
              <w:rPr>
                <w:sz w:val="18"/>
                <w:szCs w:val="18"/>
              </w:rPr>
              <w:t xml:space="preserve">This is a recommendation from a committee, not legislated. However, it has been picked up by various member countries. </w:t>
            </w:r>
          </w:p>
          <w:p w:rsidR="00F87ED4" w:rsidRPr="0009468C" w:rsidRDefault="00F87ED4" w:rsidP="00324F02">
            <w:pPr>
              <w:spacing w:line="240" w:lineRule="auto"/>
              <w:rPr>
                <w:sz w:val="18"/>
                <w:szCs w:val="18"/>
              </w:rPr>
            </w:pPr>
            <w:r w:rsidRPr="0009468C">
              <w:rPr>
                <w:sz w:val="18"/>
                <w:szCs w:val="18"/>
              </w:rPr>
              <w:t xml:space="preserve">Rationale not clear, however </w:t>
            </w:r>
            <w:r w:rsidRPr="00175E94">
              <w:rPr>
                <w:sz w:val="18"/>
                <w:szCs w:val="18"/>
              </w:rPr>
              <w:t>B</w:t>
            </w:r>
            <w:r w:rsidR="001939AD" w:rsidRPr="00175E94">
              <w:rPr>
                <w:sz w:val="18"/>
                <w:szCs w:val="18"/>
              </w:rPr>
              <w:t>LRL</w:t>
            </w:r>
            <w:r>
              <w:rPr>
                <w:sz w:val="18"/>
                <w:szCs w:val="18"/>
              </w:rPr>
              <w:t xml:space="preserve"> </w:t>
            </w:r>
            <w:r w:rsidRPr="0009468C">
              <w:rPr>
                <w:sz w:val="18"/>
                <w:szCs w:val="18"/>
              </w:rPr>
              <w:t xml:space="preserve">seems to be set at a level lower than that which is said to protect against a range of health effects in adult workers. Background PbB seems to have been considered. </w:t>
            </w:r>
          </w:p>
        </w:tc>
        <w:tc>
          <w:tcPr>
            <w:tcW w:w="1418" w:type="dxa"/>
            <w:shd w:val="clear" w:color="auto" w:fill="DAEEF3" w:themeFill="accent5" w:themeFillTint="33"/>
            <w:vAlign w:val="center"/>
          </w:tcPr>
          <w:p w:rsidR="00F87ED4" w:rsidRDefault="00F87ED4" w:rsidP="00F6487E">
            <w:pPr>
              <w:spacing w:line="240" w:lineRule="auto"/>
              <w:jc w:val="center"/>
              <w:rPr>
                <w:sz w:val="20"/>
                <w:szCs w:val="20"/>
              </w:rPr>
            </w:pPr>
            <w:r>
              <w:rPr>
                <w:sz w:val="20"/>
                <w:szCs w:val="20"/>
              </w:rPr>
              <w:t>SCOEL 2002</w:t>
            </w:r>
          </w:p>
        </w:tc>
      </w:tr>
      <w:tr w:rsidR="00F87ED4" w:rsidTr="00175E94">
        <w:trPr>
          <w:cantSplit/>
        </w:trPr>
        <w:tc>
          <w:tcPr>
            <w:tcW w:w="1111" w:type="dxa"/>
            <w:vAlign w:val="center"/>
          </w:tcPr>
          <w:p w:rsidR="00F87ED4" w:rsidRDefault="00F87ED4" w:rsidP="00F6487E">
            <w:pPr>
              <w:spacing w:line="240" w:lineRule="auto"/>
              <w:jc w:val="center"/>
              <w:rPr>
                <w:sz w:val="20"/>
                <w:szCs w:val="20"/>
              </w:rPr>
            </w:pPr>
            <w:r>
              <w:rPr>
                <w:sz w:val="20"/>
                <w:szCs w:val="20"/>
              </w:rPr>
              <w:t>Germany</w:t>
            </w:r>
          </w:p>
          <w:p w:rsidR="00F87ED4" w:rsidRPr="005E287F" w:rsidRDefault="00F87ED4" w:rsidP="00F6487E">
            <w:pPr>
              <w:spacing w:line="240" w:lineRule="auto"/>
              <w:jc w:val="center"/>
              <w:rPr>
                <w:sz w:val="20"/>
                <w:szCs w:val="20"/>
              </w:rPr>
            </w:pPr>
            <w:r>
              <w:rPr>
                <w:sz w:val="20"/>
                <w:szCs w:val="20"/>
              </w:rPr>
              <w:t>(DFG)</w:t>
            </w:r>
          </w:p>
        </w:tc>
        <w:tc>
          <w:tcPr>
            <w:tcW w:w="1032" w:type="dxa"/>
            <w:vAlign w:val="center"/>
          </w:tcPr>
          <w:p w:rsidR="00F87ED4" w:rsidRPr="005E287F" w:rsidRDefault="00F87ED4" w:rsidP="00F6487E">
            <w:pPr>
              <w:spacing w:line="240" w:lineRule="auto"/>
              <w:jc w:val="center"/>
              <w:rPr>
                <w:sz w:val="20"/>
                <w:szCs w:val="20"/>
              </w:rPr>
            </w:pPr>
            <w:r>
              <w:rPr>
                <w:sz w:val="20"/>
                <w:szCs w:val="20"/>
              </w:rPr>
              <w:t>-</w:t>
            </w:r>
          </w:p>
        </w:tc>
        <w:tc>
          <w:tcPr>
            <w:tcW w:w="795" w:type="dxa"/>
            <w:vAlign w:val="center"/>
          </w:tcPr>
          <w:p w:rsidR="00F87ED4" w:rsidRPr="005E287F" w:rsidRDefault="00F87ED4" w:rsidP="00F6487E">
            <w:pPr>
              <w:spacing w:line="240" w:lineRule="auto"/>
              <w:jc w:val="center"/>
              <w:rPr>
                <w:sz w:val="20"/>
                <w:szCs w:val="20"/>
              </w:rPr>
            </w:pPr>
            <w:r>
              <w:rPr>
                <w:sz w:val="20"/>
                <w:szCs w:val="20"/>
              </w:rPr>
              <w:t>-</w:t>
            </w:r>
          </w:p>
        </w:tc>
        <w:tc>
          <w:tcPr>
            <w:tcW w:w="914" w:type="dxa"/>
            <w:vAlign w:val="center"/>
          </w:tcPr>
          <w:p w:rsidR="00F87ED4" w:rsidRPr="005E287F" w:rsidRDefault="00F87ED4" w:rsidP="00F6487E">
            <w:pPr>
              <w:spacing w:line="240" w:lineRule="auto"/>
              <w:jc w:val="center"/>
              <w:rPr>
                <w:sz w:val="20"/>
                <w:szCs w:val="20"/>
              </w:rPr>
            </w:pPr>
            <w:r>
              <w:rPr>
                <w:sz w:val="20"/>
                <w:szCs w:val="20"/>
              </w:rPr>
              <w:t>-</w:t>
            </w:r>
          </w:p>
        </w:tc>
        <w:tc>
          <w:tcPr>
            <w:tcW w:w="1134" w:type="dxa"/>
            <w:vAlign w:val="center"/>
          </w:tcPr>
          <w:p w:rsidR="00F87ED4" w:rsidRPr="005E287F" w:rsidRDefault="00F87ED4" w:rsidP="00F6487E">
            <w:pPr>
              <w:spacing w:line="240" w:lineRule="auto"/>
              <w:jc w:val="center"/>
              <w:rPr>
                <w:sz w:val="20"/>
                <w:szCs w:val="20"/>
              </w:rPr>
            </w:pPr>
            <w:r>
              <w:rPr>
                <w:sz w:val="20"/>
                <w:szCs w:val="20"/>
              </w:rPr>
              <w:t>-</w:t>
            </w:r>
          </w:p>
        </w:tc>
        <w:tc>
          <w:tcPr>
            <w:tcW w:w="830" w:type="dxa"/>
            <w:gridSpan w:val="2"/>
            <w:vAlign w:val="center"/>
          </w:tcPr>
          <w:p w:rsidR="000F37BB" w:rsidRDefault="000F37BB" w:rsidP="00F6487E">
            <w:pPr>
              <w:spacing w:line="240" w:lineRule="auto"/>
              <w:jc w:val="center"/>
              <w:rPr>
                <w:sz w:val="20"/>
                <w:szCs w:val="20"/>
              </w:rPr>
            </w:pPr>
          </w:p>
          <w:p w:rsidR="00F87ED4" w:rsidRDefault="00F87ED4" w:rsidP="004933B3">
            <w:pPr>
              <w:spacing w:line="240" w:lineRule="auto"/>
              <w:jc w:val="center"/>
              <w:rPr>
                <w:sz w:val="20"/>
                <w:szCs w:val="20"/>
                <w:vertAlign w:val="superscript"/>
              </w:rPr>
            </w:pPr>
            <w:r>
              <w:rPr>
                <w:sz w:val="20"/>
                <w:szCs w:val="20"/>
              </w:rPr>
              <w:t xml:space="preserve">30 </w:t>
            </w:r>
            <w:r w:rsidR="00584D26">
              <w:rPr>
                <w:sz w:val="20"/>
                <w:szCs w:val="20"/>
                <w:vertAlign w:val="superscript"/>
              </w:rPr>
              <w:t>c</w:t>
            </w:r>
          </w:p>
          <w:p w:rsidR="000F37BB" w:rsidRPr="00A10078" w:rsidRDefault="000F37BB" w:rsidP="00B2307D">
            <w:pPr>
              <w:spacing w:line="240" w:lineRule="auto"/>
              <w:rPr>
                <w:sz w:val="20"/>
                <w:szCs w:val="20"/>
                <w:vertAlign w:val="superscript"/>
              </w:rPr>
            </w:pPr>
          </w:p>
        </w:tc>
        <w:tc>
          <w:tcPr>
            <w:tcW w:w="1522" w:type="dxa"/>
            <w:gridSpan w:val="2"/>
            <w:vAlign w:val="center"/>
          </w:tcPr>
          <w:p w:rsidR="00927F28" w:rsidRDefault="00927F28" w:rsidP="00F6487E">
            <w:pPr>
              <w:spacing w:line="240" w:lineRule="auto"/>
              <w:jc w:val="center"/>
              <w:rPr>
                <w:sz w:val="20"/>
                <w:szCs w:val="20"/>
              </w:rPr>
            </w:pPr>
          </w:p>
          <w:p w:rsidR="00F87ED4" w:rsidRDefault="00F87ED4" w:rsidP="00F6487E">
            <w:pPr>
              <w:spacing w:line="240" w:lineRule="auto"/>
              <w:jc w:val="center"/>
              <w:rPr>
                <w:sz w:val="20"/>
                <w:szCs w:val="20"/>
                <w:vertAlign w:val="superscript"/>
              </w:rPr>
            </w:pPr>
            <w:r>
              <w:rPr>
                <w:sz w:val="20"/>
                <w:szCs w:val="20"/>
              </w:rPr>
              <w:t xml:space="preserve">7 </w:t>
            </w:r>
            <w:r w:rsidR="00584D26">
              <w:rPr>
                <w:sz w:val="20"/>
                <w:szCs w:val="20"/>
                <w:vertAlign w:val="superscript"/>
              </w:rPr>
              <w:t>c</w:t>
            </w:r>
          </w:p>
          <w:p w:rsidR="000F37BB" w:rsidRPr="005E287F" w:rsidRDefault="000F37BB" w:rsidP="00B2307D">
            <w:pPr>
              <w:spacing w:line="240" w:lineRule="auto"/>
              <w:rPr>
                <w:sz w:val="20"/>
                <w:szCs w:val="20"/>
              </w:rPr>
            </w:pPr>
          </w:p>
        </w:tc>
        <w:tc>
          <w:tcPr>
            <w:tcW w:w="740" w:type="dxa"/>
            <w:vAlign w:val="center"/>
          </w:tcPr>
          <w:p w:rsidR="00F87ED4" w:rsidRPr="005E287F" w:rsidRDefault="00F87ED4" w:rsidP="00F6487E">
            <w:pPr>
              <w:spacing w:line="240" w:lineRule="auto"/>
              <w:jc w:val="center"/>
              <w:rPr>
                <w:sz w:val="20"/>
                <w:szCs w:val="20"/>
              </w:rPr>
            </w:pPr>
            <w:r>
              <w:rPr>
                <w:sz w:val="20"/>
                <w:szCs w:val="20"/>
              </w:rPr>
              <w:t>2000</w:t>
            </w:r>
          </w:p>
        </w:tc>
        <w:tc>
          <w:tcPr>
            <w:tcW w:w="992" w:type="dxa"/>
            <w:vAlign w:val="center"/>
          </w:tcPr>
          <w:p w:rsidR="00F87ED4" w:rsidRPr="00A6576E" w:rsidRDefault="00F87ED4" w:rsidP="00F6487E">
            <w:pPr>
              <w:spacing w:line="240" w:lineRule="auto"/>
              <w:jc w:val="center"/>
              <w:rPr>
                <w:sz w:val="20"/>
                <w:szCs w:val="20"/>
                <w:vertAlign w:val="superscript"/>
              </w:rPr>
            </w:pPr>
            <w:r>
              <w:rPr>
                <w:sz w:val="20"/>
                <w:szCs w:val="20"/>
              </w:rPr>
              <w:t>2013</w:t>
            </w:r>
            <w:r w:rsidR="00584D26">
              <w:rPr>
                <w:sz w:val="20"/>
                <w:szCs w:val="20"/>
                <w:vertAlign w:val="superscript"/>
              </w:rPr>
              <w:t>d</w:t>
            </w:r>
          </w:p>
        </w:tc>
        <w:tc>
          <w:tcPr>
            <w:tcW w:w="3399" w:type="dxa"/>
            <w:vAlign w:val="center"/>
          </w:tcPr>
          <w:p w:rsidR="00F87ED4" w:rsidRPr="0009468C" w:rsidRDefault="00F87ED4" w:rsidP="00324F02">
            <w:pPr>
              <w:spacing w:line="240" w:lineRule="auto"/>
              <w:rPr>
                <w:sz w:val="18"/>
                <w:szCs w:val="18"/>
              </w:rPr>
            </w:pPr>
            <w:r w:rsidRPr="0009468C">
              <w:rPr>
                <w:sz w:val="18"/>
                <w:szCs w:val="18"/>
              </w:rPr>
              <w:t>Supporting documentation only located for previous recommendations</w:t>
            </w:r>
            <w:r>
              <w:rPr>
                <w:sz w:val="18"/>
                <w:szCs w:val="18"/>
              </w:rPr>
              <w:t>.</w:t>
            </w:r>
          </w:p>
        </w:tc>
        <w:tc>
          <w:tcPr>
            <w:tcW w:w="1418" w:type="dxa"/>
            <w:vAlign w:val="center"/>
          </w:tcPr>
          <w:p w:rsidR="00F87ED4" w:rsidRPr="005E287F" w:rsidRDefault="00F87ED4" w:rsidP="00F6487E">
            <w:pPr>
              <w:spacing w:line="240" w:lineRule="auto"/>
              <w:jc w:val="center"/>
              <w:rPr>
                <w:sz w:val="20"/>
                <w:szCs w:val="20"/>
              </w:rPr>
            </w:pPr>
            <w:r>
              <w:rPr>
                <w:sz w:val="20"/>
                <w:szCs w:val="20"/>
              </w:rPr>
              <w:t xml:space="preserve">DFG 2005; </w:t>
            </w:r>
            <w:r w:rsidRPr="006038D3">
              <w:rPr>
                <w:sz w:val="20"/>
                <w:szCs w:val="20"/>
              </w:rPr>
              <w:t>2013a, b</w:t>
            </w:r>
          </w:p>
        </w:tc>
      </w:tr>
      <w:tr w:rsidR="00F87ED4" w:rsidTr="00175E94">
        <w:trPr>
          <w:cantSplit/>
        </w:trPr>
        <w:tc>
          <w:tcPr>
            <w:tcW w:w="1111" w:type="dxa"/>
            <w:shd w:val="clear" w:color="auto" w:fill="FFFFCC"/>
            <w:vAlign w:val="center"/>
          </w:tcPr>
          <w:p w:rsidR="00F87ED4" w:rsidRDefault="00F87ED4" w:rsidP="00F6487E">
            <w:pPr>
              <w:spacing w:line="240" w:lineRule="auto"/>
              <w:jc w:val="center"/>
              <w:rPr>
                <w:sz w:val="20"/>
                <w:szCs w:val="20"/>
              </w:rPr>
            </w:pPr>
            <w:r w:rsidRPr="005E287F">
              <w:rPr>
                <w:sz w:val="20"/>
                <w:szCs w:val="20"/>
              </w:rPr>
              <w:t>USA</w:t>
            </w:r>
          </w:p>
          <w:p w:rsidR="00F87ED4" w:rsidRPr="005E287F" w:rsidRDefault="00F87ED4" w:rsidP="00F6487E">
            <w:pPr>
              <w:spacing w:line="240" w:lineRule="auto"/>
              <w:jc w:val="center"/>
              <w:rPr>
                <w:sz w:val="20"/>
                <w:szCs w:val="20"/>
              </w:rPr>
            </w:pPr>
            <w:r>
              <w:rPr>
                <w:sz w:val="20"/>
                <w:szCs w:val="20"/>
              </w:rPr>
              <w:t>(ACGIH)</w:t>
            </w:r>
          </w:p>
        </w:tc>
        <w:tc>
          <w:tcPr>
            <w:tcW w:w="1032" w:type="dxa"/>
            <w:shd w:val="clear" w:color="auto" w:fill="FFFFCC"/>
            <w:vAlign w:val="center"/>
          </w:tcPr>
          <w:p w:rsidR="00F87ED4" w:rsidRPr="005E287F" w:rsidRDefault="00F87ED4" w:rsidP="00F6487E">
            <w:pPr>
              <w:spacing w:line="240" w:lineRule="auto"/>
              <w:jc w:val="center"/>
              <w:rPr>
                <w:sz w:val="20"/>
                <w:szCs w:val="20"/>
              </w:rPr>
            </w:pPr>
            <w:r>
              <w:rPr>
                <w:sz w:val="20"/>
                <w:szCs w:val="20"/>
              </w:rPr>
              <w:t>0.05</w:t>
            </w:r>
          </w:p>
        </w:tc>
        <w:tc>
          <w:tcPr>
            <w:tcW w:w="795" w:type="dxa"/>
            <w:shd w:val="clear" w:color="auto" w:fill="FFFFCC"/>
            <w:vAlign w:val="center"/>
          </w:tcPr>
          <w:p w:rsidR="00F87ED4" w:rsidRPr="005E287F" w:rsidRDefault="00F87ED4" w:rsidP="00F6487E">
            <w:pPr>
              <w:spacing w:line="240" w:lineRule="auto"/>
              <w:jc w:val="center"/>
              <w:rPr>
                <w:sz w:val="20"/>
                <w:szCs w:val="20"/>
              </w:rPr>
            </w:pPr>
            <w:r>
              <w:rPr>
                <w:sz w:val="20"/>
                <w:szCs w:val="20"/>
              </w:rPr>
              <w:t>1995</w:t>
            </w:r>
          </w:p>
        </w:tc>
        <w:tc>
          <w:tcPr>
            <w:tcW w:w="914" w:type="dxa"/>
            <w:shd w:val="clear" w:color="auto" w:fill="FFFFCC"/>
            <w:vAlign w:val="center"/>
          </w:tcPr>
          <w:p w:rsidR="00F87ED4" w:rsidRPr="005E287F" w:rsidRDefault="00F87ED4" w:rsidP="00F6487E">
            <w:pPr>
              <w:spacing w:line="240" w:lineRule="auto"/>
              <w:jc w:val="center"/>
              <w:rPr>
                <w:sz w:val="20"/>
                <w:szCs w:val="20"/>
              </w:rPr>
            </w:pPr>
            <w:r>
              <w:rPr>
                <w:sz w:val="20"/>
                <w:szCs w:val="20"/>
              </w:rPr>
              <w:t>NA</w:t>
            </w:r>
          </w:p>
        </w:tc>
        <w:tc>
          <w:tcPr>
            <w:tcW w:w="1134" w:type="dxa"/>
            <w:shd w:val="clear" w:color="auto" w:fill="FFFFCC"/>
            <w:vAlign w:val="center"/>
          </w:tcPr>
          <w:p w:rsidR="00F87ED4" w:rsidRPr="005E287F" w:rsidRDefault="00F87ED4" w:rsidP="00F6487E">
            <w:pPr>
              <w:spacing w:line="240" w:lineRule="auto"/>
              <w:jc w:val="center"/>
              <w:rPr>
                <w:sz w:val="20"/>
                <w:szCs w:val="20"/>
              </w:rPr>
            </w:pPr>
            <w:r w:rsidRPr="005E287F">
              <w:rPr>
                <w:sz w:val="20"/>
                <w:szCs w:val="20"/>
              </w:rPr>
              <w:t>Inhalable</w:t>
            </w:r>
          </w:p>
        </w:tc>
        <w:tc>
          <w:tcPr>
            <w:tcW w:w="2352" w:type="dxa"/>
            <w:gridSpan w:val="4"/>
            <w:shd w:val="clear" w:color="auto" w:fill="FFFFCC"/>
            <w:vAlign w:val="center"/>
          </w:tcPr>
          <w:p w:rsidR="00F87ED4" w:rsidRDefault="00F87ED4" w:rsidP="00F6487E">
            <w:pPr>
              <w:spacing w:line="240" w:lineRule="auto"/>
              <w:jc w:val="center"/>
              <w:rPr>
                <w:sz w:val="20"/>
                <w:szCs w:val="20"/>
              </w:rPr>
            </w:pPr>
            <w:r>
              <w:rPr>
                <w:sz w:val="20"/>
                <w:szCs w:val="20"/>
              </w:rPr>
              <w:t>30</w:t>
            </w:r>
          </w:p>
          <w:p w:rsidR="00F87ED4" w:rsidRDefault="00F87ED4" w:rsidP="00F6487E">
            <w:pPr>
              <w:spacing w:line="240" w:lineRule="auto"/>
              <w:jc w:val="center"/>
              <w:rPr>
                <w:i/>
                <w:sz w:val="16"/>
                <w:szCs w:val="16"/>
              </w:rPr>
            </w:pPr>
          </w:p>
          <w:p w:rsidR="00F87ED4" w:rsidRPr="005E287F" w:rsidRDefault="00F87ED4" w:rsidP="00F6487E">
            <w:pPr>
              <w:spacing w:line="240" w:lineRule="auto"/>
              <w:jc w:val="center"/>
              <w:rPr>
                <w:sz w:val="20"/>
                <w:szCs w:val="20"/>
                <w:vertAlign w:val="superscript"/>
              </w:rPr>
            </w:pPr>
            <w:r w:rsidRPr="002506E4">
              <w:rPr>
                <w:i/>
                <w:sz w:val="16"/>
                <w:szCs w:val="16"/>
              </w:rPr>
              <w:t xml:space="preserve">Implied </w:t>
            </w:r>
            <w:r w:rsidR="001939AD" w:rsidRPr="00175E94">
              <w:rPr>
                <w:i/>
                <w:sz w:val="16"/>
                <w:szCs w:val="16"/>
              </w:rPr>
              <w:t>BLRL</w:t>
            </w:r>
            <w:r w:rsidRPr="002506E4">
              <w:rPr>
                <w:i/>
                <w:sz w:val="16"/>
                <w:szCs w:val="16"/>
              </w:rPr>
              <w:t xml:space="preserve"> for pregnant </w:t>
            </w:r>
            <w:r>
              <w:rPr>
                <w:i/>
                <w:sz w:val="16"/>
                <w:szCs w:val="16"/>
              </w:rPr>
              <w:t>females</w:t>
            </w:r>
            <w:r w:rsidRPr="002506E4">
              <w:rPr>
                <w:i/>
                <w:sz w:val="16"/>
                <w:szCs w:val="16"/>
              </w:rPr>
              <w:t xml:space="preserve"> =</w:t>
            </w:r>
            <w:r>
              <w:rPr>
                <w:sz w:val="20"/>
                <w:szCs w:val="20"/>
              </w:rPr>
              <w:t xml:space="preserve"> 10 </w:t>
            </w:r>
            <w:r w:rsidR="00584D26">
              <w:rPr>
                <w:sz w:val="20"/>
                <w:szCs w:val="20"/>
                <w:vertAlign w:val="superscript"/>
              </w:rPr>
              <w:t>e</w:t>
            </w:r>
          </w:p>
        </w:tc>
        <w:tc>
          <w:tcPr>
            <w:tcW w:w="740" w:type="dxa"/>
            <w:shd w:val="clear" w:color="auto" w:fill="FFFFCC"/>
            <w:vAlign w:val="center"/>
          </w:tcPr>
          <w:p w:rsidR="00F87ED4" w:rsidRPr="005E287F" w:rsidRDefault="00F87ED4" w:rsidP="00F6487E">
            <w:pPr>
              <w:spacing w:line="240" w:lineRule="auto"/>
              <w:jc w:val="center"/>
              <w:rPr>
                <w:sz w:val="20"/>
                <w:szCs w:val="20"/>
              </w:rPr>
            </w:pPr>
            <w:r>
              <w:rPr>
                <w:sz w:val="20"/>
                <w:szCs w:val="20"/>
              </w:rPr>
              <w:t>1995</w:t>
            </w:r>
          </w:p>
        </w:tc>
        <w:tc>
          <w:tcPr>
            <w:tcW w:w="992" w:type="dxa"/>
            <w:shd w:val="clear" w:color="auto" w:fill="FFFFCC"/>
            <w:vAlign w:val="center"/>
          </w:tcPr>
          <w:p w:rsidR="00F87ED4" w:rsidRPr="005E287F" w:rsidRDefault="00F87ED4" w:rsidP="00F6487E">
            <w:pPr>
              <w:spacing w:line="240" w:lineRule="auto"/>
              <w:jc w:val="center"/>
              <w:rPr>
                <w:sz w:val="20"/>
                <w:szCs w:val="20"/>
              </w:rPr>
            </w:pPr>
            <w:r>
              <w:rPr>
                <w:sz w:val="20"/>
                <w:szCs w:val="20"/>
              </w:rPr>
              <w:t>NA</w:t>
            </w:r>
          </w:p>
        </w:tc>
        <w:tc>
          <w:tcPr>
            <w:tcW w:w="3399" w:type="dxa"/>
            <w:shd w:val="clear" w:color="auto" w:fill="FFFFCC"/>
            <w:vAlign w:val="center"/>
          </w:tcPr>
          <w:p w:rsidR="00F87ED4" w:rsidRPr="0009468C" w:rsidRDefault="00F87ED4" w:rsidP="00324F02">
            <w:pPr>
              <w:spacing w:line="240" w:lineRule="auto"/>
              <w:rPr>
                <w:sz w:val="18"/>
                <w:szCs w:val="18"/>
              </w:rPr>
            </w:pPr>
            <w:r w:rsidRPr="00175E94">
              <w:rPr>
                <w:sz w:val="18"/>
                <w:szCs w:val="18"/>
              </w:rPr>
              <w:t>B</w:t>
            </w:r>
            <w:r w:rsidR="001939AD" w:rsidRPr="00175E94">
              <w:rPr>
                <w:sz w:val="18"/>
                <w:szCs w:val="18"/>
              </w:rPr>
              <w:t>LRL</w:t>
            </w:r>
            <w:r w:rsidRPr="0009468C">
              <w:rPr>
                <w:sz w:val="18"/>
                <w:szCs w:val="18"/>
              </w:rPr>
              <w:t xml:space="preserve"> set to minimise potential for a range of non-transient effects. </w:t>
            </w:r>
            <w:r>
              <w:rPr>
                <w:sz w:val="18"/>
                <w:szCs w:val="18"/>
              </w:rPr>
              <w:t>WES</w:t>
            </w:r>
            <w:r w:rsidRPr="0009468C">
              <w:rPr>
                <w:sz w:val="18"/>
                <w:szCs w:val="18"/>
              </w:rPr>
              <w:t xml:space="preserve"> set to conform with </w:t>
            </w:r>
            <w:r w:rsidRPr="00175E94">
              <w:rPr>
                <w:sz w:val="18"/>
                <w:szCs w:val="18"/>
              </w:rPr>
              <w:t>B</w:t>
            </w:r>
            <w:r w:rsidR="001939AD" w:rsidRPr="00175E94">
              <w:rPr>
                <w:sz w:val="18"/>
                <w:szCs w:val="18"/>
              </w:rPr>
              <w:t>LRL</w:t>
            </w:r>
            <w:r w:rsidRPr="001939AD">
              <w:rPr>
                <w:sz w:val="18"/>
                <w:szCs w:val="18"/>
              </w:rPr>
              <w:t>.</w:t>
            </w:r>
            <w:r w:rsidRPr="0009468C">
              <w:rPr>
                <w:sz w:val="18"/>
                <w:szCs w:val="18"/>
              </w:rPr>
              <w:t xml:space="preserve"> </w:t>
            </w:r>
          </w:p>
        </w:tc>
        <w:tc>
          <w:tcPr>
            <w:tcW w:w="1418" w:type="dxa"/>
            <w:shd w:val="clear" w:color="auto" w:fill="FFFFCC"/>
            <w:vAlign w:val="center"/>
          </w:tcPr>
          <w:p w:rsidR="00F87ED4" w:rsidRPr="005E287F" w:rsidRDefault="00F87ED4" w:rsidP="00F6487E">
            <w:pPr>
              <w:spacing w:line="240" w:lineRule="auto"/>
              <w:jc w:val="center"/>
              <w:rPr>
                <w:sz w:val="20"/>
                <w:szCs w:val="20"/>
              </w:rPr>
            </w:pPr>
            <w:r>
              <w:rPr>
                <w:sz w:val="20"/>
                <w:szCs w:val="20"/>
              </w:rPr>
              <w:t>ACGIH 2001a, b</w:t>
            </w:r>
          </w:p>
        </w:tc>
      </w:tr>
      <w:tr w:rsidR="00F87ED4" w:rsidTr="00175E94">
        <w:trPr>
          <w:cantSplit/>
        </w:trPr>
        <w:tc>
          <w:tcPr>
            <w:tcW w:w="1111" w:type="dxa"/>
            <w:vAlign w:val="center"/>
          </w:tcPr>
          <w:p w:rsidR="00F87ED4" w:rsidRDefault="00F87ED4" w:rsidP="00F6487E">
            <w:pPr>
              <w:spacing w:line="240" w:lineRule="auto"/>
              <w:jc w:val="center"/>
              <w:rPr>
                <w:sz w:val="20"/>
                <w:szCs w:val="20"/>
              </w:rPr>
            </w:pPr>
            <w:r>
              <w:rPr>
                <w:sz w:val="20"/>
                <w:szCs w:val="20"/>
              </w:rPr>
              <w:t xml:space="preserve">World Health </w:t>
            </w:r>
            <w:r w:rsidRPr="00133B52">
              <w:rPr>
                <w:sz w:val="14"/>
                <w:szCs w:val="14"/>
              </w:rPr>
              <w:t>Organisation</w:t>
            </w:r>
            <w:r>
              <w:rPr>
                <w:sz w:val="20"/>
                <w:szCs w:val="20"/>
              </w:rPr>
              <w:t xml:space="preserve"> (WHO)</w:t>
            </w:r>
          </w:p>
        </w:tc>
        <w:tc>
          <w:tcPr>
            <w:tcW w:w="1032" w:type="dxa"/>
            <w:vAlign w:val="center"/>
          </w:tcPr>
          <w:p w:rsidR="00F87ED4" w:rsidRDefault="00F87ED4" w:rsidP="00F6487E">
            <w:pPr>
              <w:spacing w:line="240" w:lineRule="auto"/>
              <w:jc w:val="center"/>
              <w:rPr>
                <w:sz w:val="20"/>
                <w:szCs w:val="20"/>
              </w:rPr>
            </w:pPr>
            <w:r>
              <w:rPr>
                <w:sz w:val="20"/>
                <w:szCs w:val="20"/>
              </w:rPr>
              <w:t>0.03 – 0.06</w:t>
            </w:r>
          </w:p>
        </w:tc>
        <w:tc>
          <w:tcPr>
            <w:tcW w:w="795" w:type="dxa"/>
            <w:vAlign w:val="center"/>
          </w:tcPr>
          <w:p w:rsidR="00F87ED4" w:rsidRDefault="00F87ED4" w:rsidP="00F6487E">
            <w:pPr>
              <w:spacing w:line="240" w:lineRule="auto"/>
              <w:jc w:val="center"/>
              <w:rPr>
                <w:sz w:val="20"/>
                <w:szCs w:val="20"/>
              </w:rPr>
            </w:pPr>
            <w:r>
              <w:rPr>
                <w:sz w:val="20"/>
                <w:szCs w:val="20"/>
              </w:rPr>
              <w:t>1980</w:t>
            </w:r>
          </w:p>
        </w:tc>
        <w:tc>
          <w:tcPr>
            <w:tcW w:w="914" w:type="dxa"/>
            <w:vAlign w:val="center"/>
          </w:tcPr>
          <w:p w:rsidR="00F87ED4" w:rsidRDefault="00F87ED4" w:rsidP="00F6487E">
            <w:pPr>
              <w:spacing w:line="240" w:lineRule="auto"/>
              <w:jc w:val="center"/>
              <w:rPr>
                <w:sz w:val="20"/>
                <w:szCs w:val="20"/>
              </w:rPr>
            </w:pPr>
            <w:r>
              <w:rPr>
                <w:sz w:val="20"/>
                <w:szCs w:val="20"/>
              </w:rPr>
              <w:t>NA</w:t>
            </w:r>
          </w:p>
        </w:tc>
        <w:tc>
          <w:tcPr>
            <w:tcW w:w="1134" w:type="dxa"/>
            <w:vAlign w:val="center"/>
          </w:tcPr>
          <w:p w:rsidR="00F87ED4" w:rsidRDefault="00F87ED4" w:rsidP="00F6487E">
            <w:pPr>
              <w:spacing w:line="240" w:lineRule="auto"/>
              <w:jc w:val="center"/>
              <w:rPr>
                <w:sz w:val="20"/>
                <w:szCs w:val="20"/>
              </w:rPr>
            </w:pPr>
            <w:r>
              <w:rPr>
                <w:sz w:val="20"/>
                <w:szCs w:val="20"/>
              </w:rPr>
              <w:t>NS</w:t>
            </w:r>
          </w:p>
        </w:tc>
        <w:tc>
          <w:tcPr>
            <w:tcW w:w="830" w:type="dxa"/>
            <w:gridSpan w:val="2"/>
            <w:vAlign w:val="center"/>
          </w:tcPr>
          <w:p w:rsidR="000F37BB" w:rsidRDefault="000F37BB" w:rsidP="00F6487E">
            <w:pPr>
              <w:spacing w:line="240" w:lineRule="auto"/>
              <w:jc w:val="center"/>
              <w:rPr>
                <w:sz w:val="20"/>
                <w:szCs w:val="20"/>
              </w:rPr>
            </w:pPr>
          </w:p>
          <w:p w:rsidR="000F37BB" w:rsidRDefault="000F37BB" w:rsidP="00F6487E">
            <w:pPr>
              <w:spacing w:line="240" w:lineRule="auto"/>
              <w:jc w:val="center"/>
              <w:rPr>
                <w:sz w:val="20"/>
                <w:szCs w:val="20"/>
              </w:rPr>
            </w:pPr>
          </w:p>
          <w:p w:rsidR="00F87ED4" w:rsidRDefault="00F87ED4" w:rsidP="00F6487E">
            <w:pPr>
              <w:spacing w:line="240" w:lineRule="auto"/>
              <w:jc w:val="center"/>
              <w:rPr>
                <w:sz w:val="20"/>
                <w:szCs w:val="20"/>
              </w:rPr>
            </w:pPr>
            <w:r>
              <w:rPr>
                <w:sz w:val="20"/>
                <w:szCs w:val="20"/>
              </w:rPr>
              <w:t>40</w:t>
            </w:r>
          </w:p>
          <w:p w:rsidR="000F37BB" w:rsidRDefault="000F37BB" w:rsidP="00F6487E">
            <w:pPr>
              <w:spacing w:line="240" w:lineRule="auto"/>
              <w:jc w:val="center"/>
              <w:rPr>
                <w:sz w:val="20"/>
                <w:szCs w:val="20"/>
              </w:rPr>
            </w:pPr>
          </w:p>
          <w:p w:rsidR="000F37BB" w:rsidRPr="00175E94" w:rsidRDefault="004933B3" w:rsidP="00F6487E">
            <w:pPr>
              <w:spacing w:line="240" w:lineRule="auto"/>
              <w:jc w:val="center"/>
              <w:rPr>
                <w:sz w:val="18"/>
                <w:szCs w:val="18"/>
              </w:rPr>
            </w:pPr>
            <w:r w:rsidRPr="004933B3">
              <w:rPr>
                <w:sz w:val="18"/>
                <w:szCs w:val="18"/>
              </w:rPr>
              <w:t>(no</w:t>
            </w:r>
            <w:r>
              <w:rPr>
                <w:sz w:val="18"/>
                <w:szCs w:val="18"/>
              </w:rPr>
              <w:t>n</w:t>
            </w:r>
            <w:r w:rsidR="00927F28">
              <w:rPr>
                <w:sz w:val="18"/>
                <w:szCs w:val="18"/>
              </w:rPr>
              <w:t>-</w:t>
            </w:r>
            <w:r>
              <w:rPr>
                <w:sz w:val="18"/>
                <w:szCs w:val="18"/>
              </w:rPr>
              <w:t xml:space="preserve"> </w:t>
            </w:r>
            <w:r w:rsidR="000F37BB" w:rsidRPr="00175E94">
              <w:rPr>
                <w:sz w:val="18"/>
                <w:szCs w:val="18"/>
              </w:rPr>
              <w:t>legis</w:t>
            </w:r>
            <w:r>
              <w:rPr>
                <w:sz w:val="18"/>
                <w:szCs w:val="18"/>
              </w:rPr>
              <w:t>-</w:t>
            </w:r>
            <w:r w:rsidR="000F37BB" w:rsidRPr="00175E94">
              <w:rPr>
                <w:sz w:val="18"/>
                <w:szCs w:val="18"/>
              </w:rPr>
              <w:t>lated</w:t>
            </w:r>
            <w:r>
              <w:rPr>
                <w:sz w:val="18"/>
                <w:szCs w:val="18"/>
              </w:rPr>
              <w:t xml:space="preserve"> BLRL</w:t>
            </w:r>
            <w:r w:rsidR="000F37BB">
              <w:rPr>
                <w:sz w:val="18"/>
                <w:szCs w:val="18"/>
              </w:rPr>
              <w:t>)</w:t>
            </w:r>
          </w:p>
        </w:tc>
        <w:tc>
          <w:tcPr>
            <w:tcW w:w="1522" w:type="dxa"/>
            <w:gridSpan w:val="2"/>
            <w:vAlign w:val="center"/>
          </w:tcPr>
          <w:p w:rsidR="00F87ED4" w:rsidRDefault="00F87ED4" w:rsidP="00F6487E">
            <w:pPr>
              <w:spacing w:line="240" w:lineRule="auto"/>
              <w:jc w:val="center"/>
              <w:rPr>
                <w:sz w:val="20"/>
                <w:szCs w:val="20"/>
              </w:rPr>
            </w:pPr>
            <w:r>
              <w:rPr>
                <w:sz w:val="20"/>
                <w:szCs w:val="20"/>
              </w:rPr>
              <w:t>30</w:t>
            </w:r>
          </w:p>
          <w:p w:rsidR="000F37BB" w:rsidRDefault="000F37BB" w:rsidP="00F6487E">
            <w:pPr>
              <w:spacing w:line="240" w:lineRule="auto"/>
              <w:jc w:val="center"/>
              <w:rPr>
                <w:sz w:val="20"/>
                <w:szCs w:val="20"/>
              </w:rPr>
            </w:pPr>
          </w:p>
          <w:p w:rsidR="000F37BB" w:rsidRPr="00175E94" w:rsidRDefault="004933B3" w:rsidP="00927F28">
            <w:pPr>
              <w:spacing w:line="240" w:lineRule="auto"/>
              <w:jc w:val="center"/>
              <w:rPr>
                <w:sz w:val="18"/>
                <w:szCs w:val="18"/>
              </w:rPr>
            </w:pPr>
            <w:r w:rsidRPr="004933B3">
              <w:rPr>
                <w:sz w:val="18"/>
                <w:szCs w:val="18"/>
              </w:rPr>
              <w:t>(non</w:t>
            </w:r>
            <w:r w:rsidR="00927F28">
              <w:rPr>
                <w:sz w:val="18"/>
                <w:szCs w:val="18"/>
              </w:rPr>
              <w:t>-</w:t>
            </w:r>
            <w:r w:rsidR="000F37BB" w:rsidRPr="00175E94">
              <w:rPr>
                <w:sz w:val="18"/>
                <w:szCs w:val="18"/>
              </w:rPr>
              <w:t>legislated</w:t>
            </w:r>
            <w:r>
              <w:rPr>
                <w:sz w:val="18"/>
                <w:szCs w:val="18"/>
              </w:rPr>
              <w:t xml:space="preserve"> BLRL</w:t>
            </w:r>
            <w:r w:rsidR="000F37BB" w:rsidRPr="00175E94">
              <w:rPr>
                <w:sz w:val="18"/>
                <w:szCs w:val="18"/>
              </w:rPr>
              <w:t>)</w:t>
            </w:r>
          </w:p>
        </w:tc>
        <w:tc>
          <w:tcPr>
            <w:tcW w:w="740" w:type="dxa"/>
            <w:vAlign w:val="center"/>
          </w:tcPr>
          <w:p w:rsidR="00F87ED4" w:rsidRDefault="00F87ED4" w:rsidP="00F6487E">
            <w:pPr>
              <w:spacing w:line="240" w:lineRule="auto"/>
              <w:jc w:val="center"/>
              <w:rPr>
                <w:sz w:val="20"/>
                <w:szCs w:val="20"/>
              </w:rPr>
            </w:pPr>
            <w:r>
              <w:rPr>
                <w:sz w:val="20"/>
                <w:szCs w:val="20"/>
              </w:rPr>
              <w:t>1980</w:t>
            </w:r>
          </w:p>
        </w:tc>
        <w:tc>
          <w:tcPr>
            <w:tcW w:w="992" w:type="dxa"/>
            <w:vAlign w:val="center"/>
          </w:tcPr>
          <w:p w:rsidR="00F87ED4" w:rsidRDefault="00F87ED4" w:rsidP="00F6487E">
            <w:pPr>
              <w:spacing w:line="240" w:lineRule="auto"/>
              <w:jc w:val="center"/>
              <w:rPr>
                <w:sz w:val="20"/>
                <w:szCs w:val="20"/>
              </w:rPr>
            </w:pPr>
            <w:r>
              <w:rPr>
                <w:sz w:val="20"/>
                <w:szCs w:val="20"/>
              </w:rPr>
              <w:t>NA</w:t>
            </w:r>
          </w:p>
        </w:tc>
        <w:tc>
          <w:tcPr>
            <w:tcW w:w="3399" w:type="dxa"/>
            <w:vAlign w:val="center"/>
          </w:tcPr>
          <w:p w:rsidR="00F87ED4" w:rsidRPr="0009468C" w:rsidRDefault="00F87ED4" w:rsidP="00324F02">
            <w:pPr>
              <w:spacing w:line="240" w:lineRule="auto"/>
              <w:rPr>
                <w:sz w:val="18"/>
                <w:szCs w:val="18"/>
              </w:rPr>
            </w:pPr>
            <w:r w:rsidRPr="00175E94">
              <w:rPr>
                <w:sz w:val="18"/>
                <w:szCs w:val="18"/>
              </w:rPr>
              <w:t>B</w:t>
            </w:r>
            <w:r w:rsidR="001939AD" w:rsidRPr="00175E94">
              <w:rPr>
                <w:sz w:val="18"/>
                <w:szCs w:val="18"/>
              </w:rPr>
              <w:t>LRL</w:t>
            </w:r>
            <w:r w:rsidRPr="0009468C">
              <w:rPr>
                <w:sz w:val="18"/>
                <w:szCs w:val="18"/>
              </w:rPr>
              <w:t xml:space="preserve"> set to minimise potential for a range of adverse effects. </w:t>
            </w:r>
            <w:r>
              <w:rPr>
                <w:sz w:val="18"/>
                <w:szCs w:val="18"/>
              </w:rPr>
              <w:t>WES</w:t>
            </w:r>
            <w:r w:rsidRPr="0009468C">
              <w:rPr>
                <w:sz w:val="18"/>
                <w:szCs w:val="18"/>
              </w:rPr>
              <w:t xml:space="preserve"> set to conform with </w:t>
            </w:r>
            <w:r w:rsidRPr="00175E94">
              <w:rPr>
                <w:sz w:val="18"/>
                <w:szCs w:val="18"/>
              </w:rPr>
              <w:t>B</w:t>
            </w:r>
            <w:r w:rsidR="001939AD" w:rsidRPr="00175E94">
              <w:rPr>
                <w:sz w:val="18"/>
                <w:szCs w:val="18"/>
              </w:rPr>
              <w:t>LRL</w:t>
            </w:r>
            <w:r w:rsidRPr="0009468C">
              <w:rPr>
                <w:sz w:val="18"/>
                <w:szCs w:val="18"/>
              </w:rPr>
              <w:t xml:space="preserve"> using a relationship of 0.5 </w:t>
            </w:r>
            <w:r w:rsidRPr="0009468C">
              <w:rPr>
                <w:rFonts w:cs="Arial"/>
                <w:sz w:val="18"/>
                <w:szCs w:val="18"/>
              </w:rPr>
              <w:t>µ</w:t>
            </w:r>
            <w:r w:rsidRPr="0009468C">
              <w:rPr>
                <w:sz w:val="18"/>
                <w:szCs w:val="18"/>
              </w:rPr>
              <w:t xml:space="preserve">g/dL increase in PbB per </w:t>
            </w:r>
            <w:r w:rsidRPr="0009468C">
              <w:rPr>
                <w:rFonts w:cs="Arial"/>
                <w:sz w:val="18"/>
                <w:szCs w:val="18"/>
              </w:rPr>
              <w:t>µg/m</w:t>
            </w:r>
            <w:r w:rsidRPr="0009468C">
              <w:rPr>
                <w:rFonts w:cs="Arial"/>
                <w:sz w:val="18"/>
                <w:szCs w:val="18"/>
                <w:vertAlign w:val="superscript"/>
              </w:rPr>
              <w:t>3</w:t>
            </w:r>
            <w:r w:rsidRPr="0009468C">
              <w:rPr>
                <w:rFonts w:cs="Arial"/>
                <w:sz w:val="18"/>
                <w:szCs w:val="18"/>
              </w:rPr>
              <w:t xml:space="preserve"> </w:t>
            </w:r>
            <w:r>
              <w:rPr>
                <w:rFonts w:cs="Arial"/>
                <w:sz w:val="18"/>
                <w:szCs w:val="18"/>
              </w:rPr>
              <w:t>(i.e. 0.001 mg/m</w:t>
            </w:r>
            <w:r>
              <w:rPr>
                <w:rFonts w:cs="Arial"/>
                <w:sz w:val="18"/>
                <w:szCs w:val="18"/>
                <w:vertAlign w:val="superscript"/>
              </w:rPr>
              <w:t>3</w:t>
            </w:r>
            <w:r>
              <w:rPr>
                <w:rFonts w:cs="Arial"/>
                <w:sz w:val="18"/>
                <w:szCs w:val="18"/>
              </w:rPr>
              <w:t xml:space="preserve">) </w:t>
            </w:r>
            <w:r w:rsidR="00FF060A">
              <w:rPr>
                <w:rFonts w:cs="Arial"/>
                <w:sz w:val="18"/>
                <w:szCs w:val="18"/>
              </w:rPr>
              <w:t>PbAir</w:t>
            </w:r>
            <w:r w:rsidRPr="0009468C">
              <w:rPr>
                <w:rFonts w:cs="Arial"/>
                <w:sz w:val="18"/>
                <w:szCs w:val="18"/>
              </w:rPr>
              <w:t xml:space="preserve"> and a background PbB of 10 to 25 µ</w:t>
            </w:r>
            <w:r w:rsidRPr="0009468C">
              <w:rPr>
                <w:sz w:val="18"/>
                <w:szCs w:val="18"/>
              </w:rPr>
              <w:t xml:space="preserve">g/dL. </w:t>
            </w:r>
          </w:p>
        </w:tc>
        <w:tc>
          <w:tcPr>
            <w:tcW w:w="1418" w:type="dxa"/>
            <w:vAlign w:val="center"/>
          </w:tcPr>
          <w:p w:rsidR="00F87ED4" w:rsidRDefault="00F87ED4" w:rsidP="00F6487E">
            <w:pPr>
              <w:spacing w:line="240" w:lineRule="auto"/>
              <w:jc w:val="center"/>
              <w:rPr>
                <w:sz w:val="20"/>
                <w:szCs w:val="20"/>
              </w:rPr>
            </w:pPr>
            <w:r>
              <w:rPr>
                <w:sz w:val="20"/>
                <w:szCs w:val="20"/>
              </w:rPr>
              <w:t>WHO 1980</w:t>
            </w:r>
          </w:p>
        </w:tc>
      </w:tr>
      <w:tr w:rsidR="00F87ED4" w:rsidTr="00175E94">
        <w:trPr>
          <w:cantSplit/>
        </w:trPr>
        <w:tc>
          <w:tcPr>
            <w:tcW w:w="1111" w:type="dxa"/>
            <w:vAlign w:val="center"/>
          </w:tcPr>
          <w:p w:rsidR="00F87ED4" w:rsidRPr="0009468C" w:rsidRDefault="00F87ED4" w:rsidP="00F6487E">
            <w:pPr>
              <w:spacing w:line="240" w:lineRule="auto"/>
              <w:jc w:val="center"/>
              <w:rPr>
                <w:sz w:val="20"/>
                <w:szCs w:val="20"/>
              </w:rPr>
            </w:pPr>
            <w:r w:rsidRPr="0009468C">
              <w:rPr>
                <w:sz w:val="20"/>
                <w:szCs w:val="20"/>
              </w:rPr>
              <w:t>Scientific non-agency</w:t>
            </w:r>
          </w:p>
          <w:p w:rsidR="00F87ED4" w:rsidRPr="007068F1" w:rsidRDefault="00F87ED4" w:rsidP="00F6487E">
            <w:pPr>
              <w:spacing w:line="240" w:lineRule="auto"/>
              <w:jc w:val="center"/>
              <w:rPr>
                <w:sz w:val="16"/>
                <w:szCs w:val="16"/>
              </w:rPr>
            </w:pPr>
            <w:r w:rsidRPr="0009468C">
              <w:rPr>
                <w:sz w:val="20"/>
                <w:szCs w:val="20"/>
              </w:rPr>
              <w:t>members</w:t>
            </w:r>
          </w:p>
        </w:tc>
        <w:tc>
          <w:tcPr>
            <w:tcW w:w="1032" w:type="dxa"/>
            <w:vAlign w:val="center"/>
          </w:tcPr>
          <w:p w:rsidR="00F87ED4" w:rsidRDefault="00F87ED4" w:rsidP="00F6487E">
            <w:pPr>
              <w:spacing w:line="240" w:lineRule="auto"/>
              <w:jc w:val="center"/>
              <w:rPr>
                <w:sz w:val="20"/>
                <w:szCs w:val="20"/>
              </w:rPr>
            </w:pPr>
            <w:r>
              <w:rPr>
                <w:sz w:val="20"/>
                <w:szCs w:val="20"/>
              </w:rPr>
              <w:t>-</w:t>
            </w:r>
          </w:p>
        </w:tc>
        <w:tc>
          <w:tcPr>
            <w:tcW w:w="795" w:type="dxa"/>
            <w:vAlign w:val="center"/>
          </w:tcPr>
          <w:p w:rsidR="00F87ED4" w:rsidRDefault="00F87ED4" w:rsidP="00F6487E">
            <w:pPr>
              <w:spacing w:line="240" w:lineRule="auto"/>
              <w:jc w:val="center"/>
              <w:rPr>
                <w:sz w:val="20"/>
                <w:szCs w:val="20"/>
              </w:rPr>
            </w:pPr>
            <w:r>
              <w:rPr>
                <w:sz w:val="20"/>
                <w:szCs w:val="20"/>
              </w:rPr>
              <w:t>-</w:t>
            </w:r>
          </w:p>
        </w:tc>
        <w:tc>
          <w:tcPr>
            <w:tcW w:w="914" w:type="dxa"/>
            <w:vAlign w:val="center"/>
          </w:tcPr>
          <w:p w:rsidR="00F87ED4" w:rsidRDefault="00F87ED4" w:rsidP="00F6487E">
            <w:pPr>
              <w:spacing w:line="240" w:lineRule="auto"/>
              <w:jc w:val="center"/>
              <w:rPr>
                <w:sz w:val="20"/>
                <w:szCs w:val="20"/>
              </w:rPr>
            </w:pPr>
            <w:r>
              <w:rPr>
                <w:sz w:val="20"/>
                <w:szCs w:val="20"/>
              </w:rPr>
              <w:t>-</w:t>
            </w:r>
          </w:p>
        </w:tc>
        <w:tc>
          <w:tcPr>
            <w:tcW w:w="1134" w:type="dxa"/>
            <w:vAlign w:val="center"/>
          </w:tcPr>
          <w:p w:rsidR="00F87ED4" w:rsidRDefault="00F87ED4" w:rsidP="00F6487E">
            <w:pPr>
              <w:spacing w:line="240" w:lineRule="auto"/>
              <w:jc w:val="center"/>
              <w:rPr>
                <w:sz w:val="20"/>
                <w:szCs w:val="20"/>
              </w:rPr>
            </w:pPr>
            <w:r>
              <w:rPr>
                <w:sz w:val="20"/>
                <w:szCs w:val="20"/>
              </w:rPr>
              <w:t>-</w:t>
            </w:r>
          </w:p>
        </w:tc>
        <w:tc>
          <w:tcPr>
            <w:tcW w:w="2352" w:type="dxa"/>
            <w:gridSpan w:val="4"/>
            <w:vAlign w:val="center"/>
          </w:tcPr>
          <w:p w:rsidR="00F87ED4" w:rsidRDefault="00F87ED4" w:rsidP="00F6487E">
            <w:pPr>
              <w:spacing w:line="240" w:lineRule="auto"/>
              <w:jc w:val="center"/>
              <w:rPr>
                <w:sz w:val="20"/>
                <w:szCs w:val="20"/>
              </w:rPr>
            </w:pPr>
            <w:r>
              <w:rPr>
                <w:sz w:val="20"/>
                <w:szCs w:val="20"/>
              </w:rPr>
              <w:t>&lt;20</w:t>
            </w:r>
          </w:p>
          <w:p w:rsidR="00F87ED4" w:rsidRDefault="00F87ED4" w:rsidP="00F6487E">
            <w:pPr>
              <w:spacing w:line="240" w:lineRule="auto"/>
              <w:jc w:val="center"/>
              <w:rPr>
                <w:sz w:val="20"/>
                <w:szCs w:val="20"/>
              </w:rPr>
            </w:pPr>
            <w:r w:rsidRPr="00ED750E">
              <w:rPr>
                <w:sz w:val="16"/>
                <w:szCs w:val="16"/>
              </w:rPr>
              <w:t>(</w:t>
            </w:r>
            <w:r>
              <w:rPr>
                <w:sz w:val="16"/>
                <w:szCs w:val="16"/>
              </w:rPr>
              <w:t xml:space="preserve">to prevent </w:t>
            </w:r>
            <w:r w:rsidRPr="00ED750E">
              <w:rPr>
                <w:sz w:val="16"/>
                <w:szCs w:val="16"/>
              </w:rPr>
              <w:t xml:space="preserve">acute effects &amp; chronic for 10-20 </w:t>
            </w:r>
            <w:r w:rsidR="00F423C9" w:rsidRPr="00ED750E">
              <w:rPr>
                <w:sz w:val="16"/>
                <w:szCs w:val="16"/>
              </w:rPr>
              <w:t>yr.</w:t>
            </w:r>
            <w:r w:rsidRPr="00ED750E">
              <w:rPr>
                <w:sz w:val="16"/>
                <w:szCs w:val="16"/>
              </w:rPr>
              <w:t xml:space="preserve"> exposure)</w:t>
            </w:r>
          </w:p>
          <w:p w:rsidR="00F87ED4" w:rsidRDefault="00F87ED4" w:rsidP="00F6487E">
            <w:pPr>
              <w:spacing w:line="240" w:lineRule="auto"/>
              <w:jc w:val="center"/>
              <w:rPr>
                <w:sz w:val="20"/>
                <w:szCs w:val="20"/>
              </w:rPr>
            </w:pPr>
          </w:p>
          <w:p w:rsidR="00F87ED4" w:rsidRDefault="00F87ED4" w:rsidP="00F6487E">
            <w:pPr>
              <w:spacing w:line="240" w:lineRule="auto"/>
              <w:jc w:val="center"/>
              <w:rPr>
                <w:sz w:val="20"/>
                <w:szCs w:val="20"/>
              </w:rPr>
            </w:pPr>
            <w:r>
              <w:rPr>
                <w:sz w:val="20"/>
                <w:szCs w:val="20"/>
              </w:rPr>
              <w:t>10</w:t>
            </w:r>
          </w:p>
          <w:p w:rsidR="00F87ED4" w:rsidRDefault="00F87ED4" w:rsidP="00F6487E">
            <w:pPr>
              <w:spacing w:line="240" w:lineRule="auto"/>
              <w:jc w:val="center"/>
              <w:rPr>
                <w:sz w:val="16"/>
                <w:szCs w:val="16"/>
              </w:rPr>
            </w:pPr>
            <w:r w:rsidRPr="00ED750E">
              <w:rPr>
                <w:sz w:val="16"/>
                <w:szCs w:val="16"/>
              </w:rPr>
              <w:t>(</w:t>
            </w:r>
            <w:r>
              <w:rPr>
                <w:sz w:val="16"/>
                <w:szCs w:val="16"/>
              </w:rPr>
              <w:t xml:space="preserve">to prevent </w:t>
            </w:r>
            <w:r w:rsidRPr="00ED750E">
              <w:rPr>
                <w:sz w:val="16"/>
                <w:szCs w:val="16"/>
              </w:rPr>
              <w:t xml:space="preserve">chronic effects for 20-40 </w:t>
            </w:r>
            <w:r w:rsidR="00F423C9" w:rsidRPr="00ED750E">
              <w:rPr>
                <w:sz w:val="16"/>
                <w:szCs w:val="16"/>
              </w:rPr>
              <w:t>yr.</w:t>
            </w:r>
            <w:r w:rsidRPr="00ED750E">
              <w:rPr>
                <w:sz w:val="16"/>
                <w:szCs w:val="16"/>
              </w:rPr>
              <w:t xml:space="preserve"> exposure)</w:t>
            </w:r>
          </w:p>
          <w:p w:rsidR="004933B3" w:rsidRDefault="004933B3" w:rsidP="00F6487E">
            <w:pPr>
              <w:spacing w:line="240" w:lineRule="auto"/>
              <w:jc w:val="center"/>
              <w:rPr>
                <w:sz w:val="16"/>
                <w:szCs w:val="16"/>
              </w:rPr>
            </w:pPr>
          </w:p>
          <w:p w:rsidR="004933B3" w:rsidRDefault="004933B3" w:rsidP="00927F28">
            <w:pPr>
              <w:spacing w:line="240" w:lineRule="auto"/>
              <w:jc w:val="center"/>
              <w:rPr>
                <w:sz w:val="20"/>
                <w:szCs w:val="20"/>
              </w:rPr>
            </w:pPr>
            <w:r>
              <w:rPr>
                <w:sz w:val="16"/>
                <w:szCs w:val="16"/>
              </w:rPr>
              <w:t>(non</w:t>
            </w:r>
            <w:r w:rsidR="00927F28">
              <w:rPr>
                <w:sz w:val="16"/>
                <w:szCs w:val="16"/>
              </w:rPr>
              <w:t>-</w:t>
            </w:r>
            <w:r>
              <w:rPr>
                <w:sz w:val="16"/>
                <w:szCs w:val="16"/>
              </w:rPr>
              <w:t>legislated BLRL)</w:t>
            </w:r>
          </w:p>
        </w:tc>
        <w:tc>
          <w:tcPr>
            <w:tcW w:w="740" w:type="dxa"/>
            <w:vAlign w:val="center"/>
          </w:tcPr>
          <w:p w:rsidR="00F87ED4" w:rsidRDefault="00F87ED4" w:rsidP="00F6487E">
            <w:pPr>
              <w:spacing w:line="240" w:lineRule="auto"/>
              <w:jc w:val="center"/>
              <w:rPr>
                <w:sz w:val="20"/>
                <w:szCs w:val="20"/>
              </w:rPr>
            </w:pPr>
            <w:r>
              <w:rPr>
                <w:sz w:val="20"/>
                <w:szCs w:val="20"/>
              </w:rPr>
              <w:t>2007</w:t>
            </w:r>
          </w:p>
        </w:tc>
        <w:tc>
          <w:tcPr>
            <w:tcW w:w="992" w:type="dxa"/>
            <w:vAlign w:val="center"/>
          </w:tcPr>
          <w:p w:rsidR="00F87ED4" w:rsidRDefault="00F87ED4" w:rsidP="00F6487E">
            <w:pPr>
              <w:spacing w:line="240" w:lineRule="auto"/>
              <w:jc w:val="center"/>
              <w:rPr>
                <w:sz w:val="20"/>
                <w:szCs w:val="20"/>
              </w:rPr>
            </w:pPr>
            <w:r>
              <w:rPr>
                <w:sz w:val="20"/>
                <w:szCs w:val="20"/>
              </w:rPr>
              <w:t>NA</w:t>
            </w:r>
          </w:p>
        </w:tc>
        <w:tc>
          <w:tcPr>
            <w:tcW w:w="3399" w:type="dxa"/>
            <w:vAlign w:val="center"/>
          </w:tcPr>
          <w:p w:rsidR="00F87ED4" w:rsidRPr="0009468C" w:rsidRDefault="00F87ED4" w:rsidP="00F6487E">
            <w:pPr>
              <w:spacing w:line="240" w:lineRule="auto"/>
              <w:rPr>
                <w:sz w:val="18"/>
                <w:szCs w:val="18"/>
              </w:rPr>
            </w:pPr>
            <w:r w:rsidRPr="0009468C">
              <w:rPr>
                <w:sz w:val="18"/>
                <w:szCs w:val="18"/>
              </w:rPr>
              <w:t xml:space="preserve">The scientific expert panel for the Development of Adult </w:t>
            </w:r>
            <w:r w:rsidR="000C3863">
              <w:rPr>
                <w:sz w:val="18"/>
                <w:szCs w:val="18"/>
              </w:rPr>
              <w:t>PbB</w:t>
            </w:r>
            <w:r w:rsidRPr="0009468C">
              <w:rPr>
                <w:sz w:val="18"/>
                <w:szCs w:val="18"/>
              </w:rPr>
              <w:t xml:space="preserve"> Level Medical Management Guidelines suggested these revised </w:t>
            </w:r>
            <w:r w:rsidRPr="00175E94">
              <w:rPr>
                <w:sz w:val="18"/>
                <w:szCs w:val="18"/>
              </w:rPr>
              <w:t>B</w:t>
            </w:r>
            <w:r w:rsidR="001939AD" w:rsidRPr="00175E94">
              <w:rPr>
                <w:sz w:val="18"/>
                <w:szCs w:val="18"/>
              </w:rPr>
              <w:t>LRL</w:t>
            </w:r>
            <w:r w:rsidR="005314DF">
              <w:rPr>
                <w:sz w:val="18"/>
                <w:szCs w:val="18"/>
              </w:rPr>
              <w:t xml:space="preserve"> aiming that</w:t>
            </w:r>
            <w:r w:rsidRPr="0009468C">
              <w:rPr>
                <w:sz w:val="18"/>
                <w:szCs w:val="18"/>
              </w:rPr>
              <w:t xml:space="preserve"> their publication would have an impact on policy.</w:t>
            </w:r>
          </w:p>
          <w:p w:rsidR="00F87ED4" w:rsidRPr="0009468C" w:rsidRDefault="00F87ED4" w:rsidP="00F6487E">
            <w:pPr>
              <w:spacing w:line="240" w:lineRule="auto"/>
              <w:rPr>
                <w:sz w:val="18"/>
                <w:szCs w:val="18"/>
              </w:rPr>
            </w:pPr>
          </w:p>
          <w:p w:rsidR="00F87ED4" w:rsidRDefault="00F87ED4" w:rsidP="00F6487E">
            <w:pPr>
              <w:spacing w:line="240" w:lineRule="auto"/>
              <w:rPr>
                <w:sz w:val="20"/>
                <w:szCs w:val="20"/>
              </w:rPr>
            </w:pPr>
            <w:r w:rsidRPr="0009468C">
              <w:rPr>
                <w:sz w:val="18"/>
                <w:szCs w:val="18"/>
              </w:rPr>
              <w:t>They noted similar recommendations had been made &gt;15 years before.</w:t>
            </w:r>
          </w:p>
        </w:tc>
        <w:tc>
          <w:tcPr>
            <w:tcW w:w="1418" w:type="dxa"/>
            <w:vAlign w:val="center"/>
          </w:tcPr>
          <w:p w:rsidR="00F87ED4" w:rsidRDefault="00F87ED4" w:rsidP="00F6487E">
            <w:pPr>
              <w:spacing w:line="240" w:lineRule="auto"/>
              <w:jc w:val="center"/>
              <w:rPr>
                <w:sz w:val="20"/>
                <w:szCs w:val="20"/>
              </w:rPr>
            </w:pPr>
            <w:r>
              <w:rPr>
                <w:sz w:val="20"/>
                <w:szCs w:val="20"/>
              </w:rPr>
              <w:t>Schwartz and Hu 2007</w:t>
            </w:r>
          </w:p>
        </w:tc>
      </w:tr>
      <w:tr w:rsidR="00F87ED4" w:rsidTr="00175E94">
        <w:trPr>
          <w:cantSplit/>
        </w:trPr>
        <w:tc>
          <w:tcPr>
            <w:tcW w:w="1111" w:type="dxa"/>
            <w:vAlign w:val="center"/>
          </w:tcPr>
          <w:p w:rsidR="00F87ED4" w:rsidRPr="0009468C" w:rsidRDefault="00F87ED4" w:rsidP="00F6487E">
            <w:pPr>
              <w:spacing w:line="240" w:lineRule="auto"/>
              <w:jc w:val="center"/>
              <w:rPr>
                <w:sz w:val="18"/>
                <w:szCs w:val="18"/>
              </w:rPr>
            </w:pPr>
            <w:r w:rsidRPr="0009468C">
              <w:rPr>
                <w:sz w:val="18"/>
                <w:szCs w:val="18"/>
              </w:rPr>
              <w:lastRenderedPageBreak/>
              <w:t>Scientific non-agency</w:t>
            </w:r>
          </w:p>
          <w:p w:rsidR="00F87ED4" w:rsidRDefault="00F87ED4" w:rsidP="00F6487E">
            <w:pPr>
              <w:spacing w:line="240" w:lineRule="auto"/>
              <w:jc w:val="center"/>
              <w:rPr>
                <w:sz w:val="20"/>
                <w:szCs w:val="20"/>
              </w:rPr>
            </w:pPr>
            <w:r w:rsidRPr="0009468C">
              <w:rPr>
                <w:sz w:val="18"/>
                <w:szCs w:val="18"/>
              </w:rPr>
              <w:t>committee</w:t>
            </w:r>
          </w:p>
        </w:tc>
        <w:tc>
          <w:tcPr>
            <w:tcW w:w="1032" w:type="dxa"/>
            <w:vAlign w:val="center"/>
          </w:tcPr>
          <w:p w:rsidR="00F87ED4" w:rsidRDefault="00F87ED4" w:rsidP="00F6487E">
            <w:pPr>
              <w:spacing w:line="240" w:lineRule="auto"/>
              <w:jc w:val="center"/>
              <w:rPr>
                <w:sz w:val="20"/>
                <w:szCs w:val="20"/>
              </w:rPr>
            </w:pPr>
            <w:r>
              <w:rPr>
                <w:sz w:val="20"/>
                <w:szCs w:val="20"/>
              </w:rPr>
              <w:t>-</w:t>
            </w:r>
          </w:p>
        </w:tc>
        <w:tc>
          <w:tcPr>
            <w:tcW w:w="795" w:type="dxa"/>
            <w:vAlign w:val="center"/>
          </w:tcPr>
          <w:p w:rsidR="00F87ED4" w:rsidRDefault="00F87ED4" w:rsidP="00F6487E">
            <w:pPr>
              <w:spacing w:line="240" w:lineRule="auto"/>
              <w:jc w:val="center"/>
              <w:rPr>
                <w:sz w:val="20"/>
                <w:szCs w:val="20"/>
              </w:rPr>
            </w:pPr>
            <w:r>
              <w:rPr>
                <w:sz w:val="20"/>
                <w:szCs w:val="20"/>
              </w:rPr>
              <w:t>-</w:t>
            </w:r>
          </w:p>
        </w:tc>
        <w:tc>
          <w:tcPr>
            <w:tcW w:w="914" w:type="dxa"/>
            <w:vAlign w:val="center"/>
          </w:tcPr>
          <w:p w:rsidR="00F87ED4" w:rsidRDefault="00F87ED4" w:rsidP="00F6487E">
            <w:pPr>
              <w:spacing w:line="240" w:lineRule="auto"/>
              <w:jc w:val="center"/>
              <w:rPr>
                <w:sz w:val="20"/>
                <w:szCs w:val="20"/>
              </w:rPr>
            </w:pPr>
            <w:r>
              <w:rPr>
                <w:sz w:val="20"/>
                <w:szCs w:val="20"/>
              </w:rPr>
              <w:t>-</w:t>
            </w:r>
          </w:p>
        </w:tc>
        <w:tc>
          <w:tcPr>
            <w:tcW w:w="1134" w:type="dxa"/>
            <w:vAlign w:val="center"/>
          </w:tcPr>
          <w:p w:rsidR="00F87ED4" w:rsidRDefault="00F87ED4" w:rsidP="00F6487E">
            <w:pPr>
              <w:spacing w:line="240" w:lineRule="auto"/>
              <w:jc w:val="center"/>
              <w:rPr>
                <w:sz w:val="20"/>
                <w:szCs w:val="20"/>
              </w:rPr>
            </w:pPr>
            <w:r>
              <w:rPr>
                <w:sz w:val="20"/>
                <w:szCs w:val="20"/>
              </w:rPr>
              <w:t>-</w:t>
            </w:r>
          </w:p>
        </w:tc>
        <w:tc>
          <w:tcPr>
            <w:tcW w:w="1532" w:type="dxa"/>
            <w:gridSpan w:val="3"/>
            <w:vAlign w:val="center"/>
          </w:tcPr>
          <w:p w:rsidR="00F87ED4" w:rsidRDefault="00F87ED4" w:rsidP="00F6487E">
            <w:pPr>
              <w:spacing w:line="240" w:lineRule="auto"/>
              <w:jc w:val="center"/>
              <w:rPr>
                <w:sz w:val="20"/>
                <w:szCs w:val="20"/>
                <w:vertAlign w:val="superscript"/>
              </w:rPr>
            </w:pPr>
            <w:r>
              <w:rPr>
                <w:sz w:val="20"/>
                <w:szCs w:val="20"/>
              </w:rPr>
              <w:t>30</w:t>
            </w:r>
            <w:r w:rsidR="0032692A">
              <w:rPr>
                <w:sz w:val="20"/>
                <w:szCs w:val="20"/>
              </w:rPr>
              <w:t xml:space="preserve"> </w:t>
            </w:r>
            <w:r w:rsidR="0032692A">
              <w:rPr>
                <w:sz w:val="18"/>
                <w:szCs w:val="18"/>
              </w:rPr>
              <w:t>(Also lower concentrations depending on pattern of PbB measurements).</w:t>
            </w:r>
            <w:r w:rsidR="00584D26">
              <w:rPr>
                <w:sz w:val="20"/>
                <w:szCs w:val="20"/>
                <w:vertAlign w:val="superscript"/>
              </w:rPr>
              <w:t>f</w:t>
            </w:r>
          </w:p>
          <w:p w:rsidR="00B3565A" w:rsidRDefault="00B3565A" w:rsidP="00F6487E">
            <w:pPr>
              <w:spacing w:line="240" w:lineRule="auto"/>
              <w:jc w:val="center"/>
              <w:rPr>
                <w:sz w:val="20"/>
                <w:szCs w:val="20"/>
                <w:vertAlign w:val="superscript"/>
              </w:rPr>
            </w:pPr>
          </w:p>
          <w:p w:rsidR="00B3565A" w:rsidRPr="00B3565A" w:rsidRDefault="00B3565A" w:rsidP="00F6487E">
            <w:pPr>
              <w:spacing w:line="240" w:lineRule="auto"/>
              <w:jc w:val="center"/>
              <w:rPr>
                <w:sz w:val="16"/>
                <w:szCs w:val="16"/>
              </w:rPr>
            </w:pPr>
            <w:r w:rsidRPr="00B3565A">
              <w:rPr>
                <w:sz w:val="16"/>
                <w:szCs w:val="16"/>
              </w:rPr>
              <w:t xml:space="preserve">(non-legislated </w:t>
            </w:r>
            <w:r w:rsidR="00314205">
              <w:rPr>
                <w:sz w:val="16"/>
                <w:szCs w:val="16"/>
              </w:rPr>
              <w:t>BLRL</w:t>
            </w:r>
            <w:r w:rsidRPr="00B3565A">
              <w:rPr>
                <w:sz w:val="16"/>
                <w:szCs w:val="16"/>
              </w:rPr>
              <w:t>)</w:t>
            </w:r>
          </w:p>
        </w:tc>
        <w:tc>
          <w:tcPr>
            <w:tcW w:w="820" w:type="dxa"/>
            <w:vAlign w:val="center"/>
          </w:tcPr>
          <w:p w:rsidR="00F87ED4" w:rsidRPr="0098572F" w:rsidRDefault="00F87ED4" w:rsidP="00F6487E">
            <w:pPr>
              <w:spacing w:line="240" w:lineRule="auto"/>
              <w:jc w:val="center"/>
              <w:rPr>
                <w:sz w:val="20"/>
                <w:szCs w:val="20"/>
              </w:rPr>
            </w:pPr>
            <w:r>
              <w:rPr>
                <w:sz w:val="20"/>
                <w:szCs w:val="20"/>
              </w:rPr>
              <w:t>5</w:t>
            </w:r>
          </w:p>
        </w:tc>
        <w:tc>
          <w:tcPr>
            <w:tcW w:w="740" w:type="dxa"/>
            <w:vAlign w:val="center"/>
          </w:tcPr>
          <w:p w:rsidR="00F87ED4" w:rsidRDefault="00F87ED4" w:rsidP="00F6487E">
            <w:pPr>
              <w:spacing w:line="240" w:lineRule="auto"/>
              <w:jc w:val="center"/>
              <w:rPr>
                <w:sz w:val="20"/>
                <w:szCs w:val="20"/>
              </w:rPr>
            </w:pPr>
            <w:r>
              <w:rPr>
                <w:sz w:val="20"/>
                <w:szCs w:val="20"/>
              </w:rPr>
              <w:t>2007</w:t>
            </w:r>
          </w:p>
        </w:tc>
        <w:tc>
          <w:tcPr>
            <w:tcW w:w="992" w:type="dxa"/>
            <w:vAlign w:val="center"/>
          </w:tcPr>
          <w:p w:rsidR="00F87ED4" w:rsidRDefault="00F87ED4" w:rsidP="00F6487E">
            <w:pPr>
              <w:spacing w:line="240" w:lineRule="auto"/>
              <w:jc w:val="center"/>
              <w:rPr>
                <w:sz w:val="20"/>
                <w:szCs w:val="20"/>
              </w:rPr>
            </w:pPr>
            <w:r>
              <w:rPr>
                <w:sz w:val="20"/>
                <w:szCs w:val="20"/>
              </w:rPr>
              <w:t>NA</w:t>
            </w:r>
          </w:p>
        </w:tc>
        <w:tc>
          <w:tcPr>
            <w:tcW w:w="3399" w:type="dxa"/>
            <w:vAlign w:val="center"/>
          </w:tcPr>
          <w:p w:rsidR="00F87ED4" w:rsidRPr="0009468C" w:rsidRDefault="00F87ED4" w:rsidP="00F6487E">
            <w:pPr>
              <w:spacing w:line="240" w:lineRule="auto"/>
              <w:rPr>
                <w:sz w:val="18"/>
                <w:szCs w:val="18"/>
              </w:rPr>
            </w:pPr>
            <w:r w:rsidRPr="0009468C">
              <w:rPr>
                <w:sz w:val="18"/>
                <w:szCs w:val="18"/>
              </w:rPr>
              <w:t>Recommendations from a scientific committee from universities, industry and government.</w:t>
            </w:r>
          </w:p>
          <w:p w:rsidR="00F87ED4" w:rsidRPr="0009468C" w:rsidRDefault="00F87ED4" w:rsidP="00F6487E">
            <w:pPr>
              <w:spacing w:line="240" w:lineRule="auto"/>
              <w:rPr>
                <w:sz w:val="18"/>
                <w:szCs w:val="18"/>
              </w:rPr>
            </w:pPr>
          </w:p>
          <w:p w:rsidR="00657C2A" w:rsidRPr="0009468C" w:rsidRDefault="00F87ED4" w:rsidP="001939AD">
            <w:pPr>
              <w:spacing w:line="240" w:lineRule="auto"/>
              <w:rPr>
                <w:sz w:val="18"/>
                <w:szCs w:val="18"/>
              </w:rPr>
            </w:pPr>
            <w:r w:rsidRPr="0009468C">
              <w:rPr>
                <w:sz w:val="18"/>
                <w:szCs w:val="18"/>
              </w:rPr>
              <w:t xml:space="preserve">The </w:t>
            </w:r>
            <w:r w:rsidR="001939AD">
              <w:rPr>
                <w:sz w:val="18"/>
                <w:szCs w:val="18"/>
              </w:rPr>
              <w:t xml:space="preserve">BLRL </w:t>
            </w:r>
            <w:r w:rsidRPr="0009468C">
              <w:rPr>
                <w:sz w:val="18"/>
                <w:szCs w:val="18"/>
              </w:rPr>
              <w:t xml:space="preserve">are </w:t>
            </w:r>
            <w:r w:rsidR="00B3565A">
              <w:rPr>
                <w:sz w:val="18"/>
                <w:szCs w:val="18"/>
              </w:rPr>
              <w:t xml:space="preserve">recommended but not legislated, and are </w:t>
            </w:r>
            <w:r w:rsidRPr="0009468C">
              <w:rPr>
                <w:sz w:val="18"/>
                <w:szCs w:val="18"/>
              </w:rPr>
              <w:t>intended to protect against a range of effects related to short-term or long-term exposure.</w:t>
            </w:r>
          </w:p>
        </w:tc>
        <w:tc>
          <w:tcPr>
            <w:tcW w:w="1418" w:type="dxa"/>
            <w:vAlign w:val="center"/>
          </w:tcPr>
          <w:p w:rsidR="00F87ED4" w:rsidRDefault="00F87ED4" w:rsidP="00F6487E">
            <w:pPr>
              <w:spacing w:line="240" w:lineRule="auto"/>
              <w:jc w:val="center"/>
              <w:rPr>
                <w:sz w:val="20"/>
                <w:szCs w:val="20"/>
              </w:rPr>
            </w:pPr>
            <w:r>
              <w:rPr>
                <w:sz w:val="20"/>
                <w:szCs w:val="20"/>
              </w:rPr>
              <w:t>Kosnett et al. 2007</w:t>
            </w:r>
            <w:r w:rsidR="00657C2A">
              <w:rPr>
                <w:sz w:val="20"/>
                <w:szCs w:val="20"/>
              </w:rPr>
              <w:t xml:space="preserve"> </w:t>
            </w:r>
          </w:p>
        </w:tc>
      </w:tr>
      <w:tr w:rsidR="00681D1D" w:rsidTr="00175E94">
        <w:trPr>
          <w:cantSplit/>
        </w:trPr>
        <w:tc>
          <w:tcPr>
            <w:tcW w:w="1111" w:type="dxa"/>
            <w:vAlign w:val="center"/>
          </w:tcPr>
          <w:p w:rsidR="00681D1D" w:rsidRPr="0009468C" w:rsidRDefault="00681D1D" w:rsidP="00F6487E">
            <w:pPr>
              <w:spacing w:line="240" w:lineRule="auto"/>
              <w:jc w:val="center"/>
              <w:rPr>
                <w:sz w:val="18"/>
                <w:szCs w:val="18"/>
              </w:rPr>
            </w:pPr>
            <w:r>
              <w:rPr>
                <w:sz w:val="18"/>
                <w:szCs w:val="18"/>
              </w:rPr>
              <w:t>California proposal</w:t>
            </w:r>
          </w:p>
        </w:tc>
        <w:tc>
          <w:tcPr>
            <w:tcW w:w="1032" w:type="dxa"/>
            <w:vAlign w:val="center"/>
          </w:tcPr>
          <w:p w:rsidR="00681D1D" w:rsidRDefault="00130EAD" w:rsidP="00F6487E">
            <w:pPr>
              <w:spacing w:line="240" w:lineRule="auto"/>
              <w:jc w:val="center"/>
              <w:rPr>
                <w:sz w:val="20"/>
                <w:szCs w:val="20"/>
              </w:rPr>
            </w:pPr>
            <w:r>
              <w:rPr>
                <w:sz w:val="20"/>
                <w:szCs w:val="20"/>
              </w:rPr>
              <w:t>0.0005</w:t>
            </w:r>
          </w:p>
          <w:p w:rsidR="00130EAD" w:rsidRDefault="00130EAD" w:rsidP="00F6487E">
            <w:pPr>
              <w:spacing w:line="240" w:lineRule="auto"/>
              <w:jc w:val="center"/>
              <w:rPr>
                <w:sz w:val="20"/>
                <w:szCs w:val="20"/>
              </w:rPr>
            </w:pPr>
          </w:p>
          <w:p w:rsidR="00130EAD" w:rsidRPr="00070379" w:rsidRDefault="00130EAD" w:rsidP="00F6487E">
            <w:pPr>
              <w:spacing w:line="240" w:lineRule="auto"/>
              <w:jc w:val="center"/>
              <w:rPr>
                <w:sz w:val="16"/>
                <w:szCs w:val="16"/>
              </w:rPr>
            </w:pPr>
            <w:r>
              <w:rPr>
                <w:sz w:val="16"/>
                <w:szCs w:val="16"/>
              </w:rPr>
              <w:t>(proposed)</w:t>
            </w:r>
          </w:p>
        </w:tc>
        <w:tc>
          <w:tcPr>
            <w:tcW w:w="795" w:type="dxa"/>
            <w:vAlign w:val="center"/>
          </w:tcPr>
          <w:p w:rsidR="00130EAD" w:rsidRPr="00130EAD" w:rsidRDefault="00130EAD" w:rsidP="00F6487E">
            <w:pPr>
              <w:spacing w:line="240" w:lineRule="auto"/>
              <w:jc w:val="center"/>
              <w:rPr>
                <w:sz w:val="20"/>
                <w:szCs w:val="20"/>
              </w:rPr>
            </w:pPr>
            <w:r>
              <w:rPr>
                <w:sz w:val="20"/>
                <w:szCs w:val="20"/>
              </w:rPr>
              <w:t>2013</w:t>
            </w:r>
          </w:p>
        </w:tc>
        <w:tc>
          <w:tcPr>
            <w:tcW w:w="914" w:type="dxa"/>
            <w:vAlign w:val="center"/>
          </w:tcPr>
          <w:p w:rsidR="00681D1D" w:rsidRDefault="00130EAD" w:rsidP="00F6487E">
            <w:pPr>
              <w:spacing w:line="240" w:lineRule="auto"/>
              <w:jc w:val="center"/>
              <w:rPr>
                <w:sz w:val="20"/>
                <w:szCs w:val="20"/>
              </w:rPr>
            </w:pPr>
            <w:r>
              <w:rPr>
                <w:sz w:val="20"/>
                <w:szCs w:val="20"/>
              </w:rPr>
              <w:t>-</w:t>
            </w:r>
          </w:p>
        </w:tc>
        <w:tc>
          <w:tcPr>
            <w:tcW w:w="1134" w:type="dxa"/>
            <w:vAlign w:val="center"/>
          </w:tcPr>
          <w:p w:rsidR="00681D1D" w:rsidRDefault="00130EAD" w:rsidP="00F6487E">
            <w:pPr>
              <w:spacing w:line="240" w:lineRule="auto"/>
              <w:jc w:val="center"/>
              <w:rPr>
                <w:sz w:val="20"/>
                <w:szCs w:val="20"/>
              </w:rPr>
            </w:pPr>
            <w:r>
              <w:rPr>
                <w:sz w:val="20"/>
                <w:szCs w:val="20"/>
              </w:rPr>
              <w:t>NS</w:t>
            </w:r>
          </w:p>
        </w:tc>
        <w:tc>
          <w:tcPr>
            <w:tcW w:w="2352" w:type="dxa"/>
            <w:gridSpan w:val="4"/>
            <w:vAlign w:val="center"/>
          </w:tcPr>
          <w:p w:rsidR="00681D1D" w:rsidRDefault="00681D1D" w:rsidP="00F6487E">
            <w:pPr>
              <w:spacing w:line="240" w:lineRule="auto"/>
              <w:jc w:val="center"/>
              <w:rPr>
                <w:sz w:val="20"/>
                <w:szCs w:val="20"/>
              </w:rPr>
            </w:pPr>
            <w:r>
              <w:rPr>
                <w:sz w:val="20"/>
                <w:szCs w:val="20"/>
              </w:rPr>
              <w:t>30 or 20</w:t>
            </w:r>
          </w:p>
          <w:p w:rsidR="00681D1D" w:rsidRDefault="00681D1D" w:rsidP="00F6487E">
            <w:pPr>
              <w:spacing w:line="240" w:lineRule="auto"/>
              <w:jc w:val="center"/>
              <w:rPr>
                <w:sz w:val="20"/>
                <w:szCs w:val="20"/>
              </w:rPr>
            </w:pPr>
          </w:p>
          <w:p w:rsidR="00681D1D" w:rsidRPr="00070379" w:rsidRDefault="00681D1D" w:rsidP="00F6487E">
            <w:pPr>
              <w:spacing w:line="240" w:lineRule="auto"/>
              <w:jc w:val="center"/>
              <w:rPr>
                <w:sz w:val="16"/>
                <w:szCs w:val="16"/>
              </w:rPr>
            </w:pPr>
            <w:r w:rsidRPr="00070379">
              <w:rPr>
                <w:sz w:val="16"/>
                <w:szCs w:val="16"/>
              </w:rPr>
              <w:t>(proposed</w:t>
            </w:r>
            <w:r>
              <w:rPr>
                <w:sz w:val="16"/>
                <w:szCs w:val="16"/>
              </w:rPr>
              <w:t xml:space="preserve"> </w:t>
            </w:r>
            <w:r w:rsidR="00314205">
              <w:rPr>
                <w:sz w:val="16"/>
                <w:szCs w:val="16"/>
              </w:rPr>
              <w:t>BLRL</w:t>
            </w:r>
            <w:r>
              <w:rPr>
                <w:sz w:val="16"/>
                <w:szCs w:val="16"/>
              </w:rPr>
              <w:t>, not yet legislated</w:t>
            </w:r>
            <w:r w:rsidRPr="00070379">
              <w:rPr>
                <w:sz w:val="16"/>
                <w:szCs w:val="16"/>
              </w:rPr>
              <w:t>)</w:t>
            </w:r>
          </w:p>
        </w:tc>
        <w:tc>
          <w:tcPr>
            <w:tcW w:w="740" w:type="dxa"/>
            <w:vAlign w:val="center"/>
          </w:tcPr>
          <w:p w:rsidR="00681D1D" w:rsidRDefault="00681D1D" w:rsidP="00F6487E">
            <w:pPr>
              <w:spacing w:line="240" w:lineRule="auto"/>
              <w:jc w:val="center"/>
              <w:rPr>
                <w:sz w:val="20"/>
                <w:szCs w:val="20"/>
              </w:rPr>
            </w:pPr>
            <w:r>
              <w:rPr>
                <w:sz w:val="20"/>
                <w:szCs w:val="20"/>
              </w:rPr>
              <w:t>2009</w:t>
            </w:r>
          </w:p>
        </w:tc>
        <w:tc>
          <w:tcPr>
            <w:tcW w:w="992" w:type="dxa"/>
            <w:vAlign w:val="center"/>
          </w:tcPr>
          <w:p w:rsidR="00681D1D" w:rsidRDefault="00681D1D" w:rsidP="00F6487E">
            <w:pPr>
              <w:spacing w:line="240" w:lineRule="auto"/>
              <w:jc w:val="center"/>
              <w:rPr>
                <w:sz w:val="20"/>
                <w:szCs w:val="20"/>
              </w:rPr>
            </w:pPr>
            <w:r>
              <w:rPr>
                <w:sz w:val="20"/>
                <w:szCs w:val="20"/>
              </w:rPr>
              <w:t>NA</w:t>
            </w:r>
          </w:p>
        </w:tc>
        <w:tc>
          <w:tcPr>
            <w:tcW w:w="3399" w:type="dxa"/>
            <w:vAlign w:val="center"/>
          </w:tcPr>
          <w:p w:rsidR="00681D1D" w:rsidRPr="0009468C" w:rsidRDefault="00681D1D" w:rsidP="00F6487E">
            <w:pPr>
              <w:spacing w:line="240" w:lineRule="auto"/>
              <w:rPr>
                <w:sz w:val="18"/>
                <w:szCs w:val="18"/>
              </w:rPr>
            </w:pPr>
            <w:r>
              <w:rPr>
                <w:sz w:val="18"/>
                <w:szCs w:val="18"/>
              </w:rPr>
              <w:t>The curren</w:t>
            </w:r>
            <w:r w:rsidR="00070379">
              <w:rPr>
                <w:sz w:val="18"/>
                <w:szCs w:val="18"/>
              </w:rPr>
              <w:t xml:space="preserve">t legislated </w:t>
            </w:r>
            <w:r w:rsidR="00314205">
              <w:rPr>
                <w:sz w:val="18"/>
                <w:szCs w:val="18"/>
              </w:rPr>
              <w:t>BLRL</w:t>
            </w:r>
            <w:r w:rsidR="00070379">
              <w:rPr>
                <w:sz w:val="18"/>
                <w:szCs w:val="18"/>
              </w:rPr>
              <w:t xml:space="preserve"> in the USA is</w:t>
            </w:r>
            <w:r>
              <w:rPr>
                <w:sz w:val="18"/>
                <w:szCs w:val="18"/>
              </w:rPr>
              <w:t xml:space="preserve"> provided in Table 2.2</w:t>
            </w:r>
            <w:r w:rsidR="001C6758">
              <w:rPr>
                <w:sz w:val="18"/>
                <w:szCs w:val="18"/>
              </w:rPr>
              <w:t xml:space="preserve"> (50 </w:t>
            </w:r>
            <w:r w:rsidR="001C6758" w:rsidRPr="001C6758">
              <w:rPr>
                <w:rFonts w:cs="Arial"/>
                <w:sz w:val="18"/>
                <w:szCs w:val="18"/>
              </w:rPr>
              <w:t>µ</w:t>
            </w:r>
            <w:r w:rsidR="001C6758">
              <w:rPr>
                <w:sz w:val="18"/>
                <w:szCs w:val="18"/>
              </w:rPr>
              <w:t>g/dL for all persons)</w:t>
            </w:r>
            <w:r>
              <w:rPr>
                <w:sz w:val="18"/>
                <w:szCs w:val="18"/>
              </w:rPr>
              <w:t xml:space="preserve">. California Department of Public Health (Cal DPH 2009, 2010, 2011) has recommended the revised </w:t>
            </w:r>
            <w:r w:rsidR="00314205">
              <w:rPr>
                <w:sz w:val="18"/>
                <w:szCs w:val="18"/>
              </w:rPr>
              <w:t>BLRL</w:t>
            </w:r>
            <w:r>
              <w:rPr>
                <w:sz w:val="18"/>
                <w:szCs w:val="18"/>
              </w:rPr>
              <w:t xml:space="preserve"> originally proposed by Kosnett et al. (2007) (see above) should be legislated. Specifically, the </w:t>
            </w:r>
            <w:r w:rsidR="00314205">
              <w:rPr>
                <w:sz w:val="18"/>
                <w:szCs w:val="18"/>
              </w:rPr>
              <w:t>BLRL</w:t>
            </w:r>
            <w:r>
              <w:rPr>
                <w:sz w:val="18"/>
                <w:szCs w:val="18"/>
              </w:rPr>
              <w:t xml:space="preserve"> proposed by California are 30 </w:t>
            </w:r>
            <w:r w:rsidRPr="00681D1D">
              <w:rPr>
                <w:rFonts w:cs="Arial"/>
                <w:sz w:val="18"/>
                <w:szCs w:val="18"/>
              </w:rPr>
              <w:t>µg/dL</w:t>
            </w:r>
            <w:r>
              <w:rPr>
                <w:rFonts w:cs="Arial"/>
                <w:sz w:val="18"/>
                <w:szCs w:val="18"/>
              </w:rPr>
              <w:t xml:space="preserve"> for a single PbB measurement, or 20 </w:t>
            </w:r>
            <w:r w:rsidRPr="00681D1D">
              <w:rPr>
                <w:rFonts w:cs="Arial"/>
                <w:sz w:val="18"/>
                <w:szCs w:val="18"/>
              </w:rPr>
              <w:t>µg/dL</w:t>
            </w:r>
            <w:r>
              <w:rPr>
                <w:rFonts w:cs="Arial"/>
                <w:sz w:val="18"/>
                <w:szCs w:val="18"/>
              </w:rPr>
              <w:t xml:space="preserve"> for two consecutive PbB measurements (four weeks apart).</w:t>
            </w:r>
          </w:p>
        </w:tc>
        <w:tc>
          <w:tcPr>
            <w:tcW w:w="1418" w:type="dxa"/>
            <w:vAlign w:val="center"/>
          </w:tcPr>
          <w:p w:rsidR="00681D1D" w:rsidRDefault="00681D1D" w:rsidP="00F6487E">
            <w:pPr>
              <w:spacing w:line="240" w:lineRule="auto"/>
              <w:jc w:val="center"/>
              <w:rPr>
                <w:sz w:val="20"/>
                <w:szCs w:val="20"/>
              </w:rPr>
            </w:pPr>
            <w:r>
              <w:rPr>
                <w:sz w:val="20"/>
                <w:szCs w:val="20"/>
              </w:rPr>
              <w:t>Cal DPH 2009, 2010, 2011</w:t>
            </w:r>
            <w:r w:rsidR="00130EAD">
              <w:rPr>
                <w:sz w:val="20"/>
                <w:szCs w:val="20"/>
              </w:rPr>
              <w:t>, 2013</w:t>
            </w:r>
          </w:p>
        </w:tc>
      </w:tr>
      <w:tr w:rsidR="00F87ED4" w:rsidTr="00175E94">
        <w:trPr>
          <w:cantSplit/>
        </w:trPr>
        <w:tc>
          <w:tcPr>
            <w:tcW w:w="1111" w:type="dxa"/>
            <w:vAlign w:val="center"/>
          </w:tcPr>
          <w:p w:rsidR="00F87ED4" w:rsidRPr="002B4710" w:rsidRDefault="00F87ED4" w:rsidP="00F6487E">
            <w:pPr>
              <w:spacing w:line="240" w:lineRule="auto"/>
              <w:jc w:val="center"/>
              <w:rPr>
                <w:sz w:val="16"/>
                <w:szCs w:val="16"/>
              </w:rPr>
            </w:pPr>
            <w:r w:rsidRPr="002B4710">
              <w:rPr>
                <w:sz w:val="16"/>
                <w:szCs w:val="16"/>
              </w:rPr>
              <w:t>Professional Association</w:t>
            </w:r>
          </w:p>
        </w:tc>
        <w:tc>
          <w:tcPr>
            <w:tcW w:w="1032" w:type="dxa"/>
            <w:vAlign w:val="center"/>
          </w:tcPr>
          <w:p w:rsidR="00F87ED4" w:rsidRDefault="00F87ED4" w:rsidP="00F6487E">
            <w:pPr>
              <w:spacing w:line="240" w:lineRule="auto"/>
              <w:jc w:val="center"/>
              <w:rPr>
                <w:sz w:val="20"/>
                <w:szCs w:val="20"/>
              </w:rPr>
            </w:pPr>
            <w:r>
              <w:rPr>
                <w:sz w:val="20"/>
                <w:szCs w:val="20"/>
              </w:rPr>
              <w:t>-</w:t>
            </w:r>
          </w:p>
        </w:tc>
        <w:tc>
          <w:tcPr>
            <w:tcW w:w="795" w:type="dxa"/>
            <w:vAlign w:val="center"/>
          </w:tcPr>
          <w:p w:rsidR="00F87ED4" w:rsidRDefault="00F87ED4" w:rsidP="00F6487E">
            <w:pPr>
              <w:spacing w:line="240" w:lineRule="auto"/>
              <w:jc w:val="center"/>
              <w:rPr>
                <w:sz w:val="20"/>
                <w:szCs w:val="20"/>
              </w:rPr>
            </w:pPr>
            <w:r>
              <w:rPr>
                <w:sz w:val="20"/>
                <w:szCs w:val="20"/>
              </w:rPr>
              <w:t>-</w:t>
            </w:r>
          </w:p>
        </w:tc>
        <w:tc>
          <w:tcPr>
            <w:tcW w:w="914" w:type="dxa"/>
            <w:vAlign w:val="center"/>
          </w:tcPr>
          <w:p w:rsidR="00F87ED4" w:rsidRDefault="00F87ED4" w:rsidP="00F6487E">
            <w:pPr>
              <w:spacing w:line="240" w:lineRule="auto"/>
              <w:jc w:val="center"/>
              <w:rPr>
                <w:sz w:val="20"/>
                <w:szCs w:val="20"/>
              </w:rPr>
            </w:pPr>
            <w:r>
              <w:rPr>
                <w:sz w:val="20"/>
                <w:szCs w:val="20"/>
              </w:rPr>
              <w:t>-</w:t>
            </w:r>
          </w:p>
        </w:tc>
        <w:tc>
          <w:tcPr>
            <w:tcW w:w="1134" w:type="dxa"/>
            <w:vAlign w:val="center"/>
          </w:tcPr>
          <w:p w:rsidR="00F87ED4" w:rsidRDefault="00F87ED4" w:rsidP="00F6487E">
            <w:pPr>
              <w:spacing w:line="240" w:lineRule="auto"/>
              <w:jc w:val="center"/>
              <w:rPr>
                <w:sz w:val="20"/>
                <w:szCs w:val="20"/>
              </w:rPr>
            </w:pPr>
            <w:r>
              <w:rPr>
                <w:sz w:val="20"/>
                <w:szCs w:val="20"/>
              </w:rPr>
              <w:t>-</w:t>
            </w:r>
          </w:p>
        </w:tc>
        <w:tc>
          <w:tcPr>
            <w:tcW w:w="2352" w:type="dxa"/>
            <w:gridSpan w:val="4"/>
            <w:vAlign w:val="center"/>
          </w:tcPr>
          <w:p w:rsidR="00F87ED4" w:rsidRDefault="00F87ED4" w:rsidP="00F6487E">
            <w:pPr>
              <w:spacing w:line="240" w:lineRule="auto"/>
              <w:jc w:val="center"/>
              <w:rPr>
                <w:sz w:val="20"/>
                <w:szCs w:val="20"/>
              </w:rPr>
            </w:pPr>
            <w:r>
              <w:rPr>
                <w:sz w:val="20"/>
                <w:szCs w:val="20"/>
              </w:rPr>
              <w:t xml:space="preserve">30 </w:t>
            </w:r>
            <w:r w:rsidR="0032692A">
              <w:rPr>
                <w:sz w:val="20"/>
                <w:szCs w:val="20"/>
              </w:rPr>
              <w:t xml:space="preserve">(10 – 29 at doctors discretion) </w:t>
            </w:r>
            <w:r w:rsidR="00584D26">
              <w:rPr>
                <w:sz w:val="20"/>
                <w:szCs w:val="20"/>
                <w:vertAlign w:val="superscript"/>
              </w:rPr>
              <w:t>g</w:t>
            </w:r>
          </w:p>
          <w:p w:rsidR="00B3565A" w:rsidRDefault="00B3565A" w:rsidP="00F6487E">
            <w:pPr>
              <w:spacing w:line="240" w:lineRule="auto"/>
              <w:jc w:val="center"/>
              <w:rPr>
                <w:sz w:val="20"/>
                <w:szCs w:val="20"/>
              </w:rPr>
            </w:pPr>
          </w:p>
          <w:p w:rsidR="00B3565A" w:rsidRDefault="00B3565A" w:rsidP="00F6487E">
            <w:pPr>
              <w:spacing w:line="240" w:lineRule="auto"/>
              <w:jc w:val="center"/>
              <w:rPr>
                <w:sz w:val="16"/>
                <w:szCs w:val="16"/>
              </w:rPr>
            </w:pPr>
            <w:r w:rsidRPr="00B3565A">
              <w:rPr>
                <w:sz w:val="16"/>
                <w:szCs w:val="16"/>
              </w:rPr>
              <w:t xml:space="preserve">(non-legislated </w:t>
            </w:r>
            <w:r w:rsidR="00314205">
              <w:rPr>
                <w:sz w:val="16"/>
                <w:szCs w:val="16"/>
              </w:rPr>
              <w:t>BLRL</w:t>
            </w:r>
            <w:r w:rsidRPr="00B3565A">
              <w:rPr>
                <w:sz w:val="16"/>
                <w:szCs w:val="16"/>
              </w:rPr>
              <w:t>)</w:t>
            </w:r>
          </w:p>
          <w:p w:rsidR="00B3565A" w:rsidRPr="00B3565A" w:rsidRDefault="00B3565A" w:rsidP="00F6487E">
            <w:pPr>
              <w:spacing w:line="240" w:lineRule="auto"/>
              <w:jc w:val="center"/>
              <w:rPr>
                <w:sz w:val="20"/>
                <w:szCs w:val="20"/>
              </w:rPr>
            </w:pPr>
          </w:p>
        </w:tc>
        <w:tc>
          <w:tcPr>
            <w:tcW w:w="740" w:type="dxa"/>
            <w:vAlign w:val="center"/>
          </w:tcPr>
          <w:p w:rsidR="00F87ED4" w:rsidRDefault="00F87ED4" w:rsidP="00F6487E">
            <w:pPr>
              <w:spacing w:line="240" w:lineRule="auto"/>
              <w:jc w:val="center"/>
              <w:rPr>
                <w:sz w:val="20"/>
                <w:szCs w:val="20"/>
              </w:rPr>
            </w:pPr>
            <w:r>
              <w:rPr>
                <w:sz w:val="20"/>
                <w:szCs w:val="20"/>
              </w:rPr>
              <w:t>2007</w:t>
            </w:r>
          </w:p>
        </w:tc>
        <w:tc>
          <w:tcPr>
            <w:tcW w:w="992" w:type="dxa"/>
            <w:vAlign w:val="center"/>
          </w:tcPr>
          <w:p w:rsidR="00F87ED4" w:rsidRDefault="00F87ED4" w:rsidP="00F6487E">
            <w:pPr>
              <w:spacing w:line="240" w:lineRule="auto"/>
              <w:jc w:val="center"/>
              <w:rPr>
                <w:sz w:val="20"/>
                <w:szCs w:val="20"/>
              </w:rPr>
            </w:pPr>
            <w:r>
              <w:rPr>
                <w:sz w:val="20"/>
                <w:szCs w:val="20"/>
              </w:rPr>
              <w:t>NA</w:t>
            </w:r>
          </w:p>
        </w:tc>
        <w:tc>
          <w:tcPr>
            <w:tcW w:w="3399" w:type="dxa"/>
            <w:vAlign w:val="center"/>
          </w:tcPr>
          <w:p w:rsidR="00F87ED4" w:rsidRPr="0009468C" w:rsidRDefault="00F87ED4" w:rsidP="00637B4C">
            <w:pPr>
              <w:spacing w:line="240" w:lineRule="auto"/>
              <w:rPr>
                <w:sz w:val="18"/>
                <w:szCs w:val="18"/>
              </w:rPr>
            </w:pPr>
            <w:r w:rsidRPr="0009468C">
              <w:rPr>
                <w:sz w:val="18"/>
                <w:szCs w:val="18"/>
              </w:rPr>
              <w:t xml:space="preserve">Document to provide advice to clinicians for </w:t>
            </w:r>
            <w:r w:rsidR="00637B4C">
              <w:rPr>
                <w:sz w:val="18"/>
                <w:szCs w:val="18"/>
              </w:rPr>
              <w:t xml:space="preserve">lead </w:t>
            </w:r>
            <w:r>
              <w:rPr>
                <w:sz w:val="18"/>
                <w:szCs w:val="18"/>
              </w:rPr>
              <w:t xml:space="preserve">exposed </w:t>
            </w:r>
            <w:r w:rsidRPr="0009468C">
              <w:rPr>
                <w:sz w:val="18"/>
                <w:szCs w:val="18"/>
              </w:rPr>
              <w:t>adult patients</w:t>
            </w:r>
          </w:p>
        </w:tc>
        <w:tc>
          <w:tcPr>
            <w:tcW w:w="1418" w:type="dxa"/>
            <w:vAlign w:val="center"/>
          </w:tcPr>
          <w:p w:rsidR="00F87ED4" w:rsidRDefault="00F87ED4" w:rsidP="00F6487E">
            <w:pPr>
              <w:spacing w:line="240" w:lineRule="auto"/>
              <w:jc w:val="center"/>
              <w:rPr>
                <w:sz w:val="20"/>
                <w:szCs w:val="20"/>
              </w:rPr>
            </w:pPr>
            <w:r>
              <w:rPr>
                <w:sz w:val="20"/>
                <w:szCs w:val="20"/>
              </w:rPr>
              <w:t>AOEC 2007</w:t>
            </w:r>
          </w:p>
        </w:tc>
      </w:tr>
    </w:tbl>
    <w:p w:rsidR="00EB78D4" w:rsidRDefault="00EE730E" w:rsidP="000F41C3">
      <w:pPr>
        <w:spacing w:line="240" w:lineRule="auto"/>
        <w:rPr>
          <w:sz w:val="18"/>
          <w:szCs w:val="18"/>
        </w:rPr>
      </w:pPr>
      <w:r>
        <w:rPr>
          <w:sz w:val="18"/>
          <w:szCs w:val="18"/>
        </w:rPr>
        <w:t>WES</w:t>
      </w:r>
      <w:r w:rsidR="00580F0B">
        <w:rPr>
          <w:sz w:val="18"/>
          <w:szCs w:val="18"/>
        </w:rPr>
        <w:t xml:space="preserve"> =</w:t>
      </w:r>
      <w:r>
        <w:rPr>
          <w:sz w:val="18"/>
          <w:szCs w:val="18"/>
        </w:rPr>
        <w:t xml:space="preserve"> workplace exposure standard</w:t>
      </w:r>
      <w:r w:rsidR="00580F0B">
        <w:rPr>
          <w:sz w:val="18"/>
          <w:szCs w:val="18"/>
        </w:rPr>
        <w:t xml:space="preserve">; </w:t>
      </w:r>
      <w:r w:rsidR="00314205">
        <w:rPr>
          <w:sz w:val="18"/>
          <w:szCs w:val="18"/>
        </w:rPr>
        <w:t>BLRL</w:t>
      </w:r>
      <w:r w:rsidR="009F23E9">
        <w:rPr>
          <w:sz w:val="18"/>
          <w:szCs w:val="18"/>
        </w:rPr>
        <w:t xml:space="preserve"> = blood lead removal level; </w:t>
      </w:r>
      <w:r w:rsidR="00F87ED4">
        <w:rPr>
          <w:sz w:val="18"/>
          <w:szCs w:val="18"/>
        </w:rPr>
        <w:t xml:space="preserve">PbB = blood lead; </w:t>
      </w:r>
      <w:r w:rsidR="000F41C3">
        <w:rPr>
          <w:sz w:val="18"/>
          <w:szCs w:val="18"/>
        </w:rPr>
        <w:t>M = males; FNR = females not of reproductive capacity; FR = females of reproductive capacity; FP = females who are pregnant; FB =</w:t>
      </w:r>
      <w:r w:rsidR="00D15CBA">
        <w:rPr>
          <w:sz w:val="18"/>
          <w:szCs w:val="18"/>
        </w:rPr>
        <w:t xml:space="preserve"> females who are breastfeeding; NA = not applicable; </w:t>
      </w:r>
      <w:r w:rsidR="003E2444">
        <w:rPr>
          <w:sz w:val="18"/>
          <w:szCs w:val="18"/>
        </w:rPr>
        <w:t xml:space="preserve">NS = not stated; </w:t>
      </w:r>
      <w:r w:rsidR="00420B44">
        <w:rPr>
          <w:sz w:val="18"/>
          <w:szCs w:val="18"/>
        </w:rPr>
        <w:t>- = none provided</w:t>
      </w:r>
      <w:r w:rsidR="008D4D91">
        <w:rPr>
          <w:sz w:val="18"/>
          <w:szCs w:val="18"/>
        </w:rPr>
        <w:t xml:space="preserve">. </w:t>
      </w:r>
    </w:p>
    <w:p w:rsidR="00BB46F9" w:rsidRDefault="00BB46F9" w:rsidP="00767288">
      <w:pPr>
        <w:spacing w:line="240" w:lineRule="auto"/>
        <w:ind w:left="142" w:hanging="142"/>
        <w:rPr>
          <w:sz w:val="18"/>
          <w:szCs w:val="18"/>
        </w:rPr>
      </w:pPr>
      <w:r>
        <w:rPr>
          <w:sz w:val="24"/>
          <w:szCs w:val="24"/>
          <w:vertAlign w:val="superscript"/>
        </w:rPr>
        <w:t xml:space="preserve">a </w:t>
      </w:r>
      <w:r w:rsidR="00F87ED4">
        <w:rPr>
          <w:sz w:val="18"/>
          <w:szCs w:val="18"/>
        </w:rPr>
        <w:t xml:space="preserve">WES is measured as an 8-hour time weighted average. </w:t>
      </w:r>
      <w:r>
        <w:rPr>
          <w:sz w:val="18"/>
          <w:szCs w:val="18"/>
        </w:rPr>
        <w:t xml:space="preserve">Although the terminology used in this table is </w:t>
      </w:r>
      <w:r w:rsidR="00EE730E">
        <w:rPr>
          <w:sz w:val="18"/>
          <w:szCs w:val="18"/>
        </w:rPr>
        <w:t xml:space="preserve">WES </w:t>
      </w:r>
      <w:r>
        <w:rPr>
          <w:sz w:val="18"/>
          <w:szCs w:val="18"/>
        </w:rPr>
        <w:t xml:space="preserve"> (i.e. </w:t>
      </w:r>
      <w:r w:rsidR="00EE730E">
        <w:rPr>
          <w:sz w:val="18"/>
          <w:szCs w:val="18"/>
        </w:rPr>
        <w:t>workplace</w:t>
      </w:r>
      <w:r>
        <w:rPr>
          <w:sz w:val="18"/>
          <w:szCs w:val="18"/>
        </w:rPr>
        <w:t xml:space="preserve"> exposure </w:t>
      </w:r>
      <w:r w:rsidR="00EE730E">
        <w:rPr>
          <w:sz w:val="18"/>
          <w:szCs w:val="18"/>
        </w:rPr>
        <w:t>standard</w:t>
      </w:r>
      <w:r>
        <w:rPr>
          <w:sz w:val="18"/>
          <w:szCs w:val="18"/>
        </w:rPr>
        <w:t>)</w:t>
      </w:r>
      <w:r w:rsidR="001939AD">
        <w:rPr>
          <w:sz w:val="18"/>
          <w:szCs w:val="18"/>
        </w:rPr>
        <w:t xml:space="preserve"> and BLRL (blood lead removal level)</w:t>
      </w:r>
      <w:r>
        <w:rPr>
          <w:sz w:val="18"/>
          <w:szCs w:val="18"/>
        </w:rPr>
        <w:t>, agencies may have different names for such limit</w:t>
      </w:r>
      <w:r w:rsidR="001939AD">
        <w:rPr>
          <w:sz w:val="18"/>
          <w:szCs w:val="18"/>
        </w:rPr>
        <w:t>s</w:t>
      </w:r>
      <w:r>
        <w:rPr>
          <w:sz w:val="18"/>
          <w:szCs w:val="18"/>
        </w:rPr>
        <w:t xml:space="preserve"> (e.g.</w:t>
      </w:r>
      <w:r w:rsidR="00EE730E">
        <w:rPr>
          <w:sz w:val="18"/>
          <w:szCs w:val="18"/>
        </w:rPr>
        <w:t xml:space="preserve"> occupational exposure limit</w:t>
      </w:r>
      <w:r>
        <w:rPr>
          <w:sz w:val="18"/>
          <w:szCs w:val="18"/>
        </w:rPr>
        <w:t>, threshold limit value, permissib</w:t>
      </w:r>
      <w:r w:rsidR="00A40E7E">
        <w:rPr>
          <w:sz w:val="18"/>
          <w:szCs w:val="18"/>
        </w:rPr>
        <w:t>le exposure limit, Maximale Abe</w:t>
      </w:r>
      <w:r>
        <w:rPr>
          <w:sz w:val="18"/>
          <w:szCs w:val="18"/>
        </w:rPr>
        <w:t>it</w:t>
      </w:r>
      <w:r w:rsidR="00A40E7E">
        <w:rPr>
          <w:sz w:val="18"/>
          <w:szCs w:val="18"/>
        </w:rPr>
        <w:t>s</w:t>
      </w:r>
      <w:r>
        <w:rPr>
          <w:sz w:val="18"/>
          <w:szCs w:val="18"/>
        </w:rPr>
        <w:t xml:space="preserve">platzkonzentration, </w:t>
      </w:r>
      <w:r w:rsidR="001939AD">
        <w:rPr>
          <w:sz w:val="18"/>
          <w:szCs w:val="18"/>
        </w:rPr>
        <w:t xml:space="preserve">biological exposure standard, </w:t>
      </w:r>
      <w:r>
        <w:rPr>
          <w:sz w:val="18"/>
          <w:szCs w:val="18"/>
        </w:rPr>
        <w:t>etc.).</w:t>
      </w:r>
      <w:r w:rsidR="004933B3">
        <w:rPr>
          <w:sz w:val="18"/>
          <w:szCs w:val="18"/>
        </w:rPr>
        <w:t xml:space="preserve"> Some agencies may not distinguish if a PbB standard is biological exposure standard or a BLRL; in these instances, the PbB concentration was assumed to be a BLRL.</w:t>
      </w:r>
    </w:p>
    <w:p w:rsidR="00584D26" w:rsidRPr="00584D26" w:rsidRDefault="00584D26" w:rsidP="00767288">
      <w:pPr>
        <w:spacing w:line="240" w:lineRule="auto"/>
        <w:ind w:left="142" w:hanging="142"/>
        <w:rPr>
          <w:sz w:val="18"/>
          <w:szCs w:val="18"/>
        </w:rPr>
      </w:pPr>
      <w:r>
        <w:rPr>
          <w:sz w:val="24"/>
          <w:szCs w:val="24"/>
          <w:vertAlign w:val="superscript"/>
        </w:rPr>
        <w:t>b</w:t>
      </w:r>
      <w:r>
        <w:rPr>
          <w:sz w:val="18"/>
          <w:szCs w:val="18"/>
        </w:rPr>
        <w:t xml:space="preserve"> The </w:t>
      </w:r>
      <w:r w:rsidR="000C3863">
        <w:rPr>
          <w:sz w:val="18"/>
          <w:szCs w:val="18"/>
        </w:rPr>
        <w:t>PbB</w:t>
      </w:r>
      <w:r>
        <w:rPr>
          <w:sz w:val="18"/>
          <w:szCs w:val="18"/>
        </w:rPr>
        <w:t xml:space="preserve"> levels in this table are either legislated</w:t>
      </w:r>
      <w:r w:rsidR="00B3565A">
        <w:rPr>
          <w:sz w:val="18"/>
          <w:szCs w:val="18"/>
        </w:rPr>
        <w:t xml:space="preserve"> or non-legislated</w:t>
      </w:r>
      <w:r>
        <w:rPr>
          <w:sz w:val="18"/>
          <w:szCs w:val="18"/>
        </w:rPr>
        <w:t xml:space="preserve"> </w:t>
      </w:r>
      <w:r w:rsidR="00314205">
        <w:rPr>
          <w:sz w:val="18"/>
          <w:szCs w:val="18"/>
        </w:rPr>
        <w:t>BLRL</w:t>
      </w:r>
      <w:r>
        <w:rPr>
          <w:sz w:val="18"/>
          <w:szCs w:val="18"/>
        </w:rPr>
        <w:t xml:space="preserve">s. </w:t>
      </w:r>
      <w:r w:rsidR="00B3565A">
        <w:rPr>
          <w:sz w:val="18"/>
          <w:szCs w:val="18"/>
        </w:rPr>
        <w:t xml:space="preserve">Non-legislated </w:t>
      </w:r>
      <w:r w:rsidR="00314205">
        <w:rPr>
          <w:sz w:val="18"/>
          <w:szCs w:val="18"/>
        </w:rPr>
        <w:t>BLRL</w:t>
      </w:r>
      <w:r w:rsidR="00B3565A">
        <w:rPr>
          <w:sz w:val="18"/>
          <w:szCs w:val="18"/>
        </w:rPr>
        <w:t xml:space="preserve">s are recommendations made by the organisation, which does not have legislative status. </w:t>
      </w:r>
      <w:r w:rsidR="000F37BB">
        <w:rPr>
          <w:sz w:val="18"/>
          <w:szCs w:val="18"/>
        </w:rPr>
        <w:t>N</w:t>
      </w:r>
      <w:r w:rsidR="00B3565A">
        <w:rPr>
          <w:sz w:val="18"/>
          <w:szCs w:val="18"/>
        </w:rPr>
        <w:t xml:space="preserve">on-legislated or legislated status </w:t>
      </w:r>
      <w:r>
        <w:rPr>
          <w:sz w:val="18"/>
          <w:szCs w:val="18"/>
        </w:rPr>
        <w:t xml:space="preserve">has been noted in the table. </w:t>
      </w:r>
    </w:p>
    <w:p w:rsidR="00F87ED4" w:rsidRDefault="00584D26" w:rsidP="00F87ED4">
      <w:pPr>
        <w:spacing w:line="240" w:lineRule="auto"/>
        <w:ind w:left="142" w:hanging="142"/>
        <w:rPr>
          <w:sz w:val="18"/>
          <w:szCs w:val="18"/>
        </w:rPr>
      </w:pPr>
      <w:r>
        <w:rPr>
          <w:sz w:val="24"/>
          <w:szCs w:val="24"/>
          <w:vertAlign w:val="superscript"/>
        </w:rPr>
        <w:t>c</w:t>
      </w:r>
      <w:r w:rsidR="00F87ED4" w:rsidRPr="006038D3">
        <w:rPr>
          <w:sz w:val="18"/>
          <w:szCs w:val="18"/>
        </w:rPr>
        <w:t xml:space="preserve"> The </w:t>
      </w:r>
      <w:r w:rsidR="001939AD" w:rsidRPr="00175E94">
        <w:rPr>
          <w:sz w:val="18"/>
          <w:szCs w:val="18"/>
        </w:rPr>
        <w:t>BLRL</w:t>
      </w:r>
      <w:r w:rsidR="00F87ED4" w:rsidRPr="006038D3">
        <w:rPr>
          <w:sz w:val="18"/>
          <w:szCs w:val="18"/>
        </w:rPr>
        <w:t xml:space="preserve"> of 30</w:t>
      </w:r>
      <w:r w:rsidR="00F87ED4">
        <w:rPr>
          <w:sz w:val="18"/>
          <w:szCs w:val="18"/>
        </w:rPr>
        <w:t xml:space="preserve"> </w:t>
      </w:r>
      <w:r w:rsidR="00F87ED4" w:rsidRPr="00767288">
        <w:rPr>
          <w:rFonts w:cs="Arial"/>
          <w:sz w:val="18"/>
          <w:szCs w:val="18"/>
        </w:rPr>
        <w:t>µ</w:t>
      </w:r>
      <w:r w:rsidR="00F87ED4" w:rsidRPr="00767288">
        <w:rPr>
          <w:sz w:val="18"/>
          <w:szCs w:val="18"/>
        </w:rPr>
        <w:t>g/dL</w:t>
      </w:r>
      <w:r w:rsidR="00F87ED4">
        <w:rPr>
          <w:sz w:val="18"/>
          <w:szCs w:val="18"/>
        </w:rPr>
        <w:t xml:space="preserve"> is for females &gt;45 years</w:t>
      </w:r>
      <w:r w:rsidR="00B1318A">
        <w:rPr>
          <w:sz w:val="18"/>
          <w:szCs w:val="18"/>
        </w:rPr>
        <w:t xml:space="preserve"> and males</w:t>
      </w:r>
      <w:r w:rsidR="00F87ED4">
        <w:rPr>
          <w:sz w:val="18"/>
          <w:szCs w:val="18"/>
        </w:rPr>
        <w:t xml:space="preserve">. The </w:t>
      </w:r>
      <w:r w:rsidR="000F37BB">
        <w:rPr>
          <w:sz w:val="18"/>
          <w:szCs w:val="18"/>
        </w:rPr>
        <w:t>former</w:t>
      </w:r>
      <w:r w:rsidR="00F87ED4">
        <w:rPr>
          <w:sz w:val="18"/>
          <w:szCs w:val="18"/>
        </w:rPr>
        <w:t xml:space="preserve"> is taken to mean females not of reproductive capacity. DFG (2013b) states this is a BLW (“Biologischer Leit-Wert”), the amount of a chemical substance in exposed humans which serves as an indicator for necessary protective measures. The </w:t>
      </w:r>
      <w:r w:rsidR="00F87ED4" w:rsidRPr="00175E94">
        <w:rPr>
          <w:sz w:val="18"/>
          <w:szCs w:val="18"/>
        </w:rPr>
        <w:t>B</w:t>
      </w:r>
      <w:r w:rsidR="000F37BB" w:rsidRPr="00175E94">
        <w:rPr>
          <w:sz w:val="18"/>
          <w:szCs w:val="18"/>
        </w:rPr>
        <w:t>LRL</w:t>
      </w:r>
      <w:r w:rsidR="00F87ED4">
        <w:rPr>
          <w:sz w:val="18"/>
          <w:szCs w:val="18"/>
        </w:rPr>
        <w:t xml:space="preserve"> of 7 </w:t>
      </w:r>
      <w:r w:rsidR="00F87ED4" w:rsidRPr="00767288">
        <w:rPr>
          <w:rFonts w:cs="Arial"/>
          <w:sz w:val="18"/>
          <w:szCs w:val="18"/>
        </w:rPr>
        <w:t>µ</w:t>
      </w:r>
      <w:r w:rsidR="00F87ED4" w:rsidRPr="00767288">
        <w:rPr>
          <w:sz w:val="18"/>
          <w:szCs w:val="18"/>
        </w:rPr>
        <w:t>g/dL</w:t>
      </w:r>
      <w:r w:rsidR="00F87ED4">
        <w:rPr>
          <w:sz w:val="18"/>
          <w:szCs w:val="18"/>
        </w:rPr>
        <w:t xml:space="preserve"> is a so-called BAR (“Biologische Arbeitsstoff-Referenzwerte”) value, which represent the background levels of a substance in a reference population of persons of working age who are not occupationally exposed to the substance. The BAR values supposedly are based on the 95</w:t>
      </w:r>
      <w:r w:rsidR="00F87ED4" w:rsidRPr="007316D6">
        <w:rPr>
          <w:sz w:val="18"/>
          <w:szCs w:val="18"/>
          <w:vertAlign w:val="superscript"/>
        </w:rPr>
        <w:t>th</w:t>
      </w:r>
      <w:r w:rsidR="00F87ED4">
        <w:rPr>
          <w:sz w:val="18"/>
          <w:szCs w:val="18"/>
        </w:rPr>
        <w:t xml:space="preserve"> percentile of concentrations regarded as not having effects on health, but DFG </w:t>
      </w:r>
      <w:r w:rsidR="00F87ED4">
        <w:rPr>
          <w:sz w:val="18"/>
          <w:szCs w:val="18"/>
        </w:rPr>
        <w:lastRenderedPageBreak/>
        <w:t>(2013b) do not provide further information. BLW and BAR values are set for chemicals for which the available toxicological or occupational-medical data are insufficient for establishment of BAT (i.e. biological tolerance) values.</w:t>
      </w:r>
    </w:p>
    <w:p w:rsidR="00F87ED4" w:rsidRPr="00F87ED4" w:rsidRDefault="00584D26" w:rsidP="00F87ED4">
      <w:pPr>
        <w:spacing w:line="240" w:lineRule="auto"/>
        <w:ind w:left="142" w:hanging="142"/>
        <w:rPr>
          <w:sz w:val="18"/>
          <w:szCs w:val="18"/>
        </w:rPr>
      </w:pPr>
      <w:r>
        <w:rPr>
          <w:sz w:val="24"/>
          <w:szCs w:val="24"/>
          <w:vertAlign w:val="superscript"/>
        </w:rPr>
        <w:t>d</w:t>
      </w:r>
      <w:r w:rsidR="00F87ED4">
        <w:rPr>
          <w:sz w:val="18"/>
          <w:szCs w:val="18"/>
        </w:rPr>
        <w:t xml:space="preserve"> This is the date of the publication, but the value may have been revised before this date. </w:t>
      </w:r>
    </w:p>
    <w:p w:rsidR="00D15CBA" w:rsidRDefault="00584D26" w:rsidP="00767288">
      <w:pPr>
        <w:spacing w:line="240" w:lineRule="auto"/>
        <w:ind w:left="142" w:hanging="142"/>
        <w:rPr>
          <w:sz w:val="18"/>
          <w:szCs w:val="18"/>
        </w:rPr>
      </w:pPr>
      <w:r>
        <w:rPr>
          <w:sz w:val="24"/>
          <w:szCs w:val="24"/>
          <w:vertAlign w:val="superscript"/>
        </w:rPr>
        <w:t>e</w:t>
      </w:r>
      <w:r w:rsidR="00D15CBA">
        <w:rPr>
          <w:sz w:val="18"/>
          <w:szCs w:val="18"/>
        </w:rPr>
        <w:t xml:space="preserve"> </w:t>
      </w:r>
      <w:r w:rsidR="005E287F">
        <w:rPr>
          <w:sz w:val="18"/>
          <w:szCs w:val="18"/>
        </w:rPr>
        <w:t xml:space="preserve">Although the official </w:t>
      </w:r>
      <w:r w:rsidR="005E287F" w:rsidRPr="00175E94">
        <w:rPr>
          <w:sz w:val="18"/>
          <w:szCs w:val="18"/>
        </w:rPr>
        <w:t>B</w:t>
      </w:r>
      <w:r w:rsidR="000F37BB" w:rsidRPr="00175E94">
        <w:rPr>
          <w:sz w:val="18"/>
          <w:szCs w:val="18"/>
        </w:rPr>
        <w:t>LRL</w:t>
      </w:r>
      <w:r w:rsidR="005E287F" w:rsidRPr="000F37BB">
        <w:rPr>
          <w:sz w:val="18"/>
          <w:szCs w:val="18"/>
        </w:rPr>
        <w:t xml:space="preserve"> is</w:t>
      </w:r>
      <w:r w:rsidR="005E287F">
        <w:rPr>
          <w:sz w:val="18"/>
          <w:szCs w:val="18"/>
        </w:rPr>
        <w:t xml:space="preserve"> </w:t>
      </w:r>
      <w:r w:rsidR="005E287F" w:rsidRPr="005E287F">
        <w:rPr>
          <w:sz w:val="18"/>
          <w:szCs w:val="18"/>
        </w:rPr>
        <w:t>30 µg/dL</w:t>
      </w:r>
      <w:r w:rsidR="005E287F">
        <w:rPr>
          <w:sz w:val="18"/>
          <w:szCs w:val="18"/>
        </w:rPr>
        <w:t>, ACGIH notes that “</w:t>
      </w:r>
      <w:r w:rsidR="005E287F">
        <w:rPr>
          <w:i/>
          <w:sz w:val="18"/>
          <w:szCs w:val="18"/>
        </w:rPr>
        <w:t xml:space="preserve">Women of child bearing potential, whose blood Pb exceeds 10 </w:t>
      </w:r>
      <w:r w:rsidR="005E287F" w:rsidRPr="005E287F">
        <w:rPr>
          <w:rFonts w:cs="Arial"/>
          <w:i/>
          <w:sz w:val="18"/>
          <w:szCs w:val="18"/>
        </w:rPr>
        <w:t>µ</w:t>
      </w:r>
      <w:r w:rsidR="005E287F">
        <w:rPr>
          <w:i/>
          <w:sz w:val="18"/>
          <w:szCs w:val="18"/>
        </w:rPr>
        <w:t xml:space="preserve">g/dL, are at risk of delivering a child with a blood Pb over the current Centers for Disease Control guideline of 10 </w:t>
      </w:r>
      <w:r w:rsidR="005E287F" w:rsidRPr="005E287F">
        <w:rPr>
          <w:rFonts w:cs="Arial"/>
          <w:i/>
          <w:sz w:val="18"/>
          <w:szCs w:val="18"/>
        </w:rPr>
        <w:t>µ</w:t>
      </w:r>
      <w:r w:rsidR="005E287F">
        <w:rPr>
          <w:i/>
          <w:sz w:val="18"/>
          <w:szCs w:val="18"/>
        </w:rPr>
        <w:t>g/dL. If the blood Pb of such children remain</w:t>
      </w:r>
      <w:r w:rsidR="00767288">
        <w:rPr>
          <w:i/>
          <w:sz w:val="18"/>
          <w:szCs w:val="18"/>
        </w:rPr>
        <w:t>s</w:t>
      </w:r>
      <w:r w:rsidR="005E287F">
        <w:rPr>
          <w:i/>
          <w:sz w:val="18"/>
          <w:szCs w:val="18"/>
        </w:rPr>
        <w:t xml:space="preserve"> elevated, they may be at increased risk of cognitive deficits. The blood Pb of these children should be closely monitored and appropriate steps should be taken to minimize the child’s exposure to environmental lead.”</w:t>
      </w:r>
      <w:r w:rsidR="00767288">
        <w:rPr>
          <w:i/>
          <w:sz w:val="18"/>
          <w:szCs w:val="18"/>
        </w:rPr>
        <w:t xml:space="preserve"> </w:t>
      </w:r>
      <w:r w:rsidR="00767288">
        <w:rPr>
          <w:sz w:val="18"/>
          <w:szCs w:val="18"/>
        </w:rPr>
        <w:t xml:space="preserve">The latter </w:t>
      </w:r>
      <w:r w:rsidR="00A3266D">
        <w:rPr>
          <w:sz w:val="18"/>
          <w:szCs w:val="18"/>
        </w:rPr>
        <w:t xml:space="preserve">tacitly </w:t>
      </w:r>
      <w:r w:rsidR="00767288">
        <w:rPr>
          <w:sz w:val="18"/>
          <w:szCs w:val="18"/>
        </w:rPr>
        <w:t xml:space="preserve">implies the </w:t>
      </w:r>
      <w:r w:rsidR="00767288" w:rsidRPr="00175E94">
        <w:rPr>
          <w:sz w:val="18"/>
          <w:szCs w:val="18"/>
        </w:rPr>
        <w:t>B</w:t>
      </w:r>
      <w:r w:rsidR="000F37BB" w:rsidRPr="00175E94">
        <w:rPr>
          <w:sz w:val="18"/>
          <w:szCs w:val="18"/>
        </w:rPr>
        <w:t>LRL</w:t>
      </w:r>
      <w:r w:rsidR="00767288" w:rsidRPr="000F37BB">
        <w:rPr>
          <w:sz w:val="18"/>
          <w:szCs w:val="18"/>
        </w:rPr>
        <w:t xml:space="preserve"> for </w:t>
      </w:r>
      <w:r w:rsidR="00E25319" w:rsidRPr="000F37BB">
        <w:rPr>
          <w:sz w:val="18"/>
          <w:szCs w:val="18"/>
        </w:rPr>
        <w:t>females</w:t>
      </w:r>
      <w:r w:rsidR="00767288" w:rsidRPr="000F37BB">
        <w:rPr>
          <w:sz w:val="18"/>
          <w:szCs w:val="18"/>
        </w:rPr>
        <w:t xml:space="preserve"> of reproductive capacity, or </w:t>
      </w:r>
      <w:r w:rsidR="00E25319" w:rsidRPr="000F37BB">
        <w:rPr>
          <w:sz w:val="18"/>
          <w:szCs w:val="18"/>
        </w:rPr>
        <w:t>females</w:t>
      </w:r>
      <w:r w:rsidR="00767288" w:rsidRPr="000F37BB">
        <w:rPr>
          <w:sz w:val="18"/>
          <w:szCs w:val="18"/>
        </w:rPr>
        <w:t xml:space="preserve"> who are pregnant or breastfeeding should </w:t>
      </w:r>
      <w:r w:rsidR="00A3266D" w:rsidRPr="000F37BB">
        <w:rPr>
          <w:sz w:val="18"/>
          <w:szCs w:val="18"/>
        </w:rPr>
        <w:t xml:space="preserve">perhaps </w:t>
      </w:r>
      <w:r w:rsidR="00767288" w:rsidRPr="000F37BB">
        <w:rPr>
          <w:sz w:val="18"/>
          <w:szCs w:val="18"/>
        </w:rPr>
        <w:t>be the same as the goal for the general population (including children), i.e</w:t>
      </w:r>
      <w:r w:rsidR="00767288">
        <w:rPr>
          <w:sz w:val="18"/>
          <w:szCs w:val="18"/>
        </w:rPr>
        <w:t xml:space="preserve">. 10 </w:t>
      </w:r>
      <w:r w:rsidR="00767288" w:rsidRPr="00767288">
        <w:rPr>
          <w:rFonts w:cs="Arial"/>
          <w:sz w:val="18"/>
          <w:szCs w:val="18"/>
        </w:rPr>
        <w:t>µ</w:t>
      </w:r>
      <w:r w:rsidR="00767288" w:rsidRPr="00767288">
        <w:rPr>
          <w:sz w:val="18"/>
          <w:szCs w:val="18"/>
        </w:rPr>
        <w:t xml:space="preserve">g/dL. </w:t>
      </w:r>
    </w:p>
    <w:p w:rsidR="0056182F" w:rsidRDefault="00584D26" w:rsidP="0056182F">
      <w:pPr>
        <w:spacing w:line="240" w:lineRule="auto"/>
        <w:ind w:left="142" w:hanging="142"/>
        <w:rPr>
          <w:sz w:val="18"/>
          <w:szCs w:val="18"/>
        </w:rPr>
      </w:pPr>
      <w:r>
        <w:rPr>
          <w:sz w:val="24"/>
          <w:szCs w:val="24"/>
          <w:vertAlign w:val="superscript"/>
        </w:rPr>
        <w:t>f</w:t>
      </w:r>
      <w:r w:rsidR="0098572F">
        <w:rPr>
          <w:sz w:val="18"/>
          <w:szCs w:val="18"/>
        </w:rPr>
        <w:t xml:space="preserve"> Kosnett et al. (2007) recommended that individuals be removed from occupational </w:t>
      </w:r>
      <w:r w:rsidR="00637B4C">
        <w:rPr>
          <w:sz w:val="18"/>
          <w:szCs w:val="18"/>
        </w:rPr>
        <w:t xml:space="preserve">lead </w:t>
      </w:r>
      <w:r w:rsidR="0098572F">
        <w:rPr>
          <w:sz w:val="18"/>
          <w:szCs w:val="18"/>
        </w:rPr>
        <w:t xml:space="preserve">exposure if a single PbB concentration exceeds 30 </w:t>
      </w:r>
      <w:r w:rsidR="0098572F" w:rsidRPr="0098572F">
        <w:rPr>
          <w:rFonts w:cs="Arial"/>
          <w:sz w:val="18"/>
          <w:szCs w:val="18"/>
        </w:rPr>
        <w:t>µ</w:t>
      </w:r>
      <w:r w:rsidR="0098572F">
        <w:rPr>
          <w:rFonts w:cs="Arial"/>
          <w:sz w:val="18"/>
          <w:szCs w:val="18"/>
        </w:rPr>
        <w:t xml:space="preserve">g/dL or if two successive PbB measured over a 4-week interval are </w:t>
      </w:r>
      <w:r w:rsidR="0098572F">
        <w:rPr>
          <w:rFonts w:cs="Arial"/>
          <w:sz w:val="18"/>
          <w:szCs w:val="18"/>
          <w:u w:val="single"/>
        </w:rPr>
        <w:t>&gt;</w:t>
      </w:r>
      <w:r w:rsidR="0098572F">
        <w:rPr>
          <w:rFonts w:cs="Arial"/>
          <w:sz w:val="18"/>
          <w:szCs w:val="18"/>
        </w:rPr>
        <w:t xml:space="preserve"> 20 </w:t>
      </w:r>
      <w:r w:rsidR="0098572F" w:rsidRPr="0098572F">
        <w:rPr>
          <w:rFonts w:cs="Arial"/>
          <w:sz w:val="18"/>
          <w:szCs w:val="18"/>
        </w:rPr>
        <w:t>µ</w:t>
      </w:r>
      <w:r w:rsidR="0098572F">
        <w:rPr>
          <w:rFonts w:cs="Arial"/>
          <w:sz w:val="18"/>
          <w:szCs w:val="18"/>
        </w:rPr>
        <w:t xml:space="preserve">g/dL. Removal of individuals from </w:t>
      </w:r>
      <w:r w:rsidR="00637B4C">
        <w:rPr>
          <w:rFonts w:cs="Arial"/>
          <w:sz w:val="18"/>
          <w:szCs w:val="18"/>
        </w:rPr>
        <w:t xml:space="preserve">lead </w:t>
      </w:r>
      <w:r w:rsidR="0098572F">
        <w:rPr>
          <w:rFonts w:cs="Arial"/>
          <w:sz w:val="18"/>
          <w:szCs w:val="18"/>
        </w:rPr>
        <w:t xml:space="preserve">exposure should be considered to avoid long-term risk to health if exposure control measures over an extended period do not decrease PbB to &lt; 10 </w:t>
      </w:r>
      <w:r w:rsidR="0098572F" w:rsidRPr="0098572F">
        <w:rPr>
          <w:rFonts w:cs="Arial"/>
          <w:sz w:val="18"/>
          <w:szCs w:val="18"/>
        </w:rPr>
        <w:t>µ</w:t>
      </w:r>
      <w:r w:rsidR="0098572F">
        <w:rPr>
          <w:rFonts w:cs="Arial"/>
          <w:sz w:val="18"/>
          <w:szCs w:val="18"/>
        </w:rPr>
        <w:t xml:space="preserve">g/dL or if selected medical conditions exist that would increase the risk of continued exposure. They advised pregnant </w:t>
      </w:r>
      <w:r w:rsidR="00E25319">
        <w:rPr>
          <w:rFonts w:cs="Arial"/>
          <w:sz w:val="18"/>
          <w:szCs w:val="18"/>
        </w:rPr>
        <w:t>females</w:t>
      </w:r>
      <w:r w:rsidR="0098572F">
        <w:rPr>
          <w:rFonts w:cs="Arial"/>
          <w:sz w:val="18"/>
          <w:szCs w:val="18"/>
        </w:rPr>
        <w:t xml:space="preserve"> should avoid occupational or avocational </w:t>
      </w:r>
      <w:r w:rsidR="00637B4C">
        <w:rPr>
          <w:rFonts w:cs="Arial"/>
          <w:sz w:val="18"/>
          <w:szCs w:val="18"/>
        </w:rPr>
        <w:t xml:space="preserve">lead </w:t>
      </w:r>
      <w:r w:rsidR="0098572F">
        <w:rPr>
          <w:rFonts w:cs="Arial"/>
          <w:sz w:val="18"/>
          <w:szCs w:val="18"/>
        </w:rPr>
        <w:t xml:space="preserve">exposure that would result in PbB &gt;5 </w:t>
      </w:r>
      <w:r w:rsidR="0098572F" w:rsidRPr="0098572F">
        <w:rPr>
          <w:rFonts w:cs="Arial"/>
          <w:sz w:val="18"/>
          <w:szCs w:val="18"/>
        </w:rPr>
        <w:t>µ</w:t>
      </w:r>
      <w:r w:rsidR="0098572F">
        <w:rPr>
          <w:rFonts w:cs="Arial"/>
          <w:sz w:val="18"/>
          <w:szCs w:val="18"/>
        </w:rPr>
        <w:t xml:space="preserve">g/dL. </w:t>
      </w:r>
      <w:r w:rsidR="0056182F">
        <w:rPr>
          <w:sz w:val="18"/>
          <w:szCs w:val="18"/>
        </w:rPr>
        <w:t xml:space="preserve"> </w:t>
      </w:r>
    </w:p>
    <w:p w:rsidR="008D4D91" w:rsidRDefault="00584D26" w:rsidP="0056182F">
      <w:pPr>
        <w:spacing w:line="240" w:lineRule="auto"/>
        <w:ind w:left="142" w:hanging="142"/>
        <w:rPr>
          <w:rFonts w:cs="Arial"/>
          <w:sz w:val="18"/>
          <w:szCs w:val="18"/>
        </w:rPr>
      </w:pPr>
      <w:r>
        <w:rPr>
          <w:sz w:val="24"/>
          <w:szCs w:val="24"/>
          <w:vertAlign w:val="superscript"/>
        </w:rPr>
        <w:t>g</w:t>
      </w:r>
      <w:r w:rsidR="008D4D91">
        <w:rPr>
          <w:sz w:val="18"/>
          <w:szCs w:val="18"/>
        </w:rPr>
        <w:t xml:space="preserve"> The AOEC (2007) states at PbB between 10 and 29 </w:t>
      </w:r>
      <w:r w:rsidR="008D4D91" w:rsidRPr="008D4D91">
        <w:rPr>
          <w:rFonts w:cs="Arial"/>
          <w:sz w:val="18"/>
          <w:szCs w:val="18"/>
        </w:rPr>
        <w:t>µ</w:t>
      </w:r>
      <w:r w:rsidR="008D4D91">
        <w:rPr>
          <w:rFonts w:cs="Arial"/>
          <w:sz w:val="18"/>
          <w:szCs w:val="18"/>
        </w:rPr>
        <w:t xml:space="preserve">g/dL, the clinician should consider removal from </w:t>
      </w:r>
      <w:r w:rsidR="00637B4C">
        <w:rPr>
          <w:rFonts w:cs="Arial"/>
          <w:sz w:val="18"/>
          <w:szCs w:val="18"/>
        </w:rPr>
        <w:t xml:space="preserve">lead </w:t>
      </w:r>
      <w:r w:rsidR="008D4D91">
        <w:rPr>
          <w:rFonts w:cs="Arial"/>
          <w:sz w:val="18"/>
          <w:szCs w:val="18"/>
        </w:rPr>
        <w:t xml:space="preserve">exposure if warranted, and at PbB </w:t>
      </w:r>
      <w:r w:rsidR="008D4D91">
        <w:rPr>
          <w:rFonts w:cs="Arial"/>
          <w:sz w:val="18"/>
          <w:szCs w:val="18"/>
          <w:u w:val="single"/>
        </w:rPr>
        <w:t>&gt;</w:t>
      </w:r>
      <w:r w:rsidR="008D4D91">
        <w:rPr>
          <w:rFonts w:cs="Arial"/>
          <w:sz w:val="18"/>
          <w:szCs w:val="18"/>
        </w:rPr>
        <w:t xml:space="preserve"> 30 </w:t>
      </w:r>
      <w:r w:rsidR="008D4D91" w:rsidRPr="008D4D91">
        <w:rPr>
          <w:rFonts w:cs="Arial"/>
          <w:sz w:val="18"/>
          <w:szCs w:val="18"/>
        </w:rPr>
        <w:t>µ</w:t>
      </w:r>
      <w:r w:rsidR="008D4D91">
        <w:rPr>
          <w:rFonts w:cs="Arial"/>
          <w:sz w:val="18"/>
          <w:szCs w:val="18"/>
        </w:rPr>
        <w:t xml:space="preserve">g/dL, removal from exposure should definitely occur. </w:t>
      </w:r>
    </w:p>
    <w:p w:rsidR="00420B44" w:rsidRPr="008D4D91" w:rsidRDefault="00420B44" w:rsidP="0056182F">
      <w:pPr>
        <w:spacing w:line="240" w:lineRule="auto"/>
        <w:ind w:left="142" w:hanging="142"/>
        <w:rPr>
          <w:sz w:val="18"/>
          <w:szCs w:val="18"/>
        </w:rPr>
      </w:pPr>
    </w:p>
    <w:p w:rsidR="00420B44" w:rsidRDefault="00420B44">
      <w:pPr>
        <w:rPr>
          <w:b/>
        </w:rPr>
      </w:pPr>
      <w:r>
        <w:rPr>
          <w:b/>
        </w:rPr>
        <w:br w:type="page"/>
      </w:r>
    </w:p>
    <w:p w:rsidR="00024D0A" w:rsidRPr="00C65F4E" w:rsidRDefault="00024D0A" w:rsidP="00024D0A">
      <w:pPr>
        <w:rPr>
          <w:b/>
          <w:vertAlign w:val="superscript"/>
        </w:rPr>
      </w:pPr>
      <w:r>
        <w:rPr>
          <w:b/>
        </w:rPr>
        <w:lastRenderedPageBreak/>
        <w:t xml:space="preserve">Table 2.2: Summary of </w:t>
      </w:r>
      <w:r w:rsidR="00F87ED4">
        <w:rPr>
          <w:b/>
        </w:rPr>
        <w:t xml:space="preserve">WES and </w:t>
      </w:r>
      <w:r w:rsidR="00314205">
        <w:rPr>
          <w:b/>
        </w:rPr>
        <w:t>BLRL</w:t>
      </w:r>
      <w:r w:rsidR="00F87ED4">
        <w:rPr>
          <w:b/>
        </w:rPr>
        <w:t xml:space="preserve"> </w:t>
      </w:r>
      <w:r>
        <w:rPr>
          <w:b/>
        </w:rPr>
        <w:t>without supporting documentation</w:t>
      </w:r>
      <w:r w:rsidR="00C65F4E">
        <w:rPr>
          <w:b/>
        </w:rPr>
        <w:t xml:space="preserve"> </w:t>
      </w:r>
      <w:r w:rsidR="00C65F4E">
        <w:rPr>
          <w:b/>
          <w:vertAlign w:val="superscript"/>
        </w:rPr>
        <w:t>a</w:t>
      </w:r>
    </w:p>
    <w:tbl>
      <w:tblPr>
        <w:tblW w:w="1317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1242"/>
        <w:gridCol w:w="895"/>
        <w:gridCol w:w="795"/>
        <w:gridCol w:w="914"/>
        <w:gridCol w:w="1134"/>
        <w:gridCol w:w="930"/>
        <w:gridCol w:w="10"/>
        <w:gridCol w:w="596"/>
        <w:gridCol w:w="14"/>
        <w:gridCol w:w="698"/>
        <w:gridCol w:w="851"/>
        <w:gridCol w:w="992"/>
        <w:gridCol w:w="2265"/>
        <w:gridCol w:w="1842"/>
      </w:tblGrid>
      <w:tr w:rsidR="00F87ED4" w:rsidTr="008334BC">
        <w:trPr>
          <w:cantSplit/>
          <w:trHeight w:val="469"/>
          <w:tblHeader/>
        </w:trPr>
        <w:tc>
          <w:tcPr>
            <w:tcW w:w="1242"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Country &amp; Agency</w:t>
            </w:r>
          </w:p>
        </w:tc>
        <w:tc>
          <w:tcPr>
            <w:tcW w:w="895" w:type="dxa"/>
            <w:vMerge w:val="restart"/>
            <w:tcBorders>
              <w:top w:val="single" w:sz="12" w:space="0" w:color="auto"/>
            </w:tcBorders>
            <w:shd w:val="clear" w:color="auto" w:fill="D6E3BC" w:themeFill="accent3" w:themeFillTint="66"/>
            <w:vAlign w:val="center"/>
          </w:tcPr>
          <w:p w:rsidR="00F87ED4" w:rsidRPr="00BB46F9" w:rsidRDefault="00F87ED4" w:rsidP="00F6487E">
            <w:pPr>
              <w:spacing w:line="240" w:lineRule="auto"/>
              <w:jc w:val="center"/>
              <w:rPr>
                <w:b/>
                <w:vertAlign w:val="superscript"/>
              </w:rPr>
            </w:pPr>
            <w:r>
              <w:rPr>
                <w:b/>
              </w:rPr>
              <w:t>WES</w:t>
            </w:r>
            <w:r>
              <w:rPr>
                <w:b/>
                <w:vertAlign w:val="superscript"/>
              </w:rPr>
              <w:t>b</w:t>
            </w:r>
          </w:p>
          <w:p w:rsidR="00F87ED4" w:rsidRPr="00175E94" w:rsidRDefault="00F87ED4" w:rsidP="00F6487E">
            <w:pPr>
              <w:spacing w:line="240" w:lineRule="auto"/>
              <w:jc w:val="center"/>
              <w:rPr>
                <w:b/>
                <w:sz w:val="18"/>
                <w:szCs w:val="18"/>
                <w:vertAlign w:val="superscript"/>
              </w:rPr>
            </w:pPr>
            <w:r w:rsidRPr="00175E94">
              <w:rPr>
                <w:b/>
                <w:sz w:val="18"/>
                <w:szCs w:val="18"/>
              </w:rPr>
              <w:t>(</w:t>
            </w:r>
            <w:r w:rsidRPr="00175E94">
              <w:rPr>
                <w:rFonts w:cs="Arial"/>
                <w:b/>
                <w:sz w:val="18"/>
                <w:szCs w:val="18"/>
              </w:rPr>
              <w:t>mg</w:t>
            </w:r>
            <w:r w:rsidRPr="00175E94">
              <w:rPr>
                <w:b/>
                <w:sz w:val="18"/>
                <w:szCs w:val="18"/>
              </w:rPr>
              <w:t>/m</w:t>
            </w:r>
            <w:r w:rsidRPr="00175E94">
              <w:rPr>
                <w:b/>
                <w:sz w:val="18"/>
                <w:szCs w:val="18"/>
                <w:vertAlign w:val="superscript"/>
              </w:rPr>
              <w:t>3</w:t>
            </w:r>
            <w:r w:rsidRPr="00175E94">
              <w:rPr>
                <w:b/>
                <w:sz w:val="18"/>
                <w:szCs w:val="18"/>
              </w:rPr>
              <w:t>)</w:t>
            </w:r>
          </w:p>
        </w:tc>
        <w:tc>
          <w:tcPr>
            <w:tcW w:w="1709" w:type="dxa"/>
            <w:gridSpan w:val="2"/>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Date</w:t>
            </w:r>
          </w:p>
        </w:tc>
        <w:tc>
          <w:tcPr>
            <w:tcW w:w="1134"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Fraction</w:t>
            </w:r>
          </w:p>
        </w:tc>
        <w:tc>
          <w:tcPr>
            <w:tcW w:w="2248" w:type="dxa"/>
            <w:gridSpan w:val="5"/>
            <w:tcBorders>
              <w:top w:val="single" w:sz="12" w:space="0" w:color="auto"/>
              <w:bottom w:val="single" w:sz="8" w:space="0" w:color="auto"/>
            </w:tcBorders>
            <w:shd w:val="clear" w:color="auto" w:fill="D6E3BC" w:themeFill="accent3" w:themeFillTint="66"/>
            <w:vAlign w:val="center"/>
          </w:tcPr>
          <w:p w:rsidR="00F87ED4" w:rsidRPr="00444131" w:rsidRDefault="00B45175" w:rsidP="00F6487E">
            <w:pPr>
              <w:spacing w:line="240" w:lineRule="auto"/>
              <w:jc w:val="center"/>
              <w:rPr>
                <w:vertAlign w:val="superscript"/>
              </w:rPr>
            </w:pPr>
            <w:r>
              <w:rPr>
                <w:b/>
              </w:rPr>
              <w:t>BLRL</w:t>
            </w:r>
            <w:r w:rsidR="00F87ED4">
              <w:rPr>
                <w:b/>
              </w:rPr>
              <w:t xml:space="preserve">  (</w:t>
            </w:r>
            <w:r w:rsidR="00F87ED4" w:rsidRPr="00580F0B">
              <w:rPr>
                <w:rFonts w:cs="Arial"/>
                <w:b/>
              </w:rPr>
              <w:t>µg</w:t>
            </w:r>
            <w:r w:rsidR="00F87ED4">
              <w:rPr>
                <w:rFonts w:cs="Arial"/>
                <w:b/>
              </w:rPr>
              <w:t>/dL)</w:t>
            </w:r>
            <w:r w:rsidR="00E042C2">
              <w:rPr>
                <w:rFonts w:cs="Arial"/>
                <w:b/>
              </w:rPr>
              <w:t xml:space="preserve"> </w:t>
            </w:r>
            <w:r w:rsidRPr="00175E94">
              <w:rPr>
                <w:rFonts w:cs="Arial"/>
                <w:b/>
                <w:sz w:val="24"/>
                <w:szCs w:val="24"/>
                <w:vertAlign w:val="superscript"/>
              </w:rPr>
              <w:t xml:space="preserve">b, </w:t>
            </w:r>
            <w:r w:rsidR="00E042C2" w:rsidRPr="00175E94">
              <w:rPr>
                <w:rFonts w:cs="Arial"/>
                <w:b/>
                <w:sz w:val="24"/>
                <w:szCs w:val="24"/>
                <w:vertAlign w:val="superscript"/>
              </w:rPr>
              <w:t>c</w:t>
            </w:r>
          </w:p>
        </w:tc>
        <w:tc>
          <w:tcPr>
            <w:tcW w:w="1843" w:type="dxa"/>
            <w:gridSpan w:val="2"/>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Date</w:t>
            </w:r>
          </w:p>
        </w:tc>
        <w:tc>
          <w:tcPr>
            <w:tcW w:w="2265"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Comment</w:t>
            </w:r>
          </w:p>
        </w:tc>
        <w:tc>
          <w:tcPr>
            <w:tcW w:w="1842" w:type="dxa"/>
            <w:vMerge w:val="restart"/>
            <w:tcBorders>
              <w:top w:val="single" w:sz="12" w:space="0" w:color="auto"/>
            </w:tcBorders>
            <w:shd w:val="clear" w:color="auto" w:fill="D6E3BC" w:themeFill="accent3" w:themeFillTint="66"/>
            <w:vAlign w:val="center"/>
          </w:tcPr>
          <w:p w:rsidR="00F87ED4" w:rsidRPr="00580F0B" w:rsidRDefault="00F87ED4" w:rsidP="00F6487E">
            <w:pPr>
              <w:spacing w:line="240" w:lineRule="auto"/>
              <w:jc w:val="center"/>
              <w:rPr>
                <w:b/>
              </w:rPr>
            </w:pPr>
            <w:r>
              <w:rPr>
                <w:b/>
              </w:rPr>
              <w:t>Reference</w:t>
            </w:r>
          </w:p>
        </w:tc>
      </w:tr>
      <w:tr w:rsidR="00F87ED4" w:rsidTr="008334BC">
        <w:trPr>
          <w:cantSplit/>
          <w:trHeight w:val="543"/>
          <w:tblHeader/>
        </w:trPr>
        <w:tc>
          <w:tcPr>
            <w:tcW w:w="1242" w:type="dxa"/>
            <w:vMerge/>
            <w:vAlign w:val="center"/>
          </w:tcPr>
          <w:p w:rsidR="00F87ED4" w:rsidRDefault="00F87ED4" w:rsidP="00F6487E">
            <w:pPr>
              <w:spacing w:line="240" w:lineRule="auto"/>
              <w:jc w:val="center"/>
            </w:pPr>
          </w:p>
        </w:tc>
        <w:tc>
          <w:tcPr>
            <w:tcW w:w="895" w:type="dxa"/>
            <w:vMerge/>
            <w:vAlign w:val="center"/>
          </w:tcPr>
          <w:p w:rsidR="00F87ED4" w:rsidRDefault="00F87ED4" w:rsidP="00F6487E">
            <w:pPr>
              <w:spacing w:line="240" w:lineRule="auto"/>
              <w:jc w:val="center"/>
            </w:pPr>
          </w:p>
        </w:tc>
        <w:tc>
          <w:tcPr>
            <w:tcW w:w="795" w:type="dxa"/>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Set</w:t>
            </w:r>
          </w:p>
        </w:tc>
        <w:tc>
          <w:tcPr>
            <w:tcW w:w="914" w:type="dxa"/>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Revised</w:t>
            </w:r>
          </w:p>
        </w:tc>
        <w:tc>
          <w:tcPr>
            <w:tcW w:w="1134" w:type="dxa"/>
            <w:vMerge/>
            <w:vAlign w:val="center"/>
          </w:tcPr>
          <w:p w:rsidR="00F87ED4" w:rsidRDefault="00F87ED4" w:rsidP="00F6487E">
            <w:pPr>
              <w:spacing w:line="240" w:lineRule="auto"/>
              <w:jc w:val="center"/>
            </w:pPr>
          </w:p>
        </w:tc>
        <w:tc>
          <w:tcPr>
            <w:tcW w:w="940" w:type="dxa"/>
            <w:gridSpan w:val="2"/>
            <w:tcBorders>
              <w:top w:val="single" w:sz="8" w:space="0" w:color="auto"/>
            </w:tcBorders>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M &amp; FNR</w:t>
            </w:r>
          </w:p>
        </w:tc>
        <w:tc>
          <w:tcPr>
            <w:tcW w:w="596" w:type="dxa"/>
            <w:tcBorders>
              <w:top w:val="single" w:sz="8" w:space="0" w:color="auto"/>
            </w:tcBorders>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FR</w:t>
            </w:r>
          </w:p>
        </w:tc>
        <w:tc>
          <w:tcPr>
            <w:tcW w:w="712" w:type="dxa"/>
            <w:gridSpan w:val="2"/>
            <w:tcBorders>
              <w:top w:val="single" w:sz="8" w:space="0" w:color="auto"/>
            </w:tcBorders>
            <w:shd w:val="clear" w:color="auto" w:fill="D6E3BC" w:themeFill="accent3" w:themeFillTint="66"/>
            <w:vAlign w:val="center"/>
          </w:tcPr>
          <w:p w:rsidR="00F87ED4" w:rsidRPr="00D15CBA" w:rsidRDefault="00F87ED4" w:rsidP="00F6487E">
            <w:pPr>
              <w:spacing w:line="240" w:lineRule="auto"/>
              <w:jc w:val="center"/>
              <w:rPr>
                <w:sz w:val="18"/>
                <w:szCs w:val="18"/>
              </w:rPr>
            </w:pPr>
            <w:r w:rsidRPr="00D15CBA">
              <w:rPr>
                <w:sz w:val="18"/>
                <w:szCs w:val="18"/>
              </w:rPr>
              <w:t>FP &amp; FB</w:t>
            </w:r>
          </w:p>
        </w:tc>
        <w:tc>
          <w:tcPr>
            <w:tcW w:w="851" w:type="dxa"/>
            <w:shd w:val="clear" w:color="auto" w:fill="D6E3BC" w:themeFill="accent3" w:themeFillTint="66"/>
            <w:vAlign w:val="center"/>
          </w:tcPr>
          <w:p w:rsidR="00F87ED4" w:rsidRDefault="00F87ED4" w:rsidP="00F6487E">
            <w:pPr>
              <w:spacing w:line="240" w:lineRule="auto"/>
              <w:jc w:val="center"/>
            </w:pPr>
            <w:r w:rsidRPr="00D15CBA">
              <w:rPr>
                <w:sz w:val="18"/>
                <w:szCs w:val="18"/>
              </w:rPr>
              <w:t>Set</w:t>
            </w:r>
          </w:p>
        </w:tc>
        <w:tc>
          <w:tcPr>
            <w:tcW w:w="992" w:type="dxa"/>
            <w:shd w:val="clear" w:color="auto" w:fill="D6E3BC" w:themeFill="accent3" w:themeFillTint="66"/>
            <w:vAlign w:val="center"/>
          </w:tcPr>
          <w:p w:rsidR="00F87ED4" w:rsidRDefault="00F87ED4" w:rsidP="00F6487E">
            <w:pPr>
              <w:spacing w:line="240" w:lineRule="auto"/>
              <w:jc w:val="center"/>
            </w:pPr>
            <w:r w:rsidRPr="00D15CBA">
              <w:rPr>
                <w:sz w:val="18"/>
                <w:szCs w:val="18"/>
              </w:rPr>
              <w:t>Revised</w:t>
            </w:r>
          </w:p>
        </w:tc>
        <w:tc>
          <w:tcPr>
            <w:tcW w:w="2265" w:type="dxa"/>
            <w:vMerge/>
            <w:vAlign w:val="center"/>
          </w:tcPr>
          <w:p w:rsidR="00F87ED4" w:rsidRDefault="00F87ED4" w:rsidP="00F6487E">
            <w:pPr>
              <w:spacing w:line="240" w:lineRule="auto"/>
              <w:jc w:val="center"/>
            </w:pPr>
          </w:p>
        </w:tc>
        <w:tc>
          <w:tcPr>
            <w:tcW w:w="1842" w:type="dxa"/>
            <w:vMerge/>
            <w:vAlign w:val="center"/>
          </w:tcPr>
          <w:p w:rsidR="00F87ED4" w:rsidRDefault="00F87ED4" w:rsidP="00F6487E">
            <w:pPr>
              <w:spacing w:line="240" w:lineRule="auto"/>
              <w:jc w:val="center"/>
            </w:pPr>
          </w:p>
        </w:tc>
      </w:tr>
      <w:tr w:rsidR="00F87ED4" w:rsidTr="008334BC">
        <w:trPr>
          <w:cantSplit/>
        </w:trPr>
        <w:tc>
          <w:tcPr>
            <w:tcW w:w="1242"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rPr>
            </w:pPr>
            <w:r w:rsidRPr="005E287F">
              <w:rPr>
                <w:sz w:val="20"/>
                <w:szCs w:val="20"/>
              </w:rPr>
              <w:t>Australia</w:t>
            </w:r>
          </w:p>
          <w:p w:rsidR="00F87ED4" w:rsidRPr="005E287F" w:rsidRDefault="00F87ED4" w:rsidP="00F6487E">
            <w:pPr>
              <w:spacing w:line="240" w:lineRule="auto"/>
              <w:jc w:val="center"/>
              <w:rPr>
                <w:sz w:val="20"/>
                <w:szCs w:val="20"/>
              </w:rPr>
            </w:pPr>
            <w:r w:rsidRPr="005E287F">
              <w:rPr>
                <w:sz w:val="20"/>
                <w:szCs w:val="20"/>
              </w:rPr>
              <w:t>(</w:t>
            </w:r>
            <w:r w:rsidR="00ED7F03">
              <w:rPr>
                <w:sz w:val="20"/>
                <w:szCs w:val="20"/>
              </w:rPr>
              <w:t>Safe Work</w:t>
            </w:r>
            <w:r w:rsidRPr="005E287F">
              <w:rPr>
                <w:sz w:val="20"/>
                <w:szCs w:val="20"/>
              </w:rPr>
              <w:t>)</w:t>
            </w:r>
          </w:p>
        </w:tc>
        <w:tc>
          <w:tcPr>
            <w:tcW w:w="895"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rPr>
            </w:pPr>
            <w:r>
              <w:rPr>
                <w:sz w:val="20"/>
                <w:szCs w:val="20"/>
              </w:rPr>
              <w:t>0.</w:t>
            </w:r>
            <w:r w:rsidRPr="005E287F">
              <w:rPr>
                <w:sz w:val="20"/>
                <w:szCs w:val="20"/>
              </w:rPr>
              <w:t>15</w:t>
            </w:r>
          </w:p>
        </w:tc>
        <w:tc>
          <w:tcPr>
            <w:tcW w:w="795"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vertAlign w:val="superscript"/>
              </w:rPr>
            </w:pPr>
            <w:r w:rsidRPr="005E287F">
              <w:rPr>
                <w:sz w:val="20"/>
                <w:szCs w:val="20"/>
              </w:rPr>
              <w:t>1991</w:t>
            </w:r>
          </w:p>
        </w:tc>
        <w:tc>
          <w:tcPr>
            <w:tcW w:w="914"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rPr>
            </w:pPr>
            <w:r w:rsidRPr="005E287F">
              <w:rPr>
                <w:sz w:val="20"/>
                <w:szCs w:val="20"/>
              </w:rPr>
              <w:t>NA</w:t>
            </w:r>
          </w:p>
        </w:tc>
        <w:tc>
          <w:tcPr>
            <w:tcW w:w="1134"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rPr>
            </w:pPr>
            <w:r w:rsidRPr="005E287F">
              <w:rPr>
                <w:sz w:val="20"/>
                <w:szCs w:val="20"/>
              </w:rPr>
              <w:t>Inhalable</w:t>
            </w:r>
          </w:p>
        </w:tc>
        <w:tc>
          <w:tcPr>
            <w:tcW w:w="940" w:type="dxa"/>
            <w:gridSpan w:val="2"/>
            <w:tcBorders>
              <w:top w:val="single" w:sz="12" w:space="0" w:color="auto"/>
              <w:bottom w:val="single" w:sz="8" w:space="0" w:color="auto"/>
            </w:tcBorders>
            <w:shd w:val="clear" w:color="auto" w:fill="FFFFFF" w:themeFill="background1"/>
            <w:vAlign w:val="center"/>
          </w:tcPr>
          <w:p w:rsidR="00F87ED4" w:rsidRDefault="00F87ED4" w:rsidP="00F6487E">
            <w:pPr>
              <w:spacing w:line="240" w:lineRule="auto"/>
              <w:jc w:val="center"/>
              <w:rPr>
                <w:sz w:val="20"/>
                <w:szCs w:val="20"/>
              </w:rPr>
            </w:pPr>
            <w:r w:rsidRPr="005E287F">
              <w:rPr>
                <w:sz w:val="20"/>
                <w:szCs w:val="20"/>
              </w:rPr>
              <w:t>50</w:t>
            </w:r>
          </w:p>
          <w:p w:rsidR="00434D68" w:rsidRDefault="00434D68" w:rsidP="00F6487E">
            <w:pPr>
              <w:spacing w:line="240" w:lineRule="auto"/>
              <w:jc w:val="center"/>
              <w:rPr>
                <w:sz w:val="20"/>
                <w:szCs w:val="20"/>
              </w:rPr>
            </w:pPr>
          </w:p>
          <w:p w:rsidR="00434D68" w:rsidRPr="00444131" w:rsidRDefault="00434D68" w:rsidP="00554AC5">
            <w:pPr>
              <w:spacing w:line="240" w:lineRule="auto"/>
              <w:jc w:val="center"/>
              <w:rPr>
                <w:sz w:val="16"/>
                <w:szCs w:val="16"/>
              </w:rPr>
            </w:pPr>
            <w:r>
              <w:rPr>
                <w:sz w:val="16"/>
                <w:szCs w:val="16"/>
              </w:rPr>
              <w:t>(leg</w:t>
            </w:r>
            <w:r w:rsidR="00554AC5">
              <w:rPr>
                <w:sz w:val="16"/>
                <w:szCs w:val="16"/>
              </w:rPr>
              <w:t>is</w:t>
            </w:r>
            <w:r w:rsidR="00B45175">
              <w:rPr>
                <w:sz w:val="16"/>
                <w:szCs w:val="16"/>
              </w:rPr>
              <w:t>-</w:t>
            </w:r>
            <w:r w:rsidR="00554AC5">
              <w:rPr>
                <w:sz w:val="16"/>
                <w:szCs w:val="16"/>
              </w:rPr>
              <w:t xml:space="preserve">lated </w:t>
            </w:r>
            <w:r w:rsidR="00314205">
              <w:rPr>
                <w:sz w:val="16"/>
                <w:szCs w:val="16"/>
              </w:rPr>
              <w:t>BLRL</w:t>
            </w:r>
            <w:r>
              <w:rPr>
                <w:sz w:val="16"/>
                <w:szCs w:val="16"/>
              </w:rPr>
              <w:t>)</w:t>
            </w:r>
          </w:p>
        </w:tc>
        <w:tc>
          <w:tcPr>
            <w:tcW w:w="596" w:type="dxa"/>
            <w:tcBorders>
              <w:top w:val="single" w:sz="12" w:space="0" w:color="auto"/>
              <w:bottom w:val="single" w:sz="8" w:space="0" w:color="auto"/>
            </w:tcBorders>
            <w:shd w:val="clear" w:color="auto" w:fill="FFFFFF" w:themeFill="background1"/>
            <w:vAlign w:val="center"/>
          </w:tcPr>
          <w:p w:rsidR="00F87ED4" w:rsidRDefault="00F87ED4" w:rsidP="00F6487E">
            <w:pPr>
              <w:spacing w:line="240" w:lineRule="auto"/>
              <w:jc w:val="center"/>
              <w:rPr>
                <w:sz w:val="20"/>
                <w:szCs w:val="20"/>
              </w:rPr>
            </w:pPr>
            <w:r w:rsidRPr="005E287F">
              <w:rPr>
                <w:sz w:val="20"/>
                <w:szCs w:val="20"/>
              </w:rPr>
              <w:t>20</w:t>
            </w:r>
          </w:p>
          <w:p w:rsidR="00434D68" w:rsidRDefault="00434D68" w:rsidP="00F6487E">
            <w:pPr>
              <w:spacing w:line="240" w:lineRule="auto"/>
              <w:jc w:val="center"/>
              <w:rPr>
                <w:sz w:val="20"/>
                <w:szCs w:val="20"/>
              </w:rPr>
            </w:pPr>
          </w:p>
          <w:p w:rsidR="00434D68" w:rsidRPr="00444131" w:rsidRDefault="00434D68" w:rsidP="00554AC5">
            <w:pPr>
              <w:spacing w:line="240" w:lineRule="auto"/>
              <w:jc w:val="center"/>
              <w:rPr>
                <w:sz w:val="12"/>
                <w:szCs w:val="12"/>
              </w:rPr>
            </w:pPr>
            <w:r w:rsidRPr="00444131">
              <w:rPr>
                <w:sz w:val="12"/>
                <w:szCs w:val="12"/>
              </w:rPr>
              <w:t>(leg</w:t>
            </w:r>
            <w:r w:rsidR="00554AC5">
              <w:rPr>
                <w:sz w:val="12"/>
                <w:szCs w:val="12"/>
              </w:rPr>
              <w:t>islated</w:t>
            </w:r>
            <w:r w:rsidRPr="00444131">
              <w:rPr>
                <w:sz w:val="12"/>
                <w:szCs w:val="12"/>
              </w:rPr>
              <w:t xml:space="preserve"> </w:t>
            </w:r>
            <w:r w:rsidR="00314205">
              <w:rPr>
                <w:sz w:val="12"/>
                <w:szCs w:val="12"/>
              </w:rPr>
              <w:t>BLRL</w:t>
            </w:r>
            <w:r w:rsidRPr="00444131">
              <w:rPr>
                <w:sz w:val="12"/>
                <w:szCs w:val="12"/>
              </w:rPr>
              <w:t>)</w:t>
            </w:r>
          </w:p>
        </w:tc>
        <w:tc>
          <w:tcPr>
            <w:tcW w:w="712" w:type="dxa"/>
            <w:gridSpan w:val="2"/>
            <w:tcBorders>
              <w:top w:val="single" w:sz="12" w:space="0" w:color="auto"/>
              <w:bottom w:val="single" w:sz="8" w:space="0" w:color="auto"/>
            </w:tcBorders>
            <w:shd w:val="clear" w:color="auto" w:fill="FFFFFF" w:themeFill="background1"/>
            <w:vAlign w:val="center"/>
          </w:tcPr>
          <w:p w:rsidR="00F87ED4" w:rsidRDefault="00F87ED4" w:rsidP="00F6487E">
            <w:pPr>
              <w:spacing w:line="240" w:lineRule="auto"/>
              <w:jc w:val="center"/>
              <w:rPr>
                <w:sz w:val="20"/>
                <w:szCs w:val="20"/>
              </w:rPr>
            </w:pPr>
            <w:r w:rsidRPr="005E287F">
              <w:rPr>
                <w:sz w:val="20"/>
                <w:szCs w:val="20"/>
              </w:rPr>
              <w:t>15</w:t>
            </w:r>
          </w:p>
          <w:p w:rsidR="00434D68" w:rsidRDefault="00434D68" w:rsidP="00F6487E">
            <w:pPr>
              <w:spacing w:line="240" w:lineRule="auto"/>
              <w:jc w:val="center"/>
              <w:rPr>
                <w:sz w:val="20"/>
                <w:szCs w:val="20"/>
              </w:rPr>
            </w:pPr>
          </w:p>
          <w:p w:rsidR="00434D68" w:rsidRPr="005E287F" w:rsidRDefault="00434D68" w:rsidP="00F6487E">
            <w:pPr>
              <w:spacing w:line="240" w:lineRule="auto"/>
              <w:jc w:val="center"/>
              <w:rPr>
                <w:sz w:val="20"/>
                <w:szCs w:val="20"/>
              </w:rPr>
            </w:pPr>
            <w:r>
              <w:rPr>
                <w:sz w:val="16"/>
                <w:szCs w:val="16"/>
              </w:rPr>
              <w:t>(leg</w:t>
            </w:r>
            <w:r w:rsidR="00554AC5">
              <w:rPr>
                <w:sz w:val="16"/>
                <w:szCs w:val="16"/>
              </w:rPr>
              <w:t>is</w:t>
            </w:r>
            <w:r w:rsidR="00B45175">
              <w:rPr>
                <w:sz w:val="16"/>
                <w:szCs w:val="16"/>
              </w:rPr>
              <w:t>-</w:t>
            </w:r>
            <w:r w:rsidR="00554AC5">
              <w:rPr>
                <w:sz w:val="16"/>
                <w:szCs w:val="16"/>
              </w:rPr>
              <w:t>lated</w:t>
            </w:r>
            <w:r>
              <w:rPr>
                <w:sz w:val="16"/>
                <w:szCs w:val="16"/>
              </w:rPr>
              <w:t xml:space="preserve"> </w:t>
            </w:r>
            <w:r w:rsidR="00314205">
              <w:rPr>
                <w:sz w:val="16"/>
                <w:szCs w:val="16"/>
              </w:rPr>
              <w:t>BLRL</w:t>
            </w:r>
            <w:r>
              <w:rPr>
                <w:sz w:val="16"/>
                <w:szCs w:val="16"/>
              </w:rPr>
              <w:t>)</w:t>
            </w:r>
          </w:p>
        </w:tc>
        <w:tc>
          <w:tcPr>
            <w:tcW w:w="851"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rPr>
            </w:pPr>
            <w:r w:rsidRPr="005E287F">
              <w:rPr>
                <w:sz w:val="20"/>
                <w:szCs w:val="20"/>
              </w:rPr>
              <w:t>1994</w:t>
            </w:r>
          </w:p>
        </w:tc>
        <w:tc>
          <w:tcPr>
            <w:tcW w:w="992"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rPr>
            </w:pPr>
            <w:r w:rsidRPr="005E287F">
              <w:rPr>
                <w:sz w:val="20"/>
                <w:szCs w:val="20"/>
              </w:rPr>
              <w:t>NA</w:t>
            </w:r>
          </w:p>
        </w:tc>
        <w:tc>
          <w:tcPr>
            <w:tcW w:w="2265" w:type="dxa"/>
            <w:tcBorders>
              <w:top w:val="single" w:sz="12" w:space="0" w:color="auto"/>
              <w:bottom w:val="single" w:sz="8" w:space="0" w:color="auto"/>
            </w:tcBorders>
            <w:shd w:val="clear" w:color="auto" w:fill="FFFFFF" w:themeFill="background1"/>
            <w:vAlign w:val="center"/>
          </w:tcPr>
          <w:p w:rsidR="00F87ED4" w:rsidRPr="005E287F" w:rsidRDefault="00F87ED4" w:rsidP="00F6487E">
            <w:pPr>
              <w:spacing w:line="240" w:lineRule="auto"/>
              <w:jc w:val="center"/>
              <w:rPr>
                <w:sz w:val="20"/>
                <w:szCs w:val="20"/>
              </w:rPr>
            </w:pPr>
            <w:r w:rsidRPr="005E287F">
              <w:rPr>
                <w:sz w:val="20"/>
                <w:szCs w:val="20"/>
              </w:rPr>
              <w:t>Based on ACGIH (1991) deliberations</w:t>
            </w:r>
            <w:r>
              <w:rPr>
                <w:sz w:val="20"/>
                <w:szCs w:val="20"/>
              </w:rPr>
              <w:t>.</w:t>
            </w:r>
          </w:p>
        </w:tc>
        <w:tc>
          <w:tcPr>
            <w:tcW w:w="1842" w:type="dxa"/>
            <w:tcBorders>
              <w:top w:val="single" w:sz="12" w:space="0" w:color="auto"/>
              <w:bottom w:val="single" w:sz="8" w:space="0" w:color="auto"/>
            </w:tcBorders>
            <w:shd w:val="clear" w:color="auto" w:fill="FFFFFF" w:themeFill="background1"/>
            <w:vAlign w:val="center"/>
          </w:tcPr>
          <w:p w:rsidR="00F87ED4" w:rsidRPr="005E287F" w:rsidRDefault="00ED7F03" w:rsidP="00F6487E">
            <w:pPr>
              <w:spacing w:line="240" w:lineRule="auto"/>
              <w:jc w:val="center"/>
              <w:rPr>
                <w:sz w:val="20"/>
                <w:szCs w:val="20"/>
              </w:rPr>
            </w:pPr>
            <w:r>
              <w:rPr>
                <w:sz w:val="20"/>
                <w:szCs w:val="20"/>
              </w:rPr>
              <w:t>Safe Work</w:t>
            </w:r>
            <w:r w:rsidR="00F87ED4">
              <w:rPr>
                <w:sz w:val="20"/>
                <w:szCs w:val="20"/>
              </w:rPr>
              <w:t xml:space="preserve"> 2013, NOHSC 1994</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Argentina</w:t>
            </w:r>
          </w:p>
          <w:p w:rsidR="00A71074" w:rsidRDefault="00A71074" w:rsidP="00F6487E">
            <w:pPr>
              <w:spacing w:line="240" w:lineRule="auto"/>
              <w:jc w:val="center"/>
              <w:rPr>
                <w:sz w:val="20"/>
                <w:szCs w:val="20"/>
              </w:rPr>
            </w:pPr>
            <w:r>
              <w:rPr>
                <w:sz w:val="20"/>
                <w:szCs w:val="20"/>
              </w:rPr>
              <w:t>(MTES)</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0.05</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2003</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B45175" w:rsidRPr="00B2307D" w:rsidRDefault="00B2307D" w:rsidP="00B2307D">
            <w:pPr>
              <w:spacing w:line="240" w:lineRule="auto"/>
              <w:jc w:val="center"/>
              <w:rPr>
                <w:sz w:val="20"/>
                <w:szCs w:val="20"/>
              </w:rPr>
            </w:pPr>
            <w:r>
              <w:rPr>
                <w:sz w:val="20"/>
                <w:szCs w:val="20"/>
              </w:rPr>
              <w:t>30</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A71074" w:rsidRPr="00FE4A04" w:rsidRDefault="00FA719D" w:rsidP="00FA719D">
            <w:pPr>
              <w:spacing w:line="240" w:lineRule="auto"/>
              <w:jc w:val="center"/>
              <w:rPr>
                <w:sz w:val="20"/>
                <w:szCs w:val="20"/>
              </w:rPr>
            </w:pPr>
            <w:r>
              <w:rPr>
                <w:sz w:val="20"/>
                <w:szCs w:val="20"/>
              </w:rPr>
              <w:t>Same as</w:t>
            </w:r>
            <w:r w:rsidR="00A71074">
              <w:rPr>
                <w:sz w:val="20"/>
                <w:szCs w:val="20"/>
              </w:rPr>
              <w:t xml:space="preserve"> ACGIH.</w:t>
            </w:r>
          </w:p>
        </w:tc>
        <w:tc>
          <w:tcPr>
            <w:tcW w:w="18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MTES 2003</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Austria</w:t>
            </w:r>
          </w:p>
          <w:p w:rsidR="00A71074" w:rsidRPr="00070512" w:rsidRDefault="00A71074" w:rsidP="00F6487E">
            <w:pPr>
              <w:spacing w:line="240" w:lineRule="auto"/>
              <w:jc w:val="center"/>
              <w:rPr>
                <w:sz w:val="20"/>
                <w:szCs w:val="20"/>
              </w:rPr>
            </w:pPr>
            <w:r w:rsidRPr="00070512">
              <w:rPr>
                <w:sz w:val="20"/>
                <w:szCs w:val="20"/>
              </w:rPr>
              <w:t>(RIS)</w:t>
            </w:r>
          </w:p>
        </w:tc>
        <w:tc>
          <w:tcPr>
            <w:tcW w:w="8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0.1</w:t>
            </w:r>
          </w:p>
        </w:tc>
        <w:tc>
          <w:tcPr>
            <w:tcW w:w="7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A71074" w:rsidRPr="00D67A2B" w:rsidRDefault="00A71074" w:rsidP="00F6487E">
            <w:pPr>
              <w:spacing w:line="240" w:lineRule="auto"/>
              <w:jc w:val="center"/>
              <w:rPr>
                <w:sz w:val="20"/>
                <w:szCs w:val="20"/>
                <w:vertAlign w:val="superscript"/>
              </w:rPr>
            </w:pPr>
            <w:r>
              <w:rPr>
                <w:sz w:val="20"/>
                <w:szCs w:val="20"/>
              </w:rPr>
              <w:t xml:space="preserve">- </w:t>
            </w:r>
            <w:r w:rsidR="00E042C2">
              <w:rPr>
                <w:sz w:val="20"/>
                <w:szCs w:val="20"/>
                <w:vertAlign w:val="superscript"/>
              </w:rPr>
              <w:t>d</w:t>
            </w:r>
          </w:p>
        </w:tc>
        <w:tc>
          <w:tcPr>
            <w:tcW w:w="851"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w:t>
            </w:r>
          </w:p>
        </w:tc>
        <w:tc>
          <w:tcPr>
            <w:tcW w:w="99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w:t>
            </w:r>
          </w:p>
        </w:tc>
        <w:tc>
          <w:tcPr>
            <w:tcW w:w="226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RIS 2011</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Belgium</w:t>
            </w:r>
          </w:p>
          <w:p w:rsidR="00A71074" w:rsidRDefault="00A71074" w:rsidP="00F6487E">
            <w:pPr>
              <w:spacing w:line="240" w:lineRule="auto"/>
              <w:jc w:val="center"/>
              <w:rPr>
                <w:sz w:val="20"/>
                <w:szCs w:val="20"/>
              </w:rPr>
            </w:pPr>
            <w:r>
              <w:rPr>
                <w:sz w:val="20"/>
                <w:szCs w:val="20"/>
              </w:rPr>
              <w:t>(MoE&amp;W)</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0.15</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 xml:space="preserve">- </w:t>
            </w:r>
            <w:r w:rsidR="00E042C2">
              <w:rPr>
                <w:sz w:val="20"/>
                <w:szCs w:val="20"/>
                <w:vertAlign w:val="superscript"/>
              </w:rPr>
              <w:t>d</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2265" w:type="dxa"/>
            <w:tcBorders>
              <w:top w:val="single" w:sz="8" w:space="0" w:color="auto"/>
              <w:bottom w:val="single" w:sz="8" w:space="0" w:color="auto"/>
            </w:tcBorders>
            <w:shd w:val="clear" w:color="auto" w:fill="FFFFFF" w:themeFill="background1"/>
            <w:vAlign w:val="center"/>
          </w:tcPr>
          <w:p w:rsidR="00A71074" w:rsidRPr="005E287F" w:rsidRDefault="00FA719D" w:rsidP="00FA719D">
            <w:pPr>
              <w:spacing w:line="240" w:lineRule="auto"/>
              <w:jc w:val="center"/>
              <w:rPr>
                <w:sz w:val="20"/>
                <w:szCs w:val="20"/>
              </w:rPr>
            </w:pPr>
            <w:r>
              <w:rPr>
                <w:sz w:val="20"/>
                <w:szCs w:val="20"/>
              </w:rPr>
              <w:t>Same as</w:t>
            </w:r>
            <w:r w:rsidR="00A71074">
              <w:rPr>
                <w:sz w:val="20"/>
                <w:szCs w:val="20"/>
              </w:rPr>
              <w:t xml:space="preserve"> the EC (1998) regulations.</w:t>
            </w:r>
          </w:p>
        </w:tc>
        <w:tc>
          <w:tcPr>
            <w:tcW w:w="18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MoE&amp;W 2002</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Canada – Alberta</w:t>
            </w:r>
          </w:p>
          <w:p w:rsidR="00A71074" w:rsidRPr="00F908D5" w:rsidRDefault="00A71074" w:rsidP="00F6487E">
            <w:pPr>
              <w:spacing w:line="240" w:lineRule="auto"/>
              <w:jc w:val="center"/>
              <w:rPr>
                <w:sz w:val="16"/>
                <w:szCs w:val="16"/>
              </w:rPr>
            </w:pPr>
            <w:r w:rsidRPr="00F908D5">
              <w:rPr>
                <w:sz w:val="16"/>
                <w:szCs w:val="16"/>
              </w:rPr>
              <w:t>(WorkSafe, Gov of Alberta)</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0.05</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40" w:type="dxa"/>
            <w:gridSpan w:val="2"/>
            <w:tcBorders>
              <w:top w:val="single" w:sz="8" w:space="0" w:color="auto"/>
              <w:bottom w:val="single" w:sz="8" w:space="0" w:color="auto"/>
            </w:tcBorders>
            <w:shd w:val="clear" w:color="auto" w:fill="FFFFFF" w:themeFill="background1"/>
            <w:vAlign w:val="center"/>
          </w:tcPr>
          <w:p w:rsidR="002A575E" w:rsidRDefault="00A71074" w:rsidP="00F6487E">
            <w:pPr>
              <w:spacing w:line="240" w:lineRule="auto"/>
              <w:jc w:val="center"/>
              <w:rPr>
                <w:sz w:val="20"/>
                <w:szCs w:val="20"/>
              </w:rPr>
            </w:pPr>
            <w:r>
              <w:rPr>
                <w:sz w:val="20"/>
                <w:szCs w:val="20"/>
              </w:rPr>
              <w:t>50</w:t>
            </w:r>
          </w:p>
          <w:p w:rsidR="002A575E" w:rsidRDefault="002A575E" w:rsidP="00F6487E">
            <w:pPr>
              <w:spacing w:line="240" w:lineRule="auto"/>
              <w:jc w:val="center"/>
              <w:rPr>
                <w:sz w:val="20"/>
                <w:szCs w:val="20"/>
              </w:rPr>
            </w:pPr>
            <w:r w:rsidRPr="00444131">
              <w:rPr>
                <w:sz w:val="16"/>
                <w:szCs w:val="16"/>
              </w:rPr>
              <w:t>(leg</w:t>
            </w:r>
            <w:r w:rsidR="00B45175">
              <w:rPr>
                <w:sz w:val="16"/>
                <w:szCs w:val="16"/>
              </w:rPr>
              <w:t>is-lated</w:t>
            </w:r>
            <w:r w:rsidRPr="00444131">
              <w:rPr>
                <w:sz w:val="16"/>
                <w:szCs w:val="16"/>
              </w:rPr>
              <w:t xml:space="preserve"> </w:t>
            </w:r>
            <w:r w:rsidR="00314205">
              <w:rPr>
                <w:sz w:val="16"/>
                <w:szCs w:val="16"/>
              </w:rPr>
              <w:t>BLRL</w:t>
            </w:r>
            <w:r w:rsidRPr="00444131">
              <w:rPr>
                <w:sz w:val="16"/>
                <w:szCs w:val="16"/>
              </w:rPr>
              <w:t>)</w:t>
            </w:r>
          </w:p>
          <w:p w:rsidR="002A575E" w:rsidRDefault="002A575E" w:rsidP="00F6487E">
            <w:pPr>
              <w:spacing w:line="240" w:lineRule="auto"/>
              <w:jc w:val="center"/>
              <w:rPr>
                <w:sz w:val="20"/>
                <w:szCs w:val="20"/>
              </w:rPr>
            </w:pPr>
          </w:p>
          <w:p w:rsidR="002A575E" w:rsidRDefault="006424AC" w:rsidP="00F6487E">
            <w:pPr>
              <w:spacing w:line="240" w:lineRule="auto"/>
              <w:jc w:val="center"/>
              <w:rPr>
                <w:sz w:val="20"/>
                <w:szCs w:val="20"/>
              </w:rPr>
            </w:pPr>
            <w:r>
              <w:rPr>
                <w:sz w:val="18"/>
                <w:szCs w:val="18"/>
              </w:rPr>
              <w:t xml:space="preserve">objective </w:t>
            </w:r>
            <w:r w:rsidR="00A71074" w:rsidRPr="006424AC">
              <w:rPr>
                <w:sz w:val="18"/>
                <w:szCs w:val="18"/>
              </w:rPr>
              <w:t>30</w:t>
            </w:r>
          </w:p>
          <w:p w:rsidR="00A71074" w:rsidRPr="0056182F" w:rsidRDefault="00A71074" w:rsidP="00F6487E">
            <w:pPr>
              <w:spacing w:line="240" w:lineRule="auto"/>
              <w:jc w:val="center"/>
              <w:rPr>
                <w:sz w:val="20"/>
                <w:szCs w:val="20"/>
                <w:vertAlign w:val="superscript"/>
              </w:rPr>
            </w:pPr>
          </w:p>
        </w:tc>
        <w:tc>
          <w:tcPr>
            <w:tcW w:w="1308" w:type="dxa"/>
            <w:gridSpan w:val="3"/>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vertAlign w:val="superscript"/>
              </w:rPr>
            </w:pPr>
            <w:r>
              <w:rPr>
                <w:sz w:val="20"/>
                <w:szCs w:val="20"/>
              </w:rPr>
              <w:t xml:space="preserve">10 </w:t>
            </w:r>
            <w:r w:rsidR="00E042C2">
              <w:rPr>
                <w:sz w:val="20"/>
                <w:szCs w:val="20"/>
                <w:vertAlign w:val="superscript"/>
              </w:rPr>
              <w:t>e</w:t>
            </w:r>
          </w:p>
          <w:p w:rsidR="002A575E" w:rsidRDefault="002A575E" w:rsidP="00F6487E">
            <w:pPr>
              <w:spacing w:line="240" w:lineRule="auto"/>
              <w:jc w:val="center"/>
              <w:rPr>
                <w:sz w:val="16"/>
                <w:szCs w:val="16"/>
              </w:rPr>
            </w:pPr>
          </w:p>
          <w:p w:rsidR="002A575E" w:rsidRPr="00444131" w:rsidRDefault="002A575E" w:rsidP="00554AC5">
            <w:pPr>
              <w:spacing w:line="240" w:lineRule="auto"/>
              <w:jc w:val="center"/>
              <w:rPr>
                <w:sz w:val="16"/>
                <w:szCs w:val="16"/>
              </w:rPr>
            </w:pPr>
            <w:r>
              <w:rPr>
                <w:sz w:val="16"/>
                <w:szCs w:val="16"/>
              </w:rPr>
              <w:t>(leg</w:t>
            </w:r>
            <w:r w:rsidR="00554AC5">
              <w:rPr>
                <w:sz w:val="16"/>
                <w:szCs w:val="16"/>
              </w:rPr>
              <w:t>islated</w:t>
            </w:r>
            <w:r>
              <w:rPr>
                <w:sz w:val="16"/>
                <w:szCs w:val="16"/>
              </w:rPr>
              <w:t xml:space="preserve"> </w:t>
            </w:r>
            <w:r w:rsidR="00314205">
              <w:rPr>
                <w:sz w:val="16"/>
                <w:szCs w:val="16"/>
              </w:rPr>
              <w:t>BLRL</w:t>
            </w:r>
            <w:r>
              <w:rPr>
                <w:sz w:val="16"/>
                <w:szCs w:val="16"/>
              </w:rPr>
              <w:t>)</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Gov of Alberta 2009, WorkSafe Alberta 2009</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Canada – British Columbia</w:t>
            </w:r>
          </w:p>
          <w:p w:rsidR="00A71074" w:rsidRPr="008209DE" w:rsidRDefault="00A71074" w:rsidP="00F6487E">
            <w:pPr>
              <w:spacing w:line="240" w:lineRule="auto"/>
              <w:jc w:val="center"/>
              <w:rPr>
                <w:sz w:val="16"/>
                <w:szCs w:val="16"/>
              </w:rPr>
            </w:pPr>
            <w:r w:rsidRPr="008209DE">
              <w:rPr>
                <w:sz w:val="16"/>
                <w:szCs w:val="16"/>
              </w:rPr>
              <w:t>(WorkSafe BC)</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0.05</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2265" w:type="dxa"/>
            <w:tcBorders>
              <w:top w:val="single" w:sz="8" w:space="0" w:color="auto"/>
              <w:bottom w:val="single" w:sz="8" w:space="0" w:color="auto"/>
            </w:tcBorders>
            <w:shd w:val="clear" w:color="auto" w:fill="FFFFFF" w:themeFill="background1"/>
            <w:vAlign w:val="center"/>
          </w:tcPr>
          <w:p w:rsidR="00A71074" w:rsidRDefault="00FA719D" w:rsidP="00FA719D">
            <w:pPr>
              <w:spacing w:line="240" w:lineRule="auto"/>
              <w:jc w:val="center"/>
              <w:rPr>
                <w:sz w:val="20"/>
                <w:szCs w:val="20"/>
              </w:rPr>
            </w:pPr>
            <w:r>
              <w:rPr>
                <w:sz w:val="20"/>
                <w:szCs w:val="20"/>
              </w:rPr>
              <w:t xml:space="preserve">Same as </w:t>
            </w:r>
            <w:r w:rsidR="00A71074">
              <w:rPr>
                <w:sz w:val="20"/>
                <w:szCs w:val="20"/>
              </w:rPr>
              <w:t>ACGIH.</w:t>
            </w:r>
          </w:p>
        </w:tc>
        <w:tc>
          <w:tcPr>
            <w:tcW w:w="1842" w:type="dxa"/>
            <w:tcBorders>
              <w:top w:val="single" w:sz="8" w:space="0" w:color="auto"/>
              <w:bottom w:val="single" w:sz="8" w:space="0" w:color="auto"/>
            </w:tcBorders>
            <w:shd w:val="clear" w:color="auto" w:fill="FFFFFF" w:themeFill="background1"/>
            <w:vAlign w:val="center"/>
          </w:tcPr>
          <w:p w:rsidR="00A71074" w:rsidRPr="00FE4A04" w:rsidRDefault="00A71074" w:rsidP="00F6487E">
            <w:pPr>
              <w:spacing w:line="240" w:lineRule="auto"/>
              <w:jc w:val="center"/>
              <w:rPr>
                <w:sz w:val="20"/>
                <w:szCs w:val="20"/>
              </w:rPr>
            </w:pPr>
            <w:r>
              <w:rPr>
                <w:sz w:val="20"/>
                <w:szCs w:val="20"/>
              </w:rPr>
              <w:t>WorkSafe BC 2013</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Canada – Ontario</w:t>
            </w:r>
          </w:p>
          <w:p w:rsidR="00A71074" w:rsidRDefault="00A71074" w:rsidP="00F6487E">
            <w:pPr>
              <w:spacing w:line="240" w:lineRule="auto"/>
              <w:jc w:val="center"/>
              <w:rPr>
                <w:sz w:val="20"/>
                <w:szCs w:val="20"/>
              </w:rPr>
            </w:pPr>
            <w:r>
              <w:rPr>
                <w:sz w:val="20"/>
                <w:szCs w:val="20"/>
              </w:rPr>
              <w:t>(MoL)</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0.05</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40" w:type="dxa"/>
            <w:gridSpan w:val="2"/>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70</w:t>
            </w:r>
          </w:p>
          <w:p w:rsidR="003E03DD" w:rsidRDefault="003E03DD" w:rsidP="00F6487E">
            <w:pPr>
              <w:spacing w:line="240" w:lineRule="auto"/>
              <w:jc w:val="center"/>
              <w:rPr>
                <w:sz w:val="20"/>
                <w:szCs w:val="20"/>
              </w:rPr>
            </w:pPr>
          </w:p>
          <w:p w:rsidR="00A71074" w:rsidRPr="00DD120A" w:rsidRDefault="00A71074" w:rsidP="00554AC5">
            <w:pPr>
              <w:spacing w:line="240" w:lineRule="auto"/>
              <w:jc w:val="center"/>
              <w:rPr>
                <w:sz w:val="14"/>
                <w:szCs w:val="14"/>
              </w:rPr>
            </w:pPr>
            <w:r w:rsidRPr="00DD120A">
              <w:rPr>
                <w:sz w:val="14"/>
                <w:szCs w:val="14"/>
              </w:rPr>
              <w:t>(</w:t>
            </w:r>
            <w:r w:rsidR="003E03DD">
              <w:rPr>
                <w:sz w:val="14"/>
                <w:szCs w:val="14"/>
              </w:rPr>
              <w:t>leg</w:t>
            </w:r>
            <w:r w:rsidR="00554AC5">
              <w:rPr>
                <w:sz w:val="14"/>
                <w:szCs w:val="14"/>
              </w:rPr>
              <w:t>islated</w:t>
            </w:r>
            <w:r w:rsidR="003E03DD">
              <w:rPr>
                <w:sz w:val="14"/>
                <w:szCs w:val="14"/>
              </w:rPr>
              <w:t xml:space="preserve"> </w:t>
            </w:r>
            <w:r w:rsidR="00314205">
              <w:rPr>
                <w:sz w:val="14"/>
                <w:szCs w:val="14"/>
              </w:rPr>
              <w:t>BLRL</w:t>
            </w:r>
            <w:r w:rsidRPr="00DD120A">
              <w:rPr>
                <w:sz w:val="14"/>
                <w:szCs w:val="14"/>
              </w:rPr>
              <w:t>)</w:t>
            </w:r>
          </w:p>
        </w:tc>
        <w:tc>
          <w:tcPr>
            <w:tcW w:w="1308" w:type="dxa"/>
            <w:gridSpan w:val="3"/>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40</w:t>
            </w:r>
          </w:p>
          <w:p w:rsidR="003E03DD" w:rsidRDefault="003E03DD" w:rsidP="00F6487E">
            <w:pPr>
              <w:spacing w:line="240" w:lineRule="auto"/>
              <w:jc w:val="center"/>
              <w:rPr>
                <w:sz w:val="20"/>
                <w:szCs w:val="20"/>
              </w:rPr>
            </w:pPr>
          </w:p>
          <w:p w:rsidR="003E03DD" w:rsidRPr="003E03DD" w:rsidRDefault="003E03DD" w:rsidP="00554AC5">
            <w:pPr>
              <w:spacing w:line="240" w:lineRule="auto"/>
              <w:jc w:val="center"/>
              <w:rPr>
                <w:sz w:val="16"/>
                <w:szCs w:val="16"/>
              </w:rPr>
            </w:pPr>
            <w:r w:rsidRPr="003E03DD">
              <w:rPr>
                <w:sz w:val="16"/>
                <w:szCs w:val="16"/>
              </w:rPr>
              <w:t>(leg</w:t>
            </w:r>
            <w:r w:rsidR="00554AC5">
              <w:rPr>
                <w:sz w:val="16"/>
                <w:szCs w:val="16"/>
              </w:rPr>
              <w:t>islated</w:t>
            </w:r>
            <w:r w:rsidRPr="003E03DD">
              <w:rPr>
                <w:sz w:val="16"/>
                <w:szCs w:val="16"/>
              </w:rPr>
              <w:t xml:space="preserve"> </w:t>
            </w:r>
            <w:r w:rsidR="00314205">
              <w:rPr>
                <w:sz w:val="16"/>
                <w:szCs w:val="16"/>
              </w:rPr>
              <w:t>BLRL</w:t>
            </w:r>
            <w:r w:rsidRPr="003E03DD">
              <w:rPr>
                <w:sz w:val="16"/>
                <w:szCs w:val="16"/>
              </w:rPr>
              <w:t>)</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1981</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NA</w:t>
            </w:r>
          </w:p>
        </w:tc>
        <w:tc>
          <w:tcPr>
            <w:tcW w:w="2265" w:type="dxa"/>
            <w:tcBorders>
              <w:top w:val="single" w:sz="8" w:space="0" w:color="auto"/>
              <w:bottom w:val="single" w:sz="8" w:space="0" w:color="auto"/>
            </w:tcBorders>
            <w:shd w:val="clear" w:color="auto" w:fill="FFFFFF" w:themeFill="background1"/>
            <w:vAlign w:val="center"/>
          </w:tcPr>
          <w:p w:rsidR="00A71074" w:rsidRPr="00F329AC" w:rsidRDefault="00A71074" w:rsidP="00F6487E">
            <w:pPr>
              <w:spacing w:line="240" w:lineRule="auto"/>
              <w:jc w:val="center"/>
              <w:rPr>
                <w:sz w:val="18"/>
                <w:szCs w:val="18"/>
              </w:rPr>
            </w:pPr>
            <w:r>
              <w:rPr>
                <w:sz w:val="18"/>
                <w:szCs w:val="18"/>
              </w:rPr>
              <w:t>WES</w:t>
            </w:r>
            <w:r w:rsidRPr="00F329AC">
              <w:rPr>
                <w:sz w:val="18"/>
                <w:szCs w:val="18"/>
              </w:rPr>
              <w:t xml:space="preserve"> </w:t>
            </w:r>
            <w:r w:rsidR="00FA719D">
              <w:rPr>
                <w:sz w:val="18"/>
                <w:szCs w:val="18"/>
              </w:rPr>
              <w:t>same as</w:t>
            </w:r>
            <w:r w:rsidRPr="00F329AC">
              <w:rPr>
                <w:sz w:val="18"/>
                <w:szCs w:val="18"/>
              </w:rPr>
              <w:t xml:space="preserve"> ACGIH.</w:t>
            </w:r>
          </w:p>
          <w:p w:rsidR="00A71074" w:rsidRPr="00F329AC" w:rsidRDefault="00A71074" w:rsidP="00F6487E">
            <w:pPr>
              <w:spacing w:line="240" w:lineRule="auto"/>
              <w:jc w:val="center"/>
              <w:rPr>
                <w:sz w:val="18"/>
                <w:szCs w:val="18"/>
              </w:rPr>
            </w:pPr>
          </w:p>
          <w:p w:rsidR="00A71074" w:rsidRPr="00DD120A" w:rsidRDefault="00314205" w:rsidP="00F6487E">
            <w:pPr>
              <w:spacing w:line="240" w:lineRule="auto"/>
              <w:jc w:val="center"/>
              <w:rPr>
                <w:sz w:val="20"/>
                <w:szCs w:val="20"/>
              </w:rPr>
            </w:pPr>
            <w:r>
              <w:rPr>
                <w:sz w:val="18"/>
                <w:szCs w:val="18"/>
              </w:rPr>
              <w:t>BLRL</w:t>
            </w:r>
            <w:r w:rsidR="00B2307D">
              <w:rPr>
                <w:sz w:val="18"/>
                <w:szCs w:val="18"/>
              </w:rPr>
              <w:t>s</w:t>
            </w:r>
            <w:r w:rsidR="00A71074" w:rsidRPr="00F329AC">
              <w:rPr>
                <w:sz w:val="18"/>
                <w:szCs w:val="18"/>
              </w:rPr>
              <w:t xml:space="preserve"> old and outdated (Ontario MoL 1981). Occupational Health Clinics for Ontario Workers </w:t>
            </w:r>
            <w:r w:rsidR="00A71074">
              <w:rPr>
                <w:sz w:val="18"/>
                <w:szCs w:val="18"/>
              </w:rPr>
              <w:t>(</w:t>
            </w:r>
            <w:r w:rsidR="00A71074" w:rsidRPr="00F329AC">
              <w:rPr>
                <w:sz w:val="18"/>
                <w:szCs w:val="18"/>
              </w:rPr>
              <w:t xml:space="preserve">OHCOW 2013) criticised Ontario MoL for not revising </w:t>
            </w:r>
            <w:r>
              <w:rPr>
                <w:sz w:val="18"/>
                <w:szCs w:val="18"/>
              </w:rPr>
              <w:t>BLRL</w:t>
            </w:r>
            <w:r w:rsidR="003E03DD">
              <w:rPr>
                <w:sz w:val="18"/>
                <w:szCs w:val="18"/>
              </w:rPr>
              <w:t xml:space="preserve"> </w:t>
            </w:r>
            <w:r w:rsidR="00A71074" w:rsidRPr="00F329AC">
              <w:rPr>
                <w:sz w:val="18"/>
                <w:szCs w:val="18"/>
              </w:rPr>
              <w:t xml:space="preserve"> although recommendations to do so were received as far back as 1992.</w:t>
            </w:r>
          </w:p>
        </w:tc>
        <w:tc>
          <w:tcPr>
            <w:tcW w:w="18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Ontario MoL 1981,  2013</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lastRenderedPageBreak/>
              <w:t>Canada – Quebec</w:t>
            </w:r>
          </w:p>
          <w:p w:rsidR="00A71074" w:rsidRPr="00B1004F" w:rsidRDefault="00A71074" w:rsidP="00F6487E">
            <w:pPr>
              <w:spacing w:line="240" w:lineRule="auto"/>
              <w:jc w:val="center"/>
              <w:rPr>
                <w:sz w:val="16"/>
                <w:szCs w:val="16"/>
              </w:rPr>
            </w:pPr>
            <w:r w:rsidRPr="00B1004F">
              <w:rPr>
                <w:sz w:val="16"/>
                <w:szCs w:val="16"/>
              </w:rPr>
              <w:t>(Quebec Gov)</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0.05</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40" w:type="dxa"/>
            <w:gridSpan w:val="2"/>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1308" w:type="dxa"/>
            <w:gridSpan w:val="3"/>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2265" w:type="dxa"/>
            <w:tcBorders>
              <w:top w:val="single" w:sz="8" w:space="0" w:color="auto"/>
              <w:bottom w:val="single" w:sz="8" w:space="0" w:color="auto"/>
            </w:tcBorders>
            <w:shd w:val="clear" w:color="auto" w:fill="FFFFFF" w:themeFill="background1"/>
            <w:vAlign w:val="center"/>
          </w:tcPr>
          <w:p w:rsidR="00A71074" w:rsidRPr="005A1DC4" w:rsidRDefault="00B45175" w:rsidP="00FA719D">
            <w:pPr>
              <w:spacing w:line="240" w:lineRule="auto"/>
              <w:jc w:val="center"/>
              <w:rPr>
                <w:sz w:val="20"/>
                <w:szCs w:val="20"/>
                <w:highlight w:val="yellow"/>
              </w:rPr>
            </w:pPr>
            <w:r>
              <w:rPr>
                <w:sz w:val="20"/>
                <w:szCs w:val="20"/>
              </w:rPr>
              <w:t xml:space="preserve">WES </w:t>
            </w:r>
            <w:r w:rsidR="00FA719D">
              <w:rPr>
                <w:sz w:val="20"/>
                <w:szCs w:val="20"/>
              </w:rPr>
              <w:t>same as</w:t>
            </w:r>
            <w:r w:rsidR="00A71074">
              <w:rPr>
                <w:sz w:val="20"/>
                <w:szCs w:val="20"/>
              </w:rPr>
              <w:t xml:space="preserve"> ACGIH.</w:t>
            </w:r>
          </w:p>
        </w:tc>
        <w:tc>
          <w:tcPr>
            <w:tcW w:w="18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Quebec Gov 2013</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Chile</w:t>
            </w:r>
          </w:p>
          <w:p w:rsidR="00A71074" w:rsidRDefault="00A71074" w:rsidP="00F6487E">
            <w:pPr>
              <w:spacing w:line="240" w:lineRule="auto"/>
              <w:jc w:val="center"/>
              <w:rPr>
                <w:sz w:val="20"/>
                <w:szCs w:val="20"/>
              </w:rPr>
            </w:pPr>
            <w:r>
              <w:rPr>
                <w:sz w:val="20"/>
                <w:szCs w:val="20"/>
              </w:rPr>
              <w:t>(MdS)</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0.12</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B45175" w:rsidRPr="00B2307D" w:rsidRDefault="00B2307D" w:rsidP="00B2307D">
            <w:pPr>
              <w:spacing w:line="240" w:lineRule="auto"/>
              <w:jc w:val="center"/>
              <w:rPr>
                <w:sz w:val="20"/>
                <w:szCs w:val="20"/>
              </w:rPr>
            </w:pPr>
            <w:r>
              <w:rPr>
                <w:sz w:val="20"/>
                <w:szCs w:val="20"/>
              </w:rPr>
              <w:t>40</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MdS 2000</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China</w:t>
            </w:r>
          </w:p>
          <w:p w:rsidR="00A71074" w:rsidRPr="005A1DC4" w:rsidRDefault="00A71074" w:rsidP="00F6487E">
            <w:pPr>
              <w:spacing w:line="240" w:lineRule="auto"/>
              <w:jc w:val="center"/>
              <w:rPr>
                <w:sz w:val="20"/>
                <w:szCs w:val="20"/>
              </w:rPr>
            </w:pPr>
            <w:r>
              <w:rPr>
                <w:sz w:val="20"/>
                <w:szCs w:val="20"/>
              </w:rPr>
              <w:t>(Ministry of Health)</w:t>
            </w:r>
          </w:p>
        </w:tc>
        <w:tc>
          <w:tcPr>
            <w:tcW w:w="8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0.05</w:t>
            </w:r>
          </w:p>
        </w:tc>
        <w:tc>
          <w:tcPr>
            <w:tcW w:w="79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2002</w:t>
            </w:r>
          </w:p>
        </w:tc>
        <w:tc>
          <w:tcPr>
            <w:tcW w:w="91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851"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99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w:t>
            </w:r>
          </w:p>
        </w:tc>
        <w:tc>
          <w:tcPr>
            <w:tcW w:w="2265"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Ye and Wong 2002</w:t>
            </w:r>
          </w:p>
          <w:p w:rsidR="00A71074" w:rsidRDefault="00A71074" w:rsidP="00F6487E">
            <w:pPr>
              <w:spacing w:line="240" w:lineRule="auto"/>
              <w:jc w:val="center"/>
              <w:rPr>
                <w:sz w:val="20"/>
                <w:szCs w:val="20"/>
              </w:rPr>
            </w:pPr>
          </w:p>
          <w:p w:rsidR="00A71074" w:rsidRPr="001C2B77" w:rsidRDefault="00A71074" w:rsidP="00F6487E">
            <w:pPr>
              <w:spacing w:line="240" w:lineRule="auto"/>
              <w:jc w:val="center"/>
              <w:rPr>
                <w:sz w:val="16"/>
                <w:szCs w:val="16"/>
              </w:rPr>
            </w:pPr>
            <w:r w:rsidRPr="001C2B77">
              <w:rPr>
                <w:sz w:val="16"/>
                <w:szCs w:val="16"/>
              </w:rPr>
              <w:t>(not an agency reference</w:t>
            </w:r>
            <w:r>
              <w:rPr>
                <w:sz w:val="16"/>
                <w:szCs w:val="16"/>
              </w:rPr>
              <w:t>; original agency reference could not be sourced</w:t>
            </w:r>
            <w:r w:rsidRPr="001C2B77">
              <w:rPr>
                <w:sz w:val="16"/>
                <w:szCs w:val="16"/>
              </w:rPr>
              <w:t>)</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Denmark</w:t>
            </w:r>
          </w:p>
          <w:p w:rsidR="00A71074" w:rsidRPr="005E287F" w:rsidRDefault="00A71074" w:rsidP="00F6487E">
            <w:pPr>
              <w:spacing w:line="240" w:lineRule="auto"/>
              <w:jc w:val="center"/>
              <w:rPr>
                <w:sz w:val="20"/>
                <w:szCs w:val="20"/>
              </w:rPr>
            </w:pPr>
            <w:r>
              <w:rPr>
                <w:sz w:val="20"/>
                <w:szCs w:val="20"/>
              </w:rPr>
              <w:t>(DWEA)</w:t>
            </w:r>
          </w:p>
        </w:tc>
        <w:tc>
          <w:tcPr>
            <w:tcW w:w="8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0.05</w:t>
            </w:r>
          </w:p>
        </w:tc>
        <w:tc>
          <w:tcPr>
            <w:tcW w:w="7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1996</w:t>
            </w:r>
          </w:p>
        </w:tc>
        <w:tc>
          <w:tcPr>
            <w:tcW w:w="91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B45175" w:rsidRPr="005E287F" w:rsidRDefault="00B2307D" w:rsidP="00B2307D">
            <w:pPr>
              <w:spacing w:line="240" w:lineRule="auto"/>
              <w:jc w:val="center"/>
              <w:rPr>
                <w:sz w:val="20"/>
                <w:szCs w:val="20"/>
              </w:rPr>
            </w:pPr>
            <w:r>
              <w:rPr>
                <w:sz w:val="20"/>
                <w:szCs w:val="20"/>
              </w:rPr>
              <w:t>20</w:t>
            </w:r>
          </w:p>
        </w:tc>
        <w:tc>
          <w:tcPr>
            <w:tcW w:w="851"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DWEA 2007</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Europe</w:t>
            </w:r>
          </w:p>
          <w:p w:rsidR="00A71074" w:rsidRPr="005E287F" w:rsidRDefault="00A71074" w:rsidP="00F6487E">
            <w:pPr>
              <w:spacing w:line="240" w:lineRule="auto"/>
              <w:jc w:val="center"/>
              <w:rPr>
                <w:sz w:val="20"/>
                <w:szCs w:val="20"/>
              </w:rPr>
            </w:pPr>
            <w:r>
              <w:rPr>
                <w:sz w:val="20"/>
                <w:szCs w:val="20"/>
              </w:rPr>
              <w:t>(EC)</w:t>
            </w:r>
          </w:p>
        </w:tc>
        <w:tc>
          <w:tcPr>
            <w:tcW w:w="8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0.15</w:t>
            </w:r>
          </w:p>
        </w:tc>
        <w:tc>
          <w:tcPr>
            <w:tcW w:w="7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1998</w:t>
            </w:r>
          </w:p>
        </w:tc>
        <w:tc>
          <w:tcPr>
            <w:tcW w:w="91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NA</w:t>
            </w:r>
          </w:p>
        </w:tc>
        <w:tc>
          <w:tcPr>
            <w:tcW w:w="113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060927" w:rsidRPr="00B2307D" w:rsidRDefault="00B2307D" w:rsidP="00B2307D">
            <w:pPr>
              <w:spacing w:line="240" w:lineRule="auto"/>
              <w:jc w:val="center"/>
              <w:rPr>
                <w:sz w:val="20"/>
                <w:szCs w:val="20"/>
              </w:rPr>
            </w:pPr>
            <w:r>
              <w:rPr>
                <w:sz w:val="20"/>
                <w:szCs w:val="20"/>
              </w:rPr>
              <w:t>70</w:t>
            </w:r>
          </w:p>
        </w:tc>
        <w:tc>
          <w:tcPr>
            <w:tcW w:w="851"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1998</w:t>
            </w:r>
          </w:p>
        </w:tc>
        <w:tc>
          <w:tcPr>
            <w:tcW w:w="99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NA</w:t>
            </w:r>
          </w:p>
        </w:tc>
        <w:tc>
          <w:tcPr>
            <w:tcW w:w="2265" w:type="dxa"/>
            <w:tcBorders>
              <w:top w:val="single" w:sz="8" w:space="0" w:color="auto"/>
              <w:bottom w:val="single" w:sz="8" w:space="0" w:color="auto"/>
            </w:tcBorders>
            <w:shd w:val="clear" w:color="auto" w:fill="FFFFFF" w:themeFill="background1"/>
            <w:vAlign w:val="center"/>
          </w:tcPr>
          <w:p w:rsidR="00A71074" w:rsidRPr="00B977F9" w:rsidRDefault="00A71074" w:rsidP="00F6487E">
            <w:pPr>
              <w:spacing w:line="240" w:lineRule="auto"/>
              <w:jc w:val="center"/>
              <w:rPr>
                <w:sz w:val="18"/>
                <w:szCs w:val="18"/>
              </w:rPr>
            </w:pPr>
          </w:p>
        </w:tc>
        <w:tc>
          <w:tcPr>
            <w:tcW w:w="184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EC 1998</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Finland</w:t>
            </w:r>
          </w:p>
          <w:p w:rsidR="00A71074" w:rsidRPr="005E287F" w:rsidRDefault="00A71074" w:rsidP="00F6487E">
            <w:pPr>
              <w:spacing w:line="240" w:lineRule="auto"/>
              <w:jc w:val="center"/>
              <w:rPr>
                <w:sz w:val="20"/>
                <w:szCs w:val="20"/>
              </w:rPr>
            </w:pPr>
            <w:r>
              <w:rPr>
                <w:sz w:val="20"/>
                <w:szCs w:val="20"/>
              </w:rPr>
              <w:t>(MoSAH)</w:t>
            </w:r>
          </w:p>
        </w:tc>
        <w:tc>
          <w:tcPr>
            <w:tcW w:w="895" w:type="dxa"/>
            <w:tcBorders>
              <w:top w:val="single" w:sz="8" w:space="0" w:color="auto"/>
              <w:bottom w:val="single" w:sz="8" w:space="0" w:color="auto"/>
            </w:tcBorders>
            <w:shd w:val="clear" w:color="auto" w:fill="FFFFFF" w:themeFill="background1"/>
            <w:vAlign w:val="center"/>
          </w:tcPr>
          <w:p w:rsidR="00A71074" w:rsidRPr="005E287F" w:rsidRDefault="00A53E6B" w:rsidP="00F6487E">
            <w:pPr>
              <w:spacing w:line="240" w:lineRule="auto"/>
              <w:jc w:val="center"/>
              <w:rPr>
                <w:sz w:val="20"/>
                <w:szCs w:val="20"/>
              </w:rPr>
            </w:pPr>
            <w:r>
              <w:rPr>
                <w:sz w:val="20"/>
                <w:szCs w:val="20"/>
              </w:rPr>
              <w:t>0.1</w:t>
            </w:r>
          </w:p>
        </w:tc>
        <w:tc>
          <w:tcPr>
            <w:tcW w:w="795" w:type="dxa"/>
            <w:tcBorders>
              <w:top w:val="single" w:sz="8" w:space="0" w:color="auto"/>
              <w:bottom w:val="single" w:sz="8" w:space="0" w:color="auto"/>
            </w:tcBorders>
            <w:shd w:val="clear" w:color="auto" w:fill="FFFFFF" w:themeFill="background1"/>
            <w:vAlign w:val="center"/>
          </w:tcPr>
          <w:p w:rsidR="00A71074" w:rsidRPr="005E287F" w:rsidRDefault="00A53E6B" w:rsidP="00F6487E">
            <w:pPr>
              <w:spacing w:line="240" w:lineRule="auto"/>
              <w:jc w:val="center"/>
              <w:rPr>
                <w:sz w:val="20"/>
                <w:szCs w:val="20"/>
              </w:rPr>
            </w:pPr>
            <w:r>
              <w:rPr>
                <w:sz w:val="20"/>
                <w:szCs w:val="20"/>
              </w:rPr>
              <w:t>1993</w:t>
            </w:r>
          </w:p>
        </w:tc>
        <w:tc>
          <w:tcPr>
            <w:tcW w:w="914" w:type="dxa"/>
            <w:tcBorders>
              <w:top w:val="single" w:sz="8" w:space="0" w:color="auto"/>
              <w:bottom w:val="single" w:sz="8" w:space="0" w:color="auto"/>
            </w:tcBorders>
            <w:shd w:val="clear" w:color="auto" w:fill="FFFFFF" w:themeFill="background1"/>
            <w:vAlign w:val="center"/>
          </w:tcPr>
          <w:p w:rsidR="00A71074" w:rsidRPr="005E287F" w:rsidRDefault="00A53E6B" w:rsidP="00F6487E">
            <w:pPr>
              <w:spacing w:line="240" w:lineRule="auto"/>
              <w:jc w:val="center"/>
              <w:rPr>
                <w:sz w:val="20"/>
                <w:szCs w:val="20"/>
              </w:rPr>
            </w:pPr>
            <w:r>
              <w:rPr>
                <w:sz w:val="20"/>
                <w:szCs w:val="20"/>
              </w:rPr>
              <w:t>NA</w:t>
            </w:r>
          </w:p>
        </w:tc>
        <w:tc>
          <w:tcPr>
            <w:tcW w:w="1134" w:type="dxa"/>
            <w:tcBorders>
              <w:top w:val="single" w:sz="8" w:space="0" w:color="auto"/>
              <w:bottom w:val="single" w:sz="8" w:space="0" w:color="auto"/>
            </w:tcBorders>
            <w:shd w:val="clear" w:color="auto" w:fill="FFFFFF" w:themeFill="background1"/>
            <w:vAlign w:val="center"/>
          </w:tcPr>
          <w:p w:rsidR="00A71074" w:rsidRPr="005E287F" w:rsidRDefault="00A53E6B"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A53E6B" w:rsidRDefault="00A53E6B" w:rsidP="00F6487E">
            <w:pPr>
              <w:spacing w:line="240" w:lineRule="auto"/>
              <w:jc w:val="center"/>
              <w:rPr>
                <w:sz w:val="20"/>
                <w:szCs w:val="20"/>
              </w:rPr>
            </w:pPr>
            <w:r>
              <w:rPr>
                <w:sz w:val="20"/>
                <w:szCs w:val="20"/>
              </w:rPr>
              <w:t>50</w:t>
            </w:r>
          </w:p>
          <w:p w:rsidR="00A53E6B" w:rsidRPr="00A53E6B" w:rsidRDefault="00A53E6B" w:rsidP="00F6487E">
            <w:pPr>
              <w:spacing w:line="240" w:lineRule="auto"/>
              <w:jc w:val="center"/>
              <w:rPr>
                <w:sz w:val="16"/>
                <w:szCs w:val="16"/>
              </w:rPr>
            </w:pPr>
            <w:r w:rsidRPr="00A53E6B">
              <w:rPr>
                <w:sz w:val="16"/>
                <w:szCs w:val="16"/>
              </w:rPr>
              <w:t>(leg</w:t>
            </w:r>
            <w:r w:rsidR="00554AC5">
              <w:rPr>
                <w:sz w:val="16"/>
                <w:szCs w:val="16"/>
              </w:rPr>
              <w:t>islated</w:t>
            </w:r>
            <w:r w:rsidRPr="00A53E6B">
              <w:rPr>
                <w:sz w:val="16"/>
                <w:szCs w:val="16"/>
              </w:rPr>
              <w:t xml:space="preserve"> </w:t>
            </w:r>
            <w:r w:rsidR="00314205">
              <w:rPr>
                <w:sz w:val="16"/>
                <w:szCs w:val="16"/>
              </w:rPr>
              <w:t>BLRL</w:t>
            </w:r>
            <w:r w:rsidRPr="00A53E6B">
              <w:rPr>
                <w:sz w:val="16"/>
                <w:szCs w:val="16"/>
              </w:rPr>
              <w:t>)</w:t>
            </w:r>
          </w:p>
          <w:p w:rsidR="00A71074" w:rsidRDefault="004A63EA" w:rsidP="00F6487E">
            <w:pPr>
              <w:spacing w:line="240" w:lineRule="auto"/>
              <w:jc w:val="center"/>
              <w:rPr>
                <w:sz w:val="20"/>
                <w:szCs w:val="20"/>
                <w:vertAlign w:val="superscript"/>
              </w:rPr>
            </w:pPr>
            <w:r w:rsidRPr="004A63EA">
              <w:rPr>
                <w:sz w:val="18"/>
                <w:szCs w:val="18"/>
              </w:rPr>
              <w:t xml:space="preserve">Objective </w:t>
            </w:r>
            <w:r w:rsidR="00A71074" w:rsidRPr="004A63EA">
              <w:rPr>
                <w:sz w:val="18"/>
                <w:szCs w:val="18"/>
              </w:rPr>
              <w:t>30</w:t>
            </w:r>
            <w:r w:rsidR="00A71074">
              <w:rPr>
                <w:sz w:val="20"/>
                <w:szCs w:val="20"/>
              </w:rPr>
              <w:t xml:space="preserve"> </w:t>
            </w:r>
            <w:r w:rsidR="00E042C2">
              <w:rPr>
                <w:sz w:val="20"/>
                <w:szCs w:val="20"/>
                <w:vertAlign w:val="superscript"/>
              </w:rPr>
              <w:t>f</w:t>
            </w:r>
          </w:p>
          <w:p w:rsidR="00A53E6B" w:rsidRPr="00A53E6B" w:rsidRDefault="00A53E6B" w:rsidP="00F6487E">
            <w:pPr>
              <w:spacing w:line="240" w:lineRule="auto"/>
              <w:jc w:val="center"/>
              <w:rPr>
                <w:sz w:val="16"/>
                <w:szCs w:val="16"/>
              </w:rPr>
            </w:pPr>
          </w:p>
        </w:tc>
        <w:tc>
          <w:tcPr>
            <w:tcW w:w="851"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MoSAH 2012</w:t>
            </w:r>
          </w:p>
        </w:tc>
      </w:tr>
      <w:tr w:rsidR="00A71074" w:rsidTr="008334BC">
        <w:trPr>
          <w:cantSplit/>
        </w:trPr>
        <w:tc>
          <w:tcPr>
            <w:tcW w:w="1242" w:type="dxa"/>
            <w:tcBorders>
              <w:top w:val="single" w:sz="8" w:space="0" w:color="auto"/>
              <w:bottom w:val="single" w:sz="8" w:space="0" w:color="auto"/>
            </w:tcBorders>
            <w:shd w:val="clear" w:color="auto" w:fill="FFFFFF" w:themeFill="background1"/>
            <w:vAlign w:val="center"/>
          </w:tcPr>
          <w:p w:rsidR="00A71074" w:rsidRDefault="00A71074" w:rsidP="00F6487E">
            <w:pPr>
              <w:spacing w:line="240" w:lineRule="auto"/>
              <w:jc w:val="center"/>
              <w:rPr>
                <w:sz w:val="20"/>
                <w:szCs w:val="20"/>
              </w:rPr>
            </w:pPr>
            <w:r>
              <w:rPr>
                <w:sz w:val="20"/>
                <w:szCs w:val="20"/>
              </w:rPr>
              <w:t>France</w:t>
            </w:r>
          </w:p>
          <w:p w:rsidR="00A71074" w:rsidRPr="005E287F" w:rsidRDefault="00A71074" w:rsidP="00F6487E">
            <w:pPr>
              <w:spacing w:line="240" w:lineRule="auto"/>
              <w:jc w:val="center"/>
              <w:rPr>
                <w:sz w:val="20"/>
                <w:szCs w:val="20"/>
              </w:rPr>
            </w:pPr>
            <w:r>
              <w:rPr>
                <w:sz w:val="20"/>
                <w:szCs w:val="20"/>
              </w:rPr>
              <w:t>(INRS)</w:t>
            </w:r>
          </w:p>
        </w:tc>
        <w:tc>
          <w:tcPr>
            <w:tcW w:w="8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0.1</w:t>
            </w:r>
          </w:p>
        </w:tc>
        <w:tc>
          <w:tcPr>
            <w:tcW w:w="795"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2004</w:t>
            </w:r>
          </w:p>
        </w:tc>
        <w:tc>
          <w:tcPr>
            <w:tcW w:w="91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Inhalable</w:t>
            </w:r>
          </w:p>
        </w:tc>
        <w:tc>
          <w:tcPr>
            <w:tcW w:w="940" w:type="dxa"/>
            <w:gridSpan w:val="2"/>
            <w:tcBorders>
              <w:top w:val="single" w:sz="8" w:space="0" w:color="auto"/>
              <w:bottom w:val="single" w:sz="8" w:space="0" w:color="auto"/>
            </w:tcBorders>
            <w:shd w:val="clear" w:color="auto" w:fill="FFFFFF" w:themeFill="background1"/>
            <w:vAlign w:val="center"/>
          </w:tcPr>
          <w:p w:rsidR="004933B3" w:rsidRPr="00175FD1" w:rsidRDefault="00A71074" w:rsidP="00B2307D">
            <w:pPr>
              <w:spacing w:line="240" w:lineRule="auto"/>
              <w:jc w:val="center"/>
              <w:rPr>
                <w:sz w:val="20"/>
                <w:szCs w:val="20"/>
                <w:vertAlign w:val="superscript"/>
              </w:rPr>
            </w:pPr>
            <w:r>
              <w:rPr>
                <w:sz w:val="20"/>
                <w:szCs w:val="20"/>
              </w:rPr>
              <w:t xml:space="preserve">40 </w:t>
            </w:r>
            <w:r w:rsidR="00347839">
              <w:rPr>
                <w:sz w:val="20"/>
                <w:szCs w:val="20"/>
                <w:vertAlign w:val="superscript"/>
              </w:rPr>
              <w:t>f</w:t>
            </w:r>
          </w:p>
        </w:tc>
        <w:tc>
          <w:tcPr>
            <w:tcW w:w="1308" w:type="dxa"/>
            <w:gridSpan w:val="3"/>
            <w:tcBorders>
              <w:top w:val="single" w:sz="8" w:space="0" w:color="auto"/>
              <w:bottom w:val="single" w:sz="8" w:space="0" w:color="auto"/>
            </w:tcBorders>
            <w:shd w:val="clear" w:color="auto" w:fill="FFFFFF" w:themeFill="background1"/>
            <w:vAlign w:val="center"/>
          </w:tcPr>
          <w:p w:rsidR="004933B3" w:rsidRPr="00175FD1" w:rsidRDefault="00A71074" w:rsidP="00B2307D">
            <w:pPr>
              <w:spacing w:line="240" w:lineRule="auto"/>
              <w:jc w:val="center"/>
              <w:rPr>
                <w:sz w:val="20"/>
                <w:szCs w:val="20"/>
                <w:vertAlign w:val="superscript"/>
              </w:rPr>
            </w:pPr>
            <w:r>
              <w:rPr>
                <w:sz w:val="20"/>
                <w:szCs w:val="20"/>
              </w:rPr>
              <w:t xml:space="preserve">30 </w:t>
            </w:r>
            <w:r w:rsidR="00347839">
              <w:rPr>
                <w:sz w:val="20"/>
                <w:szCs w:val="20"/>
                <w:vertAlign w:val="superscript"/>
              </w:rPr>
              <w:t>f</w:t>
            </w:r>
          </w:p>
        </w:tc>
        <w:tc>
          <w:tcPr>
            <w:tcW w:w="851"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2003</w:t>
            </w:r>
          </w:p>
        </w:tc>
        <w:tc>
          <w:tcPr>
            <w:tcW w:w="99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A71074" w:rsidRPr="00B977F9" w:rsidRDefault="00A71074" w:rsidP="00F6487E">
            <w:pPr>
              <w:spacing w:line="240" w:lineRule="auto"/>
              <w:jc w:val="center"/>
              <w:rPr>
                <w:sz w:val="18"/>
                <w:szCs w:val="18"/>
              </w:rPr>
            </w:pPr>
          </w:p>
        </w:tc>
        <w:tc>
          <w:tcPr>
            <w:tcW w:w="1842" w:type="dxa"/>
            <w:tcBorders>
              <w:top w:val="single" w:sz="8" w:space="0" w:color="auto"/>
              <w:bottom w:val="single" w:sz="8" w:space="0" w:color="auto"/>
            </w:tcBorders>
            <w:shd w:val="clear" w:color="auto" w:fill="FFFFFF" w:themeFill="background1"/>
            <w:vAlign w:val="center"/>
          </w:tcPr>
          <w:p w:rsidR="00A71074" w:rsidRPr="005E287F" w:rsidRDefault="00A71074" w:rsidP="00F6487E">
            <w:pPr>
              <w:spacing w:line="240" w:lineRule="auto"/>
              <w:jc w:val="center"/>
              <w:rPr>
                <w:sz w:val="20"/>
                <w:szCs w:val="20"/>
              </w:rPr>
            </w:pPr>
            <w:r>
              <w:rPr>
                <w:sz w:val="20"/>
                <w:szCs w:val="20"/>
              </w:rPr>
              <w:t>INRS 2006, 2012; Legifrance 2003</w:t>
            </w:r>
          </w:p>
        </w:tc>
      </w:tr>
      <w:tr w:rsidR="00B84850" w:rsidTr="008334BC">
        <w:trPr>
          <w:cantSplit/>
        </w:trPr>
        <w:tc>
          <w:tcPr>
            <w:tcW w:w="124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Germany (B</w:t>
            </w:r>
            <w:r w:rsidR="004933B3">
              <w:rPr>
                <w:sz w:val="20"/>
                <w:szCs w:val="20"/>
              </w:rPr>
              <w:t>A</w:t>
            </w:r>
            <w:r>
              <w:rPr>
                <w:sz w:val="20"/>
                <w:szCs w:val="20"/>
              </w:rPr>
              <w:t>uA)</w:t>
            </w:r>
          </w:p>
        </w:tc>
        <w:tc>
          <w:tcPr>
            <w:tcW w:w="895" w:type="dxa"/>
            <w:tcBorders>
              <w:top w:val="single" w:sz="8" w:space="0" w:color="auto"/>
              <w:bottom w:val="single" w:sz="8" w:space="0" w:color="auto"/>
            </w:tcBorders>
            <w:shd w:val="clear" w:color="auto" w:fill="FFFFFF" w:themeFill="background1"/>
            <w:vAlign w:val="center"/>
          </w:tcPr>
          <w:p w:rsidR="00B84850" w:rsidRPr="00964B32" w:rsidRDefault="00B84850" w:rsidP="00F6487E">
            <w:pPr>
              <w:spacing w:line="240" w:lineRule="auto"/>
              <w:jc w:val="center"/>
              <w:rPr>
                <w:sz w:val="20"/>
                <w:szCs w:val="20"/>
                <w:vertAlign w:val="superscript"/>
              </w:rPr>
            </w:pPr>
            <w:r>
              <w:rPr>
                <w:sz w:val="20"/>
                <w:szCs w:val="20"/>
              </w:rPr>
              <w:t xml:space="preserve">- </w:t>
            </w:r>
            <w:r w:rsidR="00347839">
              <w:rPr>
                <w:sz w:val="20"/>
                <w:szCs w:val="20"/>
                <w:vertAlign w:val="superscript"/>
              </w:rPr>
              <w:t>g</w:t>
            </w:r>
          </w:p>
        </w:tc>
        <w:tc>
          <w:tcPr>
            <w:tcW w:w="7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w:t>
            </w:r>
          </w:p>
        </w:tc>
        <w:tc>
          <w:tcPr>
            <w:tcW w:w="91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w:t>
            </w:r>
          </w:p>
        </w:tc>
        <w:tc>
          <w:tcPr>
            <w:tcW w:w="113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w:t>
            </w:r>
          </w:p>
        </w:tc>
        <w:tc>
          <w:tcPr>
            <w:tcW w:w="940" w:type="dxa"/>
            <w:gridSpan w:val="2"/>
            <w:tcBorders>
              <w:top w:val="single" w:sz="8" w:space="0" w:color="auto"/>
              <w:bottom w:val="single" w:sz="8" w:space="0" w:color="auto"/>
            </w:tcBorders>
            <w:shd w:val="clear" w:color="auto" w:fill="FFFFFF" w:themeFill="background1"/>
            <w:vAlign w:val="center"/>
          </w:tcPr>
          <w:p w:rsidR="00B84850" w:rsidRPr="00360724" w:rsidRDefault="00B84850" w:rsidP="00F6487E">
            <w:pPr>
              <w:spacing w:line="240" w:lineRule="auto"/>
              <w:jc w:val="center"/>
              <w:rPr>
                <w:sz w:val="20"/>
                <w:szCs w:val="20"/>
                <w:vertAlign w:val="superscript"/>
              </w:rPr>
            </w:pPr>
            <w:r>
              <w:rPr>
                <w:sz w:val="20"/>
                <w:szCs w:val="20"/>
              </w:rPr>
              <w:t xml:space="preserve">40 </w:t>
            </w:r>
            <w:r w:rsidR="00347839">
              <w:rPr>
                <w:sz w:val="20"/>
                <w:szCs w:val="20"/>
                <w:vertAlign w:val="superscript"/>
              </w:rPr>
              <w:t>h</w:t>
            </w:r>
          </w:p>
        </w:tc>
        <w:tc>
          <w:tcPr>
            <w:tcW w:w="1308" w:type="dxa"/>
            <w:gridSpan w:val="3"/>
            <w:tcBorders>
              <w:top w:val="single" w:sz="8" w:space="0" w:color="auto"/>
              <w:bottom w:val="single" w:sz="8" w:space="0" w:color="auto"/>
            </w:tcBorders>
            <w:shd w:val="clear" w:color="auto" w:fill="FFFFFF" w:themeFill="background1"/>
            <w:vAlign w:val="center"/>
          </w:tcPr>
          <w:p w:rsidR="00B84850" w:rsidRPr="00360724" w:rsidRDefault="00B84850" w:rsidP="00F6487E">
            <w:pPr>
              <w:spacing w:line="240" w:lineRule="auto"/>
              <w:jc w:val="center"/>
              <w:rPr>
                <w:sz w:val="20"/>
                <w:szCs w:val="20"/>
                <w:vertAlign w:val="superscript"/>
              </w:rPr>
            </w:pPr>
            <w:r>
              <w:rPr>
                <w:sz w:val="20"/>
                <w:szCs w:val="20"/>
              </w:rPr>
              <w:t xml:space="preserve">30 </w:t>
            </w:r>
            <w:r w:rsidR="00347839">
              <w:rPr>
                <w:sz w:val="20"/>
                <w:szCs w:val="20"/>
                <w:vertAlign w:val="superscript"/>
              </w:rPr>
              <w:t>h</w:t>
            </w:r>
          </w:p>
        </w:tc>
        <w:tc>
          <w:tcPr>
            <w:tcW w:w="851"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1998</w:t>
            </w:r>
          </w:p>
        </w:tc>
        <w:tc>
          <w:tcPr>
            <w:tcW w:w="992" w:type="dxa"/>
            <w:tcBorders>
              <w:top w:val="single" w:sz="8" w:space="0" w:color="auto"/>
              <w:bottom w:val="single" w:sz="8" w:space="0" w:color="auto"/>
            </w:tcBorders>
            <w:shd w:val="clear" w:color="auto" w:fill="FFFFFF" w:themeFill="background1"/>
            <w:vAlign w:val="center"/>
          </w:tcPr>
          <w:p w:rsidR="00B84850" w:rsidRPr="00696075" w:rsidRDefault="00B84850" w:rsidP="00F6487E">
            <w:pPr>
              <w:spacing w:line="240" w:lineRule="auto"/>
              <w:jc w:val="center"/>
              <w:rPr>
                <w:sz w:val="18"/>
                <w:szCs w:val="18"/>
              </w:rPr>
            </w:pPr>
            <w:r w:rsidRPr="00696075">
              <w:rPr>
                <w:sz w:val="18"/>
                <w:szCs w:val="18"/>
              </w:rPr>
              <w:t>Currently being revised</w:t>
            </w:r>
          </w:p>
        </w:tc>
        <w:tc>
          <w:tcPr>
            <w:tcW w:w="226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B84850" w:rsidRPr="005E287F" w:rsidRDefault="00B84850" w:rsidP="00651B58">
            <w:pPr>
              <w:spacing w:line="240" w:lineRule="auto"/>
              <w:jc w:val="center"/>
              <w:rPr>
                <w:sz w:val="20"/>
                <w:szCs w:val="20"/>
              </w:rPr>
            </w:pPr>
            <w:r>
              <w:rPr>
                <w:sz w:val="20"/>
                <w:szCs w:val="20"/>
              </w:rPr>
              <w:t>B</w:t>
            </w:r>
            <w:r w:rsidR="00651B58">
              <w:rPr>
                <w:sz w:val="20"/>
                <w:szCs w:val="20"/>
              </w:rPr>
              <w:t>Au</w:t>
            </w:r>
            <w:r>
              <w:rPr>
                <w:sz w:val="20"/>
                <w:szCs w:val="20"/>
              </w:rPr>
              <w:t>A 2013a, b</w:t>
            </w:r>
          </w:p>
        </w:tc>
      </w:tr>
      <w:tr w:rsidR="00B84850" w:rsidTr="008334BC">
        <w:trPr>
          <w:cantSplit/>
        </w:trPr>
        <w:tc>
          <w:tcPr>
            <w:tcW w:w="1242" w:type="dxa"/>
            <w:tcBorders>
              <w:top w:val="single" w:sz="8" w:space="0" w:color="auto"/>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r>
              <w:rPr>
                <w:sz w:val="20"/>
                <w:szCs w:val="20"/>
              </w:rPr>
              <w:t>Ireland</w:t>
            </w:r>
          </w:p>
          <w:p w:rsidR="00B84850" w:rsidRPr="005E287F" w:rsidRDefault="00B84850" w:rsidP="00F6487E">
            <w:pPr>
              <w:spacing w:line="240" w:lineRule="auto"/>
              <w:jc w:val="center"/>
              <w:rPr>
                <w:sz w:val="20"/>
                <w:szCs w:val="20"/>
              </w:rPr>
            </w:pPr>
            <w:r>
              <w:rPr>
                <w:sz w:val="20"/>
                <w:szCs w:val="20"/>
              </w:rPr>
              <w:t>(H&amp;SA)</w:t>
            </w:r>
          </w:p>
        </w:tc>
        <w:tc>
          <w:tcPr>
            <w:tcW w:w="8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0.15</w:t>
            </w:r>
          </w:p>
        </w:tc>
        <w:tc>
          <w:tcPr>
            <w:tcW w:w="7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1998</w:t>
            </w:r>
          </w:p>
        </w:tc>
        <w:tc>
          <w:tcPr>
            <w:tcW w:w="91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060927" w:rsidRPr="00B2307D" w:rsidRDefault="00B2307D" w:rsidP="00B2307D">
            <w:pPr>
              <w:spacing w:line="240" w:lineRule="auto"/>
              <w:jc w:val="center"/>
              <w:rPr>
                <w:sz w:val="20"/>
                <w:szCs w:val="20"/>
              </w:rPr>
            </w:pPr>
            <w:r>
              <w:rPr>
                <w:sz w:val="20"/>
                <w:szCs w:val="20"/>
              </w:rPr>
              <w:t>70</w:t>
            </w:r>
          </w:p>
        </w:tc>
        <w:tc>
          <w:tcPr>
            <w:tcW w:w="851"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1998</w:t>
            </w:r>
          </w:p>
        </w:tc>
        <w:tc>
          <w:tcPr>
            <w:tcW w:w="99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B84850" w:rsidRPr="005E287F" w:rsidRDefault="00FA719D" w:rsidP="00FA719D">
            <w:pPr>
              <w:spacing w:line="240" w:lineRule="auto"/>
              <w:jc w:val="center"/>
              <w:rPr>
                <w:sz w:val="20"/>
                <w:szCs w:val="20"/>
              </w:rPr>
            </w:pPr>
            <w:r>
              <w:rPr>
                <w:sz w:val="20"/>
                <w:szCs w:val="20"/>
              </w:rPr>
              <w:t>Same as</w:t>
            </w:r>
            <w:r w:rsidR="00B84850">
              <w:rPr>
                <w:sz w:val="20"/>
                <w:szCs w:val="20"/>
              </w:rPr>
              <w:t xml:space="preserve"> the EC (1998) regulations.</w:t>
            </w:r>
          </w:p>
        </w:tc>
        <w:tc>
          <w:tcPr>
            <w:tcW w:w="184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H&amp;SA 2011a, b</w:t>
            </w:r>
          </w:p>
        </w:tc>
      </w:tr>
      <w:tr w:rsidR="00B84850" w:rsidTr="008334BC">
        <w:trPr>
          <w:cantSplit/>
        </w:trPr>
        <w:tc>
          <w:tcPr>
            <w:tcW w:w="1242" w:type="dxa"/>
            <w:tcBorders>
              <w:top w:val="single" w:sz="8" w:space="0" w:color="auto"/>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r w:rsidRPr="005A1DC4">
              <w:rPr>
                <w:sz w:val="20"/>
                <w:szCs w:val="20"/>
              </w:rPr>
              <w:t>Japan</w:t>
            </w:r>
          </w:p>
          <w:p w:rsidR="00B84850" w:rsidRDefault="00B84850" w:rsidP="00F6487E">
            <w:pPr>
              <w:spacing w:line="240" w:lineRule="auto"/>
              <w:jc w:val="center"/>
              <w:rPr>
                <w:sz w:val="20"/>
                <w:szCs w:val="20"/>
              </w:rPr>
            </w:pPr>
            <w:r>
              <w:rPr>
                <w:sz w:val="20"/>
                <w:szCs w:val="20"/>
              </w:rPr>
              <w:t>(JSOH)</w:t>
            </w:r>
          </w:p>
          <w:p w:rsidR="00B84850" w:rsidRPr="00581F41" w:rsidRDefault="00B84850" w:rsidP="00F6487E">
            <w:pPr>
              <w:spacing w:line="240" w:lineRule="auto"/>
              <w:jc w:val="center"/>
              <w:rPr>
                <w:sz w:val="20"/>
                <w:szCs w:val="20"/>
              </w:rPr>
            </w:pPr>
          </w:p>
        </w:tc>
        <w:tc>
          <w:tcPr>
            <w:tcW w:w="8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0.1</w:t>
            </w:r>
          </w:p>
        </w:tc>
        <w:tc>
          <w:tcPr>
            <w:tcW w:w="7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1982</w:t>
            </w:r>
          </w:p>
        </w:tc>
        <w:tc>
          <w:tcPr>
            <w:tcW w:w="91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4933B3" w:rsidRPr="005E287F" w:rsidRDefault="00B2307D" w:rsidP="00B2307D">
            <w:pPr>
              <w:spacing w:line="240" w:lineRule="auto"/>
              <w:jc w:val="center"/>
              <w:rPr>
                <w:sz w:val="20"/>
                <w:szCs w:val="20"/>
              </w:rPr>
            </w:pPr>
            <w:r>
              <w:rPr>
                <w:sz w:val="20"/>
                <w:szCs w:val="20"/>
              </w:rPr>
              <w:t>40</w:t>
            </w:r>
          </w:p>
        </w:tc>
        <w:tc>
          <w:tcPr>
            <w:tcW w:w="851"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1994</w:t>
            </w:r>
          </w:p>
        </w:tc>
        <w:tc>
          <w:tcPr>
            <w:tcW w:w="99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JSOH 2010</w:t>
            </w:r>
          </w:p>
        </w:tc>
      </w:tr>
      <w:tr w:rsidR="00B84850" w:rsidTr="008334BC">
        <w:trPr>
          <w:cantSplit/>
        </w:trPr>
        <w:tc>
          <w:tcPr>
            <w:tcW w:w="1242" w:type="dxa"/>
            <w:tcBorders>
              <w:top w:val="single" w:sz="8" w:space="0" w:color="auto"/>
              <w:bottom w:val="single" w:sz="8" w:space="0" w:color="auto"/>
            </w:tcBorders>
            <w:shd w:val="clear" w:color="auto" w:fill="FFFFFF" w:themeFill="background1"/>
            <w:vAlign w:val="center"/>
          </w:tcPr>
          <w:p w:rsidR="00B84850" w:rsidRDefault="00B84850" w:rsidP="00F6487E">
            <w:pPr>
              <w:spacing w:line="240" w:lineRule="auto"/>
              <w:jc w:val="center"/>
              <w:rPr>
                <w:sz w:val="16"/>
                <w:szCs w:val="16"/>
              </w:rPr>
            </w:pPr>
            <w:r w:rsidRPr="00E43584">
              <w:rPr>
                <w:sz w:val="16"/>
                <w:szCs w:val="16"/>
              </w:rPr>
              <w:t>Luxembourg</w:t>
            </w:r>
          </w:p>
          <w:p w:rsidR="00B84850" w:rsidRPr="00E43584" w:rsidRDefault="00B84850" w:rsidP="00F6487E">
            <w:pPr>
              <w:spacing w:line="240" w:lineRule="auto"/>
              <w:jc w:val="center"/>
              <w:rPr>
                <w:sz w:val="20"/>
                <w:szCs w:val="20"/>
              </w:rPr>
            </w:pPr>
            <w:r>
              <w:rPr>
                <w:sz w:val="20"/>
                <w:szCs w:val="20"/>
              </w:rPr>
              <w:t>(JOGDL)</w:t>
            </w:r>
          </w:p>
        </w:tc>
        <w:tc>
          <w:tcPr>
            <w:tcW w:w="8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0.15</w:t>
            </w:r>
          </w:p>
        </w:tc>
        <w:tc>
          <w:tcPr>
            <w:tcW w:w="7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1998</w:t>
            </w:r>
          </w:p>
        </w:tc>
        <w:tc>
          <w:tcPr>
            <w:tcW w:w="91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060927" w:rsidRPr="005E287F" w:rsidRDefault="00B2307D" w:rsidP="00B2307D">
            <w:pPr>
              <w:spacing w:line="240" w:lineRule="auto"/>
              <w:jc w:val="center"/>
              <w:rPr>
                <w:sz w:val="20"/>
                <w:szCs w:val="20"/>
              </w:rPr>
            </w:pPr>
            <w:r>
              <w:rPr>
                <w:sz w:val="20"/>
                <w:szCs w:val="20"/>
              </w:rPr>
              <w:t>70</w:t>
            </w:r>
          </w:p>
        </w:tc>
        <w:tc>
          <w:tcPr>
            <w:tcW w:w="851"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1998</w:t>
            </w:r>
          </w:p>
        </w:tc>
        <w:tc>
          <w:tcPr>
            <w:tcW w:w="99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B84850" w:rsidRPr="005E287F" w:rsidRDefault="00FA719D" w:rsidP="00FA719D">
            <w:pPr>
              <w:spacing w:line="240" w:lineRule="auto"/>
              <w:jc w:val="center"/>
              <w:rPr>
                <w:sz w:val="20"/>
                <w:szCs w:val="20"/>
              </w:rPr>
            </w:pPr>
            <w:r>
              <w:rPr>
                <w:sz w:val="20"/>
                <w:szCs w:val="20"/>
              </w:rPr>
              <w:t>Same as</w:t>
            </w:r>
            <w:r w:rsidR="00B84850">
              <w:rPr>
                <w:sz w:val="20"/>
                <w:szCs w:val="20"/>
              </w:rPr>
              <w:t xml:space="preserve"> the EC (1998) regulations.</w:t>
            </w:r>
          </w:p>
        </w:tc>
        <w:tc>
          <w:tcPr>
            <w:tcW w:w="184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JOGDL 2002</w:t>
            </w:r>
          </w:p>
        </w:tc>
      </w:tr>
      <w:tr w:rsidR="00060927" w:rsidTr="008334BC">
        <w:trPr>
          <w:cantSplit/>
        </w:trPr>
        <w:tc>
          <w:tcPr>
            <w:tcW w:w="1242"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lastRenderedPageBreak/>
              <w:t>New Zealand</w:t>
            </w:r>
          </w:p>
          <w:p w:rsidR="00060927" w:rsidRPr="005E287F" w:rsidRDefault="00060927" w:rsidP="00F6487E">
            <w:pPr>
              <w:spacing w:line="240" w:lineRule="auto"/>
              <w:jc w:val="center"/>
              <w:rPr>
                <w:sz w:val="20"/>
                <w:szCs w:val="20"/>
              </w:rPr>
            </w:pPr>
            <w:r>
              <w:rPr>
                <w:sz w:val="20"/>
                <w:szCs w:val="20"/>
              </w:rPr>
              <w:t>(DoL)</w:t>
            </w:r>
          </w:p>
        </w:tc>
        <w:tc>
          <w:tcPr>
            <w:tcW w:w="895"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0.1</w:t>
            </w:r>
          </w:p>
        </w:tc>
        <w:tc>
          <w:tcPr>
            <w:tcW w:w="795"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060927" w:rsidRPr="005E287F" w:rsidRDefault="00060927" w:rsidP="00F6487E">
            <w:pPr>
              <w:spacing w:line="240" w:lineRule="auto"/>
              <w:jc w:val="center"/>
              <w:rPr>
                <w:sz w:val="20"/>
                <w:szCs w:val="20"/>
              </w:rPr>
            </w:pPr>
            <w:r>
              <w:rPr>
                <w:sz w:val="20"/>
                <w:szCs w:val="20"/>
              </w:rPr>
              <w:t>Inhalable</w:t>
            </w:r>
          </w:p>
        </w:tc>
        <w:tc>
          <w:tcPr>
            <w:tcW w:w="930" w:type="dxa"/>
            <w:tcBorders>
              <w:top w:val="single" w:sz="8" w:space="0" w:color="auto"/>
              <w:bottom w:val="single" w:sz="8" w:space="0" w:color="auto"/>
              <w:right w:val="single" w:sz="12"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50</w:t>
            </w:r>
          </w:p>
          <w:p w:rsidR="00060927" w:rsidRPr="00444131" w:rsidRDefault="00060927" w:rsidP="00F6487E">
            <w:pPr>
              <w:spacing w:line="240" w:lineRule="auto"/>
              <w:jc w:val="center"/>
              <w:rPr>
                <w:sz w:val="16"/>
                <w:szCs w:val="16"/>
              </w:rPr>
            </w:pPr>
            <w:r>
              <w:rPr>
                <w:sz w:val="16"/>
                <w:szCs w:val="16"/>
              </w:rPr>
              <w:t>(leg</w:t>
            </w:r>
            <w:r w:rsidR="00554AC5">
              <w:rPr>
                <w:sz w:val="16"/>
                <w:szCs w:val="16"/>
              </w:rPr>
              <w:t>is</w:t>
            </w:r>
            <w:r w:rsidR="004933B3">
              <w:rPr>
                <w:sz w:val="16"/>
                <w:szCs w:val="16"/>
              </w:rPr>
              <w:t>-</w:t>
            </w:r>
            <w:r w:rsidR="00554AC5">
              <w:rPr>
                <w:sz w:val="16"/>
                <w:szCs w:val="16"/>
              </w:rPr>
              <w:t>lated</w:t>
            </w:r>
            <w:r>
              <w:rPr>
                <w:sz w:val="16"/>
                <w:szCs w:val="16"/>
              </w:rPr>
              <w:t xml:space="preserve"> </w:t>
            </w:r>
            <w:r w:rsidR="00314205">
              <w:rPr>
                <w:sz w:val="16"/>
                <w:szCs w:val="16"/>
              </w:rPr>
              <w:t>BLRL</w:t>
            </w:r>
            <w:r>
              <w:rPr>
                <w:sz w:val="16"/>
                <w:szCs w:val="16"/>
              </w:rPr>
              <w:t>)</w:t>
            </w:r>
          </w:p>
          <w:p w:rsidR="00060927" w:rsidRDefault="00060927" w:rsidP="00F6487E">
            <w:pPr>
              <w:spacing w:line="240" w:lineRule="auto"/>
              <w:jc w:val="center"/>
              <w:rPr>
                <w:sz w:val="20"/>
                <w:szCs w:val="20"/>
              </w:rPr>
            </w:pPr>
          </w:p>
          <w:p w:rsidR="00060927" w:rsidRPr="006424AC" w:rsidRDefault="006424AC" w:rsidP="00F6487E">
            <w:pPr>
              <w:spacing w:line="240" w:lineRule="auto"/>
              <w:jc w:val="center"/>
              <w:rPr>
                <w:sz w:val="20"/>
                <w:szCs w:val="20"/>
                <w:vertAlign w:val="superscript"/>
              </w:rPr>
            </w:pPr>
            <w:r w:rsidRPr="006424AC">
              <w:rPr>
                <w:sz w:val="18"/>
                <w:szCs w:val="18"/>
              </w:rPr>
              <w:t>objective</w:t>
            </w:r>
            <w:r>
              <w:rPr>
                <w:sz w:val="20"/>
                <w:szCs w:val="20"/>
              </w:rPr>
              <w:t xml:space="preserve"> </w:t>
            </w:r>
            <w:r w:rsidRPr="006424AC">
              <w:rPr>
                <w:sz w:val="18"/>
                <w:szCs w:val="18"/>
              </w:rPr>
              <w:t>&lt;</w:t>
            </w:r>
            <w:r w:rsidR="00060927" w:rsidRPr="006424AC">
              <w:rPr>
                <w:sz w:val="18"/>
                <w:szCs w:val="18"/>
              </w:rPr>
              <w:t>30</w:t>
            </w:r>
            <w:r>
              <w:rPr>
                <w:sz w:val="18"/>
                <w:szCs w:val="18"/>
              </w:rPr>
              <w:t xml:space="preserve"> </w:t>
            </w:r>
            <w:r>
              <w:rPr>
                <w:sz w:val="18"/>
                <w:szCs w:val="18"/>
                <w:vertAlign w:val="superscript"/>
              </w:rPr>
              <w:t>i</w:t>
            </w:r>
          </w:p>
          <w:p w:rsidR="00060927" w:rsidRPr="00450230" w:rsidRDefault="00060927" w:rsidP="00F6487E">
            <w:pPr>
              <w:spacing w:line="240" w:lineRule="auto"/>
              <w:jc w:val="center"/>
              <w:rPr>
                <w:sz w:val="20"/>
                <w:szCs w:val="20"/>
                <w:vertAlign w:val="superscript"/>
              </w:rPr>
            </w:pPr>
          </w:p>
        </w:tc>
        <w:tc>
          <w:tcPr>
            <w:tcW w:w="1318" w:type="dxa"/>
            <w:gridSpan w:val="4"/>
            <w:tcBorders>
              <w:top w:val="single" w:sz="8" w:space="0" w:color="auto"/>
              <w:left w:val="single" w:sz="12"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 xml:space="preserve">30 </w:t>
            </w:r>
          </w:p>
          <w:p w:rsidR="00060927" w:rsidRDefault="00060927" w:rsidP="00F6487E">
            <w:pPr>
              <w:spacing w:line="240" w:lineRule="auto"/>
              <w:jc w:val="center"/>
              <w:rPr>
                <w:sz w:val="20"/>
                <w:szCs w:val="20"/>
                <w:vertAlign w:val="superscript"/>
              </w:rPr>
            </w:pPr>
            <w:r>
              <w:rPr>
                <w:sz w:val="20"/>
                <w:szCs w:val="20"/>
              </w:rPr>
              <w:t xml:space="preserve">(or lower) </w:t>
            </w:r>
            <w:r w:rsidR="00347839">
              <w:rPr>
                <w:sz w:val="20"/>
                <w:szCs w:val="20"/>
                <w:vertAlign w:val="superscript"/>
              </w:rPr>
              <w:t>i</w:t>
            </w:r>
          </w:p>
          <w:p w:rsidR="003F734E" w:rsidRPr="00444131" w:rsidRDefault="003F734E" w:rsidP="00F6487E">
            <w:pPr>
              <w:spacing w:line="240" w:lineRule="auto"/>
              <w:jc w:val="center"/>
              <w:rPr>
                <w:sz w:val="16"/>
                <w:szCs w:val="16"/>
              </w:rPr>
            </w:pPr>
          </w:p>
        </w:tc>
        <w:tc>
          <w:tcPr>
            <w:tcW w:w="851"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2010</w:t>
            </w:r>
          </w:p>
        </w:tc>
        <w:tc>
          <w:tcPr>
            <w:tcW w:w="992"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NA</w:t>
            </w:r>
          </w:p>
        </w:tc>
        <w:tc>
          <w:tcPr>
            <w:tcW w:w="2265"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060927" w:rsidRDefault="00060927" w:rsidP="00F6487E">
            <w:pPr>
              <w:spacing w:line="240" w:lineRule="auto"/>
              <w:jc w:val="center"/>
              <w:rPr>
                <w:sz w:val="20"/>
                <w:szCs w:val="20"/>
              </w:rPr>
            </w:pPr>
            <w:r>
              <w:rPr>
                <w:sz w:val="20"/>
                <w:szCs w:val="20"/>
              </w:rPr>
              <w:t>NZ DoL 2011</w:t>
            </w:r>
          </w:p>
        </w:tc>
      </w:tr>
      <w:tr w:rsidR="003F734E" w:rsidTr="008334BC">
        <w:trPr>
          <w:cantSplit/>
        </w:trPr>
        <w:tc>
          <w:tcPr>
            <w:tcW w:w="1242"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South Africa</w:t>
            </w:r>
          </w:p>
          <w:p w:rsidR="003F734E" w:rsidRPr="005A1DC4" w:rsidRDefault="003F734E" w:rsidP="00F6487E">
            <w:pPr>
              <w:spacing w:line="240" w:lineRule="auto"/>
              <w:jc w:val="center"/>
              <w:rPr>
                <w:sz w:val="20"/>
                <w:szCs w:val="20"/>
              </w:rPr>
            </w:pPr>
            <w:r>
              <w:rPr>
                <w:sz w:val="20"/>
                <w:szCs w:val="20"/>
              </w:rPr>
              <w:t>(SA DoL)</w:t>
            </w:r>
          </w:p>
        </w:tc>
        <w:tc>
          <w:tcPr>
            <w:tcW w:w="895"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0.15</w:t>
            </w:r>
          </w:p>
        </w:tc>
        <w:tc>
          <w:tcPr>
            <w:tcW w:w="795"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NS</w:t>
            </w:r>
          </w:p>
        </w:tc>
        <w:tc>
          <w:tcPr>
            <w:tcW w:w="930"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 xml:space="preserve">60 </w:t>
            </w:r>
          </w:p>
          <w:p w:rsidR="003F734E" w:rsidRPr="003F734E" w:rsidRDefault="003F734E" w:rsidP="00554AC5">
            <w:pPr>
              <w:spacing w:line="240" w:lineRule="auto"/>
              <w:jc w:val="center"/>
              <w:rPr>
                <w:sz w:val="16"/>
                <w:szCs w:val="16"/>
              </w:rPr>
            </w:pPr>
            <w:r>
              <w:rPr>
                <w:sz w:val="16"/>
                <w:szCs w:val="16"/>
              </w:rPr>
              <w:t>(leg</w:t>
            </w:r>
            <w:r w:rsidR="00554AC5">
              <w:rPr>
                <w:sz w:val="16"/>
                <w:szCs w:val="16"/>
              </w:rPr>
              <w:t>is</w:t>
            </w:r>
            <w:r w:rsidR="004933B3">
              <w:rPr>
                <w:sz w:val="16"/>
                <w:szCs w:val="16"/>
              </w:rPr>
              <w:t>-</w:t>
            </w:r>
            <w:r w:rsidR="00554AC5">
              <w:rPr>
                <w:sz w:val="16"/>
                <w:szCs w:val="16"/>
              </w:rPr>
              <w:t>lated</w:t>
            </w:r>
            <w:r>
              <w:rPr>
                <w:sz w:val="16"/>
                <w:szCs w:val="16"/>
              </w:rPr>
              <w:t xml:space="preserve"> </w:t>
            </w:r>
            <w:r w:rsidR="00314205">
              <w:rPr>
                <w:sz w:val="16"/>
                <w:szCs w:val="16"/>
              </w:rPr>
              <w:t>BLRL</w:t>
            </w:r>
            <w:r>
              <w:rPr>
                <w:sz w:val="16"/>
                <w:szCs w:val="16"/>
              </w:rPr>
              <w:t>)</w:t>
            </w:r>
          </w:p>
        </w:tc>
        <w:tc>
          <w:tcPr>
            <w:tcW w:w="1318" w:type="dxa"/>
            <w:gridSpan w:val="4"/>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40</w:t>
            </w:r>
          </w:p>
          <w:p w:rsidR="003F734E" w:rsidRPr="00444131" w:rsidRDefault="003F734E" w:rsidP="00554AC5">
            <w:pPr>
              <w:spacing w:line="240" w:lineRule="auto"/>
              <w:jc w:val="center"/>
              <w:rPr>
                <w:sz w:val="16"/>
                <w:szCs w:val="16"/>
                <w:vertAlign w:val="superscript"/>
              </w:rPr>
            </w:pPr>
            <w:r w:rsidRPr="00444131">
              <w:rPr>
                <w:sz w:val="16"/>
                <w:szCs w:val="16"/>
              </w:rPr>
              <w:t>(leg</w:t>
            </w:r>
            <w:r w:rsidR="00554AC5">
              <w:rPr>
                <w:sz w:val="16"/>
                <w:szCs w:val="16"/>
              </w:rPr>
              <w:t>islated</w:t>
            </w:r>
            <w:r w:rsidRPr="00444131">
              <w:rPr>
                <w:sz w:val="16"/>
                <w:szCs w:val="16"/>
              </w:rPr>
              <w:t xml:space="preserve"> </w:t>
            </w:r>
            <w:r w:rsidR="00314205">
              <w:rPr>
                <w:sz w:val="16"/>
                <w:szCs w:val="16"/>
              </w:rPr>
              <w:t>BLRL</w:t>
            </w:r>
            <w:r w:rsidRPr="00444131">
              <w:rPr>
                <w:sz w:val="16"/>
                <w:szCs w:val="16"/>
              </w:rPr>
              <w:t>)</w:t>
            </w:r>
            <w:r>
              <w:rPr>
                <w:sz w:val="16"/>
                <w:szCs w:val="16"/>
              </w:rPr>
              <w:t xml:space="preserve"> </w:t>
            </w:r>
            <w:r w:rsidR="00347839">
              <w:rPr>
                <w:sz w:val="20"/>
                <w:szCs w:val="16"/>
                <w:vertAlign w:val="superscript"/>
              </w:rPr>
              <w:t>j</w:t>
            </w:r>
          </w:p>
        </w:tc>
        <w:tc>
          <w:tcPr>
            <w:tcW w:w="851"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2002</w:t>
            </w:r>
          </w:p>
        </w:tc>
        <w:tc>
          <w:tcPr>
            <w:tcW w:w="992"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3F734E" w:rsidRDefault="003F734E" w:rsidP="00F6487E">
            <w:pPr>
              <w:spacing w:line="240" w:lineRule="auto"/>
              <w:jc w:val="center"/>
              <w:rPr>
                <w:sz w:val="20"/>
                <w:szCs w:val="20"/>
              </w:rPr>
            </w:pPr>
            <w:r>
              <w:rPr>
                <w:sz w:val="20"/>
                <w:szCs w:val="20"/>
              </w:rPr>
              <w:t>SA DoL 2002</w:t>
            </w:r>
          </w:p>
        </w:tc>
      </w:tr>
      <w:tr w:rsidR="00B84850" w:rsidTr="008334BC">
        <w:trPr>
          <w:cantSplit/>
        </w:trPr>
        <w:tc>
          <w:tcPr>
            <w:tcW w:w="1242" w:type="dxa"/>
            <w:tcBorders>
              <w:top w:val="single" w:sz="8" w:space="0" w:color="auto"/>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r>
              <w:rPr>
                <w:sz w:val="20"/>
                <w:szCs w:val="20"/>
              </w:rPr>
              <w:t>Spain</w:t>
            </w:r>
          </w:p>
          <w:p w:rsidR="00B84850" w:rsidRPr="005E287F" w:rsidRDefault="00B84850" w:rsidP="00F6487E">
            <w:pPr>
              <w:spacing w:line="240" w:lineRule="auto"/>
              <w:jc w:val="center"/>
              <w:rPr>
                <w:sz w:val="20"/>
                <w:szCs w:val="20"/>
              </w:rPr>
            </w:pPr>
            <w:r>
              <w:rPr>
                <w:sz w:val="20"/>
                <w:szCs w:val="20"/>
              </w:rPr>
              <w:t>(INSHT)</w:t>
            </w:r>
          </w:p>
        </w:tc>
        <w:tc>
          <w:tcPr>
            <w:tcW w:w="8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0.15</w:t>
            </w:r>
          </w:p>
        </w:tc>
        <w:tc>
          <w:tcPr>
            <w:tcW w:w="7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48" w:type="dxa"/>
            <w:gridSpan w:val="5"/>
            <w:tcBorders>
              <w:top w:val="single" w:sz="8" w:space="0" w:color="auto"/>
              <w:bottom w:val="single" w:sz="8" w:space="0" w:color="auto"/>
            </w:tcBorders>
            <w:shd w:val="clear" w:color="auto" w:fill="FFFFFF" w:themeFill="background1"/>
            <w:vAlign w:val="center"/>
          </w:tcPr>
          <w:p w:rsidR="004933B3" w:rsidRDefault="004933B3" w:rsidP="00F6487E">
            <w:pPr>
              <w:spacing w:line="240" w:lineRule="auto"/>
              <w:jc w:val="center"/>
              <w:rPr>
                <w:sz w:val="20"/>
                <w:szCs w:val="20"/>
              </w:rPr>
            </w:pPr>
          </w:p>
          <w:p w:rsidR="00B84850" w:rsidRDefault="00B84850" w:rsidP="00F6487E">
            <w:pPr>
              <w:spacing w:line="240" w:lineRule="auto"/>
              <w:jc w:val="center"/>
              <w:rPr>
                <w:sz w:val="20"/>
                <w:szCs w:val="20"/>
              </w:rPr>
            </w:pPr>
            <w:r>
              <w:rPr>
                <w:sz w:val="20"/>
                <w:szCs w:val="20"/>
              </w:rPr>
              <w:t>70</w:t>
            </w:r>
          </w:p>
          <w:p w:rsidR="004933B3" w:rsidRPr="005E287F" w:rsidRDefault="004933B3" w:rsidP="00B2307D">
            <w:pPr>
              <w:spacing w:line="240" w:lineRule="auto"/>
              <w:rPr>
                <w:sz w:val="20"/>
                <w:szCs w:val="20"/>
              </w:rPr>
            </w:pPr>
          </w:p>
        </w:tc>
        <w:tc>
          <w:tcPr>
            <w:tcW w:w="851"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B84850" w:rsidRPr="005E287F" w:rsidRDefault="00FA719D" w:rsidP="00FA719D">
            <w:pPr>
              <w:spacing w:line="240" w:lineRule="auto"/>
              <w:jc w:val="center"/>
              <w:rPr>
                <w:sz w:val="20"/>
                <w:szCs w:val="20"/>
              </w:rPr>
            </w:pPr>
            <w:r>
              <w:rPr>
                <w:sz w:val="20"/>
                <w:szCs w:val="20"/>
              </w:rPr>
              <w:t>Same as</w:t>
            </w:r>
            <w:r w:rsidR="00B84850">
              <w:rPr>
                <w:sz w:val="20"/>
                <w:szCs w:val="20"/>
              </w:rPr>
              <w:t xml:space="preserve"> the EC (1998) regulations.</w:t>
            </w:r>
          </w:p>
        </w:tc>
        <w:tc>
          <w:tcPr>
            <w:tcW w:w="184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INSHT 2013</w:t>
            </w:r>
          </w:p>
        </w:tc>
      </w:tr>
      <w:tr w:rsidR="00B84850" w:rsidTr="008334BC">
        <w:trPr>
          <w:cantSplit/>
          <w:trHeight w:val="130"/>
        </w:trPr>
        <w:tc>
          <w:tcPr>
            <w:tcW w:w="1242" w:type="dxa"/>
            <w:vMerge w:val="restart"/>
            <w:tcBorders>
              <w:top w:val="single" w:sz="8" w:space="0" w:color="auto"/>
            </w:tcBorders>
            <w:shd w:val="clear" w:color="auto" w:fill="FFFFFF" w:themeFill="background1"/>
            <w:vAlign w:val="center"/>
          </w:tcPr>
          <w:p w:rsidR="00B84850" w:rsidRDefault="00B84850" w:rsidP="00F6487E">
            <w:pPr>
              <w:spacing w:line="240" w:lineRule="auto"/>
              <w:jc w:val="center"/>
              <w:rPr>
                <w:sz w:val="20"/>
                <w:szCs w:val="20"/>
              </w:rPr>
            </w:pPr>
            <w:r>
              <w:rPr>
                <w:sz w:val="20"/>
                <w:szCs w:val="20"/>
              </w:rPr>
              <w:t>Sweden</w:t>
            </w:r>
          </w:p>
          <w:p w:rsidR="00B84850" w:rsidRPr="005E287F" w:rsidRDefault="00B84850" w:rsidP="00F6487E">
            <w:pPr>
              <w:spacing w:line="240" w:lineRule="auto"/>
              <w:jc w:val="center"/>
              <w:rPr>
                <w:sz w:val="20"/>
                <w:szCs w:val="20"/>
              </w:rPr>
            </w:pPr>
            <w:r>
              <w:rPr>
                <w:sz w:val="20"/>
                <w:szCs w:val="20"/>
              </w:rPr>
              <w:t>(SWEA)</w:t>
            </w:r>
          </w:p>
        </w:tc>
        <w:tc>
          <w:tcPr>
            <w:tcW w:w="895" w:type="dxa"/>
            <w:tcBorders>
              <w:top w:val="single" w:sz="8" w:space="0" w:color="auto"/>
              <w:bottom w:val="single" w:sz="6"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0.1</w:t>
            </w:r>
          </w:p>
        </w:tc>
        <w:tc>
          <w:tcPr>
            <w:tcW w:w="795" w:type="dxa"/>
            <w:vMerge w:val="restart"/>
            <w:tcBorders>
              <w:top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1993</w:t>
            </w:r>
          </w:p>
        </w:tc>
        <w:tc>
          <w:tcPr>
            <w:tcW w:w="914" w:type="dxa"/>
            <w:vMerge w:val="restart"/>
            <w:tcBorders>
              <w:top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1134" w:type="dxa"/>
            <w:tcBorders>
              <w:top w:val="single" w:sz="8" w:space="0" w:color="auto"/>
              <w:bottom w:val="single" w:sz="6" w:space="0" w:color="auto"/>
            </w:tcBorders>
            <w:shd w:val="clear" w:color="auto" w:fill="FFFFFF" w:themeFill="background1"/>
            <w:vAlign w:val="center"/>
          </w:tcPr>
          <w:p w:rsidR="00B84850" w:rsidRPr="00DD1102" w:rsidRDefault="00B84850" w:rsidP="00F6487E">
            <w:pPr>
              <w:spacing w:line="240" w:lineRule="auto"/>
              <w:jc w:val="center"/>
              <w:rPr>
                <w:sz w:val="18"/>
                <w:szCs w:val="18"/>
              </w:rPr>
            </w:pPr>
            <w:r w:rsidRPr="00DD1102">
              <w:rPr>
                <w:sz w:val="18"/>
                <w:szCs w:val="18"/>
              </w:rPr>
              <w:t>Total dust</w:t>
            </w:r>
          </w:p>
        </w:tc>
        <w:tc>
          <w:tcPr>
            <w:tcW w:w="940" w:type="dxa"/>
            <w:gridSpan w:val="2"/>
            <w:vMerge w:val="restart"/>
            <w:tcBorders>
              <w:top w:val="single" w:sz="8" w:space="0" w:color="auto"/>
            </w:tcBorders>
            <w:shd w:val="clear" w:color="auto" w:fill="FFFFFF" w:themeFill="background1"/>
            <w:vAlign w:val="center"/>
          </w:tcPr>
          <w:p w:rsidR="00B977F9" w:rsidRDefault="00B84850" w:rsidP="00F6487E">
            <w:pPr>
              <w:spacing w:line="240" w:lineRule="auto"/>
              <w:jc w:val="center"/>
              <w:rPr>
                <w:sz w:val="20"/>
                <w:szCs w:val="20"/>
              </w:rPr>
            </w:pPr>
            <w:r>
              <w:rPr>
                <w:sz w:val="20"/>
                <w:szCs w:val="20"/>
              </w:rPr>
              <w:t>40</w:t>
            </w:r>
          </w:p>
          <w:p w:rsidR="00B84850" w:rsidRPr="003469B3" w:rsidRDefault="00B977F9" w:rsidP="00554AC5">
            <w:pPr>
              <w:spacing w:line="240" w:lineRule="auto"/>
              <w:jc w:val="center"/>
              <w:rPr>
                <w:sz w:val="20"/>
                <w:szCs w:val="20"/>
                <w:vertAlign w:val="superscript"/>
              </w:rPr>
            </w:pPr>
            <w:r>
              <w:rPr>
                <w:sz w:val="16"/>
                <w:szCs w:val="16"/>
              </w:rPr>
              <w:t>(leg</w:t>
            </w:r>
            <w:r w:rsidR="00554AC5">
              <w:rPr>
                <w:sz w:val="16"/>
                <w:szCs w:val="16"/>
              </w:rPr>
              <w:t>is</w:t>
            </w:r>
            <w:r w:rsidR="004933B3">
              <w:rPr>
                <w:sz w:val="16"/>
                <w:szCs w:val="16"/>
              </w:rPr>
              <w:t>-</w:t>
            </w:r>
            <w:r w:rsidR="00554AC5">
              <w:rPr>
                <w:sz w:val="16"/>
                <w:szCs w:val="16"/>
              </w:rPr>
              <w:t>lated</w:t>
            </w:r>
            <w:r>
              <w:rPr>
                <w:sz w:val="16"/>
                <w:szCs w:val="16"/>
              </w:rPr>
              <w:t xml:space="preserve"> </w:t>
            </w:r>
            <w:r w:rsidR="00314205">
              <w:rPr>
                <w:sz w:val="16"/>
                <w:szCs w:val="16"/>
              </w:rPr>
              <w:t>BLRL</w:t>
            </w:r>
            <w:r>
              <w:rPr>
                <w:sz w:val="16"/>
                <w:szCs w:val="16"/>
              </w:rPr>
              <w:t>)</w:t>
            </w:r>
            <w:r w:rsidR="00B84850">
              <w:rPr>
                <w:sz w:val="20"/>
                <w:szCs w:val="20"/>
              </w:rPr>
              <w:t xml:space="preserve"> </w:t>
            </w:r>
            <w:r w:rsidR="00E042C2">
              <w:rPr>
                <w:sz w:val="20"/>
                <w:szCs w:val="20"/>
                <w:vertAlign w:val="superscript"/>
              </w:rPr>
              <w:t>k</w:t>
            </w:r>
          </w:p>
        </w:tc>
        <w:tc>
          <w:tcPr>
            <w:tcW w:w="610" w:type="dxa"/>
            <w:gridSpan w:val="2"/>
            <w:vMerge w:val="restart"/>
            <w:tcBorders>
              <w:top w:val="single" w:sz="8" w:space="0" w:color="auto"/>
            </w:tcBorders>
            <w:shd w:val="clear" w:color="auto" w:fill="FFFFFF" w:themeFill="background1"/>
            <w:vAlign w:val="center"/>
          </w:tcPr>
          <w:p w:rsidR="00B977F9" w:rsidRDefault="00B84850" w:rsidP="00F6487E">
            <w:pPr>
              <w:spacing w:line="240" w:lineRule="auto"/>
              <w:jc w:val="center"/>
              <w:rPr>
                <w:sz w:val="20"/>
                <w:szCs w:val="20"/>
              </w:rPr>
            </w:pPr>
            <w:r>
              <w:rPr>
                <w:sz w:val="20"/>
                <w:szCs w:val="20"/>
              </w:rPr>
              <w:t xml:space="preserve">25 </w:t>
            </w:r>
          </w:p>
          <w:p w:rsidR="00B84850" w:rsidRPr="003469B3" w:rsidRDefault="00B977F9" w:rsidP="00554AC5">
            <w:pPr>
              <w:spacing w:line="240" w:lineRule="auto"/>
              <w:jc w:val="center"/>
              <w:rPr>
                <w:sz w:val="20"/>
                <w:szCs w:val="20"/>
                <w:vertAlign w:val="superscript"/>
              </w:rPr>
            </w:pPr>
            <w:r w:rsidRPr="00B977F9">
              <w:rPr>
                <w:sz w:val="12"/>
                <w:szCs w:val="12"/>
              </w:rPr>
              <w:t>(leg</w:t>
            </w:r>
            <w:r w:rsidR="00554AC5">
              <w:rPr>
                <w:sz w:val="12"/>
                <w:szCs w:val="12"/>
              </w:rPr>
              <w:t>is</w:t>
            </w:r>
            <w:r w:rsidR="004933B3">
              <w:rPr>
                <w:sz w:val="12"/>
                <w:szCs w:val="12"/>
              </w:rPr>
              <w:t>-</w:t>
            </w:r>
            <w:r w:rsidR="00554AC5">
              <w:rPr>
                <w:sz w:val="12"/>
                <w:szCs w:val="12"/>
              </w:rPr>
              <w:t>lated</w:t>
            </w:r>
            <w:r w:rsidRPr="00B977F9">
              <w:rPr>
                <w:sz w:val="12"/>
                <w:szCs w:val="12"/>
              </w:rPr>
              <w:t xml:space="preserve"> </w:t>
            </w:r>
            <w:r w:rsidR="00314205">
              <w:rPr>
                <w:sz w:val="12"/>
                <w:szCs w:val="12"/>
              </w:rPr>
              <w:t>BLRL</w:t>
            </w:r>
            <w:r w:rsidRPr="00B977F9">
              <w:rPr>
                <w:sz w:val="12"/>
                <w:szCs w:val="12"/>
              </w:rPr>
              <w:t>)</w:t>
            </w:r>
            <w:r w:rsidR="00E042C2">
              <w:rPr>
                <w:sz w:val="20"/>
                <w:szCs w:val="20"/>
                <w:vertAlign w:val="superscript"/>
              </w:rPr>
              <w:t>k</w:t>
            </w:r>
          </w:p>
        </w:tc>
        <w:tc>
          <w:tcPr>
            <w:tcW w:w="698" w:type="dxa"/>
            <w:vMerge w:val="restart"/>
            <w:tcBorders>
              <w:top w:val="single" w:sz="8" w:space="0" w:color="auto"/>
            </w:tcBorders>
            <w:shd w:val="clear" w:color="auto" w:fill="D9D9D9" w:themeFill="background1" w:themeFillShade="D9"/>
            <w:vAlign w:val="center"/>
          </w:tcPr>
          <w:p w:rsidR="00B84850" w:rsidRPr="003469B3" w:rsidRDefault="00EC2BAE" w:rsidP="00F6487E">
            <w:pPr>
              <w:spacing w:line="240" w:lineRule="auto"/>
              <w:jc w:val="center"/>
              <w:rPr>
                <w:sz w:val="20"/>
                <w:szCs w:val="20"/>
                <w:vertAlign w:val="superscript"/>
              </w:rPr>
            </w:pPr>
            <w:r>
              <w:rPr>
                <w:sz w:val="14"/>
                <w:szCs w:val="14"/>
              </w:rPr>
              <w:t>Not perm-itted</w:t>
            </w:r>
            <w:r w:rsidR="005A44F6">
              <w:rPr>
                <w:sz w:val="14"/>
                <w:szCs w:val="14"/>
              </w:rPr>
              <w:t xml:space="preserve"> to work </w:t>
            </w:r>
            <w:r w:rsidR="00E042C2">
              <w:rPr>
                <w:sz w:val="20"/>
                <w:szCs w:val="20"/>
                <w:vertAlign w:val="superscript"/>
              </w:rPr>
              <w:t>k</w:t>
            </w:r>
          </w:p>
        </w:tc>
        <w:tc>
          <w:tcPr>
            <w:tcW w:w="851" w:type="dxa"/>
            <w:vMerge w:val="restart"/>
            <w:tcBorders>
              <w:top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92" w:type="dxa"/>
            <w:vMerge w:val="restart"/>
            <w:tcBorders>
              <w:top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65" w:type="dxa"/>
            <w:vMerge w:val="restart"/>
            <w:tcBorders>
              <w:top w:val="single" w:sz="8" w:space="0" w:color="auto"/>
            </w:tcBorders>
            <w:shd w:val="clear" w:color="auto" w:fill="FFFFFF" w:themeFill="background1"/>
            <w:vAlign w:val="center"/>
          </w:tcPr>
          <w:p w:rsidR="00B84850" w:rsidRPr="005E287F" w:rsidRDefault="00754780" w:rsidP="00F6487E">
            <w:pPr>
              <w:spacing w:line="240" w:lineRule="auto"/>
              <w:jc w:val="center"/>
              <w:rPr>
                <w:sz w:val="20"/>
                <w:szCs w:val="20"/>
              </w:rPr>
            </w:pPr>
            <w:r>
              <w:rPr>
                <w:sz w:val="18"/>
                <w:szCs w:val="18"/>
              </w:rPr>
              <w:t>Lead</w:t>
            </w:r>
            <w:r w:rsidR="005A44F6">
              <w:rPr>
                <w:sz w:val="18"/>
                <w:szCs w:val="18"/>
              </w:rPr>
              <w:t>-related work is completely forbidden for pregnant or breast-feeding workers.</w:t>
            </w:r>
          </w:p>
        </w:tc>
        <w:tc>
          <w:tcPr>
            <w:tcW w:w="1842" w:type="dxa"/>
            <w:vMerge w:val="restart"/>
            <w:tcBorders>
              <w:top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SWEA 2005a, b, NIWL 2005</w:t>
            </w:r>
          </w:p>
        </w:tc>
      </w:tr>
      <w:tr w:rsidR="00B84850" w:rsidTr="008334BC">
        <w:trPr>
          <w:cantSplit/>
          <w:trHeight w:val="100"/>
        </w:trPr>
        <w:tc>
          <w:tcPr>
            <w:tcW w:w="1242" w:type="dxa"/>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895" w:type="dxa"/>
            <w:tcBorders>
              <w:top w:val="single" w:sz="6" w:space="0" w:color="auto"/>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r>
              <w:rPr>
                <w:sz w:val="20"/>
                <w:szCs w:val="20"/>
              </w:rPr>
              <w:t>0.05</w:t>
            </w:r>
          </w:p>
        </w:tc>
        <w:tc>
          <w:tcPr>
            <w:tcW w:w="795" w:type="dxa"/>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914" w:type="dxa"/>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1134" w:type="dxa"/>
            <w:tcBorders>
              <w:top w:val="single" w:sz="6" w:space="0" w:color="auto"/>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r w:rsidRPr="00DD1102">
              <w:rPr>
                <w:sz w:val="18"/>
                <w:szCs w:val="18"/>
              </w:rPr>
              <w:t>Respirable dust</w:t>
            </w:r>
          </w:p>
        </w:tc>
        <w:tc>
          <w:tcPr>
            <w:tcW w:w="940" w:type="dxa"/>
            <w:gridSpan w:val="2"/>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610" w:type="dxa"/>
            <w:gridSpan w:val="2"/>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698" w:type="dxa"/>
            <w:vMerge/>
            <w:tcBorders>
              <w:bottom w:val="single" w:sz="8" w:space="0" w:color="auto"/>
            </w:tcBorders>
            <w:shd w:val="clear" w:color="auto" w:fill="D9D9D9" w:themeFill="background1" w:themeFillShade="D9"/>
            <w:vAlign w:val="center"/>
          </w:tcPr>
          <w:p w:rsidR="00B84850" w:rsidRDefault="00B84850" w:rsidP="00F6487E">
            <w:pPr>
              <w:spacing w:line="240" w:lineRule="auto"/>
              <w:jc w:val="center"/>
              <w:rPr>
                <w:sz w:val="20"/>
                <w:szCs w:val="20"/>
              </w:rPr>
            </w:pPr>
          </w:p>
        </w:tc>
        <w:tc>
          <w:tcPr>
            <w:tcW w:w="851" w:type="dxa"/>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992" w:type="dxa"/>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2265" w:type="dxa"/>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c>
          <w:tcPr>
            <w:tcW w:w="1842" w:type="dxa"/>
            <w:vMerge/>
            <w:tcBorders>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p>
        </w:tc>
      </w:tr>
      <w:tr w:rsidR="00B84850" w:rsidTr="008334BC">
        <w:trPr>
          <w:cantSplit/>
        </w:trPr>
        <w:tc>
          <w:tcPr>
            <w:tcW w:w="1242" w:type="dxa"/>
            <w:tcBorders>
              <w:top w:val="single" w:sz="8" w:space="0" w:color="auto"/>
              <w:bottom w:val="single" w:sz="8" w:space="0" w:color="auto"/>
            </w:tcBorders>
            <w:shd w:val="clear" w:color="auto" w:fill="FFFFFF" w:themeFill="background1"/>
            <w:vAlign w:val="center"/>
          </w:tcPr>
          <w:p w:rsidR="00B84850" w:rsidRDefault="00B84850" w:rsidP="00F6487E">
            <w:pPr>
              <w:spacing w:line="240" w:lineRule="auto"/>
              <w:jc w:val="center"/>
              <w:rPr>
                <w:sz w:val="16"/>
                <w:szCs w:val="16"/>
              </w:rPr>
            </w:pPr>
            <w:r w:rsidRPr="007B3182">
              <w:rPr>
                <w:sz w:val="16"/>
                <w:szCs w:val="16"/>
              </w:rPr>
              <w:t>Switzerland</w:t>
            </w:r>
          </w:p>
          <w:p w:rsidR="00B84850" w:rsidRPr="007B3182" w:rsidRDefault="00B84850" w:rsidP="00F6487E">
            <w:pPr>
              <w:spacing w:line="240" w:lineRule="auto"/>
              <w:jc w:val="center"/>
              <w:rPr>
                <w:sz w:val="20"/>
                <w:szCs w:val="20"/>
              </w:rPr>
            </w:pPr>
            <w:r>
              <w:rPr>
                <w:sz w:val="20"/>
                <w:szCs w:val="20"/>
              </w:rPr>
              <w:t>(SUVA)</w:t>
            </w:r>
          </w:p>
        </w:tc>
        <w:tc>
          <w:tcPr>
            <w:tcW w:w="8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0.1</w:t>
            </w:r>
          </w:p>
        </w:tc>
        <w:tc>
          <w:tcPr>
            <w:tcW w:w="7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40" w:type="dxa"/>
            <w:gridSpan w:val="2"/>
            <w:tcBorders>
              <w:top w:val="single" w:sz="8" w:space="0" w:color="auto"/>
              <w:bottom w:val="single" w:sz="8" w:space="0" w:color="auto"/>
            </w:tcBorders>
            <w:shd w:val="clear" w:color="auto" w:fill="FFFFFF" w:themeFill="background1"/>
            <w:vAlign w:val="center"/>
          </w:tcPr>
          <w:p w:rsidR="004933B3" w:rsidRPr="00AE7888" w:rsidRDefault="00B84850" w:rsidP="00B2307D">
            <w:pPr>
              <w:spacing w:line="240" w:lineRule="auto"/>
              <w:jc w:val="center"/>
              <w:rPr>
                <w:sz w:val="20"/>
                <w:szCs w:val="20"/>
                <w:vertAlign w:val="superscript"/>
              </w:rPr>
            </w:pPr>
            <w:r>
              <w:rPr>
                <w:sz w:val="20"/>
                <w:szCs w:val="20"/>
              </w:rPr>
              <w:t xml:space="preserve">40 </w:t>
            </w:r>
            <w:r w:rsidR="00E042C2">
              <w:rPr>
                <w:sz w:val="20"/>
                <w:szCs w:val="20"/>
                <w:vertAlign w:val="superscript"/>
              </w:rPr>
              <w:t>l</w:t>
            </w:r>
          </w:p>
        </w:tc>
        <w:tc>
          <w:tcPr>
            <w:tcW w:w="1308" w:type="dxa"/>
            <w:gridSpan w:val="3"/>
            <w:tcBorders>
              <w:top w:val="single" w:sz="8" w:space="0" w:color="auto"/>
              <w:bottom w:val="single" w:sz="8" w:space="0" w:color="auto"/>
            </w:tcBorders>
            <w:shd w:val="clear" w:color="auto" w:fill="FFFFFF" w:themeFill="background1"/>
            <w:vAlign w:val="center"/>
          </w:tcPr>
          <w:p w:rsidR="004933B3" w:rsidRPr="00AE7888" w:rsidRDefault="00B84850" w:rsidP="00B2307D">
            <w:pPr>
              <w:spacing w:line="240" w:lineRule="auto"/>
              <w:jc w:val="center"/>
              <w:rPr>
                <w:sz w:val="20"/>
                <w:szCs w:val="20"/>
                <w:vertAlign w:val="superscript"/>
              </w:rPr>
            </w:pPr>
            <w:r>
              <w:rPr>
                <w:sz w:val="20"/>
                <w:szCs w:val="20"/>
              </w:rPr>
              <w:t xml:space="preserve">10 </w:t>
            </w:r>
            <w:r w:rsidR="00E042C2">
              <w:rPr>
                <w:sz w:val="20"/>
                <w:szCs w:val="20"/>
                <w:vertAlign w:val="superscript"/>
              </w:rPr>
              <w:t>l</w:t>
            </w:r>
          </w:p>
        </w:tc>
        <w:tc>
          <w:tcPr>
            <w:tcW w:w="851"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B84850" w:rsidRDefault="00FA719D" w:rsidP="00F6487E">
            <w:pPr>
              <w:spacing w:line="240" w:lineRule="auto"/>
              <w:jc w:val="center"/>
              <w:rPr>
                <w:sz w:val="20"/>
                <w:szCs w:val="20"/>
              </w:rPr>
            </w:pPr>
            <w:r>
              <w:rPr>
                <w:sz w:val="20"/>
                <w:szCs w:val="20"/>
              </w:rPr>
              <w:t>Same as</w:t>
            </w:r>
            <w:r w:rsidR="00B84850">
              <w:rPr>
                <w:sz w:val="20"/>
                <w:szCs w:val="20"/>
              </w:rPr>
              <w:t xml:space="preserve"> the German DFG (2005) values</w:t>
            </w:r>
          </w:p>
          <w:p w:rsidR="00B84850" w:rsidRPr="005E287F" w:rsidRDefault="00B84850" w:rsidP="00F6487E">
            <w:pPr>
              <w:spacing w:line="240" w:lineRule="auto"/>
              <w:jc w:val="center"/>
              <w:rPr>
                <w:sz w:val="20"/>
                <w:szCs w:val="20"/>
              </w:rPr>
            </w:pPr>
            <w:r>
              <w:rPr>
                <w:sz w:val="20"/>
                <w:szCs w:val="20"/>
              </w:rPr>
              <w:t>(see Section 2.</w:t>
            </w:r>
            <w:r w:rsidR="00FA719D">
              <w:rPr>
                <w:sz w:val="20"/>
                <w:szCs w:val="20"/>
              </w:rPr>
              <w:t>1</w:t>
            </w:r>
            <w:r>
              <w:rPr>
                <w:sz w:val="20"/>
                <w:szCs w:val="20"/>
              </w:rPr>
              <w:t>.2)</w:t>
            </w:r>
          </w:p>
        </w:tc>
        <w:tc>
          <w:tcPr>
            <w:tcW w:w="184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SUVA 2013</w:t>
            </w:r>
          </w:p>
        </w:tc>
      </w:tr>
      <w:tr w:rsidR="00B84850" w:rsidTr="008334BC">
        <w:trPr>
          <w:cantSplit/>
        </w:trPr>
        <w:tc>
          <w:tcPr>
            <w:tcW w:w="1242" w:type="dxa"/>
            <w:tcBorders>
              <w:top w:val="single" w:sz="8" w:space="0" w:color="auto"/>
              <w:bottom w:val="single" w:sz="8" w:space="0" w:color="auto"/>
            </w:tcBorders>
            <w:shd w:val="clear" w:color="auto" w:fill="FFFFFF" w:themeFill="background1"/>
            <w:vAlign w:val="center"/>
          </w:tcPr>
          <w:p w:rsidR="00B84850" w:rsidRDefault="00B84850" w:rsidP="00F6487E">
            <w:pPr>
              <w:spacing w:line="240" w:lineRule="auto"/>
              <w:jc w:val="center"/>
              <w:rPr>
                <w:sz w:val="20"/>
                <w:szCs w:val="20"/>
              </w:rPr>
            </w:pPr>
            <w:r>
              <w:rPr>
                <w:sz w:val="20"/>
                <w:szCs w:val="20"/>
              </w:rPr>
              <w:t>UK</w:t>
            </w:r>
          </w:p>
          <w:p w:rsidR="00B84850" w:rsidRPr="005E287F" w:rsidRDefault="00B84850" w:rsidP="00F6487E">
            <w:pPr>
              <w:spacing w:line="240" w:lineRule="auto"/>
              <w:jc w:val="center"/>
              <w:rPr>
                <w:sz w:val="20"/>
                <w:szCs w:val="20"/>
              </w:rPr>
            </w:pPr>
            <w:r>
              <w:rPr>
                <w:sz w:val="20"/>
                <w:szCs w:val="20"/>
              </w:rPr>
              <w:t>(HSE)</w:t>
            </w:r>
          </w:p>
        </w:tc>
        <w:tc>
          <w:tcPr>
            <w:tcW w:w="8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0.15</w:t>
            </w:r>
          </w:p>
        </w:tc>
        <w:tc>
          <w:tcPr>
            <w:tcW w:w="79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1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1134"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Inhalable</w:t>
            </w:r>
          </w:p>
        </w:tc>
        <w:tc>
          <w:tcPr>
            <w:tcW w:w="940" w:type="dxa"/>
            <w:gridSpan w:val="2"/>
            <w:tcBorders>
              <w:top w:val="single" w:sz="8" w:space="0" w:color="auto"/>
              <w:bottom w:val="single" w:sz="8" w:space="0" w:color="auto"/>
            </w:tcBorders>
            <w:shd w:val="clear" w:color="auto" w:fill="FFFFFF" w:themeFill="background1"/>
            <w:vAlign w:val="center"/>
          </w:tcPr>
          <w:p w:rsidR="00B977F9" w:rsidRDefault="00B84850" w:rsidP="00F6487E">
            <w:pPr>
              <w:spacing w:line="240" w:lineRule="auto"/>
              <w:jc w:val="center"/>
              <w:rPr>
                <w:sz w:val="20"/>
                <w:szCs w:val="20"/>
              </w:rPr>
            </w:pPr>
            <w:r>
              <w:rPr>
                <w:sz w:val="20"/>
                <w:szCs w:val="20"/>
              </w:rPr>
              <w:t>60</w:t>
            </w:r>
          </w:p>
          <w:p w:rsidR="00B84850" w:rsidRPr="007E7205" w:rsidRDefault="00B977F9" w:rsidP="00554AC5">
            <w:pPr>
              <w:spacing w:line="240" w:lineRule="auto"/>
              <w:jc w:val="center"/>
              <w:rPr>
                <w:sz w:val="20"/>
                <w:szCs w:val="20"/>
                <w:vertAlign w:val="superscript"/>
              </w:rPr>
            </w:pPr>
            <w:r w:rsidRPr="00B977F9">
              <w:rPr>
                <w:sz w:val="16"/>
                <w:szCs w:val="16"/>
              </w:rPr>
              <w:t>(leg</w:t>
            </w:r>
            <w:r w:rsidR="00554AC5">
              <w:rPr>
                <w:sz w:val="16"/>
                <w:szCs w:val="16"/>
              </w:rPr>
              <w:t>is</w:t>
            </w:r>
            <w:r w:rsidR="004933B3">
              <w:rPr>
                <w:sz w:val="16"/>
                <w:szCs w:val="16"/>
              </w:rPr>
              <w:t>-</w:t>
            </w:r>
            <w:r w:rsidR="00554AC5">
              <w:rPr>
                <w:sz w:val="16"/>
                <w:szCs w:val="16"/>
              </w:rPr>
              <w:t>lated</w:t>
            </w:r>
            <w:r w:rsidRPr="00B977F9">
              <w:rPr>
                <w:sz w:val="16"/>
                <w:szCs w:val="16"/>
              </w:rPr>
              <w:t xml:space="preserve"> </w:t>
            </w:r>
            <w:r w:rsidR="00314205">
              <w:rPr>
                <w:sz w:val="16"/>
                <w:szCs w:val="16"/>
              </w:rPr>
              <w:t>BLRL</w:t>
            </w:r>
            <w:r w:rsidRPr="00B977F9">
              <w:rPr>
                <w:sz w:val="16"/>
                <w:szCs w:val="16"/>
              </w:rPr>
              <w:t>)</w:t>
            </w:r>
            <w:r w:rsidR="00B84850">
              <w:rPr>
                <w:sz w:val="20"/>
                <w:szCs w:val="20"/>
              </w:rPr>
              <w:t xml:space="preserve"> </w:t>
            </w:r>
            <w:r w:rsidR="00E042C2">
              <w:rPr>
                <w:sz w:val="20"/>
                <w:szCs w:val="20"/>
                <w:vertAlign w:val="superscript"/>
              </w:rPr>
              <w:t>m</w:t>
            </w:r>
          </w:p>
        </w:tc>
        <w:tc>
          <w:tcPr>
            <w:tcW w:w="596" w:type="dxa"/>
            <w:tcBorders>
              <w:top w:val="single" w:sz="8" w:space="0" w:color="auto"/>
              <w:bottom w:val="single" w:sz="8" w:space="0" w:color="auto"/>
            </w:tcBorders>
            <w:shd w:val="clear" w:color="auto" w:fill="FFFFFF" w:themeFill="background1"/>
            <w:vAlign w:val="center"/>
          </w:tcPr>
          <w:p w:rsidR="00B84850" w:rsidRPr="007E7205" w:rsidRDefault="00E042C2" w:rsidP="00554AC5">
            <w:pPr>
              <w:spacing w:line="240" w:lineRule="auto"/>
              <w:jc w:val="center"/>
              <w:rPr>
                <w:sz w:val="20"/>
                <w:szCs w:val="20"/>
                <w:vertAlign w:val="superscript"/>
              </w:rPr>
            </w:pPr>
            <w:r>
              <w:rPr>
                <w:sz w:val="20"/>
                <w:szCs w:val="20"/>
              </w:rPr>
              <w:t>30</w:t>
            </w:r>
            <w:r w:rsidR="00B977F9">
              <w:rPr>
                <w:sz w:val="20"/>
                <w:szCs w:val="20"/>
              </w:rPr>
              <w:t xml:space="preserve"> </w:t>
            </w:r>
            <w:r w:rsidR="00B977F9" w:rsidRPr="00B977F9">
              <w:rPr>
                <w:sz w:val="12"/>
                <w:szCs w:val="12"/>
              </w:rPr>
              <w:t>(leg</w:t>
            </w:r>
            <w:r w:rsidR="00554AC5">
              <w:rPr>
                <w:sz w:val="12"/>
                <w:szCs w:val="12"/>
              </w:rPr>
              <w:t>is</w:t>
            </w:r>
            <w:r w:rsidR="004933B3">
              <w:rPr>
                <w:sz w:val="12"/>
                <w:szCs w:val="12"/>
              </w:rPr>
              <w:t>-</w:t>
            </w:r>
            <w:r w:rsidR="00554AC5">
              <w:rPr>
                <w:sz w:val="12"/>
                <w:szCs w:val="12"/>
              </w:rPr>
              <w:t>lated</w:t>
            </w:r>
            <w:r w:rsidR="00B977F9" w:rsidRPr="00B977F9">
              <w:rPr>
                <w:sz w:val="12"/>
                <w:szCs w:val="12"/>
              </w:rPr>
              <w:t xml:space="preserve"> </w:t>
            </w:r>
            <w:r w:rsidR="00314205">
              <w:rPr>
                <w:sz w:val="12"/>
                <w:szCs w:val="12"/>
              </w:rPr>
              <w:t>BLRL</w:t>
            </w:r>
            <w:r w:rsidR="00B977F9" w:rsidRPr="00B977F9">
              <w:rPr>
                <w:sz w:val="12"/>
                <w:szCs w:val="12"/>
              </w:rPr>
              <w:t>)</w:t>
            </w:r>
            <w:r>
              <w:rPr>
                <w:sz w:val="20"/>
                <w:szCs w:val="20"/>
                <w:vertAlign w:val="superscript"/>
              </w:rPr>
              <w:t>m</w:t>
            </w:r>
          </w:p>
        </w:tc>
        <w:tc>
          <w:tcPr>
            <w:tcW w:w="712" w:type="dxa"/>
            <w:gridSpan w:val="2"/>
            <w:tcBorders>
              <w:top w:val="single" w:sz="8" w:space="0" w:color="auto"/>
              <w:bottom w:val="single" w:sz="8" w:space="0" w:color="auto"/>
            </w:tcBorders>
            <w:shd w:val="clear" w:color="auto" w:fill="D9D9D9" w:themeFill="background1" w:themeFillShade="D9"/>
            <w:vAlign w:val="center"/>
          </w:tcPr>
          <w:p w:rsidR="00B84850" w:rsidRPr="007E7205" w:rsidRDefault="00EC2BAE" w:rsidP="00F6487E">
            <w:pPr>
              <w:spacing w:line="240" w:lineRule="auto"/>
              <w:jc w:val="center"/>
              <w:rPr>
                <w:sz w:val="16"/>
                <w:szCs w:val="16"/>
                <w:vertAlign w:val="superscript"/>
              </w:rPr>
            </w:pPr>
            <w:r w:rsidRPr="00EC2BAE">
              <w:rPr>
                <w:sz w:val="14"/>
                <w:szCs w:val="14"/>
              </w:rPr>
              <w:t>Not perm-itted</w:t>
            </w:r>
            <w:r w:rsidR="005A44F6">
              <w:rPr>
                <w:sz w:val="14"/>
                <w:szCs w:val="14"/>
              </w:rPr>
              <w:t xml:space="preserve"> to work </w:t>
            </w:r>
            <w:r w:rsidR="00E042C2">
              <w:rPr>
                <w:sz w:val="16"/>
                <w:szCs w:val="16"/>
                <w:vertAlign w:val="superscript"/>
              </w:rPr>
              <w:t>m</w:t>
            </w:r>
          </w:p>
        </w:tc>
        <w:tc>
          <w:tcPr>
            <w:tcW w:w="851"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99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NS</w:t>
            </w:r>
          </w:p>
        </w:tc>
        <w:tc>
          <w:tcPr>
            <w:tcW w:w="2265"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p>
        </w:tc>
        <w:tc>
          <w:tcPr>
            <w:tcW w:w="1842" w:type="dxa"/>
            <w:tcBorders>
              <w:top w:val="single" w:sz="8" w:space="0" w:color="auto"/>
              <w:bottom w:val="single" w:sz="8" w:space="0" w:color="auto"/>
            </w:tcBorders>
            <w:shd w:val="clear" w:color="auto" w:fill="FFFFFF" w:themeFill="background1"/>
            <w:vAlign w:val="center"/>
          </w:tcPr>
          <w:p w:rsidR="00B84850" w:rsidRPr="005E287F" w:rsidRDefault="00B84850" w:rsidP="00F6487E">
            <w:pPr>
              <w:spacing w:line="240" w:lineRule="auto"/>
              <w:jc w:val="center"/>
              <w:rPr>
                <w:sz w:val="20"/>
                <w:szCs w:val="20"/>
              </w:rPr>
            </w:pPr>
            <w:r>
              <w:rPr>
                <w:sz w:val="20"/>
                <w:szCs w:val="20"/>
              </w:rPr>
              <w:t>UK HSE 2002, 2012</w:t>
            </w:r>
          </w:p>
        </w:tc>
      </w:tr>
      <w:tr w:rsidR="00B84850" w:rsidTr="008334BC">
        <w:trPr>
          <w:cantSplit/>
        </w:trPr>
        <w:tc>
          <w:tcPr>
            <w:tcW w:w="1242" w:type="dxa"/>
            <w:shd w:val="clear" w:color="auto" w:fill="auto"/>
            <w:vAlign w:val="center"/>
          </w:tcPr>
          <w:p w:rsidR="00B84850" w:rsidRDefault="00B84850" w:rsidP="00F6487E">
            <w:pPr>
              <w:spacing w:line="240" w:lineRule="auto"/>
              <w:jc w:val="center"/>
              <w:rPr>
                <w:sz w:val="20"/>
                <w:szCs w:val="20"/>
              </w:rPr>
            </w:pPr>
            <w:r>
              <w:rPr>
                <w:sz w:val="20"/>
                <w:szCs w:val="20"/>
              </w:rPr>
              <w:t>USA</w:t>
            </w:r>
          </w:p>
          <w:p w:rsidR="00B84850" w:rsidRPr="005E287F" w:rsidRDefault="00B84850" w:rsidP="00F6487E">
            <w:pPr>
              <w:spacing w:line="240" w:lineRule="auto"/>
              <w:jc w:val="center"/>
              <w:rPr>
                <w:sz w:val="20"/>
                <w:szCs w:val="20"/>
              </w:rPr>
            </w:pPr>
            <w:r>
              <w:rPr>
                <w:sz w:val="20"/>
                <w:szCs w:val="20"/>
              </w:rPr>
              <w:t>(OSHA)</w:t>
            </w:r>
          </w:p>
        </w:tc>
        <w:tc>
          <w:tcPr>
            <w:tcW w:w="895" w:type="dxa"/>
            <w:shd w:val="clear" w:color="auto" w:fill="FFFFCC"/>
            <w:vAlign w:val="center"/>
          </w:tcPr>
          <w:p w:rsidR="00B84850" w:rsidRPr="005E287F" w:rsidRDefault="00B84850" w:rsidP="00F6487E">
            <w:pPr>
              <w:spacing w:line="240" w:lineRule="auto"/>
              <w:jc w:val="center"/>
              <w:rPr>
                <w:sz w:val="20"/>
                <w:szCs w:val="20"/>
              </w:rPr>
            </w:pPr>
            <w:r>
              <w:rPr>
                <w:sz w:val="20"/>
                <w:szCs w:val="20"/>
              </w:rPr>
              <w:t>0.05</w:t>
            </w:r>
          </w:p>
        </w:tc>
        <w:tc>
          <w:tcPr>
            <w:tcW w:w="795" w:type="dxa"/>
            <w:shd w:val="clear" w:color="auto" w:fill="FFFFCC"/>
            <w:vAlign w:val="center"/>
          </w:tcPr>
          <w:p w:rsidR="00B84850" w:rsidRPr="005E287F" w:rsidRDefault="00B84850" w:rsidP="00F6487E">
            <w:pPr>
              <w:spacing w:line="240" w:lineRule="auto"/>
              <w:jc w:val="center"/>
              <w:rPr>
                <w:sz w:val="20"/>
                <w:szCs w:val="20"/>
              </w:rPr>
            </w:pPr>
            <w:r>
              <w:rPr>
                <w:sz w:val="20"/>
                <w:szCs w:val="20"/>
              </w:rPr>
              <w:t>1978</w:t>
            </w:r>
          </w:p>
        </w:tc>
        <w:tc>
          <w:tcPr>
            <w:tcW w:w="914" w:type="dxa"/>
            <w:shd w:val="clear" w:color="auto" w:fill="FFFFCC"/>
            <w:vAlign w:val="center"/>
          </w:tcPr>
          <w:p w:rsidR="00B84850" w:rsidRPr="005E287F" w:rsidRDefault="00B84850" w:rsidP="00F6487E">
            <w:pPr>
              <w:spacing w:line="240" w:lineRule="auto"/>
              <w:jc w:val="center"/>
              <w:rPr>
                <w:sz w:val="20"/>
                <w:szCs w:val="20"/>
              </w:rPr>
            </w:pPr>
            <w:r>
              <w:rPr>
                <w:sz w:val="20"/>
                <w:szCs w:val="20"/>
              </w:rPr>
              <w:t>NA</w:t>
            </w:r>
          </w:p>
        </w:tc>
        <w:tc>
          <w:tcPr>
            <w:tcW w:w="1134" w:type="dxa"/>
            <w:shd w:val="clear" w:color="auto" w:fill="FFFFCC"/>
            <w:vAlign w:val="center"/>
          </w:tcPr>
          <w:p w:rsidR="00B84850" w:rsidRPr="005E287F" w:rsidRDefault="00B84850" w:rsidP="00F6487E">
            <w:pPr>
              <w:spacing w:line="240" w:lineRule="auto"/>
              <w:jc w:val="center"/>
              <w:rPr>
                <w:sz w:val="20"/>
                <w:szCs w:val="20"/>
              </w:rPr>
            </w:pPr>
            <w:r>
              <w:rPr>
                <w:sz w:val="20"/>
                <w:szCs w:val="20"/>
              </w:rPr>
              <w:t>NS</w:t>
            </w:r>
          </w:p>
        </w:tc>
        <w:tc>
          <w:tcPr>
            <w:tcW w:w="2248" w:type="dxa"/>
            <w:gridSpan w:val="5"/>
            <w:shd w:val="clear" w:color="auto" w:fill="FFFFCC"/>
            <w:vAlign w:val="center"/>
          </w:tcPr>
          <w:p w:rsidR="007F3BBB" w:rsidRDefault="00B84850" w:rsidP="00F6487E">
            <w:pPr>
              <w:spacing w:line="240" w:lineRule="auto"/>
              <w:jc w:val="center"/>
              <w:rPr>
                <w:sz w:val="20"/>
                <w:szCs w:val="20"/>
              </w:rPr>
            </w:pPr>
            <w:r>
              <w:rPr>
                <w:sz w:val="20"/>
                <w:szCs w:val="20"/>
              </w:rPr>
              <w:t>60 or 50</w:t>
            </w:r>
            <w:r w:rsidR="00B977F9">
              <w:rPr>
                <w:sz w:val="20"/>
                <w:szCs w:val="20"/>
              </w:rPr>
              <w:t xml:space="preserve"> </w:t>
            </w:r>
          </w:p>
          <w:p w:rsidR="00B84850" w:rsidRDefault="00B977F9" w:rsidP="00F6487E">
            <w:pPr>
              <w:spacing w:line="240" w:lineRule="auto"/>
              <w:jc w:val="center"/>
              <w:rPr>
                <w:sz w:val="20"/>
                <w:szCs w:val="20"/>
                <w:vertAlign w:val="superscript"/>
              </w:rPr>
            </w:pPr>
            <w:r w:rsidRPr="00444131">
              <w:rPr>
                <w:sz w:val="16"/>
                <w:szCs w:val="16"/>
              </w:rPr>
              <w:t>(leg</w:t>
            </w:r>
            <w:r w:rsidR="00554AC5">
              <w:rPr>
                <w:sz w:val="16"/>
                <w:szCs w:val="16"/>
              </w:rPr>
              <w:t>islated</w:t>
            </w:r>
            <w:r w:rsidRPr="00444131">
              <w:rPr>
                <w:sz w:val="16"/>
                <w:szCs w:val="16"/>
              </w:rPr>
              <w:t xml:space="preserve"> </w:t>
            </w:r>
            <w:r w:rsidR="00314205">
              <w:rPr>
                <w:sz w:val="16"/>
                <w:szCs w:val="16"/>
              </w:rPr>
              <w:t>BLRL</w:t>
            </w:r>
            <w:r w:rsidRPr="00444131">
              <w:rPr>
                <w:sz w:val="16"/>
                <w:szCs w:val="16"/>
              </w:rPr>
              <w:t>)</w:t>
            </w:r>
            <w:r w:rsidR="00B84850">
              <w:rPr>
                <w:sz w:val="20"/>
                <w:szCs w:val="20"/>
              </w:rPr>
              <w:t xml:space="preserve"> </w:t>
            </w:r>
            <w:r w:rsidR="00E042C2">
              <w:rPr>
                <w:sz w:val="20"/>
                <w:szCs w:val="20"/>
                <w:vertAlign w:val="superscript"/>
              </w:rPr>
              <w:t>n</w:t>
            </w:r>
          </w:p>
          <w:p w:rsidR="00B84850" w:rsidRPr="00444131" w:rsidRDefault="00B84850" w:rsidP="00F6487E">
            <w:pPr>
              <w:spacing w:line="240" w:lineRule="auto"/>
              <w:jc w:val="center"/>
              <w:rPr>
                <w:vertAlign w:val="superscript"/>
              </w:rPr>
            </w:pPr>
          </w:p>
        </w:tc>
        <w:tc>
          <w:tcPr>
            <w:tcW w:w="851" w:type="dxa"/>
            <w:shd w:val="clear" w:color="auto" w:fill="FFFFCC"/>
            <w:vAlign w:val="center"/>
          </w:tcPr>
          <w:p w:rsidR="00B84850" w:rsidRPr="005E287F" w:rsidRDefault="00B84850" w:rsidP="00F6487E">
            <w:pPr>
              <w:spacing w:line="240" w:lineRule="auto"/>
              <w:jc w:val="center"/>
              <w:rPr>
                <w:sz w:val="20"/>
                <w:szCs w:val="20"/>
              </w:rPr>
            </w:pPr>
            <w:r>
              <w:rPr>
                <w:sz w:val="20"/>
                <w:szCs w:val="20"/>
              </w:rPr>
              <w:t>1978</w:t>
            </w:r>
          </w:p>
        </w:tc>
        <w:tc>
          <w:tcPr>
            <w:tcW w:w="992" w:type="dxa"/>
            <w:shd w:val="clear" w:color="auto" w:fill="FFFFCC"/>
            <w:vAlign w:val="center"/>
          </w:tcPr>
          <w:p w:rsidR="00B84850" w:rsidRPr="005E287F" w:rsidRDefault="00B84850" w:rsidP="00F6487E">
            <w:pPr>
              <w:spacing w:line="240" w:lineRule="auto"/>
              <w:jc w:val="center"/>
              <w:rPr>
                <w:sz w:val="20"/>
                <w:szCs w:val="20"/>
              </w:rPr>
            </w:pPr>
            <w:r>
              <w:rPr>
                <w:sz w:val="20"/>
                <w:szCs w:val="20"/>
              </w:rPr>
              <w:t>1983</w:t>
            </w:r>
          </w:p>
        </w:tc>
        <w:tc>
          <w:tcPr>
            <w:tcW w:w="2265" w:type="dxa"/>
            <w:shd w:val="clear" w:color="auto" w:fill="FFFFCC"/>
            <w:vAlign w:val="center"/>
          </w:tcPr>
          <w:p w:rsidR="00B84850" w:rsidRPr="005E287F" w:rsidRDefault="00B84850" w:rsidP="00F6487E">
            <w:pPr>
              <w:spacing w:line="240" w:lineRule="auto"/>
              <w:jc w:val="center"/>
              <w:rPr>
                <w:sz w:val="20"/>
                <w:szCs w:val="20"/>
              </w:rPr>
            </w:pPr>
          </w:p>
        </w:tc>
        <w:tc>
          <w:tcPr>
            <w:tcW w:w="1842" w:type="dxa"/>
            <w:shd w:val="clear" w:color="auto" w:fill="FFFFCC"/>
            <w:vAlign w:val="center"/>
          </w:tcPr>
          <w:p w:rsidR="00B84850" w:rsidRPr="005E287F" w:rsidRDefault="00B84850" w:rsidP="00F6487E">
            <w:pPr>
              <w:spacing w:line="240" w:lineRule="auto"/>
              <w:jc w:val="center"/>
              <w:rPr>
                <w:sz w:val="20"/>
                <w:szCs w:val="20"/>
              </w:rPr>
            </w:pPr>
            <w:r>
              <w:rPr>
                <w:sz w:val="20"/>
                <w:szCs w:val="20"/>
              </w:rPr>
              <w:t>OSHA 1991</w:t>
            </w:r>
          </w:p>
        </w:tc>
      </w:tr>
      <w:tr w:rsidR="00B84850" w:rsidTr="008334BC">
        <w:trPr>
          <w:cantSplit/>
        </w:trPr>
        <w:tc>
          <w:tcPr>
            <w:tcW w:w="1242" w:type="dxa"/>
            <w:shd w:val="clear" w:color="auto" w:fill="auto"/>
            <w:vAlign w:val="center"/>
          </w:tcPr>
          <w:p w:rsidR="00B84850" w:rsidRDefault="00B84850" w:rsidP="00F6487E">
            <w:pPr>
              <w:spacing w:line="240" w:lineRule="auto"/>
              <w:jc w:val="center"/>
              <w:rPr>
                <w:sz w:val="20"/>
                <w:szCs w:val="20"/>
              </w:rPr>
            </w:pPr>
            <w:r>
              <w:rPr>
                <w:sz w:val="20"/>
                <w:szCs w:val="20"/>
              </w:rPr>
              <w:t>USA</w:t>
            </w:r>
          </w:p>
          <w:p w:rsidR="00B84850" w:rsidRPr="005E287F" w:rsidRDefault="00B84850" w:rsidP="00F6487E">
            <w:pPr>
              <w:spacing w:line="240" w:lineRule="auto"/>
              <w:jc w:val="center"/>
              <w:rPr>
                <w:sz w:val="20"/>
                <w:szCs w:val="20"/>
              </w:rPr>
            </w:pPr>
            <w:r>
              <w:rPr>
                <w:sz w:val="20"/>
                <w:szCs w:val="20"/>
              </w:rPr>
              <w:t>(NIOSH)</w:t>
            </w:r>
          </w:p>
        </w:tc>
        <w:tc>
          <w:tcPr>
            <w:tcW w:w="895" w:type="dxa"/>
            <w:shd w:val="clear" w:color="auto" w:fill="FFFFCC"/>
            <w:vAlign w:val="center"/>
          </w:tcPr>
          <w:p w:rsidR="00B84850" w:rsidRPr="005E287F" w:rsidRDefault="00B84850" w:rsidP="00F6487E">
            <w:pPr>
              <w:spacing w:line="240" w:lineRule="auto"/>
              <w:jc w:val="center"/>
              <w:rPr>
                <w:sz w:val="20"/>
                <w:szCs w:val="20"/>
              </w:rPr>
            </w:pPr>
            <w:r>
              <w:rPr>
                <w:sz w:val="20"/>
                <w:szCs w:val="20"/>
              </w:rPr>
              <w:t>0.05</w:t>
            </w:r>
          </w:p>
        </w:tc>
        <w:tc>
          <w:tcPr>
            <w:tcW w:w="795" w:type="dxa"/>
            <w:shd w:val="clear" w:color="auto" w:fill="FFFFCC"/>
            <w:vAlign w:val="center"/>
          </w:tcPr>
          <w:p w:rsidR="00B84850" w:rsidRPr="005E287F" w:rsidRDefault="00B84850" w:rsidP="00F6487E">
            <w:pPr>
              <w:spacing w:line="240" w:lineRule="auto"/>
              <w:jc w:val="center"/>
              <w:rPr>
                <w:sz w:val="20"/>
                <w:szCs w:val="20"/>
              </w:rPr>
            </w:pPr>
            <w:r>
              <w:rPr>
                <w:sz w:val="20"/>
                <w:szCs w:val="20"/>
              </w:rPr>
              <w:t>1978</w:t>
            </w:r>
          </w:p>
        </w:tc>
        <w:tc>
          <w:tcPr>
            <w:tcW w:w="914" w:type="dxa"/>
            <w:shd w:val="clear" w:color="auto" w:fill="FFFFCC"/>
            <w:vAlign w:val="center"/>
          </w:tcPr>
          <w:p w:rsidR="00B84850" w:rsidRPr="005E287F" w:rsidRDefault="00B84850" w:rsidP="00F6487E">
            <w:pPr>
              <w:spacing w:line="240" w:lineRule="auto"/>
              <w:jc w:val="center"/>
              <w:rPr>
                <w:sz w:val="20"/>
                <w:szCs w:val="20"/>
              </w:rPr>
            </w:pPr>
            <w:r>
              <w:rPr>
                <w:sz w:val="20"/>
                <w:szCs w:val="20"/>
              </w:rPr>
              <w:t>NS</w:t>
            </w:r>
          </w:p>
        </w:tc>
        <w:tc>
          <w:tcPr>
            <w:tcW w:w="1134" w:type="dxa"/>
            <w:shd w:val="clear" w:color="auto" w:fill="FFFFCC"/>
            <w:vAlign w:val="center"/>
          </w:tcPr>
          <w:p w:rsidR="00B84850" w:rsidRPr="005E287F" w:rsidRDefault="00B84850" w:rsidP="00F6487E">
            <w:pPr>
              <w:spacing w:line="240" w:lineRule="auto"/>
              <w:jc w:val="center"/>
              <w:rPr>
                <w:sz w:val="20"/>
                <w:szCs w:val="20"/>
              </w:rPr>
            </w:pPr>
            <w:r>
              <w:rPr>
                <w:sz w:val="20"/>
                <w:szCs w:val="20"/>
              </w:rPr>
              <w:t>NS</w:t>
            </w:r>
          </w:p>
        </w:tc>
        <w:tc>
          <w:tcPr>
            <w:tcW w:w="2248" w:type="dxa"/>
            <w:gridSpan w:val="5"/>
            <w:shd w:val="clear" w:color="auto" w:fill="FFFFCC"/>
            <w:vAlign w:val="center"/>
          </w:tcPr>
          <w:p w:rsidR="00070379" w:rsidRPr="00B2307D" w:rsidRDefault="00B2307D" w:rsidP="00B2307D">
            <w:pPr>
              <w:spacing w:line="240" w:lineRule="auto"/>
              <w:jc w:val="center"/>
              <w:rPr>
                <w:sz w:val="20"/>
                <w:szCs w:val="20"/>
              </w:rPr>
            </w:pPr>
            <w:r>
              <w:rPr>
                <w:sz w:val="20"/>
                <w:szCs w:val="20"/>
              </w:rPr>
              <w:t>60</w:t>
            </w:r>
          </w:p>
        </w:tc>
        <w:tc>
          <w:tcPr>
            <w:tcW w:w="851" w:type="dxa"/>
            <w:shd w:val="clear" w:color="auto" w:fill="FFFFCC"/>
            <w:vAlign w:val="center"/>
          </w:tcPr>
          <w:p w:rsidR="00B84850" w:rsidRPr="005E287F" w:rsidRDefault="00B84850" w:rsidP="00F6487E">
            <w:pPr>
              <w:spacing w:line="240" w:lineRule="auto"/>
              <w:jc w:val="center"/>
              <w:rPr>
                <w:sz w:val="20"/>
                <w:szCs w:val="20"/>
              </w:rPr>
            </w:pPr>
            <w:r>
              <w:rPr>
                <w:sz w:val="20"/>
                <w:szCs w:val="20"/>
              </w:rPr>
              <w:t>NS</w:t>
            </w:r>
          </w:p>
        </w:tc>
        <w:tc>
          <w:tcPr>
            <w:tcW w:w="992" w:type="dxa"/>
            <w:shd w:val="clear" w:color="auto" w:fill="FFFFCC"/>
            <w:vAlign w:val="center"/>
          </w:tcPr>
          <w:p w:rsidR="00B84850" w:rsidRPr="005E287F" w:rsidRDefault="00B84850" w:rsidP="00F6487E">
            <w:pPr>
              <w:spacing w:line="240" w:lineRule="auto"/>
              <w:jc w:val="center"/>
              <w:rPr>
                <w:sz w:val="20"/>
                <w:szCs w:val="20"/>
              </w:rPr>
            </w:pPr>
            <w:r>
              <w:rPr>
                <w:sz w:val="20"/>
                <w:szCs w:val="20"/>
              </w:rPr>
              <w:t>NS</w:t>
            </w:r>
          </w:p>
        </w:tc>
        <w:tc>
          <w:tcPr>
            <w:tcW w:w="2265" w:type="dxa"/>
            <w:shd w:val="clear" w:color="auto" w:fill="FFFFCC"/>
            <w:vAlign w:val="center"/>
          </w:tcPr>
          <w:p w:rsidR="00B84850" w:rsidRPr="005E287F" w:rsidRDefault="00B84850" w:rsidP="00F6487E">
            <w:pPr>
              <w:spacing w:line="240" w:lineRule="auto"/>
              <w:jc w:val="center"/>
              <w:rPr>
                <w:sz w:val="20"/>
                <w:szCs w:val="20"/>
              </w:rPr>
            </w:pPr>
          </w:p>
        </w:tc>
        <w:tc>
          <w:tcPr>
            <w:tcW w:w="1842" w:type="dxa"/>
            <w:shd w:val="clear" w:color="auto" w:fill="FFFFCC"/>
            <w:vAlign w:val="center"/>
          </w:tcPr>
          <w:p w:rsidR="00B84850" w:rsidRPr="005E287F" w:rsidRDefault="00B84850" w:rsidP="00F6487E">
            <w:pPr>
              <w:spacing w:line="240" w:lineRule="auto"/>
              <w:jc w:val="center"/>
              <w:rPr>
                <w:sz w:val="20"/>
                <w:szCs w:val="20"/>
              </w:rPr>
            </w:pPr>
            <w:r>
              <w:rPr>
                <w:sz w:val="20"/>
                <w:szCs w:val="20"/>
              </w:rPr>
              <w:t>NIOSH 2010, 2011, FR 1997</w:t>
            </w:r>
          </w:p>
        </w:tc>
      </w:tr>
      <w:tr w:rsidR="00B84850" w:rsidTr="008334BC">
        <w:trPr>
          <w:cantSplit/>
        </w:trPr>
        <w:tc>
          <w:tcPr>
            <w:tcW w:w="1242" w:type="dxa"/>
            <w:shd w:val="clear" w:color="auto" w:fill="auto"/>
            <w:vAlign w:val="center"/>
          </w:tcPr>
          <w:p w:rsidR="00B84850" w:rsidRDefault="00B84850" w:rsidP="00F6487E">
            <w:pPr>
              <w:spacing w:line="240" w:lineRule="auto"/>
              <w:jc w:val="center"/>
              <w:rPr>
                <w:sz w:val="20"/>
                <w:szCs w:val="20"/>
              </w:rPr>
            </w:pPr>
            <w:r>
              <w:rPr>
                <w:sz w:val="20"/>
                <w:szCs w:val="20"/>
              </w:rPr>
              <w:t>USA – California</w:t>
            </w:r>
          </w:p>
          <w:p w:rsidR="00B84850" w:rsidRDefault="00B84850" w:rsidP="00F6487E">
            <w:pPr>
              <w:spacing w:line="240" w:lineRule="auto"/>
              <w:jc w:val="center"/>
              <w:rPr>
                <w:sz w:val="20"/>
                <w:szCs w:val="20"/>
              </w:rPr>
            </w:pPr>
            <w:r>
              <w:rPr>
                <w:sz w:val="20"/>
                <w:szCs w:val="20"/>
              </w:rPr>
              <w:t>(Cal DIR)</w:t>
            </w:r>
          </w:p>
        </w:tc>
        <w:tc>
          <w:tcPr>
            <w:tcW w:w="895" w:type="dxa"/>
            <w:shd w:val="clear" w:color="auto" w:fill="FFFFCC"/>
            <w:vAlign w:val="center"/>
          </w:tcPr>
          <w:p w:rsidR="00B84850" w:rsidRDefault="00B84850" w:rsidP="00F6487E">
            <w:pPr>
              <w:spacing w:line="240" w:lineRule="auto"/>
              <w:jc w:val="center"/>
              <w:rPr>
                <w:sz w:val="20"/>
                <w:szCs w:val="20"/>
              </w:rPr>
            </w:pPr>
            <w:r>
              <w:rPr>
                <w:sz w:val="20"/>
                <w:szCs w:val="20"/>
              </w:rPr>
              <w:t>0.05</w:t>
            </w:r>
          </w:p>
        </w:tc>
        <w:tc>
          <w:tcPr>
            <w:tcW w:w="795" w:type="dxa"/>
            <w:shd w:val="clear" w:color="auto" w:fill="FFFFCC"/>
            <w:vAlign w:val="center"/>
          </w:tcPr>
          <w:p w:rsidR="00B84850" w:rsidRDefault="00B84850" w:rsidP="00F6487E">
            <w:pPr>
              <w:spacing w:line="240" w:lineRule="auto"/>
              <w:jc w:val="center"/>
              <w:rPr>
                <w:sz w:val="20"/>
                <w:szCs w:val="20"/>
              </w:rPr>
            </w:pPr>
            <w:r>
              <w:rPr>
                <w:sz w:val="20"/>
                <w:szCs w:val="20"/>
              </w:rPr>
              <w:t>NS</w:t>
            </w:r>
          </w:p>
        </w:tc>
        <w:tc>
          <w:tcPr>
            <w:tcW w:w="914" w:type="dxa"/>
            <w:shd w:val="clear" w:color="auto" w:fill="FFFFCC"/>
            <w:vAlign w:val="center"/>
          </w:tcPr>
          <w:p w:rsidR="00B84850" w:rsidRDefault="00B84850" w:rsidP="00F6487E">
            <w:pPr>
              <w:spacing w:line="240" w:lineRule="auto"/>
              <w:jc w:val="center"/>
              <w:rPr>
                <w:sz w:val="20"/>
                <w:szCs w:val="20"/>
              </w:rPr>
            </w:pPr>
            <w:r>
              <w:rPr>
                <w:sz w:val="20"/>
                <w:szCs w:val="20"/>
              </w:rPr>
              <w:t>NS</w:t>
            </w:r>
          </w:p>
        </w:tc>
        <w:tc>
          <w:tcPr>
            <w:tcW w:w="1134" w:type="dxa"/>
            <w:shd w:val="clear" w:color="auto" w:fill="FFFFCC"/>
            <w:vAlign w:val="center"/>
          </w:tcPr>
          <w:p w:rsidR="00B84850" w:rsidRDefault="00B84850" w:rsidP="00F6487E">
            <w:pPr>
              <w:spacing w:line="240" w:lineRule="auto"/>
              <w:jc w:val="center"/>
              <w:rPr>
                <w:sz w:val="20"/>
                <w:szCs w:val="20"/>
              </w:rPr>
            </w:pPr>
            <w:r>
              <w:rPr>
                <w:sz w:val="20"/>
                <w:szCs w:val="20"/>
              </w:rPr>
              <w:t>NS</w:t>
            </w:r>
          </w:p>
        </w:tc>
        <w:tc>
          <w:tcPr>
            <w:tcW w:w="2248" w:type="dxa"/>
            <w:gridSpan w:val="5"/>
            <w:shd w:val="clear" w:color="auto" w:fill="FFFFCC"/>
            <w:vAlign w:val="center"/>
          </w:tcPr>
          <w:p w:rsidR="00070379" w:rsidRDefault="00070379" w:rsidP="00F6487E">
            <w:pPr>
              <w:spacing w:line="240" w:lineRule="auto"/>
              <w:jc w:val="center"/>
              <w:rPr>
                <w:sz w:val="20"/>
                <w:szCs w:val="20"/>
              </w:rPr>
            </w:pPr>
            <w:r>
              <w:rPr>
                <w:sz w:val="20"/>
                <w:szCs w:val="20"/>
              </w:rPr>
              <w:t>50</w:t>
            </w:r>
          </w:p>
          <w:p w:rsidR="00070379" w:rsidRPr="00070379" w:rsidRDefault="00070379" w:rsidP="00554AC5">
            <w:pPr>
              <w:spacing w:line="240" w:lineRule="auto"/>
              <w:jc w:val="center"/>
              <w:rPr>
                <w:sz w:val="16"/>
                <w:szCs w:val="16"/>
              </w:rPr>
            </w:pPr>
            <w:r w:rsidRPr="00070379">
              <w:rPr>
                <w:sz w:val="16"/>
                <w:szCs w:val="16"/>
              </w:rPr>
              <w:t>(leg</w:t>
            </w:r>
            <w:r w:rsidR="00554AC5">
              <w:rPr>
                <w:sz w:val="16"/>
                <w:szCs w:val="16"/>
              </w:rPr>
              <w:t>islated</w:t>
            </w:r>
            <w:r w:rsidRPr="00070379">
              <w:rPr>
                <w:sz w:val="16"/>
                <w:szCs w:val="16"/>
              </w:rPr>
              <w:t xml:space="preserve"> </w:t>
            </w:r>
            <w:r w:rsidR="00314205">
              <w:rPr>
                <w:sz w:val="16"/>
                <w:szCs w:val="16"/>
              </w:rPr>
              <w:t>BLRL</w:t>
            </w:r>
            <w:r w:rsidRPr="00070379">
              <w:rPr>
                <w:sz w:val="16"/>
                <w:szCs w:val="16"/>
              </w:rPr>
              <w:t>)</w:t>
            </w:r>
          </w:p>
        </w:tc>
        <w:tc>
          <w:tcPr>
            <w:tcW w:w="851" w:type="dxa"/>
            <w:shd w:val="clear" w:color="auto" w:fill="FFFFCC"/>
            <w:vAlign w:val="center"/>
          </w:tcPr>
          <w:p w:rsidR="00B84850" w:rsidRDefault="00B84850" w:rsidP="00F6487E">
            <w:pPr>
              <w:spacing w:line="240" w:lineRule="auto"/>
              <w:jc w:val="center"/>
              <w:rPr>
                <w:sz w:val="20"/>
                <w:szCs w:val="20"/>
              </w:rPr>
            </w:pPr>
            <w:r>
              <w:rPr>
                <w:sz w:val="20"/>
                <w:szCs w:val="20"/>
              </w:rPr>
              <w:t>NS</w:t>
            </w:r>
          </w:p>
        </w:tc>
        <w:tc>
          <w:tcPr>
            <w:tcW w:w="992" w:type="dxa"/>
            <w:shd w:val="clear" w:color="auto" w:fill="FFFFCC"/>
            <w:vAlign w:val="center"/>
          </w:tcPr>
          <w:p w:rsidR="00B84850" w:rsidRDefault="00B84850" w:rsidP="00F6487E">
            <w:pPr>
              <w:spacing w:line="240" w:lineRule="auto"/>
              <w:jc w:val="center"/>
              <w:rPr>
                <w:sz w:val="20"/>
                <w:szCs w:val="20"/>
              </w:rPr>
            </w:pPr>
            <w:r>
              <w:rPr>
                <w:sz w:val="20"/>
                <w:szCs w:val="20"/>
              </w:rPr>
              <w:t>NS</w:t>
            </w:r>
          </w:p>
        </w:tc>
        <w:tc>
          <w:tcPr>
            <w:tcW w:w="2265" w:type="dxa"/>
            <w:shd w:val="clear" w:color="auto" w:fill="FFFFCC"/>
            <w:vAlign w:val="center"/>
          </w:tcPr>
          <w:p w:rsidR="00B84850" w:rsidRPr="00070379" w:rsidRDefault="00070379" w:rsidP="00F6487E">
            <w:pPr>
              <w:spacing w:line="240" w:lineRule="auto"/>
              <w:jc w:val="center"/>
              <w:rPr>
                <w:sz w:val="18"/>
                <w:szCs w:val="18"/>
              </w:rPr>
            </w:pPr>
            <w:r w:rsidRPr="00070379">
              <w:rPr>
                <w:sz w:val="18"/>
                <w:szCs w:val="18"/>
              </w:rPr>
              <w:t xml:space="preserve">Note the California Department of Public Health has recommended </w:t>
            </w:r>
            <w:r>
              <w:rPr>
                <w:sz w:val="18"/>
                <w:szCs w:val="18"/>
              </w:rPr>
              <w:t xml:space="preserve">adopting </w:t>
            </w:r>
            <w:r w:rsidRPr="00070379">
              <w:rPr>
                <w:sz w:val="18"/>
                <w:szCs w:val="18"/>
              </w:rPr>
              <w:t xml:space="preserve">revised </w:t>
            </w:r>
            <w:r w:rsidR="00314205">
              <w:rPr>
                <w:sz w:val="18"/>
                <w:szCs w:val="18"/>
              </w:rPr>
              <w:t>BLRL</w:t>
            </w:r>
            <w:r>
              <w:rPr>
                <w:sz w:val="18"/>
                <w:szCs w:val="18"/>
              </w:rPr>
              <w:t xml:space="preserve"> (Table 2.1).</w:t>
            </w:r>
          </w:p>
        </w:tc>
        <w:tc>
          <w:tcPr>
            <w:tcW w:w="1842" w:type="dxa"/>
            <w:shd w:val="clear" w:color="auto" w:fill="FFFFCC"/>
            <w:vAlign w:val="center"/>
          </w:tcPr>
          <w:p w:rsidR="00B84850" w:rsidRDefault="00B84850" w:rsidP="00AB31C3">
            <w:pPr>
              <w:spacing w:line="240" w:lineRule="auto"/>
              <w:jc w:val="center"/>
              <w:rPr>
                <w:sz w:val="20"/>
                <w:szCs w:val="20"/>
              </w:rPr>
            </w:pPr>
            <w:r>
              <w:rPr>
                <w:sz w:val="20"/>
                <w:szCs w:val="20"/>
              </w:rPr>
              <w:t xml:space="preserve">Cal DIR 2013 </w:t>
            </w:r>
          </w:p>
        </w:tc>
      </w:tr>
      <w:tr w:rsidR="00B84850" w:rsidTr="008334BC">
        <w:trPr>
          <w:cantSplit/>
        </w:trPr>
        <w:tc>
          <w:tcPr>
            <w:tcW w:w="1242" w:type="dxa"/>
            <w:shd w:val="clear" w:color="auto" w:fill="auto"/>
            <w:vAlign w:val="center"/>
          </w:tcPr>
          <w:p w:rsidR="00B84850" w:rsidRDefault="00B84850" w:rsidP="00F6487E">
            <w:pPr>
              <w:spacing w:line="240" w:lineRule="auto"/>
              <w:jc w:val="center"/>
              <w:rPr>
                <w:sz w:val="20"/>
                <w:szCs w:val="20"/>
              </w:rPr>
            </w:pPr>
            <w:r>
              <w:rPr>
                <w:sz w:val="20"/>
                <w:szCs w:val="20"/>
              </w:rPr>
              <w:lastRenderedPageBreak/>
              <w:t xml:space="preserve">USA – </w:t>
            </w:r>
            <w:r w:rsidRPr="00965EC5">
              <w:rPr>
                <w:sz w:val="16"/>
                <w:szCs w:val="16"/>
              </w:rPr>
              <w:t>Washington (Wash DoL)</w:t>
            </w:r>
          </w:p>
        </w:tc>
        <w:tc>
          <w:tcPr>
            <w:tcW w:w="895" w:type="dxa"/>
            <w:shd w:val="clear" w:color="auto" w:fill="FFFFCC"/>
            <w:vAlign w:val="center"/>
          </w:tcPr>
          <w:p w:rsidR="00B84850" w:rsidRDefault="00B84850" w:rsidP="00F6487E">
            <w:pPr>
              <w:spacing w:line="240" w:lineRule="auto"/>
              <w:jc w:val="center"/>
              <w:rPr>
                <w:sz w:val="20"/>
                <w:szCs w:val="20"/>
              </w:rPr>
            </w:pPr>
            <w:r>
              <w:rPr>
                <w:sz w:val="20"/>
                <w:szCs w:val="20"/>
              </w:rPr>
              <w:t>0.05</w:t>
            </w:r>
          </w:p>
        </w:tc>
        <w:tc>
          <w:tcPr>
            <w:tcW w:w="795" w:type="dxa"/>
            <w:shd w:val="clear" w:color="auto" w:fill="FFFFCC"/>
            <w:vAlign w:val="center"/>
          </w:tcPr>
          <w:p w:rsidR="00B84850" w:rsidRDefault="00B84850" w:rsidP="00F6487E">
            <w:pPr>
              <w:spacing w:line="240" w:lineRule="auto"/>
              <w:jc w:val="center"/>
              <w:rPr>
                <w:sz w:val="20"/>
                <w:szCs w:val="20"/>
              </w:rPr>
            </w:pPr>
            <w:r>
              <w:rPr>
                <w:sz w:val="20"/>
                <w:szCs w:val="20"/>
              </w:rPr>
              <w:t>1978</w:t>
            </w:r>
          </w:p>
        </w:tc>
        <w:tc>
          <w:tcPr>
            <w:tcW w:w="914" w:type="dxa"/>
            <w:shd w:val="clear" w:color="auto" w:fill="FFFFCC"/>
            <w:vAlign w:val="center"/>
          </w:tcPr>
          <w:p w:rsidR="00B84850" w:rsidRDefault="00B84850" w:rsidP="00F6487E">
            <w:pPr>
              <w:spacing w:line="240" w:lineRule="auto"/>
              <w:jc w:val="center"/>
              <w:rPr>
                <w:sz w:val="20"/>
                <w:szCs w:val="20"/>
              </w:rPr>
            </w:pPr>
            <w:r>
              <w:rPr>
                <w:sz w:val="20"/>
                <w:szCs w:val="20"/>
              </w:rPr>
              <w:t>NA</w:t>
            </w:r>
          </w:p>
        </w:tc>
        <w:tc>
          <w:tcPr>
            <w:tcW w:w="1134" w:type="dxa"/>
            <w:shd w:val="clear" w:color="auto" w:fill="FFFFCC"/>
            <w:vAlign w:val="center"/>
          </w:tcPr>
          <w:p w:rsidR="00B84850" w:rsidRDefault="00B84850" w:rsidP="00F6487E">
            <w:pPr>
              <w:spacing w:line="240" w:lineRule="auto"/>
              <w:jc w:val="center"/>
              <w:rPr>
                <w:sz w:val="20"/>
                <w:szCs w:val="20"/>
              </w:rPr>
            </w:pPr>
            <w:r>
              <w:rPr>
                <w:sz w:val="20"/>
                <w:szCs w:val="20"/>
              </w:rPr>
              <w:t>NS</w:t>
            </w:r>
          </w:p>
        </w:tc>
        <w:tc>
          <w:tcPr>
            <w:tcW w:w="2248" w:type="dxa"/>
            <w:gridSpan w:val="5"/>
            <w:shd w:val="clear" w:color="auto" w:fill="FFFFCC"/>
            <w:vAlign w:val="center"/>
          </w:tcPr>
          <w:p w:rsidR="00070379" w:rsidRDefault="00B84850" w:rsidP="00F6487E">
            <w:pPr>
              <w:spacing w:line="240" w:lineRule="auto"/>
              <w:jc w:val="center"/>
              <w:rPr>
                <w:sz w:val="20"/>
                <w:szCs w:val="20"/>
              </w:rPr>
            </w:pPr>
            <w:r>
              <w:rPr>
                <w:sz w:val="20"/>
                <w:szCs w:val="20"/>
              </w:rPr>
              <w:t>60 or 50</w:t>
            </w:r>
          </w:p>
          <w:p w:rsidR="00B84850" w:rsidRDefault="00070379" w:rsidP="00554AC5">
            <w:pPr>
              <w:spacing w:line="240" w:lineRule="auto"/>
              <w:jc w:val="center"/>
              <w:rPr>
                <w:sz w:val="20"/>
                <w:szCs w:val="20"/>
              </w:rPr>
            </w:pPr>
            <w:r w:rsidRPr="00070379">
              <w:rPr>
                <w:sz w:val="16"/>
                <w:szCs w:val="16"/>
              </w:rPr>
              <w:t>(leg</w:t>
            </w:r>
            <w:r w:rsidR="00554AC5">
              <w:rPr>
                <w:sz w:val="16"/>
                <w:szCs w:val="16"/>
              </w:rPr>
              <w:t>islated</w:t>
            </w:r>
            <w:r w:rsidRPr="00070379">
              <w:rPr>
                <w:sz w:val="16"/>
                <w:szCs w:val="16"/>
              </w:rPr>
              <w:t xml:space="preserve"> </w:t>
            </w:r>
            <w:r w:rsidR="00314205">
              <w:rPr>
                <w:sz w:val="16"/>
                <w:szCs w:val="16"/>
              </w:rPr>
              <w:t>BLRL</w:t>
            </w:r>
            <w:r w:rsidRPr="00070379">
              <w:rPr>
                <w:sz w:val="16"/>
                <w:szCs w:val="16"/>
              </w:rPr>
              <w:t>)</w:t>
            </w:r>
            <w:r w:rsidR="00B84850">
              <w:rPr>
                <w:sz w:val="20"/>
                <w:szCs w:val="20"/>
              </w:rPr>
              <w:t xml:space="preserve"> </w:t>
            </w:r>
            <w:r w:rsidR="00E042C2">
              <w:rPr>
                <w:sz w:val="20"/>
                <w:szCs w:val="20"/>
                <w:vertAlign w:val="superscript"/>
              </w:rPr>
              <w:t>n</w:t>
            </w:r>
          </w:p>
        </w:tc>
        <w:tc>
          <w:tcPr>
            <w:tcW w:w="851" w:type="dxa"/>
            <w:shd w:val="clear" w:color="auto" w:fill="FFFFCC"/>
            <w:vAlign w:val="center"/>
          </w:tcPr>
          <w:p w:rsidR="00B84850" w:rsidRDefault="00B84850" w:rsidP="00F6487E">
            <w:pPr>
              <w:spacing w:line="240" w:lineRule="auto"/>
              <w:jc w:val="center"/>
              <w:rPr>
                <w:sz w:val="20"/>
                <w:szCs w:val="20"/>
              </w:rPr>
            </w:pPr>
            <w:r>
              <w:rPr>
                <w:sz w:val="20"/>
                <w:szCs w:val="20"/>
              </w:rPr>
              <w:t>1980</w:t>
            </w:r>
          </w:p>
        </w:tc>
        <w:tc>
          <w:tcPr>
            <w:tcW w:w="992" w:type="dxa"/>
            <w:shd w:val="clear" w:color="auto" w:fill="FFFFCC"/>
            <w:vAlign w:val="center"/>
          </w:tcPr>
          <w:p w:rsidR="00B84850" w:rsidRDefault="00B84850" w:rsidP="00F6487E">
            <w:pPr>
              <w:spacing w:line="240" w:lineRule="auto"/>
              <w:jc w:val="center"/>
              <w:rPr>
                <w:sz w:val="20"/>
                <w:szCs w:val="20"/>
              </w:rPr>
            </w:pPr>
            <w:r>
              <w:rPr>
                <w:sz w:val="20"/>
                <w:szCs w:val="20"/>
              </w:rPr>
              <w:t>1984</w:t>
            </w:r>
          </w:p>
        </w:tc>
        <w:tc>
          <w:tcPr>
            <w:tcW w:w="2265" w:type="dxa"/>
            <w:shd w:val="clear" w:color="auto" w:fill="FFFFCC"/>
            <w:vAlign w:val="center"/>
          </w:tcPr>
          <w:p w:rsidR="00B84850" w:rsidRDefault="00FA719D" w:rsidP="00FA719D">
            <w:pPr>
              <w:spacing w:line="240" w:lineRule="auto"/>
              <w:jc w:val="center"/>
              <w:rPr>
                <w:sz w:val="20"/>
                <w:szCs w:val="20"/>
              </w:rPr>
            </w:pPr>
            <w:r>
              <w:rPr>
                <w:sz w:val="20"/>
                <w:szCs w:val="20"/>
              </w:rPr>
              <w:t>Same as the</w:t>
            </w:r>
            <w:r w:rsidR="00B84850">
              <w:rPr>
                <w:sz w:val="20"/>
                <w:szCs w:val="20"/>
              </w:rPr>
              <w:t xml:space="preserve"> OSHA standards.</w:t>
            </w:r>
          </w:p>
        </w:tc>
        <w:tc>
          <w:tcPr>
            <w:tcW w:w="1842" w:type="dxa"/>
            <w:shd w:val="clear" w:color="auto" w:fill="FFFFCC"/>
            <w:vAlign w:val="center"/>
          </w:tcPr>
          <w:p w:rsidR="00B84850" w:rsidRDefault="00B84850" w:rsidP="00F6487E">
            <w:pPr>
              <w:spacing w:line="240" w:lineRule="auto"/>
              <w:jc w:val="center"/>
              <w:rPr>
                <w:sz w:val="20"/>
                <w:szCs w:val="20"/>
              </w:rPr>
            </w:pPr>
            <w:r>
              <w:rPr>
                <w:sz w:val="20"/>
                <w:szCs w:val="20"/>
              </w:rPr>
              <w:t>Wash DoL 2009</w:t>
            </w:r>
          </w:p>
        </w:tc>
      </w:tr>
    </w:tbl>
    <w:p w:rsidR="00420B44" w:rsidRDefault="00EE730E" w:rsidP="00420B44">
      <w:pPr>
        <w:spacing w:line="240" w:lineRule="auto"/>
        <w:rPr>
          <w:sz w:val="18"/>
          <w:szCs w:val="18"/>
        </w:rPr>
      </w:pPr>
      <w:r>
        <w:rPr>
          <w:sz w:val="18"/>
          <w:szCs w:val="18"/>
        </w:rPr>
        <w:t>WES</w:t>
      </w:r>
      <w:r w:rsidR="00420B44">
        <w:rPr>
          <w:sz w:val="18"/>
          <w:szCs w:val="18"/>
        </w:rPr>
        <w:t xml:space="preserve"> = </w:t>
      </w:r>
      <w:r>
        <w:rPr>
          <w:sz w:val="18"/>
          <w:szCs w:val="18"/>
        </w:rPr>
        <w:t>workplace</w:t>
      </w:r>
      <w:r w:rsidR="00420B44">
        <w:rPr>
          <w:sz w:val="18"/>
          <w:szCs w:val="18"/>
        </w:rPr>
        <w:t xml:space="preserve"> exposure</w:t>
      </w:r>
      <w:r>
        <w:rPr>
          <w:sz w:val="18"/>
          <w:szCs w:val="18"/>
        </w:rPr>
        <w:t xml:space="preserve"> standard</w:t>
      </w:r>
      <w:r w:rsidR="00420B44">
        <w:rPr>
          <w:sz w:val="18"/>
          <w:szCs w:val="18"/>
        </w:rPr>
        <w:t xml:space="preserve">; </w:t>
      </w:r>
      <w:r w:rsidR="00314205">
        <w:rPr>
          <w:sz w:val="18"/>
          <w:szCs w:val="18"/>
        </w:rPr>
        <w:t xml:space="preserve">BLRL = blood lead removal level; </w:t>
      </w:r>
      <w:r w:rsidR="00F87ED4">
        <w:rPr>
          <w:sz w:val="18"/>
          <w:szCs w:val="18"/>
        </w:rPr>
        <w:t xml:space="preserve">PbB = blood lead; </w:t>
      </w:r>
      <w:r w:rsidR="00420B44">
        <w:rPr>
          <w:sz w:val="18"/>
          <w:szCs w:val="18"/>
        </w:rPr>
        <w:t xml:space="preserve">M = males; FNR = females not of reproductive capacity; FR = females of reproductive capacity; FP = females who are pregnant; FB = females who are breastfeeding; NA = not applicable; NS = not stated; </w:t>
      </w:r>
      <w:r w:rsidR="00F8122E">
        <w:rPr>
          <w:sz w:val="18"/>
          <w:szCs w:val="18"/>
        </w:rPr>
        <w:t>- = none provided.</w:t>
      </w:r>
    </w:p>
    <w:p w:rsidR="00C65F4E" w:rsidRPr="00C65F4E" w:rsidRDefault="00C65F4E" w:rsidP="00420B44">
      <w:pPr>
        <w:spacing w:line="240" w:lineRule="auto"/>
        <w:ind w:left="142" w:hanging="142"/>
        <w:rPr>
          <w:sz w:val="18"/>
          <w:szCs w:val="18"/>
        </w:rPr>
      </w:pPr>
      <w:r>
        <w:rPr>
          <w:sz w:val="24"/>
          <w:szCs w:val="24"/>
          <w:vertAlign w:val="superscript"/>
        </w:rPr>
        <w:t>a</w:t>
      </w:r>
      <w:r>
        <w:rPr>
          <w:sz w:val="18"/>
          <w:szCs w:val="18"/>
        </w:rPr>
        <w:t xml:space="preserve"> The supporting documentation sought for this purpose was one the explains the scientific rationale underpinning the </w:t>
      </w:r>
      <w:r w:rsidR="00EE730E">
        <w:rPr>
          <w:sz w:val="18"/>
          <w:szCs w:val="18"/>
        </w:rPr>
        <w:t>WES</w:t>
      </w:r>
      <w:r>
        <w:rPr>
          <w:sz w:val="18"/>
          <w:szCs w:val="18"/>
        </w:rPr>
        <w:t xml:space="preserve"> and/or </w:t>
      </w:r>
      <w:r w:rsidR="00B45175" w:rsidRPr="00175E94">
        <w:rPr>
          <w:sz w:val="18"/>
          <w:szCs w:val="18"/>
        </w:rPr>
        <w:t>BLRL</w:t>
      </w:r>
      <w:r w:rsidRPr="00B45175">
        <w:rPr>
          <w:sz w:val="18"/>
          <w:szCs w:val="18"/>
        </w:rPr>
        <w:t>.</w:t>
      </w:r>
      <w:r>
        <w:rPr>
          <w:sz w:val="18"/>
          <w:szCs w:val="18"/>
        </w:rPr>
        <w:t xml:space="preserve"> </w:t>
      </w:r>
    </w:p>
    <w:p w:rsidR="00420B44" w:rsidRDefault="00F8122E" w:rsidP="00420B44">
      <w:pPr>
        <w:spacing w:line="240" w:lineRule="auto"/>
        <w:ind w:left="142" w:hanging="142"/>
        <w:rPr>
          <w:sz w:val="18"/>
          <w:szCs w:val="18"/>
        </w:rPr>
      </w:pPr>
      <w:r>
        <w:rPr>
          <w:sz w:val="24"/>
          <w:szCs w:val="24"/>
          <w:vertAlign w:val="superscript"/>
        </w:rPr>
        <w:t>b</w:t>
      </w:r>
      <w:r w:rsidR="00420B44">
        <w:rPr>
          <w:sz w:val="24"/>
          <w:szCs w:val="24"/>
          <w:vertAlign w:val="superscript"/>
        </w:rPr>
        <w:t xml:space="preserve"> </w:t>
      </w:r>
      <w:r w:rsidR="00F87ED4">
        <w:rPr>
          <w:sz w:val="18"/>
          <w:szCs w:val="18"/>
        </w:rPr>
        <w:t xml:space="preserve">WES is measured as an 8-hour time weighted average. </w:t>
      </w:r>
      <w:r w:rsidR="00420B44">
        <w:rPr>
          <w:sz w:val="18"/>
          <w:szCs w:val="18"/>
        </w:rPr>
        <w:t xml:space="preserve">Although the terminology used in this table is </w:t>
      </w:r>
      <w:r w:rsidR="00EE730E">
        <w:rPr>
          <w:sz w:val="18"/>
          <w:szCs w:val="18"/>
        </w:rPr>
        <w:t>WES</w:t>
      </w:r>
      <w:r w:rsidR="00420B44">
        <w:rPr>
          <w:sz w:val="18"/>
          <w:szCs w:val="18"/>
        </w:rPr>
        <w:t xml:space="preserve"> (i.e. </w:t>
      </w:r>
      <w:r w:rsidR="00EE730E">
        <w:rPr>
          <w:sz w:val="18"/>
          <w:szCs w:val="18"/>
        </w:rPr>
        <w:t xml:space="preserve">workplace </w:t>
      </w:r>
      <w:r w:rsidR="00420B44">
        <w:rPr>
          <w:sz w:val="18"/>
          <w:szCs w:val="18"/>
        </w:rPr>
        <w:t xml:space="preserve">exposure </w:t>
      </w:r>
      <w:r w:rsidR="00EE730E">
        <w:rPr>
          <w:sz w:val="18"/>
          <w:szCs w:val="18"/>
        </w:rPr>
        <w:t>standard</w:t>
      </w:r>
      <w:r w:rsidR="00420B44">
        <w:rPr>
          <w:sz w:val="18"/>
          <w:szCs w:val="18"/>
        </w:rPr>
        <w:t>)</w:t>
      </w:r>
      <w:r w:rsidR="00B45175">
        <w:rPr>
          <w:sz w:val="18"/>
          <w:szCs w:val="18"/>
        </w:rPr>
        <w:t xml:space="preserve"> and BLRL (blood lead removal level)</w:t>
      </w:r>
      <w:r w:rsidR="00420B44">
        <w:rPr>
          <w:sz w:val="18"/>
          <w:szCs w:val="18"/>
        </w:rPr>
        <w:t>, agencies may have different names for such limit</w:t>
      </w:r>
      <w:r w:rsidR="00EE730E">
        <w:rPr>
          <w:sz w:val="18"/>
          <w:szCs w:val="18"/>
        </w:rPr>
        <w:t>s</w:t>
      </w:r>
      <w:r w:rsidR="00420B44">
        <w:rPr>
          <w:sz w:val="18"/>
          <w:szCs w:val="18"/>
        </w:rPr>
        <w:t xml:space="preserve"> (e.g. </w:t>
      </w:r>
      <w:r w:rsidR="00EE730E">
        <w:rPr>
          <w:sz w:val="18"/>
          <w:szCs w:val="18"/>
        </w:rPr>
        <w:t xml:space="preserve">occupational </w:t>
      </w:r>
      <w:r w:rsidR="00420B44">
        <w:rPr>
          <w:sz w:val="18"/>
          <w:szCs w:val="18"/>
        </w:rPr>
        <w:t>exposure</w:t>
      </w:r>
      <w:r w:rsidR="00EE730E">
        <w:rPr>
          <w:sz w:val="18"/>
          <w:szCs w:val="18"/>
        </w:rPr>
        <w:t xml:space="preserve"> limit</w:t>
      </w:r>
      <w:r w:rsidR="00420B44">
        <w:rPr>
          <w:sz w:val="18"/>
          <w:szCs w:val="18"/>
        </w:rPr>
        <w:t>, threshold limit value, permissible exposure limit, Maximale Abeitsplatzkonzentration,</w:t>
      </w:r>
      <w:r w:rsidR="00EE730E">
        <w:rPr>
          <w:sz w:val="18"/>
          <w:szCs w:val="18"/>
        </w:rPr>
        <w:t xml:space="preserve"> </w:t>
      </w:r>
      <w:r w:rsidR="00B45175">
        <w:rPr>
          <w:sz w:val="18"/>
          <w:szCs w:val="18"/>
        </w:rPr>
        <w:t xml:space="preserve">biological exposure standard, </w:t>
      </w:r>
      <w:r w:rsidR="00420B44">
        <w:rPr>
          <w:sz w:val="18"/>
          <w:szCs w:val="18"/>
        </w:rPr>
        <w:t>etc.).</w:t>
      </w:r>
      <w:r w:rsidR="00B45175">
        <w:rPr>
          <w:sz w:val="18"/>
          <w:szCs w:val="18"/>
        </w:rPr>
        <w:t xml:space="preserve"> Some agencies may not distinguish if a PbB standard is biolo</w:t>
      </w:r>
      <w:r w:rsidR="004933B3">
        <w:rPr>
          <w:sz w:val="18"/>
          <w:szCs w:val="18"/>
        </w:rPr>
        <w:t>gical exposure standard or a BLR</w:t>
      </w:r>
      <w:r w:rsidR="00B45175">
        <w:rPr>
          <w:sz w:val="18"/>
          <w:szCs w:val="18"/>
        </w:rPr>
        <w:t xml:space="preserve">L; </w:t>
      </w:r>
      <w:r w:rsidR="004933B3">
        <w:rPr>
          <w:sz w:val="18"/>
          <w:szCs w:val="18"/>
        </w:rPr>
        <w:t xml:space="preserve">in these instances, the PbB concentration was assumed to be a BLRL. </w:t>
      </w:r>
    </w:p>
    <w:p w:rsidR="00E042C2" w:rsidRDefault="00E042C2" w:rsidP="00420B44">
      <w:pPr>
        <w:spacing w:line="240" w:lineRule="auto"/>
        <w:ind w:left="142" w:hanging="142"/>
        <w:rPr>
          <w:sz w:val="24"/>
          <w:szCs w:val="24"/>
          <w:vertAlign w:val="superscript"/>
        </w:rPr>
      </w:pPr>
      <w:r>
        <w:rPr>
          <w:sz w:val="24"/>
          <w:szCs w:val="24"/>
          <w:vertAlign w:val="superscript"/>
        </w:rPr>
        <w:t xml:space="preserve">c </w:t>
      </w:r>
      <w:r>
        <w:rPr>
          <w:sz w:val="18"/>
          <w:szCs w:val="18"/>
        </w:rPr>
        <w:t xml:space="preserve">The </w:t>
      </w:r>
      <w:r w:rsidR="000C3863">
        <w:rPr>
          <w:sz w:val="18"/>
          <w:szCs w:val="18"/>
        </w:rPr>
        <w:t>PbB</w:t>
      </w:r>
      <w:r>
        <w:rPr>
          <w:sz w:val="18"/>
          <w:szCs w:val="18"/>
        </w:rPr>
        <w:t xml:space="preserve"> levels in this table are legislated or non-legislated </w:t>
      </w:r>
      <w:r w:rsidR="00314205">
        <w:rPr>
          <w:sz w:val="18"/>
          <w:szCs w:val="18"/>
        </w:rPr>
        <w:t>BLRL</w:t>
      </w:r>
      <w:r>
        <w:rPr>
          <w:sz w:val="18"/>
          <w:szCs w:val="18"/>
        </w:rPr>
        <w:t xml:space="preserve">. Non-legislated </w:t>
      </w:r>
      <w:r w:rsidR="00314205">
        <w:rPr>
          <w:sz w:val="18"/>
          <w:szCs w:val="18"/>
        </w:rPr>
        <w:t>BLRL</w:t>
      </w:r>
      <w:r>
        <w:rPr>
          <w:sz w:val="18"/>
          <w:szCs w:val="18"/>
        </w:rPr>
        <w:t>s are recommendations made by an</w:t>
      </w:r>
      <w:r w:rsidR="00434D68">
        <w:rPr>
          <w:sz w:val="18"/>
          <w:szCs w:val="18"/>
        </w:rPr>
        <w:t xml:space="preserve"> organisation, which do</w:t>
      </w:r>
      <w:r>
        <w:rPr>
          <w:sz w:val="18"/>
          <w:szCs w:val="18"/>
        </w:rPr>
        <w:t xml:space="preserve"> not have legislative status. </w:t>
      </w:r>
      <w:r w:rsidR="004B6281">
        <w:rPr>
          <w:sz w:val="18"/>
          <w:szCs w:val="18"/>
        </w:rPr>
        <w:t>N</w:t>
      </w:r>
      <w:r>
        <w:rPr>
          <w:sz w:val="18"/>
          <w:szCs w:val="18"/>
        </w:rPr>
        <w:t>on-legislated or legislated status has been noted in the table.</w:t>
      </w:r>
      <w:r w:rsidR="004B6281">
        <w:rPr>
          <w:sz w:val="18"/>
          <w:szCs w:val="18"/>
        </w:rPr>
        <w:t xml:space="preserve"> </w:t>
      </w:r>
    </w:p>
    <w:p w:rsidR="00420B44" w:rsidRDefault="00E042C2" w:rsidP="00E042C2">
      <w:pPr>
        <w:spacing w:line="240" w:lineRule="auto"/>
        <w:ind w:left="142" w:hanging="142"/>
        <w:rPr>
          <w:sz w:val="18"/>
          <w:szCs w:val="18"/>
        </w:rPr>
      </w:pPr>
      <w:r>
        <w:rPr>
          <w:sz w:val="24"/>
          <w:szCs w:val="24"/>
          <w:vertAlign w:val="superscript"/>
        </w:rPr>
        <w:t>d</w:t>
      </w:r>
      <w:r w:rsidR="00420B44">
        <w:rPr>
          <w:sz w:val="18"/>
          <w:szCs w:val="18"/>
        </w:rPr>
        <w:t xml:space="preserve"> </w:t>
      </w:r>
      <w:r w:rsidR="00F8122E">
        <w:rPr>
          <w:rFonts w:cs="Arial"/>
          <w:sz w:val="18"/>
          <w:szCs w:val="18"/>
        </w:rPr>
        <w:t xml:space="preserve">If a member country has not set its own </w:t>
      </w:r>
      <w:r w:rsidR="004B6281">
        <w:rPr>
          <w:rFonts w:cs="Arial"/>
          <w:sz w:val="18"/>
          <w:szCs w:val="18"/>
        </w:rPr>
        <w:t xml:space="preserve">BLRL </w:t>
      </w:r>
      <w:r w:rsidR="00F8122E">
        <w:rPr>
          <w:rFonts w:cs="Arial"/>
          <w:sz w:val="18"/>
          <w:szCs w:val="18"/>
        </w:rPr>
        <w:t xml:space="preserve">for lead, </w:t>
      </w:r>
      <w:r w:rsidR="00F8122E" w:rsidRPr="004B6281">
        <w:rPr>
          <w:rFonts w:cs="Arial"/>
          <w:sz w:val="18"/>
          <w:szCs w:val="18"/>
        </w:rPr>
        <w:t xml:space="preserve">the </w:t>
      </w:r>
      <w:r w:rsidR="00F8122E" w:rsidRPr="00175E94">
        <w:rPr>
          <w:rFonts w:cs="Arial"/>
          <w:sz w:val="18"/>
          <w:szCs w:val="18"/>
        </w:rPr>
        <w:t>B</w:t>
      </w:r>
      <w:r w:rsidR="004B6281" w:rsidRPr="00175E94">
        <w:rPr>
          <w:rFonts w:cs="Arial"/>
          <w:sz w:val="18"/>
          <w:szCs w:val="18"/>
        </w:rPr>
        <w:t>LRL</w:t>
      </w:r>
      <w:r w:rsidR="00F8122E">
        <w:rPr>
          <w:rFonts w:cs="Arial"/>
          <w:sz w:val="18"/>
          <w:szCs w:val="18"/>
        </w:rPr>
        <w:t xml:space="preserve"> set by the European Union becomes the default</w:t>
      </w:r>
      <w:r w:rsidR="00347839">
        <w:rPr>
          <w:rFonts w:cs="Arial"/>
          <w:sz w:val="18"/>
          <w:szCs w:val="18"/>
        </w:rPr>
        <w:t xml:space="preserve"> BLRL</w:t>
      </w:r>
      <w:r w:rsidR="00F8122E">
        <w:rPr>
          <w:rFonts w:cs="Arial"/>
          <w:sz w:val="18"/>
          <w:szCs w:val="18"/>
        </w:rPr>
        <w:t xml:space="preserve"> and cannot be exceeded. The EU </w:t>
      </w:r>
      <w:r w:rsidR="00347839" w:rsidRPr="00175E94">
        <w:rPr>
          <w:rFonts w:cs="Arial"/>
          <w:sz w:val="18"/>
          <w:szCs w:val="18"/>
        </w:rPr>
        <w:t>BLRL</w:t>
      </w:r>
      <w:r w:rsidR="00F8122E">
        <w:rPr>
          <w:rFonts w:cs="Arial"/>
          <w:sz w:val="18"/>
          <w:szCs w:val="18"/>
        </w:rPr>
        <w:t xml:space="preserve"> for inorganic </w:t>
      </w:r>
      <w:r w:rsidR="00637B4C">
        <w:rPr>
          <w:rFonts w:cs="Arial"/>
          <w:sz w:val="18"/>
          <w:szCs w:val="18"/>
        </w:rPr>
        <w:t xml:space="preserve">lead </w:t>
      </w:r>
      <w:r w:rsidR="00F8122E">
        <w:rPr>
          <w:rFonts w:cs="Arial"/>
          <w:sz w:val="18"/>
          <w:szCs w:val="18"/>
        </w:rPr>
        <w:t xml:space="preserve">and its compounds is 70 </w:t>
      </w:r>
      <w:r w:rsidR="00F8122E" w:rsidRPr="00360724">
        <w:rPr>
          <w:rFonts w:cs="Arial"/>
          <w:sz w:val="18"/>
          <w:szCs w:val="18"/>
        </w:rPr>
        <w:t>µ</w:t>
      </w:r>
      <w:r w:rsidR="00F8122E">
        <w:rPr>
          <w:rFonts w:cs="Arial"/>
          <w:sz w:val="18"/>
          <w:szCs w:val="18"/>
        </w:rPr>
        <w:t xml:space="preserve">g/dL </w:t>
      </w:r>
      <w:r>
        <w:rPr>
          <w:sz w:val="18"/>
          <w:szCs w:val="18"/>
        </w:rPr>
        <w:t>(EC 1998).</w:t>
      </w:r>
      <w:r w:rsidR="00420B44" w:rsidRPr="006038D3">
        <w:rPr>
          <w:sz w:val="18"/>
          <w:szCs w:val="18"/>
        </w:rPr>
        <w:t xml:space="preserve"> </w:t>
      </w:r>
    </w:p>
    <w:p w:rsidR="00E042C2" w:rsidRDefault="00E042C2" w:rsidP="00420B44">
      <w:pPr>
        <w:spacing w:line="240" w:lineRule="auto"/>
        <w:ind w:left="142" w:hanging="142"/>
        <w:rPr>
          <w:sz w:val="24"/>
          <w:szCs w:val="24"/>
          <w:vertAlign w:val="superscript"/>
        </w:rPr>
      </w:pPr>
      <w:r>
        <w:rPr>
          <w:sz w:val="24"/>
          <w:szCs w:val="24"/>
          <w:vertAlign w:val="superscript"/>
        </w:rPr>
        <w:t xml:space="preserve">e </w:t>
      </w:r>
      <w:r>
        <w:rPr>
          <w:sz w:val="18"/>
          <w:szCs w:val="18"/>
        </w:rPr>
        <w:t xml:space="preserve">A PbB of 1.5 </w:t>
      </w:r>
      <w:r w:rsidRPr="00767288">
        <w:rPr>
          <w:rFonts w:cs="Arial"/>
          <w:sz w:val="18"/>
          <w:szCs w:val="18"/>
        </w:rPr>
        <w:t>µ</w:t>
      </w:r>
      <w:r>
        <w:rPr>
          <w:sz w:val="18"/>
          <w:szCs w:val="18"/>
        </w:rPr>
        <w:t xml:space="preserve">mol/L (i.e. 30 </w:t>
      </w:r>
      <w:r w:rsidRPr="00767288">
        <w:rPr>
          <w:rFonts w:cs="Arial"/>
          <w:sz w:val="18"/>
          <w:szCs w:val="18"/>
        </w:rPr>
        <w:t>µ</w:t>
      </w:r>
      <w:r w:rsidRPr="00767288">
        <w:rPr>
          <w:sz w:val="18"/>
          <w:szCs w:val="18"/>
        </w:rPr>
        <w:t>g/dL</w:t>
      </w:r>
      <w:r>
        <w:rPr>
          <w:sz w:val="18"/>
          <w:szCs w:val="18"/>
        </w:rPr>
        <w:t>) is considered by WorkSafe Alberta (2009) an acceptable level not requiring action for females not of reproductive capacity</w:t>
      </w:r>
      <w:r w:rsidR="00B1318A">
        <w:rPr>
          <w:sz w:val="18"/>
          <w:szCs w:val="18"/>
        </w:rPr>
        <w:t xml:space="preserve"> and males</w:t>
      </w:r>
      <w:r>
        <w:rPr>
          <w:sz w:val="18"/>
          <w:szCs w:val="18"/>
        </w:rPr>
        <w:t xml:space="preserve">. Different actions are required if PbB exceeds this level, with removal from the job occurring when PbB is </w:t>
      </w:r>
      <w:r>
        <w:rPr>
          <w:sz w:val="18"/>
          <w:szCs w:val="18"/>
          <w:u w:val="single"/>
        </w:rPr>
        <w:t>&gt;</w:t>
      </w:r>
      <w:r>
        <w:rPr>
          <w:sz w:val="18"/>
          <w:szCs w:val="18"/>
        </w:rPr>
        <w:t xml:space="preserve"> 2.5 </w:t>
      </w:r>
      <w:r w:rsidRPr="00767288">
        <w:rPr>
          <w:rFonts w:cs="Arial"/>
          <w:sz w:val="18"/>
          <w:szCs w:val="18"/>
        </w:rPr>
        <w:t>µ</w:t>
      </w:r>
      <w:r>
        <w:rPr>
          <w:sz w:val="18"/>
          <w:szCs w:val="18"/>
        </w:rPr>
        <w:t xml:space="preserve">mol/L (i.e. 50 </w:t>
      </w:r>
      <w:r w:rsidRPr="00767288">
        <w:rPr>
          <w:rFonts w:cs="Arial"/>
          <w:sz w:val="18"/>
          <w:szCs w:val="18"/>
        </w:rPr>
        <w:t>µ</w:t>
      </w:r>
      <w:r w:rsidRPr="00767288">
        <w:rPr>
          <w:sz w:val="18"/>
          <w:szCs w:val="18"/>
        </w:rPr>
        <w:t>g/dL</w:t>
      </w:r>
      <w:r>
        <w:rPr>
          <w:sz w:val="18"/>
          <w:szCs w:val="18"/>
        </w:rPr>
        <w:t xml:space="preserve">). For pregnant workers and female workers of childbearing age considering becoming pregnant, PbB must be kept below 0.5 </w:t>
      </w:r>
      <w:r w:rsidRPr="00767288">
        <w:rPr>
          <w:rFonts w:cs="Arial"/>
          <w:sz w:val="18"/>
          <w:szCs w:val="18"/>
        </w:rPr>
        <w:t>µ</w:t>
      </w:r>
      <w:r>
        <w:rPr>
          <w:sz w:val="18"/>
          <w:szCs w:val="18"/>
        </w:rPr>
        <w:t xml:space="preserve">mol/L (i.e. 10 </w:t>
      </w:r>
      <w:r w:rsidRPr="00767288">
        <w:rPr>
          <w:rFonts w:cs="Arial"/>
          <w:sz w:val="18"/>
          <w:szCs w:val="18"/>
        </w:rPr>
        <w:t>µ</w:t>
      </w:r>
      <w:r w:rsidRPr="00767288">
        <w:rPr>
          <w:sz w:val="18"/>
          <w:szCs w:val="18"/>
        </w:rPr>
        <w:t>g/dL</w:t>
      </w:r>
      <w:r>
        <w:rPr>
          <w:sz w:val="18"/>
          <w:szCs w:val="18"/>
        </w:rPr>
        <w:t>).</w:t>
      </w:r>
    </w:p>
    <w:p w:rsidR="00E042C2" w:rsidRDefault="00347839" w:rsidP="00420B44">
      <w:pPr>
        <w:spacing w:line="240" w:lineRule="auto"/>
        <w:ind w:left="142" w:hanging="142"/>
        <w:rPr>
          <w:sz w:val="18"/>
          <w:szCs w:val="18"/>
        </w:rPr>
      </w:pPr>
      <w:r>
        <w:rPr>
          <w:sz w:val="24"/>
          <w:szCs w:val="24"/>
          <w:vertAlign w:val="superscript"/>
        </w:rPr>
        <w:t>f</w:t>
      </w:r>
      <w:r w:rsidR="00E042C2">
        <w:rPr>
          <w:sz w:val="18"/>
          <w:szCs w:val="18"/>
        </w:rPr>
        <w:t xml:space="preserve"> The </w:t>
      </w:r>
      <w:r w:rsidRPr="00175E94">
        <w:rPr>
          <w:sz w:val="18"/>
          <w:szCs w:val="18"/>
        </w:rPr>
        <w:t>BLRL</w:t>
      </w:r>
      <w:r w:rsidR="00E042C2">
        <w:rPr>
          <w:sz w:val="18"/>
          <w:szCs w:val="18"/>
        </w:rPr>
        <w:t xml:space="preserve"> of 40 </w:t>
      </w:r>
      <w:r w:rsidR="00E042C2" w:rsidRPr="00767288">
        <w:rPr>
          <w:rFonts w:cs="Arial"/>
          <w:sz w:val="18"/>
          <w:szCs w:val="18"/>
        </w:rPr>
        <w:t>µ</w:t>
      </w:r>
      <w:r w:rsidR="00E042C2" w:rsidRPr="00767288">
        <w:rPr>
          <w:sz w:val="18"/>
          <w:szCs w:val="18"/>
        </w:rPr>
        <w:t>g/dL</w:t>
      </w:r>
      <w:r w:rsidR="00E042C2">
        <w:rPr>
          <w:sz w:val="18"/>
          <w:szCs w:val="18"/>
        </w:rPr>
        <w:t xml:space="preserve"> is stated to be for males and the </w:t>
      </w:r>
      <w:r w:rsidR="00E042C2" w:rsidRPr="00175E94">
        <w:rPr>
          <w:sz w:val="18"/>
          <w:szCs w:val="18"/>
        </w:rPr>
        <w:t>B</w:t>
      </w:r>
      <w:r w:rsidRPr="00175E94">
        <w:rPr>
          <w:sz w:val="18"/>
          <w:szCs w:val="18"/>
        </w:rPr>
        <w:t>LRL</w:t>
      </w:r>
      <w:r w:rsidR="00E042C2">
        <w:rPr>
          <w:sz w:val="18"/>
          <w:szCs w:val="18"/>
        </w:rPr>
        <w:t xml:space="preserve"> of 30 </w:t>
      </w:r>
      <w:r w:rsidR="00E042C2" w:rsidRPr="00767288">
        <w:rPr>
          <w:rFonts w:cs="Arial"/>
          <w:sz w:val="18"/>
          <w:szCs w:val="18"/>
        </w:rPr>
        <w:t>µ</w:t>
      </w:r>
      <w:r w:rsidR="00E042C2" w:rsidRPr="00767288">
        <w:rPr>
          <w:sz w:val="18"/>
          <w:szCs w:val="18"/>
        </w:rPr>
        <w:t>g/dL</w:t>
      </w:r>
      <w:r w:rsidR="00E042C2">
        <w:rPr>
          <w:sz w:val="18"/>
          <w:szCs w:val="18"/>
        </w:rPr>
        <w:t xml:space="preserve"> is stated to be for females (INRS 2006, Legifrance 2003). Reproductive capacity is not mentioned.</w:t>
      </w:r>
    </w:p>
    <w:p w:rsidR="00E042C2" w:rsidRDefault="00347839" w:rsidP="00E042C2">
      <w:pPr>
        <w:spacing w:line="240" w:lineRule="auto"/>
        <w:ind w:left="142" w:hanging="142"/>
        <w:rPr>
          <w:sz w:val="18"/>
          <w:szCs w:val="18"/>
        </w:rPr>
      </w:pPr>
      <w:r>
        <w:rPr>
          <w:sz w:val="24"/>
          <w:szCs w:val="24"/>
          <w:vertAlign w:val="superscript"/>
        </w:rPr>
        <w:t>g</w:t>
      </w:r>
      <w:r w:rsidR="00E042C2">
        <w:rPr>
          <w:sz w:val="18"/>
          <w:szCs w:val="18"/>
        </w:rPr>
        <w:t xml:space="preserve"> B</w:t>
      </w:r>
      <w:r>
        <w:rPr>
          <w:sz w:val="18"/>
          <w:szCs w:val="18"/>
        </w:rPr>
        <w:t>A</w:t>
      </w:r>
      <w:r w:rsidR="00E042C2">
        <w:rPr>
          <w:sz w:val="18"/>
          <w:szCs w:val="18"/>
        </w:rPr>
        <w:t xml:space="preserve">uA (2013b) does not have a WES for inorganic </w:t>
      </w:r>
      <w:r w:rsidR="00754780">
        <w:rPr>
          <w:sz w:val="18"/>
          <w:szCs w:val="18"/>
        </w:rPr>
        <w:t>lead</w:t>
      </w:r>
      <w:r w:rsidR="00E042C2">
        <w:rPr>
          <w:sz w:val="18"/>
          <w:szCs w:val="18"/>
        </w:rPr>
        <w:t xml:space="preserve">. However in a recent publication from the German Accident Insurance Agency (DGUV 2013), a WES of 0.1 </w:t>
      </w:r>
      <w:r w:rsidR="00E042C2">
        <w:rPr>
          <w:rFonts w:cs="Arial"/>
          <w:sz w:val="18"/>
          <w:szCs w:val="18"/>
        </w:rPr>
        <w:t>m</w:t>
      </w:r>
      <w:r w:rsidR="00E042C2" w:rsidRPr="005F2E8A">
        <w:rPr>
          <w:rFonts w:cs="Arial"/>
          <w:sz w:val="18"/>
          <w:szCs w:val="18"/>
        </w:rPr>
        <w:t>g/m</w:t>
      </w:r>
      <w:r w:rsidR="00E042C2" w:rsidRPr="005F2E8A">
        <w:rPr>
          <w:rFonts w:cs="Arial"/>
          <w:sz w:val="18"/>
          <w:szCs w:val="18"/>
          <w:vertAlign w:val="superscript"/>
        </w:rPr>
        <w:t>3</w:t>
      </w:r>
      <w:r w:rsidR="00E042C2">
        <w:rPr>
          <w:rFonts w:cs="Arial"/>
          <w:sz w:val="18"/>
          <w:szCs w:val="18"/>
        </w:rPr>
        <w:t xml:space="preserve"> is mentioned, with a reference to a previous B</w:t>
      </w:r>
      <w:r>
        <w:rPr>
          <w:rFonts w:cs="Arial"/>
          <w:sz w:val="18"/>
          <w:szCs w:val="18"/>
        </w:rPr>
        <w:t>A</w:t>
      </w:r>
      <w:r w:rsidR="00E042C2">
        <w:rPr>
          <w:rFonts w:cs="Arial"/>
          <w:sz w:val="18"/>
          <w:szCs w:val="18"/>
        </w:rPr>
        <w:t>uA (2007) publication. Upon consultation of the (B</w:t>
      </w:r>
      <w:r>
        <w:rPr>
          <w:rFonts w:cs="Arial"/>
          <w:sz w:val="18"/>
          <w:szCs w:val="18"/>
        </w:rPr>
        <w:t>A</w:t>
      </w:r>
      <w:r w:rsidR="00E042C2">
        <w:rPr>
          <w:rFonts w:cs="Arial"/>
          <w:sz w:val="18"/>
          <w:szCs w:val="18"/>
        </w:rPr>
        <w:t>uA 2007) publication, the concentration of 0.</w:t>
      </w:r>
      <w:r w:rsidR="00E042C2">
        <w:rPr>
          <w:sz w:val="18"/>
          <w:szCs w:val="18"/>
        </w:rPr>
        <w:t xml:space="preserve">1 </w:t>
      </w:r>
      <w:r w:rsidR="00E042C2">
        <w:rPr>
          <w:rFonts w:cs="Arial"/>
          <w:sz w:val="18"/>
          <w:szCs w:val="18"/>
        </w:rPr>
        <w:t>m</w:t>
      </w:r>
      <w:r w:rsidR="00E042C2" w:rsidRPr="005F2E8A">
        <w:rPr>
          <w:rFonts w:cs="Arial"/>
          <w:sz w:val="18"/>
          <w:szCs w:val="18"/>
        </w:rPr>
        <w:t>g/m</w:t>
      </w:r>
      <w:r w:rsidR="00E042C2" w:rsidRPr="005F2E8A">
        <w:rPr>
          <w:rFonts w:cs="Arial"/>
          <w:sz w:val="18"/>
          <w:szCs w:val="18"/>
          <w:vertAlign w:val="superscript"/>
        </w:rPr>
        <w:t>3</w:t>
      </w:r>
      <w:r w:rsidR="00E042C2">
        <w:rPr>
          <w:rFonts w:cs="Arial"/>
          <w:sz w:val="18"/>
          <w:szCs w:val="18"/>
        </w:rPr>
        <w:t xml:space="preserve"> is mentioned but it is unclear whether this is considered an official WES for </w:t>
      </w:r>
      <w:r w:rsidR="00754780">
        <w:rPr>
          <w:rFonts w:cs="Arial"/>
          <w:sz w:val="18"/>
          <w:szCs w:val="18"/>
        </w:rPr>
        <w:t>lead</w:t>
      </w:r>
      <w:r w:rsidR="00E042C2">
        <w:rPr>
          <w:rFonts w:cs="Arial"/>
          <w:sz w:val="18"/>
          <w:szCs w:val="18"/>
        </w:rPr>
        <w:t>.</w:t>
      </w:r>
      <w:r w:rsidR="00E042C2">
        <w:rPr>
          <w:sz w:val="18"/>
          <w:szCs w:val="18"/>
        </w:rPr>
        <w:t xml:space="preserve"> The official WES for tetraethyl </w:t>
      </w:r>
      <w:r w:rsidR="00637B4C">
        <w:rPr>
          <w:sz w:val="18"/>
          <w:szCs w:val="18"/>
        </w:rPr>
        <w:t xml:space="preserve">lead </w:t>
      </w:r>
      <w:r w:rsidR="00E042C2">
        <w:rPr>
          <w:sz w:val="18"/>
          <w:szCs w:val="18"/>
        </w:rPr>
        <w:t xml:space="preserve">is 0.05 </w:t>
      </w:r>
      <w:r w:rsidR="00E042C2">
        <w:rPr>
          <w:rFonts w:cs="Arial"/>
          <w:sz w:val="18"/>
          <w:szCs w:val="18"/>
        </w:rPr>
        <w:t>m</w:t>
      </w:r>
      <w:r w:rsidR="00E042C2" w:rsidRPr="00964B32">
        <w:rPr>
          <w:rFonts w:cs="Arial"/>
          <w:sz w:val="18"/>
          <w:szCs w:val="18"/>
        </w:rPr>
        <w:t>g/m</w:t>
      </w:r>
      <w:r w:rsidR="00E042C2" w:rsidRPr="00964B32">
        <w:rPr>
          <w:rFonts w:cs="Arial"/>
          <w:sz w:val="18"/>
          <w:szCs w:val="18"/>
          <w:vertAlign w:val="superscript"/>
        </w:rPr>
        <w:t>3</w:t>
      </w:r>
      <w:r w:rsidR="00E042C2">
        <w:rPr>
          <w:rFonts w:cs="Arial"/>
          <w:sz w:val="18"/>
          <w:szCs w:val="18"/>
        </w:rPr>
        <w:t xml:space="preserve"> (B</w:t>
      </w:r>
      <w:r>
        <w:rPr>
          <w:rFonts w:cs="Arial"/>
          <w:sz w:val="18"/>
          <w:szCs w:val="18"/>
        </w:rPr>
        <w:t>A</w:t>
      </w:r>
      <w:r w:rsidR="00E042C2">
        <w:rPr>
          <w:rFonts w:cs="Arial"/>
          <w:sz w:val="18"/>
          <w:szCs w:val="18"/>
        </w:rPr>
        <w:t xml:space="preserve">uA 2013). If a member country has not set its own WES for a substance, the WES set by the European Union becomes the default WES and cannot be exceeded. The EU WES for inorganic </w:t>
      </w:r>
      <w:r w:rsidR="00637B4C">
        <w:rPr>
          <w:rFonts w:cs="Arial"/>
          <w:sz w:val="18"/>
          <w:szCs w:val="18"/>
        </w:rPr>
        <w:t xml:space="preserve">lead </w:t>
      </w:r>
      <w:r w:rsidR="00E042C2">
        <w:rPr>
          <w:rFonts w:cs="Arial"/>
          <w:sz w:val="18"/>
          <w:szCs w:val="18"/>
        </w:rPr>
        <w:t>and its compounds is 0.15 m</w:t>
      </w:r>
      <w:r w:rsidR="00E042C2" w:rsidRPr="00360724">
        <w:rPr>
          <w:rFonts w:cs="Arial"/>
          <w:sz w:val="18"/>
          <w:szCs w:val="18"/>
        </w:rPr>
        <w:t>g/m</w:t>
      </w:r>
      <w:r w:rsidR="00E042C2" w:rsidRPr="00360724">
        <w:rPr>
          <w:rFonts w:cs="Arial"/>
          <w:sz w:val="18"/>
          <w:szCs w:val="18"/>
          <w:vertAlign w:val="superscript"/>
        </w:rPr>
        <w:t>3</w:t>
      </w:r>
      <w:r w:rsidR="00E042C2">
        <w:rPr>
          <w:rFonts w:cs="Arial"/>
          <w:sz w:val="18"/>
          <w:szCs w:val="18"/>
        </w:rPr>
        <w:t xml:space="preserve"> and the </w:t>
      </w:r>
      <w:r w:rsidRPr="00175E94">
        <w:rPr>
          <w:rFonts w:cs="Arial"/>
          <w:sz w:val="18"/>
          <w:szCs w:val="18"/>
        </w:rPr>
        <w:t>BLRL</w:t>
      </w:r>
      <w:r w:rsidR="00E042C2">
        <w:rPr>
          <w:rFonts w:cs="Arial"/>
          <w:sz w:val="18"/>
          <w:szCs w:val="18"/>
        </w:rPr>
        <w:t xml:space="preserve"> is 70 </w:t>
      </w:r>
      <w:r w:rsidR="00E042C2" w:rsidRPr="00767288">
        <w:rPr>
          <w:rFonts w:cs="Arial"/>
          <w:sz w:val="18"/>
          <w:szCs w:val="18"/>
        </w:rPr>
        <w:t>µ</w:t>
      </w:r>
      <w:r w:rsidR="00E042C2" w:rsidRPr="00767288">
        <w:rPr>
          <w:sz w:val="18"/>
          <w:szCs w:val="18"/>
        </w:rPr>
        <w:t>g/dL</w:t>
      </w:r>
      <w:r w:rsidR="00E042C2">
        <w:rPr>
          <w:sz w:val="18"/>
          <w:szCs w:val="18"/>
        </w:rPr>
        <w:t xml:space="preserve"> (EC 1998). </w:t>
      </w:r>
    </w:p>
    <w:p w:rsidR="00E042C2" w:rsidRDefault="00347839" w:rsidP="00E042C2">
      <w:pPr>
        <w:spacing w:line="240" w:lineRule="auto"/>
        <w:ind w:left="142" w:hanging="142"/>
        <w:rPr>
          <w:sz w:val="18"/>
          <w:szCs w:val="18"/>
        </w:rPr>
      </w:pPr>
      <w:r>
        <w:rPr>
          <w:sz w:val="24"/>
          <w:szCs w:val="24"/>
          <w:vertAlign w:val="superscript"/>
        </w:rPr>
        <w:t>h</w:t>
      </w:r>
      <w:r w:rsidR="00E042C2">
        <w:rPr>
          <w:sz w:val="18"/>
          <w:szCs w:val="18"/>
        </w:rPr>
        <w:t xml:space="preserve"> The </w:t>
      </w:r>
      <w:r w:rsidR="00E042C2" w:rsidRPr="00175E94">
        <w:rPr>
          <w:sz w:val="18"/>
          <w:szCs w:val="18"/>
        </w:rPr>
        <w:t>B</w:t>
      </w:r>
      <w:r w:rsidRPr="00175E94">
        <w:rPr>
          <w:sz w:val="18"/>
          <w:szCs w:val="18"/>
        </w:rPr>
        <w:t>LRL</w:t>
      </w:r>
      <w:r w:rsidR="00E042C2">
        <w:rPr>
          <w:sz w:val="18"/>
          <w:szCs w:val="18"/>
        </w:rPr>
        <w:t xml:space="preserve"> of 40 </w:t>
      </w:r>
      <w:r w:rsidR="00E042C2" w:rsidRPr="00767288">
        <w:rPr>
          <w:rFonts w:cs="Arial"/>
          <w:sz w:val="18"/>
          <w:szCs w:val="18"/>
        </w:rPr>
        <w:t>µ</w:t>
      </w:r>
      <w:r w:rsidR="00E042C2" w:rsidRPr="00767288">
        <w:rPr>
          <w:sz w:val="18"/>
          <w:szCs w:val="18"/>
        </w:rPr>
        <w:t>g/dL</w:t>
      </w:r>
      <w:r w:rsidR="00E042C2">
        <w:rPr>
          <w:sz w:val="18"/>
          <w:szCs w:val="18"/>
        </w:rPr>
        <w:t xml:space="preserve"> is for females &gt;45 years</w:t>
      </w:r>
      <w:r w:rsidR="00B1318A">
        <w:rPr>
          <w:sz w:val="18"/>
          <w:szCs w:val="18"/>
        </w:rPr>
        <w:t xml:space="preserve"> and males</w:t>
      </w:r>
      <w:r w:rsidR="00E042C2">
        <w:rPr>
          <w:sz w:val="18"/>
          <w:szCs w:val="18"/>
        </w:rPr>
        <w:t xml:space="preserve">. The </w:t>
      </w:r>
      <w:r>
        <w:rPr>
          <w:sz w:val="18"/>
          <w:szCs w:val="18"/>
        </w:rPr>
        <w:t xml:space="preserve">former </w:t>
      </w:r>
      <w:r w:rsidR="00E042C2">
        <w:rPr>
          <w:sz w:val="18"/>
          <w:szCs w:val="18"/>
        </w:rPr>
        <w:t xml:space="preserve">is taken to mean females not of reproductive capacity. The </w:t>
      </w:r>
      <w:r w:rsidR="00E042C2" w:rsidRPr="00175E94">
        <w:rPr>
          <w:sz w:val="18"/>
          <w:szCs w:val="18"/>
        </w:rPr>
        <w:t>B</w:t>
      </w:r>
      <w:r w:rsidRPr="00175E94">
        <w:rPr>
          <w:sz w:val="18"/>
          <w:szCs w:val="18"/>
        </w:rPr>
        <w:t>LRL</w:t>
      </w:r>
      <w:r w:rsidR="00E042C2">
        <w:rPr>
          <w:sz w:val="18"/>
          <w:szCs w:val="18"/>
        </w:rPr>
        <w:t xml:space="preserve"> of 30 </w:t>
      </w:r>
      <w:r w:rsidR="00E042C2" w:rsidRPr="00767288">
        <w:rPr>
          <w:rFonts w:cs="Arial"/>
          <w:sz w:val="18"/>
          <w:szCs w:val="18"/>
        </w:rPr>
        <w:t>µ</w:t>
      </w:r>
      <w:r w:rsidR="00E042C2" w:rsidRPr="00767288">
        <w:rPr>
          <w:sz w:val="18"/>
          <w:szCs w:val="18"/>
        </w:rPr>
        <w:t>g/dL</w:t>
      </w:r>
      <w:r w:rsidR="00E042C2">
        <w:rPr>
          <w:sz w:val="18"/>
          <w:szCs w:val="18"/>
        </w:rPr>
        <w:t xml:space="preserve"> is for females &lt;45 years of age. According to B</w:t>
      </w:r>
      <w:r>
        <w:rPr>
          <w:sz w:val="18"/>
          <w:szCs w:val="18"/>
        </w:rPr>
        <w:t>A</w:t>
      </w:r>
      <w:r w:rsidR="00D36761">
        <w:rPr>
          <w:sz w:val="18"/>
          <w:szCs w:val="18"/>
        </w:rPr>
        <w:t>u</w:t>
      </w:r>
      <w:r w:rsidR="00E042C2">
        <w:rPr>
          <w:sz w:val="18"/>
          <w:szCs w:val="18"/>
        </w:rPr>
        <w:t>A (2013b) these values were initially set in 1998 and are currently undergoing revision.</w:t>
      </w:r>
    </w:p>
    <w:p w:rsidR="00E042C2" w:rsidRDefault="00347839" w:rsidP="00E042C2">
      <w:pPr>
        <w:spacing w:line="240" w:lineRule="auto"/>
        <w:ind w:left="142" w:hanging="142"/>
        <w:rPr>
          <w:sz w:val="18"/>
          <w:szCs w:val="18"/>
        </w:rPr>
      </w:pPr>
      <w:r>
        <w:rPr>
          <w:sz w:val="24"/>
          <w:szCs w:val="24"/>
          <w:vertAlign w:val="superscript"/>
        </w:rPr>
        <w:t>i</w:t>
      </w:r>
      <w:r w:rsidR="00E042C2">
        <w:rPr>
          <w:sz w:val="18"/>
          <w:szCs w:val="18"/>
        </w:rPr>
        <w:t xml:space="preserve"> </w:t>
      </w:r>
      <w:r w:rsidR="00060927">
        <w:rPr>
          <w:sz w:val="18"/>
          <w:szCs w:val="18"/>
        </w:rPr>
        <w:t xml:space="preserve">According to the New Zealand Department of Labour (NZ DoL 2011), the overall objective of </w:t>
      </w:r>
      <w:r w:rsidR="003F734E">
        <w:rPr>
          <w:sz w:val="18"/>
          <w:szCs w:val="18"/>
        </w:rPr>
        <w:t xml:space="preserve">medical surveillance for </w:t>
      </w:r>
      <w:r w:rsidR="00637B4C">
        <w:rPr>
          <w:sz w:val="18"/>
          <w:szCs w:val="18"/>
        </w:rPr>
        <w:t xml:space="preserve">lead </w:t>
      </w:r>
      <w:r w:rsidR="003F734E">
        <w:rPr>
          <w:sz w:val="18"/>
          <w:szCs w:val="18"/>
        </w:rPr>
        <w:t xml:space="preserve">is to maintain the PbB for all workers below 1.5 </w:t>
      </w:r>
      <w:r w:rsidR="003F734E" w:rsidRPr="00D0588A">
        <w:rPr>
          <w:rFonts w:cs="Arial"/>
          <w:sz w:val="18"/>
          <w:szCs w:val="18"/>
        </w:rPr>
        <w:t>µ</w:t>
      </w:r>
      <w:r w:rsidR="003F734E">
        <w:rPr>
          <w:sz w:val="18"/>
          <w:szCs w:val="18"/>
        </w:rPr>
        <w:t xml:space="preserve">mol/L (approx. 30 </w:t>
      </w:r>
      <w:r w:rsidR="003F734E" w:rsidRPr="00767288">
        <w:rPr>
          <w:rFonts w:cs="Arial"/>
          <w:sz w:val="18"/>
          <w:szCs w:val="18"/>
        </w:rPr>
        <w:t>µ</w:t>
      </w:r>
      <w:r w:rsidR="003F734E" w:rsidRPr="00767288">
        <w:rPr>
          <w:sz w:val="18"/>
          <w:szCs w:val="18"/>
        </w:rPr>
        <w:t>g/dL</w:t>
      </w:r>
      <w:r w:rsidR="003F734E">
        <w:rPr>
          <w:rFonts w:cs="Arial"/>
          <w:sz w:val="18"/>
          <w:szCs w:val="18"/>
        </w:rPr>
        <w:t>)</w:t>
      </w:r>
      <w:r w:rsidR="004933B3">
        <w:rPr>
          <w:rFonts w:cs="Arial"/>
          <w:sz w:val="18"/>
          <w:szCs w:val="18"/>
        </w:rPr>
        <w:t xml:space="preserve">, however suspension from work typically occurs for a male employee if he has a single PbB result of </w:t>
      </w:r>
      <w:r w:rsidR="004933B3">
        <w:rPr>
          <w:rFonts w:cs="Arial"/>
          <w:sz w:val="18"/>
          <w:szCs w:val="18"/>
          <w:u w:val="single"/>
        </w:rPr>
        <w:t>&gt;</w:t>
      </w:r>
      <w:r w:rsidR="004933B3">
        <w:rPr>
          <w:rFonts w:cs="Arial"/>
          <w:sz w:val="18"/>
          <w:szCs w:val="18"/>
        </w:rPr>
        <w:t xml:space="preserve"> 50 </w:t>
      </w:r>
      <w:r w:rsidR="004933B3" w:rsidRPr="00767288">
        <w:rPr>
          <w:rFonts w:cs="Arial"/>
          <w:sz w:val="18"/>
          <w:szCs w:val="18"/>
        </w:rPr>
        <w:t>µ</w:t>
      </w:r>
      <w:r w:rsidR="004933B3" w:rsidRPr="00767288">
        <w:rPr>
          <w:sz w:val="18"/>
          <w:szCs w:val="18"/>
        </w:rPr>
        <w:t>g/dL</w:t>
      </w:r>
      <w:r w:rsidR="004933B3">
        <w:rPr>
          <w:sz w:val="18"/>
          <w:szCs w:val="18"/>
        </w:rPr>
        <w:t xml:space="preserve"> (NZ DoL 2011)</w:t>
      </w:r>
      <w:r w:rsidR="004933B3">
        <w:rPr>
          <w:rFonts w:cs="Arial"/>
          <w:sz w:val="18"/>
          <w:szCs w:val="18"/>
        </w:rPr>
        <w:t>.</w:t>
      </w:r>
      <w:r w:rsidR="003F734E">
        <w:rPr>
          <w:rFonts w:cs="Arial"/>
          <w:sz w:val="18"/>
          <w:szCs w:val="18"/>
        </w:rPr>
        <w:t xml:space="preserve"> NZ DoL (2011, pg. 91) also state that “</w:t>
      </w:r>
      <w:r w:rsidR="003F734E">
        <w:rPr>
          <w:rFonts w:cs="Arial"/>
          <w:i/>
          <w:sz w:val="18"/>
          <w:szCs w:val="18"/>
        </w:rPr>
        <w:t xml:space="preserve">while it is preferable for all employees’ blood lead levels to stay at or below 1.5 </w:t>
      </w:r>
      <w:r w:rsidR="003F734E" w:rsidRPr="00444131">
        <w:rPr>
          <w:rFonts w:cs="Arial"/>
          <w:i/>
          <w:sz w:val="18"/>
          <w:szCs w:val="18"/>
        </w:rPr>
        <w:t>µ</w:t>
      </w:r>
      <w:r w:rsidR="003F734E" w:rsidRPr="00444131">
        <w:rPr>
          <w:i/>
          <w:sz w:val="18"/>
          <w:szCs w:val="18"/>
        </w:rPr>
        <w:t xml:space="preserve">mol/L </w:t>
      </w:r>
      <w:r w:rsidR="003F734E">
        <w:rPr>
          <w:sz w:val="18"/>
          <w:szCs w:val="18"/>
        </w:rPr>
        <w:t xml:space="preserve">[approx. 30 </w:t>
      </w:r>
      <w:r w:rsidR="003F734E" w:rsidRPr="00767288">
        <w:rPr>
          <w:rFonts w:cs="Arial"/>
          <w:sz w:val="18"/>
          <w:szCs w:val="18"/>
        </w:rPr>
        <w:t>µ</w:t>
      </w:r>
      <w:r w:rsidR="003F734E" w:rsidRPr="00767288">
        <w:rPr>
          <w:sz w:val="18"/>
          <w:szCs w:val="18"/>
        </w:rPr>
        <w:t>g/dL</w:t>
      </w:r>
      <w:r w:rsidR="003F734E">
        <w:rPr>
          <w:rFonts w:cs="Arial"/>
          <w:sz w:val="18"/>
          <w:szCs w:val="18"/>
        </w:rPr>
        <w:t xml:space="preserve">], </w:t>
      </w:r>
      <w:r w:rsidR="003F734E">
        <w:rPr>
          <w:rFonts w:cs="Arial"/>
          <w:i/>
          <w:sz w:val="18"/>
          <w:szCs w:val="18"/>
        </w:rPr>
        <w:t xml:space="preserve">this value must be more stringent for pregnant women or women planning to become pregnant, because they should be exposed to as little lead as possible. Ideally, these women should have no exposure to lead at all, because the developing foetus is extremely susceptible to this substance. Additionally, accumulated lead can be released from the mother’s bones during times of calcium stress such as pregnancy and lactation.” </w:t>
      </w:r>
    </w:p>
    <w:p w:rsidR="00347839" w:rsidRDefault="00347839" w:rsidP="00E042C2">
      <w:pPr>
        <w:spacing w:line="240" w:lineRule="auto"/>
        <w:ind w:left="142" w:hanging="142"/>
        <w:rPr>
          <w:sz w:val="24"/>
          <w:szCs w:val="24"/>
          <w:vertAlign w:val="superscript"/>
        </w:rPr>
      </w:pPr>
      <w:r>
        <w:rPr>
          <w:sz w:val="24"/>
          <w:szCs w:val="24"/>
          <w:vertAlign w:val="superscript"/>
        </w:rPr>
        <w:t>j</w:t>
      </w:r>
      <w:r>
        <w:rPr>
          <w:sz w:val="18"/>
          <w:szCs w:val="18"/>
        </w:rPr>
        <w:t xml:space="preserve"> The PbB removal level of 40 </w:t>
      </w:r>
      <w:r w:rsidRPr="00767288">
        <w:rPr>
          <w:rFonts w:cs="Arial"/>
          <w:sz w:val="18"/>
          <w:szCs w:val="18"/>
        </w:rPr>
        <w:t>µ</w:t>
      </w:r>
      <w:r w:rsidRPr="00767288">
        <w:rPr>
          <w:sz w:val="18"/>
          <w:szCs w:val="18"/>
        </w:rPr>
        <w:t>g/dL</w:t>
      </w:r>
      <w:r>
        <w:rPr>
          <w:sz w:val="18"/>
          <w:szCs w:val="18"/>
        </w:rPr>
        <w:t xml:space="preserve"> for females of reproductive capacity only applies if the female falls pregnant (SA DoL 2002).</w:t>
      </w:r>
    </w:p>
    <w:p w:rsidR="00E042C2" w:rsidRDefault="00E042C2" w:rsidP="00E042C2">
      <w:pPr>
        <w:spacing w:line="240" w:lineRule="auto"/>
        <w:ind w:left="142" w:hanging="142"/>
        <w:rPr>
          <w:sz w:val="18"/>
          <w:szCs w:val="18"/>
        </w:rPr>
      </w:pPr>
      <w:r>
        <w:rPr>
          <w:sz w:val="24"/>
          <w:szCs w:val="24"/>
          <w:vertAlign w:val="superscript"/>
        </w:rPr>
        <w:t>k</w:t>
      </w:r>
      <w:r>
        <w:rPr>
          <w:sz w:val="18"/>
          <w:szCs w:val="18"/>
        </w:rPr>
        <w:t xml:space="preserve"> The Swedish Work Environment Authority (SWEA 2005b) specifies a complex action program for PbB monitoring in workers. The values in this table represent the PbB associated with removal from a Pb-related job. SWEA (2005b) provide a </w:t>
      </w:r>
      <w:r w:rsidR="00314205">
        <w:rPr>
          <w:sz w:val="18"/>
          <w:szCs w:val="18"/>
        </w:rPr>
        <w:t>BLRL</w:t>
      </w:r>
      <w:r>
        <w:rPr>
          <w:sz w:val="18"/>
          <w:szCs w:val="18"/>
        </w:rPr>
        <w:t xml:space="preserve"> of 2.0 </w:t>
      </w:r>
      <w:r w:rsidRPr="00D0588A">
        <w:rPr>
          <w:rFonts w:cs="Arial"/>
          <w:sz w:val="18"/>
          <w:szCs w:val="18"/>
        </w:rPr>
        <w:t>µ</w:t>
      </w:r>
      <w:r>
        <w:rPr>
          <w:sz w:val="18"/>
          <w:szCs w:val="18"/>
        </w:rPr>
        <w:t xml:space="preserve">mol/L (converted here to 40 </w:t>
      </w:r>
      <w:r w:rsidRPr="00767288">
        <w:rPr>
          <w:rFonts w:cs="Arial"/>
          <w:sz w:val="18"/>
          <w:szCs w:val="18"/>
        </w:rPr>
        <w:t>µ</w:t>
      </w:r>
      <w:r w:rsidRPr="00767288">
        <w:rPr>
          <w:sz w:val="18"/>
          <w:szCs w:val="18"/>
        </w:rPr>
        <w:t>g/dL</w:t>
      </w:r>
      <w:r>
        <w:rPr>
          <w:sz w:val="18"/>
          <w:szCs w:val="18"/>
        </w:rPr>
        <w:t>) for females &gt;50 years</w:t>
      </w:r>
      <w:r w:rsidR="00347839">
        <w:rPr>
          <w:sz w:val="18"/>
          <w:szCs w:val="18"/>
        </w:rPr>
        <w:t>, i.e. not of reproductive capacity</w:t>
      </w:r>
      <w:r w:rsidR="00B1318A">
        <w:rPr>
          <w:sz w:val="18"/>
          <w:szCs w:val="18"/>
        </w:rPr>
        <w:t xml:space="preserve"> and </w:t>
      </w:r>
      <w:r w:rsidR="00347839">
        <w:rPr>
          <w:sz w:val="18"/>
          <w:szCs w:val="18"/>
        </w:rPr>
        <w:t xml:space="preserve">all </w:t>
      </w:r>
      <w:r w:rsidR="00B1318A">
        <w:rPr>
          <w:sz w:val="18"/>
          <w:szCs w:val="18"/>
        </w:rPr>
        <w:t>males</w:t>
      </w:r>
      <w:r>
        <w:rPr>
          <w:sz w:val="18"/>
          <w:szCs w:val="18"/>
        </w:rPr>
        <w:t xml:space="preserve">. They also provide a </w:t>
      </w:r>
      <w:r w:rsidR="00314205">
        <w:rPr>
          <w:sz w:val="18"/>
          <w:szCs w:val="18"/>
        </w:rPr>
        <w:t>BLRL</w:t>
      </w:r>
      <w:r>
        <w:rPr>
          <w:sz w:val="18"/>
          <w:szCs w:val="18"/>
        </w:rPr>
        <w:t xml:space="preserve"> of 1.2 </w:t>
      </w:r>
      <w:r w:rsidRPr="00D0588A">
        <w:rPr>
          <w:rFonts w:cs="Arial"/>
          <w:sz w:val="18"/>
          <w:szCs w:val="18"/>
        </w:rPr>
        <w:t>µ</w:t>
      </w:r>
      <w:r>
        <w:rPr>
          <w:sz w:val="18"/>
          <w:szCs w:val="18"/>
        </w:rPr>
        <w:t xml:space="preserve">mol/L (converted in this report to 25 </w:t>
      </w:r>
      <w:r w:rsidRPr="00767288">
        <w:rPr>
          <w:rFonts w:cs="Arial"/>
          <w:sz w:val="18"/>
          <w:szCs w:val="18"/>
        </w:rPr>
        <w:t>µ</w:t>
      </w:r>
      <w:r w:rsidRPr="00767288">
        <w:rPr>
          <w:sz w:val="18"/>
          <w:szCs w:val="18"/>
        </w:rPr>
        <w:t>g/dL</w:t>
      </w:r>
      <w:r>
        <w:rPr>
          <w:sz w:val="18"/>
          <w:szCs w:val="18"/>
        </w:rPr>
        <w:t>) for females &lt;50 years of age. Th</w:t>
      </w:r>
      <w:r w:rsidR="00B977F9">
        <w:rPr>
          <w:sz w:val="18"/>
          <w:szCs w:val="18"/>
        </w:rPr>
        <w:t xml:space="preserve">is </w:t>
      </w:r>
      <w:r>
        <w:rPr>
          <w:sz w:val="18"/>
          <w:szCs w:val="18"/>
        </w:rPr>
        <w:t xml:space="preserve"> is for any single PbB reading. The removal from a </w:t>
      </w:r>
      <w:r w:rsidR="00637B4C">
        <w:rPr>
          <w:sz w:val="18"/>
          <w:szCs w:val="18"/>
        </w:rPr>
        <w:t xml:space="preserve">lead </w:t>
      </w:r>
      <w:r>
        <w:rPr>
          <w:sz w:val="18"/>
          <w:szCs w:val="18"/>
        </w:rPr>
        <w:t xml:space="preserve">job can also occur if individuals have PbB &gt; 1.8 </w:t>
      </w:r>
      <w:r w:rsidRPr="00D0588A">
        <w:rPr>
          <w:rFonts w:cs="Arial"/>
          <w:sz w:val="18"/>
          <w:szCs w:val="18"/>
        </w:rPr>
        <w:t>µ</w:t>
      </w:r>
      <w:r>
        <w:rPr>
          <w:sz w:val="18"/>
          <w:szCs w:val="18"/>
        </w:rPr>
        <w:t>mol/L (i.e. ~37</w:t>
      </w:r>
      <w:r w:rsidRPr="003469B3">
        <w:rPr>
          <w:rFonts w:cs="Arial"/>
          <w:sz w:val="18"/>
          <w:szCs w:val="18"/>
        </w:rPr>
        <w:t xml:space="preserve"> </w:t>
      </w:r>
      <w:r w:rsidRPr="00767288">
        <w:rPr>
          <w:rFonts w:cs="Arial"/>
          <w:sz w:val="18"/>
          <w:szCs w:val="18"/>
        </w:rPr>
        <w:t>µ</w:t>
      </w:r>
      <w:r w:rsidRPr="00767288">
        <w:rPr>
          <w:sz w:val="18"/>
          <w:szCs w:val="18"/>
        </w:rPr>
        <w:t>g/dL</w:t>
      </w:r>
      <w:r>
        <w:rPr>
          <w:sz w:val="18"/>
          <w:szCs w:val="18"/>
        </w:rPr>
        <w:t>) (for females &gt;50 yrs</w:t>
      </w:r>
      <w:r w:rsidR="00B1318A">
        <w:rPr>
          <w:sz w:val="18"/>
          <w:szCs w:val="18"/>
        </w:rPr>
        <w:t xml:space="preserve"> and males</w:t>
      </w:r>
      <w:r>
        <w:rPr>
          <w:sz w:val="18"/>
          <w:szCs w:val="18"/>
        </w:rPr>
        <w:t xml:space="preserve">) or &gt; 1.0 </w:t>
      </w:r>
      <w:r w:rsidRPr="00D0588A">
        <w:rPr>
          <w:rFonts w:cs="Arial"/>
          <w:sz w:val="18"/>
          <w:szCs w:val="18"/>
        </w:rPr>
        <w:t>µ</w:t>
      </w:r>
      <w:r>
        <w:rPr>
          <w:sz w:val="18"/>
          <w:szCs w:val="18"/>
        </w:rPr>
        <w:t>mol/L (i.e. ~20</w:t>
      </w:r>
      <w:r w:rsidRPr="003469B3">
        <w:rPr>
          <w:rFonts w:cs="Arial"/>
          <w:sz w:val="18"/>
          <w:szCs w:val="18"/>
        </w:rPr>
        <w:t xml:space="preserve"> </w:t>
      </w:r>
      <w:r w:rsidRPr="00767288">
        <w:rPr>
          <w:rFonts w:cs="Arial"/>
          <w:sz w:val="18"/>
          <w:szCs w:val="18"/>
        </w:rPr>
        <w:t>µ</w:t>
      </w:r>
      <w:r w:rsidRPr="00767288">
        <w:rPr>
          <w:sz w:val="18"/>
          <w:szCs w:val="18"/>
        </w:rPr>
        <w:t>g/dL</w:t>
      </w:r>
      <w:r>
        <w:rPr>
          <w:sz w:val="18"/>
          <w:szCs w:val="18"/>
        </w:rPr>
        <w:t xml:space="preserve">) (for females &lt;50 yrs) in three consecutive PbB controls. Pb-related work is completely forbidden for pregnant or breast-feeding workers (SWEA 2005b).  </w:t>
      </w:r>
    </w:p>
    <w:p w:rsidR="00E042C2" w:rsidRDefault="00E042C2" w:rsidP="00E042C2">
      <w:pPr>
        <w:spacing w:line="240" w:lineRule="auto"/>
        <w:ind w:left="142" w:hanging="142"/>
        <w:rPr>
          <w:sz w:val="18"/>
          <w:szCs w:val="18"/>
        </w:rPr>
      </w:pPr>
      <w:r>
        <w:rPr>
          <w:sz w:val="24"/>
          <w:szCs w:val="24"/>
          <w:vertAlign w:val="superscript"/>
        </w:rPr>
        <w:lastRenderedPageBreak/>
        <w:t xml:space="preserve">l </w:t>
      </w:r>
      <w:r>
        <w:rPr>
          <w:sz w:val="18"/>
          <w:szCs w:val="18"/>
        </w:rPr>
        <w:t xml:space="preserve">The </w:t>
      </w:r>
      <w:r w:rsidRPr="00175E94">
        <w:rPr>
          <w:sz w:val="18"/>
          <w:szCs w:val="18"/>
        </w:rPr>
        <w:t>B</w:t>
      </w:r>
      <w:r w:rsidR="004B3030" w:rsidRPr="00175E94">
        <w:rPr>
          <w:sz w:val="18"/>
          <w:szCs w:val="18"/>
        </w:rPr>
        <w:t>LRL</w:t>
      </w:r>
      <w:r>
        <w:rPr>
          <w:sz w:val="18"/>
          <w:szCs w:val="18"/>
        </w:rPr>
        <w:t xml:space="preserve"> of 40 </w:t>
      </w:r>
      <w:r w:rsidRPr="00767288">
        <w:rPr>
          <w:rFonts w:cs="Arial"/>
          <w:sz w:val="18"/>
          <w:szCs w:val="18"/>
        </w:rPr>
        <w:t>µ</w:t>
      </w:r>
      <w:r w:rsidRPr="00767288">
        <w:rPr>
          <w:sz w:val="18"/>
          <w:szCs w:val="18"/>
        </w:rPr>
        <w:t>g/dL</w:t>
      </w:r>
      <w:r>
        <w:rPr>
          <w:sz w:val="18"/>
          <w:szCs w:val="18"/>
        </w:rPr>
        <w:t xml:space="preserve"> is for  females &gt;45 years</w:t>
      </w:r>
      <w:r w:rsidR="00B1318A">
        <w:rPr>
          <w:sz w:val="18"/>
          <w:szCs w:val="18"/>
        </w:rPr>
        <w:t xml:space="preserve"> and males</w:t>
      </w:r>
      <w:r>
        <w:rPr>
          <w:sz w:val="18"/>
          <w:szCs w:val="18"/>
        </w:rPr>
        <w:t xml:space="preserve">. The </w:t>
      </w:r>
      <w:r w:rsidR="004B3030">
        <w:rPr>
          <w:sz w:val="18"/>
          <w:szCs w:val="18"/>
        </w:rPr>
        <w:t xml:space="preserve">former </w:t>
      </w:r>
      <w:r>
        <w:rPr>
          <w:sz w:val="18"/>
          <w:szCs w:val="18"/>
        </w:rPr>
        <w:t xml:space="preserve">is taken to mean females not of reproductive capacity. The </w:t>
      </w:r>
      <w:r w:rsidRPr="00175E94">
        <w:rPr>
          <w:sz w:val="18"/>
          <w:szCs w:val="18"/>
        </w:rPr>
        <w:t>B</w:t>
      </w:r>
      <w:r w:rsidR="004B3030" w:rsidRPr="00175E94">
        <w:rPr>
          <w:sz w:val="18"/>
          <w:szCs w:val="18"/>
        </w:rPr>
        <w:t>LRL</w:t>
      </w:r>
      <w:r>
        <w:rPr>
          <w:sz w:val="18"/>
          <w:szCs w:val="18"/>
        </w:rPr>
        <w:t xml:space="preserve"> of 10 </w:t>
      </w:r>
      <w:r w:rsidRPr="00767288">
        <w:rPr>
          <w:rFonts w:cs="Arial"/>
          <w:sz w:val="18"/>
          <w:szCs w:val="18"/>
        </w:rPr>
        <w:t>µ</w:t>
      </w:r>
      <w:r w:rsidRPr="00767288">
        <w:rPr>
          <w:sz w:val="18"/>
          <w:szCs w:val="18"/>
        </w:rPr>
        <w:t>g/dL</w:t>
      </w:r>
      <w:r>
        <w:rPr>
          <w:sz w:val="18"/>
          <w:szCs w:val="18"/>
        </w:rPr>
        <w:t xml:space="preserve"> is for females &lt;45 years of age.</w:t>
      </w:r>
    </w:p>
    <w:p w:rsidR="00E042C2" w:rsidRDefault="00E042C2" w:rsidP="00E042C2">
      <w:pPr>
        <w:spacing w:line="240" w:lineRule="auto"/>
        <w:ind w:left="142" w:hanging="142"/>
        <w:rPr>
          <w:sz w:val="18"/>
          <w:szCs w:val="18"/>
        </w:rPr>
      </w:pPr>
      <w:r>
        <w:rPr>
          <w:sz w:val="24"/>
          <w:szCs w:val="24"/>
          <w:vertAlign w:val="superscript"/>
        </w:rPr>
        <w:t xml:space="preserve">m </w:t>
      </w:r>
      <w:r>
        <w:rPr>
          <w:sz w:val="18"/>
          <w:szCs w:val="18"/>
        </w:rPr>
        <w:t xml:space="preserve">UK HSE (2012) provides PbB action and suspension levels for a) general employees (i.e. males &amp; females not of child-bearing age): 50 and 60 </w:t>
      </w:r>
      <w:r w:rsidRPr="00767288">
        <w:rPr>
          <w:rFonts w:cs="Arial"/>
          <w:sz w:val="18"/>
          <w:szCs w:val="18"/>
        </w:rPr>
        <w:t>µ</w:t>
      </w:r>
      <w:r w:rsidRPr="00767288">
        <w:rPr>
          <w:sz w:val="18"/>
          <w:szCs w:val="18"/>
        </w:rPr>
        <w:t>g/dL</w:t>
      </w:r>
      <w:r>
        <w:rPr>
          <w:sz w:val="18"/>
          <w:szCs w:val="18"/>
        </w:rPr>
        <w:t xml:space="preserve">, respectively, b) females of child bearing age: 25 and 30 </w:t>
      </w:r>
      <w:r w:rsidRPr="00767288">
        <w:rPr>
          <w:rFonts w:cs="Arial"/>
          <w:sz w:val="18"/>
          <w:szCs w:val="18"/>
        </w:rPr>
        <w:t>µ</w:t>
      </w:r>
      <w:r w:rsidRPr="00767288">
        <w:rPr>
          <w:sz w:val="18"/>
          <w:szCs w:val="18"/>
        </w:rPr>
        <w:t>g/dL</w:t>
      </w:r>
      <w:r>
        <w:rPr>
          <w:sz w:val="18"/>
          <w:szCs w:val="18"/>
        </w:rPr>
        <w:t xml:space="preserve">, respectively, and c) young people &lt;18 yrs: 40 and 50 </w:t>
      </w:r>
      <w:r w:rsidRPr="00767288">
        <w:rPr>
          <w:rFonts w:cs="Arial"/>
          <w:sz w:val="18"/>
          <w:szCs w:val="18"/>
        </w:rPr>
        <w:t>µ</w:t>
      </w:r>
      <w:r w:rsidRPr="00767288">
        <w:rPr>
          <w:sz w:val="18"/>
          <w:szCs w:val="18"/>
        </w:rPr>
        <w:t>g/dL</w:t>
      </w:r>
      <w:r>
        <w:rPr>
          <w:sz w:val="18"/>
          <w:szCs w:val="18"/>
        </w:rPr>
        <w:t xml:space="preserve">, respectively. UK HSE (2012) also state that if a woman is pregnant, the doctor will automatically certify that they should not work where exposure to </w:t>
      </w:r>
      <w:r w:rsidR="00637B4C">
        <w:rPr>
          <w:sz w:val="18"/>
          <w:szCs w:val="18"/>
        </w:rPr>
        <w:t>lead</w:t>
      </w:r>
      <w:r w:rsidR="004B3030">
        <w:rPr>
          <w:sz w:val="18"/>
          <w:szCs w:val="18"/>
        </w:rPr>
        <w:t xml:space="preserve"> </w:t>
      </w:r>
      <w:r>
        <w:rPr>
          <w:sz w:val="18"/>
          <w:szCs w:val="18"/>
        </w:rPr>
        <w:t xml:space="preserve">is significant. It is against the law for females capable of having children and for young people &lt;18 yrs old to work in some Pb-related jobs, e.g. lead smelting &amp; refining, manufacture of </w:t>
      </w:r>
      <w:r w:rsidR="00637B4C">
        <w:rPr>
          <w:sz w:val="18"/>
          <w:szCs w:val="18"/>
        </w:rPr>
        <w:t xml:space="preserve">lead </w:t>
      </w:r>
      <w:r>
        <w:rPr>
          <w:sz w:val="18"/>
          <w:szCs w:val="18"/>
        </w:rPr>
        <w:t>acid batteries.</w:t>
      </w:r>
    </w:p>
    <w:p w:rsidR="00F8122E" w:rsidRDefault="00E042C2" w:rsidP="00F8122E">
      <w:pPr>
        <w:spacing w:line="240" w:lineRule="auto"/>
        <w:ind w:left="142" w:hanging="142"/>
        <w:rPr>
          <w:sz w:val="18"/>
          <w:szCs w:val="18"/>
        </w:rPr>
      </w:pPr>
      <w:r>
        <w:rPr>
          <w:sz w:val="24"/>
          <w:szCs w:val="24"/>
          <w:vertAlign w:val="superscript"/>
        </w:rPr>
        <w:t>n</w:t>
      </w:r>
      <w:r w:rsidR="00F8122E">
        <w:rPr>
          <w:sz w:val="24"/>
          <w:szCs w:val="24"/>
          <w:vertAlign w:val="superscript"/>
        </w:rPr>
        <w:t xml:space="preserve"> </w:t>
      </w:r>
      <w:r w:rsidR="00F8122E">
        <w:rPr>
          <w:sz w:val="18"/>
          <w:szCs w:val="18"/>
        </w:rPr>
        <w:t xml:space="preserve">An employee should be removed from work if they have an exposure to </w:t>
      </w:r>
      <w:r w:rsidR="00637B4C">
        <w:rPr>
          <w:sz w:val="18"/>
          <w:szCs w:val="18"/>
        </w:rPr>
        <w:t xml:space="preserve">lead </w:t>
      </w:r>
      <w:r w:rsidR="00F8122E">
        <w:rPr>
          <w:sz w:val="18"/>
          <w:szCs w:val="18"/>
        </w:rPr>
        <w:t xml:space="preserve">at or above the </w:t>
      </w:r>
      <w:r w:rsidR="00B91330">
        <w:rPr>
          <w:sz w:val="18"/>
          <w:szCs w:val="18"/>
        </w:rPr>
        <w:t>WES</w:t>
      </w:r>
      <w:r w:rsidR="00F8122E">
        <w:rPr>
          <w:sz w:val="18"/>
          <w:szCs w:val="18"/>
        </w:rPr>
        <w:t xml:space="preserve"> of </w:t>
      </w:r>
      <w:r w:rsidR="00BC4A7E">
        <w:rPr>
          <w:sz w:val="18"/>
          <w:szCs w:val="18"/>
        </w:rPr>
        <w:t>0.0</w:t>
      </w:r>
      <w:r w:rsidR="00F8122E">
        <w:rPr>
          <w:sz w:val="18"/>
          <w:szCs w:val="18"/>
        </w:rPr>
        <w:t xml:space="preserve">5 </w:t>
      </w:r>
      <w:r w:rsidR="00BC4A7E">
        <w:rPr>
          <w:rFonts w:cs="Arial"/>
          <w:sz w:val="18"/>
          <w:szCs w:val="18"/>
        </w:rPr>
        <w:t>m</w:t>
      </w:r>
      <w:r w:rsidR="00F8122E" w:rsidRPr="00EA3CD6">
        <w:rPr>
          <w:rFonts w:cs="Arial"/>
          <w:sz w:val="18"/>
          <w:szCs w:val="18"/>
        </w:rPr>
        <w:t>g/m</w:t>
      </w:r>
      <w:r w:rsidR="00F8122E" w:rsidRPr="00EA3CD6">
        <w:rPr>
          <w:rFonts w:cs="Arial"/>
          <w:sz w:val="18"/>
          <w:szCs w:val="18"/>
          <w:vertAlign w:val="superscript"/>
        </w:rPr>
        <w:t>3</w:t>
      </w:r>
      <w:r w:rsidR="00F8122E">
        <w:rPr>
          <w:rFonts w:cs="Arial"/>
          <w:sz w:val="18"/>
          <w:szCs w:val="18"/>
        </w:rPr>
        <w:t xml:space="preserve"> and on each occasion that a periodic and a follow-up blood sampling test indicates the employee PbB is </w:t>
      </w:r>
      <w:r w:rsidR="00F8122E">
        <w:rPr>
          <w:rFonts w:cs="Arial"/>
          <w:sz w:val="18"/>
          <w:szCs w:val="18"/>
          <w:u w:val="single"/>
        </w:rPr>
        <w:t>&gt;</w:t>
      </w:r>
      <w:r w:rsidR="00F8122E">
        <w:rPr>
          <w:rFonts w:cs="Arial"/>
          <w:sz w:val="18"/>
          <w:szCs w:val="18"/>
        </w:rPr>
        <w:t xml:space="preserve"> 60 </w:t>
      </w:r>
      <w:r w:rsidR="00F8122E" w:rsidRPr="00767288">
        <w:rPr>
          <w:rFonts w:cs="Arial"/>
          <w:sz w:val="18"/>
          <w:szCs w:val="18"/>
        </w:rPr>
        <w:t>µ</w:t>
      </w:r>
      <w:r w:rsidR="00F8122E" w:rsidRPr="00767288">
        <w:rPr>
          <w:sz w:val="18"/>
          <w:szCs w:val="18"/>
        </w:rPr>
        <w:t>g/dL</w:t>
      </w:r>
      <w:r w:rsidR="00F8122E">
        <w:rPr>
          <w:sz w:val="18"/>
          <w:szCs w:val="18"/>
        </w:rPr>
        <w:t xml:space="preserve">, or if the average of the last three blood sampling tests conducted over the previous six months indicates the PbB is </w:t>
      </w:r>
      <w:r w:rsidR="00F8122E">
        <w:rPr>
          <w:sz w:val="18"/>
          <w:szCs w:val="18"/>
          <w:u w:val="single"/>
        </w:rPr>
        <w:t>&gt;</w:t>
      </w:r>
      <w:r w:rsidR="00F8122E">
        <w:rPr>
          <w:sz w:val="18"/>
          <w:szCs w:val="18"/>
        </w:rPr>
        <w:t xml:space="preserve"> 50 </w:t>
      </w:r>
      <w:r w:rsidR="00F8122E" w:rsidRPr="00767288">
        <w:rPr>
          <w:rFonts w:cs="Arial"/>
          <w:sz w:val="18"/>
          <w:szCs w:val="18"/>
        </w:rPr>
        <w:t>µ</w:t>
      </w:r>
      <w:r w:rsidR="00F8122E" w:rsidRPr="00767288">
        <w:rPr>
          <w:sz w:val="18"/>
          <w:szCs w:val="18"/>
        </w:rPr>
        <w:t>g/dL</w:t>
      </w:r>
      <w:r w:rsidR="00F8122E">
        <w:rPr>
          <w:sz w:val="18"/>
          <w:szCs w:val="18"/>
        </w:rPr>
        <w:t xml:space="preserve">. But an employee does not need to be removed if the last blood sampling test gave a PbB </w:t>
      </w:r>
      <w:r w:rsidR="00F8122E">
        <w:rPr>
          <w:sz w:val="18"/>
          <w:szCs w:val="18"/>
          <w:u w:val="single"/>
        </w:rPr>
        <w:t>&lt;</w:t>
      </w:r>
      <w:r w:rsidR="00F8122E">
        <w:rPr>
          <w:sz w:val="18"/>
          <w:szCs w:val="18"/>
        </w:rPr>
        <w:t xml:space="preserve"> 40 </w:t>
      </w:r>
      <w:r w:rsidR="00F8122E" w:rsidRPr="00767288">
        <w:rPr>
          <w:rFonts w:cs="Arial"/>
          <w:sz w:val="18"/>
          <w:szCs w:val="18"/>
        </w:rPr>
        <w:t>µ</w:t>
      </w:r>
      <w:r w:rsidR="00F8122E" w:rsidRPr="00767288">
        <w:rPr>
          <w:sz w:val="18"/>
          <w:szCs w:val="18"/>
        </w:rPr>
        <w:t>g/dL</w:t>
      </w:r>
      <w:r w:rsidR="00F8122E">
        <w:rPr>
          <w:sz w:val="18"/>
          <w:szCs w:val="18"/>
        </w:rPr>
        <w:t xml:space="preserve">. </w:t>
      </w:r>
      <w:r w:rsidR="007F3BBB">
        <w:rPr>
          <w:sz w:val="18"/>
          <w:szCs w:val="18"/>
        </w:rPr>
        <w:t>OSHA (1991) state that “</w:t>
      </w:r>
      <w:r w:rsidR="007F3BBB">
        <w:rPr>
          <w:i/>
          <w:sz w:val="18"/>
          <w:szCs w:val="18"/>
        </w:rPr>
        <w:t xml:space="preserve">prevention of adverse health effects for </w:t>
      </w:r>
      <w:r w:rsidR="00754780" w:rsidRPr="00175E94">
        <w:rPr>
          <w:i/>
          <w:sz w:val="18"/>
          <w:szCs w:val="18"/>
        </w:rPr>
        <w:t>most</w:t>
      </w:r>
      <w:r w:rsidR="007F3BBB">
        <w:rPr>
          <w:i/>
          <w:sz w:val="18"/>
          <w:szCs w:val="18"/>
        </w:rPr>
        <w:t xml:space="preserve"> workers from exposure to lead throughout a working lifetime requires that worker blood lead (PbB) levels be maintained at or below forty micrograms per one hundred grams of whole blood (40 </w:t>
      </w:r>
      <w:r w:rsidR="007F3BBB" w:rsidRPr="00444131">
        <w:rPr>
          <w:rFonts w:cs="Arial"/>
          <w:i/>
          <w:sz w:val="18"/>
          <w:szCs w:val="18"/>
        </w:rPr>
        <w:t>µ</w:t>
      </w:r>
      <w:r w:rsidR="007F3BBB">
        <w:rPr>
          <w:i/>
          <w:sz w:val="18"/>
          <w:szCs w:val="18"/>
        </w:rPr>
        <w:t xml:space="preserve">g/100g). The blood lead level of workers (both male and female workers) who intend to have children should be </w:t>
      </w:r>
      <w:r w:rsidR="00AB7AE2">
        <w:rPr>
          <w:i/>
          <w:sz w:val="18"/>
          <w:szCs w:val="18"/>
        </w:rPr>
        <w:t>maintained below</w:t>
      </w:r>
      <w:r w:rsidR="007F3BBB">
        <w:rPr>
          <w:i/>
          <w:sz w:val="18"/>
          <w:szCs w:val="18"/>
        </w:rPr>
        <w:t xml:space="preserve"> 30 </w:t>
      </w:r>
      <w:r w:rsidR="007F3BBB" w:rsidRPr="008058FB">
        <w:rPr>
          <w:rFonts w:cs="Arial"/>
          <w:i/>
          <w:sz w:val="18"/>
          <w:szCs w:val="18"/>
        </w:rPr>
        <w:t>µ</w:t>
      </w:r>
      <w:r w:rsidR="007F3BBB">
        <w:rPr>
          <w:i/>
          <w:sz w:val="18"/>
          <w:szCs w:val="18"/>
        </w:rPr>
        <w:t>g/100g</w:t>
      </w:r>
      <w:r w:rsidR="007F3BBB" w:rsidRPr="00444131">
        <w:rPr>
          <w:i/>
          <w:sz w:val="18"/>
          <w:szCs w:val="18"/>
        </w:rPr>
        <w:t xml:space="preserve"> to minimize adverse reproductive health effects to the parents and to the developing fetus.”</w:t>
      </w:r>
      <w:r w:rsidR="007F3BBB">
        <w:rPr>
          <w:i/>
          <w:sz w:val="18"/>
          <w:szCs w:val="18"/>
        </w:rPr>
        <w:t xml:space="preserve"> </w:t>
      </w:r>
    </w:p>
    <w:p w:rsidR="003F734E" w:rsidRPr="003F734E" w:rsidRDefault="003F734E" w:rsidP="00F8122E">
      <w:pPr>
        <w:spacing w:line="240" w:lineRule="auto"/>
        <w:ind w:left="142" w:hanging="142"/>
        <w:rPr>
          <w:sz w:val="18"/>
          <w:szCs w:val="18"/>
        </w:rPr>
      </w:pPr>
    </w:p>
    <w:p w:rsidR="00F8122E" w:rsidRDefault="00F8122E" w:rsidP="00420B44">
      <w:pPr>
        <w:spacing w:line="240" w:lineRule="auto"/>
        <w:ind w:left="142" w:hanging="142"/>
        <w:rPr>
          <w:sz w:val="18"/>
          <w:szCs w:val="18"/>
        </w:rPr>
      </w:pPr>
    </w:p>
    <w:p w:rsidR="00F8122E" w:rsidRPr="00E042C2" w:rsidRDefault="00F8122E" w:rsidP="00E042C2">
      <w:pPr>
        <w:spacing w:line="240" w:lineRule="auto"/>
        <w:ind w:left="142" w:hanging="142"/>
        <w:rPr>
          <w:rFonts w:cs="Arial"/>
          <w:sz w:val="18"/>
          <w:szCs w:val="18"/>
        </w:rPr>
        <w:sectPr w:rsidR="00F8122E" w:rsidRPr="00E042C2" w:rsidSect="000A1BA9">
          <w:pgSz w:w="16838" w:h="11906" w:orient="landscape"/>
          <w:pgMar w:top="1134" w:right="1418" w:bottom="849" w:left="1440" w:header="284" w:footer="697" w:gutter="0"/>
          <w:cols w:space="708"/>
          <w:docGrid w:linePitch="360"/>
        </w:sectPr>
      </w:pPr>
    </w:p>
    <w:p w:rsidR="00767288" w:rsidRDefault="00767288" w:rsidP="00DA17FF">
      <w:pPr>
        <w:pStyle w:val="Heading3"/>
      </w:pPr>
      <w:bookmarkStart w:id="9" w:name="_Toc391288217"/>
      <w:r>
        <w:lastRenderedPageBreak/>
        <w:t>2.</w:t>
      </w:r>
      <w:r w:rsidR="0070509D">
        <w:t>1</w:t>
      </w:r>
      <w:r w:rsidR="00DA17FF">
        <w:t>.2</w:t>
      </w:r>
      <w:r>
        <w:t xml:space="preserve"> Basis of workplace standards</w:t>
      </w:r>
      <w:bookmarkEnd w:id="9"/>
    </w:p>
    <w:p w:rsidR="00767288" w:rsidRDefault="00767288" w:rsidP="00DA17FF">
      <w:pPr>
        <w:pStyle w:val="Heading4"/>
      </w:pPr>
      <w:r>
        <w:t>2.</w:t>
      </w:r>
      <w:r w:rsidR="0070509D">
        <w:t>1</w:t>
      </w:r>
      <w:r>
        <w:t>.</w:t>
      </w:r>
      <w:r w:rsidR="00DA17FF">
        <w:t>2.1</w:t>
      </w:r>
      <w:r>
        <w:t xml:space="preserve"> </w:t>
      </w:r>
      <w:r w:rsidR="007316D6">
        <w:t>USA (</w:t>
      </w:r>
      <w:r>
        <w:t>ACGIH</w:t>
      </w:r>
      <w:r w:rsidR="007316D6">
        <w:t>)</w:t>
      </w:r>
    </w:p>
    <w:p w:rsidR="0040732A" w:rsidRDefault="00070BA0" w:rsidP="00767288">
      <w:r>
        <w:t xml:space="preserve">Note the deliberations of the </w:t>
      </w:r>
      <w:r w:rsidR="00EC2BAE">
        <w:t>American Conference of Government Industrial Hygienists (</w:t>
      </w:r>
      <w:r>
        <w:t>ACGIH</w:t>
      </w:r>
      <w:r w:rsidR="00EC2BAE">
        <w:t>)</w:t>
      </w:r>
      <w:r>
        <w:t xml:space="preserve"> are not legally binding within the US.</w:t>
      </w:r>
    </w:p>
    <w:p w:rsidR="00070BA0" w:rsidRDefault="00070BA0" w:rsidP="00767288"/>
    <w:p w:rsidR="00FC65A9" w:rsidRPr="00FC65A9" w:rsidRDefault="00FC65A9" w:rsidP="00767288">
      <w:pPr>
        <w:rPr>
          <w:i/>
          <w:u w:val="single"/>
        </w:rPr>
      </w:pPr>
      <w:r w:rsidRPr="006F17E4">
        <w:rPr>
          <w:i/>
          <w:u w:val="single"/>
        </w:rPr>
        <w:t>B</w:t>
      </w:r>
      <w:r w:rsidR="005D3BE7" w:rsidRPr="006F17E4">
        <w:rPr>
          <w:i/>
          <w:u w:val="single"/>
        </w:rPr>
        <w:t>LRL</w:t>
      </w:r>
    </w:p>
    <w:p w:rsidR="00DC5F6A" w:rsidRDefault="00767288" w:rsidP="00767288">
      <w:pPr>
        <w:rPr>
          <w:rFonts w:cs="Arial"/>
        </w:rPr>
      </w:pPr>
      <w:r>
        <w:t xml:space="preserve">The ACGIH (2001a) recommended a </w:t>
      </w:r>
      <w:r w:rsidR="005D3BE7">
        <w:t xml:space="preserve">BLRL, termed a </w:t>
      </w:r>
      <w:r w:rsidR="000B6A30">
        <w:t>biological exposure index (</w:t>
      </w:r>
      <w:r>
        <w:t>BEI</w:t>
      </w:r>
      <w:r w:rsidR="000B6A30">
        <w:t>)</w:t>
      </w:r>
      <w:r w:rsidR="005D3BE7">
        <w:t xml:space="preserve"> by ACGIH,</w:t>
      </w:r>
      <w:r>
        <w:t xml:space="preserve"> of 30 </w:t>
      </w:r>
      <w:r w:rsidR="00DC5F6A" w:rsidRPr="00DC5F6A">
        <w:rPr>
          <w:rFonts w:cs="Arial"/>
        </w:rPr>
        <w:t>µ</w:t>
      </w:r>
      <w:r w:rsidR="00F8122E">
        <w:rPr>
          <w:rFonts w:cs="Arial"/>
        </w:rPr>
        <w:t>g/dL in order to minimise</w:t>
      </w:r>
      <w:r w:rsidR="00DC5F6A">
        <w:rPr>
          <w:rFonts w:cs="Arial"/>
        </w:rPr>
        <w:t xml:space="preserve"> potential for the following:</w:t>
      </w:r>
    </w:p>
    <w:p w:rsidR="00767288" w:rsidRPr="00DC5F6A" w:rsidRDefault="00DC5F6A" w:rsidP="00DC5F6A">
      <w:pPr>
        <w:pStyle w:val="ListParagraph"/>
        <w:numPr>
          <w:ilvl w:val="0"/>
          <w:numId w:val="1"/>
        </w:numPr>
      </w:pPr>
      <w:r>
        <w:t xml:space="preserve">Psychological and psychomotor effects that appear to begin at PbB &gt; 30 </w:t>
      </w:r>
      <w:r w:rsidRPr="00DC5F6A">
        <w:rPr>
          <w:rFonts w:cs="Arial"/>
        </w:rPr>
        <w:t>µ</w:t>
      </w:r>
      <w:r w:rsidR="00F8122E">
        <w:rPr>
          <w:rFonts w:cs="Arial"/>
        </w:rPr>
        <w:t xml:space="preserve">g/dL, but in the studies </w:t>
      </w:r>
      <w:r w:rsidR="007F277E">
        <w:rPr>
          <w:rFonts w:cs="Arial"/>
        </w:rPr>
        <w:t>of the time</w:t>
      </w:r>
      <w:r>
        <w:rPr>
          <w:rFonts w:cs="Arial"/>
        </w:rPr>
        <w:t xml:space="preserve">, do not exceed the reference values </w:t>
      </w:r>
      <w:r w:rsidR="007F277E">
        <w:rPr>
          <w:rFonts w:cs="Arial"/>
        </w:rPr>
        <w:t xml:space="preserve">for </w:t>
      </w:r>
      <w:r>
        <w:rPr>
          <w:rFonts w:cs="Arial"/>
        </w:rPr>
        <w:t>the tests.</w:t>
      </w:r>
    </w:p>
    <w:p w:rsidR="00DC5F6A" w:rsidRPr="00DC5F6A" w:rsidRDefault="00DC5F6A" w:rsidP="00DC5F6A">
      <w:pPr>
        <w:pStyle w:val="ListParagraph"/>
        <w:numPr>
          <w:ilvl w:val="0"/>
          <w:numId w:val="1"/>
        </w:numPr>
      </w:pPr>
      <w:r>
        <w:rPr>
          <w:rFonts w:cs="Arial"/>
        </w:rPr>
        <w:t xml:space="preserve">Changes in nerve conduction and latency intervals, which also appear to begin at PbB &gt; 30 </w:t>
      </w:r>
      <w:r w:rsidRPr="00DC5F6A">
        <w:rPr>
          <w:rFonts w:cs="Arial"/>
        </w:rPr>
        <w:t>µ</w:t>
      </w:r>
      <w:r>
        <w:rPr>
          <w:rFonts w:cs="Arial"/>
        </w:rPr>
        <w:t>g/dL but have an uncertain association with a worker’s functional impairment.</w:t>
      </w:r>
    </w:p>
    <w:p w:rsidR="00DC5F6A" w:rsidRPr="00DC5F6A" w:rsidRDefault="00DC5F6A" w:rsidP="00DC5F6A">
      <w:pPr>
        <w:pStyle w:val="ListParagraph"/>
        <w:numPr>
          <w:ilvl w:val="0"/>
          <w:numId w:val="1"/>
        </w:numPr>
      </w:pPr>
      <w:r>
        <w:rPr>
          <w:rFonts w:cs="Arial"/>
        </w:rPr>
        <w:t xml:space="preserve">Decrements in the haematological reserve capacity that appeared in one study at PbB &gt; 40 </w:t>
      </w:r>
      <w:r w:rsidRPr="00DC5F6A">
        <w:rPr>
          <w:rFonts w:cs="Arial"/>
        </w:rPr>
        <w:t>µ</w:t>
      </w:r>
      <w:r>
        <w:rPr>
          <w:rFonts w:cs="Arial"/>
        </w:rPr>
        <w:t xml:space="preserve">g/dL. </w:t>
      </w:r>
    </w:p>
    <w:p w:rsidR="00DC5F6A" w:rsidRPr="00DC5F6A" w:rsidRDefault="00DC5F6A" w:rsidP="00DC5F6A">
      <w:pPr>
        <w:pStyle w:val="ListParagraph"/>
        <w:numPr>
          <w:ilvl w:val="0"/>
          <w:numId w:val="1"/>
        </w:numPr>
      </w:pPr>
      <w:r>
        <w:rPr>
          <w:rFonts w:cs="Arial"/>
        </w:rPr>
        <w:t xml:space="preserve">Elevated blood pressure and the incidence of </w:t>
      </w:r>
      <w:r w:rsidR="00175E94">
        <w:rPr>
          <w:rFonts w:cs="Arial"/>
        </w:rPr>
        <w:t>cardiovascular disease</w:t>
      </w:r>
      <w:r>
        <w:rPr>
          <w:rFonts w:cs="Arial"/>
        </w:rPr>
        <w:t xml:space="preserve"> (relationships </w:t>
      </w:r>
      <w:r w:rsidR="00175E94">
        <w:rPr>
          <w:rFonts w:cs="Arial"/>
        </w:rPr>
        <w:t xml:space="preserve">with lead </w:t>
      </w:r>
      <w:r>
        <w:rPr>
          <w:rFonts w:cs="Arial"/>
        </w:rPr>
        <w:t xml:space="preserve">currently being debated). Any effect in occupational populations at PbB &lt; 30 </w:t>
      </w:r>
      <w:r w:rsidRPr="00DC5F6A">
        <w:rPr>
          <w:rFonts w:cs="Arial"/>
        </w:rPr>
        <w:t>µ</w:t>
      </w:r>
      <w:r>
        <w:rPr>
          <w:rFonts w:cs="Arial"/>
        </w:rPr>
        <w:t xml:space="preserve">g/dL </w:t>
      </w:r>
      <w:r w:rsidR="007F277E">
        <w:rPr>
          <w:rFonts w:cs="Arial"/>
        </w:rPr>
        <w:t xml:space="preserve">was </w:t>
      </w:r>
      <w:r>
        <w:rPr>
          <w:rFonts w:cs="Arial"/>
        </w:rPr>
        <w:t>expected</w:t>
      </w:r>
      <w:r w:rsidR="007F277E">
        <w:rPr>
          <w:rFonts w:cs="Arial"/>
        </w:rPr>
        <w:t xml:space="preserve"> by ACGIH</w:t>
      </w:r>
      <w:r>
        <w:rPr>
          <w:rFonts w:cs="Arial"/>
        </w:rPr>
        <w:t xml:space="preserve"> to be small.</w:t>
      </w:r>
    </w:p>
    <w:p w:rsidR="00DC5F6A" w:rsidRPr="00DC5F6A" w:rsidRDefault="00DC5F6A" w:rsidP="00DC5F6A">
      <w:pPr>
        <w:pStyle w:val="ListParagraph"/>
        <w:numPr>
          <w:ilvl w:val="0"/>
          <w:numId w:val="1"/>
        </w:numPr>
      </w:pPr>
      <w:r>
        <w:rPr>
          <w:rFonts w:cs="Arial"/>
        </w:rPr>
        <w:t xml:space="preserve">Renal impairment, as measured by creatinine clearance and proteinuria, where minor changes </w:t>
      </w:r>
      <w:r w:rsidR="00521ED1">
        <w:rPr>
          <w:rFonts w:cs="Arial"/>
        </w:rPr>
        <w:t xml:space="preserve">that </w:t>
      </w:r>
      <w:r>
        <w:rPr>
          <w:rFonts w:cs="Arial"/>
        </w:rPr>
        <w:t xml:space="preserve">did not constitute functional renal impairment were reported at PbB &lt; 30 </w:t>
      </w:r>
      <w:r w:rsidRPr="00DC5F6A">
        <w:rPr>
          <w:rFonts w:cs="Arial"/>
        </w:rPr>
        <w:t>µ</w:t>
      </w:r>
      <w:r w:rsidR="00F63ACD">
        <w:rPr>
          <w:rFonts w:cs="Arial"/>
        </w:rPr>
        <w:t xml:space="preserve">g/dL, and increased incidences </w:t>
      </w:r>
      <w:r>
        <w:rPr>
          <w:rFonts w:cs="Arial"/>
        </w:rPr>
        <w:t xml:space="preserve">of proteinuria reported beginning at 40 </w:t>
      </w:r>
      <w:r w:rsidRPr="00DC5F6A">
        <w:rPr>
          <w:rFonts w:cs="Arial"/>
        </w:rPr>
        <w:t>µ</w:t>
      </w:r>
      <w:r>
        <w:rPr>
          <w:rFonts w:cs="Arial"/>
        </w:rPr>
        <w:t xml:space="preserve">g/dL. </w:t>
      </w:r>
    </w:p>
    <w:p w:rsidR="00DC5F6A" w:rsidRPr="00DC5F6A" w:rsidRDefault="00DC5F6A" w:rsidP="00F47FDA">
      <w:pPr>
        <w:pStyle w:val="ListParagraph"/>
        <w:numPr>
          <w:ilvl w:val="0"/>
          <w:numId w:val="1"/>
        </w:numPr>
      </w:pPr>
      <w:r>
        <w:rPr>
          <w:rFonts w:cs="Arial"/>
        </w:rPr>
        <w:t xml:space="preserve">The </w:t>
      </w:r>
      <w:r w:rsidR="007F277E">
        <w:rPr>
          <w:rFonts w:cs="Arial"/>
        </w:rPr>
        <w:t xml:space="preserve">incidence </w:t>
      </w:r>
      <w:r>
        <w:rPr>
          <w:rFonts w:cs="Arial"/>
        </w:rPr>
        <w:t xml:space="preserve">of spontaneous abortion and effects on male fertility where study results were mixed. </w:t>
      </w:r>
      <w:r w:rsidR="007F277E">
        <w:rPr>
          <w:rFonts w:cs="Arial"/>
        </w:rPr>
        <w:t>According to ACGIH (2001a), i</w:t>
      </w:r>
      <w:r>
        <w:rPr>
          <w:rFonts w:cs="Arial"/>
        </w:rPr>
        <w:t>n the studies that report</w:t>
      </w:r>
      <w:r w:rsidR="007F277E">
        <w:rPr>
          <w:rFonts w:cs="Arial"/>
        </w:rPr>
        <w:t>ed</w:t>
      </w:r>
      <w:r>
        <w:rPr>
          <w:rFonts w:cs="Arial"/>
        </w:rPr>
        <w:t xml:space="preserve"> positive associations, the effects appear</w:t>
      </w:r>
      <w:r w:rsidR="007F277E">
        <w:rPr>
          <w:rFonts w:cs="Arial"/>
        </w:rPr>
        <w:t>ed</w:t>
      </w:r>
      <w:r>
        <w:rPr>
          <w:rFonts w:cs="Arial"/>
        </w:rPr>
        <w:t xml:space="preserve"> to begin at PbB &gt; 30 </w:t>
      </w:r>
      <w:r w:rsidRPr="00DC5F6A">
        <w:rPr>
          <w:rFonts w:cs="Arial"/>
        </w:rPr>
        <w:t>µ</w:t>
      </w:r>
      <w:r>
        <w:rPr>
          <w:rFonts w:cs="Arial"/>
        </w:rPr>
        <w:t>g/dL</w:t>
      </w:r>
      <w:r w:rsidR="00175E94">
        <w:rPr>
          <w:rFonts w:cs="Arial"/>
        </w:rPr>
        <w:t>,</w:t>
      </w:r>
      <w:r w:rsidR="00F47FDA">
        <w:rPr>
          <w:rFonts w:cs="Arial"/>
        </w:rPr>
        <w:t xml:space="preserve"> with</w:t>
      </w:r>
      <w:r w:rsidR="00175E94">
        <w:rPr>
          <w:rFonts w:cs="Arial"/>
        </w:rPr>
        <w:t xml:space="preserve"> changes in spermatogenesis</w:t>
      </w:r>
      <w:r w:rsidR="00F47FDA" w:rsidRPr="00F47FDA">
        <w:rPr>
          <w:rFonts w:cs="Arial"/>
        </w:rPr>
        <w:t xml:space="preserve"> reported at levels above 40 </w:t>
      </w:r>
      <w:r w:rsidR="00F47FDA">
        <w:rPr>
          <w:rFonts w:cs="Arial"/>
        </w:rPr>
        <w:t>µ</w:t>
      </w:r>
      <w:r w:rsidR="00F47FDA" w:rsidRPr="00F47FDA">
        <w:rPr>
          <w:rFonts w:cs="Arial"/>
        </w:rPr>
        <w:t>g/dl.</w:t>
      </w:r>
    </w:p>
    <w:p w:rsidR="00DC5F6A" w:rsidRPr="007F277E" w:rsidRDefault="00DC5F6A" w:rsidP="00DC5F6A">
      <w:pPr>
        <w:pStyle w:val="ListParagraph"/>
        <w:numPr>
          <w:ilvl w:val="0"/>
          <w:numId w:val="1"/>
        </w:numPr>
      </w:pPr>
      <w:r>
        <w:rPr>
          <w:rFonts w:cs="Arial"/>
        </w:rPr>
        <w:t xml:space="preserve">Decreased length of gestation and birth weight where study results are also mixed and methodologies questionable, but expert reviews conclude that at PbB &gt; 30 </w:t>
      </w:r>
      <w:r w:rsidRPr="00DC5F6A">
        <w:rPr>
          <w:rFonts w:cs="Arial"/>
        </w:rPr>
        <w:t>µ</w:t>
      </w:r>
      <w:r>
        <w:rPr>
          <w:rFonts w:cs="Arial"/>
        </w:rPr>
        <w:t xml:space="preserve">g/dL the relationships strengthen. </w:t>
      </w:r>
    </w:p>
    <w:p w:rsidR="007F277E" w:rsidRPr="00DC5F6A" w:rsidRDefault="007F277E" w:rsidP="007F277E"/>
    <w:p w:rsidR="00DC5F6A" w:rsidRDefault="005D68E4" w:rsidP="00F47FDA">
      <w:r>
        <w:t xml:space="preserve">ACGIH (2001b) concluded the toxicology and health data at the time suggested long-term lead exposure in adults </w:t>
      </w:r>
      <w:r w:rsidR="00521ED1">
        <w:t>that</w:t>
      </w:r>
      <w:r>
        <w:t xml:space="preserve"> did not produce blood lead concentrations above 40 </w:t>
      </w:r>
      <w:r>
        <w:rPr>
          <w:rFonts w:cs="Arial"/>
        </w:rPr>
        <w:t>µ</w:t>
      </w:r>
      <w:r>
        <w:t xml:space="preserve">g/dl would minimize the potential for </w:t>
      </w:r>
      <w:r w:rsidR="005B6E2F">
        <w:t xml:space="preserve">clinically </w:t>
      </w:r>
      <w:r>
        <w:t xml:space="preserve">adverse health effects. </w:t>
      </w:r>
      <w:r w:rsidR="00521ED1">
        <w:t xml:space="preserve">Furthermore the ACGIH (2001a) believed that workplace conditions that kept a woman's blood lead level below the BEI of 30 </w:t>
      </w:r>
      <w:r w:rsidR="00521ED1">
        <w:rPr>
          <w:rFonts w:cs="Arial"/>
        </w:rPr>
        <w:t>µ</w:t>
      </w:r>
      <w:r w:rsidR="00521ED1">
        <w:t xml:space="preserve">g/dl would protect her ability to bear children that can develop normally. </w:t>
      </w:r>
      <w:r>
        <w:t xml:space="preserve">A target BEI of 30 </w:t>
      </w:r>
      <w:r w:rsidRPr="005D68E4">
        <w:t xml:space="preserve">µg/dl </w:t>
      </w:r>
      <w:r>
        <w:t>was therefore set. However t</w:t>
      </w:r>
      <w:r w:rsidR="00DC5F6A">
        <w:t>he ACGIH (2001a) also noted that certain studies reported effects at PbB below the BEI</w:t>
      </w:r>
      <w:r>
        <w:t>.</w:t>
      </w:r>
      <w:r w:rsidR="00DC5F6A">
        <w:t xml:space="preserve"> </w:t>
      </w:r>
      <w:r>
        <w:t>T</w:t>
      </w:r>
      <w:r w:rsidR="00DC5F6A">
        <w:t>he BEI committee reduced the significance of these</w:t>
      </w:r>
      <w:r w:rsidR="00E12707">
        <w:t xml:space="preserve"> reports because </w:t>
      </w:r>
      <w:r w:rsidR="006F17E4">
        <w:t>in</w:t>
      </w:r>
      <w:r w:rsidR="00715E1D">
        <w:t xml:space="preserve"> its</w:t>
      </w:r>
      <w:r w:rsidR="006F17E4">
        <w:t xml:space="preserve"> view </w:t>
      </w:r>
      <w:r w:rsidR="00E12707">
        <w:t>the effects were</w:t>
      </w:r>
      <w:r w:rsidR="00DC5F6A">
        <w:t xml:space="preserve"> transient, did </w:t>
      </w:r>
      <w:r w:rsidR="00DC5F6A">
        <w:lastRenderedPageBreak/>
        <w:t>not constitute a decrement in the worker’s functional capacity, or</w:t>
      </w:r>
      <w:r w:rsidR="00E12707">
        <w:t xml:space="preserve"> were</w:t>
      </w:r>
      <w:r w:rsidR="00DC5F6A">
        <w:t xml:space="preserve"> contradicted by other adequately conducted studies. </w:t>
      </w:r>
    </w:p>
    <w:p w:rsidR="00DC5F6A" w:rsidRDefault="00DC5F6A" w:rsidP="00DC5F6A"/>
    <w:p w:rsidR="00DC5F6A" w:rsidRDefault="00DC5F6A" w:rsidP="00DC5F6A">
      <w:r>
        <w:t xml:space="preserve">Since the publication of the ACGIH (2001a) BEI documentation, </w:t>
      </w:r>
      <w:r w:rsidR="0040732A">
        <w:t xml:space="preserve">other international agencies have suggested PbB &lt; 20 </w:t>
      </w:r>
      <w:r w:rsidRPr="00DC5F6A">
        <w:rPr>
          <w:rFonts w:cs="Arial"/>
        </w:rPr>
        <w:t>µ</w:t>
      </w:r>
      <w:r>
        <w:rPr>
          <w:rFonts w:cs="Arial"/>
        </w:rPr>
        <w:t xml:space="preserve">g/dL </w:t>
      </w:r>
      <w:r>
        <w:t xml:space="preserve">in adults </w:t>
      </w:r>
      <w:r w:rsidR="0040732A">
        <w:t xml:space="preserve">may be </w:t>
      </w:r>
      <w:r>
        <w:t xml:space="preserve">associated with depressed </w:t>
      </w:r>
      <w:r w:rsidR="005D68E4">
        <w:t>blo</w:t>
      </w:r>
      <w:r w:rsidR="00175E94">
        <w:t>o</w:t>
      </w:r>
      <w:r w:rsidR="005D68E4">
        <w:t xml:space="preserve">d </w:t>
      </w:r>
      <w:r w:rsidRPr="00DC5F6A">
        <w:t xml:space="preserve">δ-aminolevulinic acid </w:t>
      </w:r>
      <w:r w:rsidR="0040732A">
        <w:t>dehydratase,</w:t>
      </w:r>
      <w:r w:rsidR="00420FE4">
        <w:t xml:space="preserve"> subtle neurological effects,</w:t>
      </w:r>
      <w:r w:rsidR="0040732A">
        <w:t xml:space="preserve"> reductions in </w:t>
      </w:r>
      <w:r w:rsidRPr="00DC5F6A">
        <w:t>glomerular filtration rate</w:t>
      </w:r>
      <w:r w:rsidR="0040732A">
        <w:t>s, and an increase in systemic blood pressure</w:t>
      </w:r>
      <w:r w:rsidR="00175E94">
        <w:t xml:space="preserve"> and decreased sperm quality</w:t>
      </w:r>
      <w:r w:rsidR="0040732A">
        <w:t xml:space="preserve"> (NZ MfE 2011, ATSDR 2007, US EPA 2006, </w:t>
      </w:r>
      <w:r w:rsidR="00175E94">
        <w:t xml:space="preserve">US EPA 2013, </w:t>
      </w:r>
      <w:r w:rsidR="0040732A">
        <w:t>NTP 2012</w:t>
      </w:r>
      <w:r w:rsidR="00D97319">
        <w:t>, NRC 2013</w:t>
      </w:r>
      <w:r w:rsidR="0040732A">
        <w:t xml:space="preserve">). </w:t>
      </w:r>
    </w:p>
    <w:p w:rsidR="00D07A38" w:rsidRDefault="00D07A38" w:rsidP="00DC5F6A"/>
    <w:p w:rsidR="0040732A" w:rsidRDefault="00D07A38" w:rsidP="00DC5F6A">
      <w:r w:rsidRPr="00D07A38">
        <w:t xml:space="preserve">Although the BEI </w:t>
      </w:r>
      <w:r>
        <w:t xml:space="preserve">recommended by the ACGIH (2001a) </w:t>
      </w:r>
      <w:r w:rsidRPr="00D07A38">
        <w:t xml:space="preserve">is 30 µg/dL, </w:t>
      </w:r>
      <w:r>
        <w:t>they note</w:t>
      </w:r>
      <w:r w:rsidRPr="00D07A38">
        <w:t xml:space="preserve"> that “</w:t>
      </w:r>
      <w:r w:rsidRPr="00D07A38">
        <w:rPr>
          <w:i/>
        </w:rPr>
        <w:t xml:space="preserve">Women of child bearing potential, whose blood Pb exceeds 10 µg/dL, are at risk of delivering a child with a blood Pb over the current Centers for Disease Control guideline of 10 µg/dL. If the blood Pb of such children remains elevated, they may be at increased risk of cognitive deficits. The blood Pb of these children should be closely monitored and appropriate steps should be taken to minimize the child’s exposure to environmental lead.” </w:t>
      </w:r>
      <w:r w:rsidR="007F277E">
        <w:rPr>
          <w:i/>
        </w:rPr>
        <w:t xml:space="preserve"> </w:t>
      </w:r>
      <w:r>
        <w:t>The latter</w:t>
      </w:r>
      <w:r w:rsidR="00F63ACD">
        <w:t xml:space="preserve"> tacitly</w:t>
      </w:r>
      <w:r>
        <w:t xml:space="preserve"> implies </w:t>
      </w:r>
      <w:r w:rsidRPr="00D07A38">
        <w:t xml:space="preserve">the BEI for </w:t>
      </w:r>
      <w:r w:rsidR="00E25319">
        <w:t>female</w:t>
      </w:r>
      <w:r w:rsidRPr="00D07A38">
        <w:t xml:space="preserve"> </w:t>
      </w:r>
      <w:r w:rsidR="00FC65A9">
        <w:t xml:space="preserve">workers </w:t>
      </w:r>
      <w:r w:rsidRPr="00D07A38">
        <w:t xml:space="preserve">of reproductive capacity, or </w:t>
      </w:r>
      <w:r w:rsidR="00E25319">
        <w:t>females</w:t>
      </w:r>
      <w:r w:rsidRPr="00D07A38">
        <w:t xml:space="preserve"> who are pregnant or breastfeeding should be the same as the goal f</w:t>
      </w:r>
      <w:r w:rsidR="00FC65A9">
        <w:t>or the general population</w:t>
      </w:r>
      <w:r w:rsidRPr="00D07A38">
        <w:t>, i.e. 10 µg/dL.</w:t>
      </w:r>
    </w:p>
    <w:p w:rsidR="0040732A" w:rsidRDefault="0040732A" w:rsidP="00DC5F6A"/>
    <w:p w:rsidR="0040732A" w:rsidRPr="00FC65A9" w:rsidRDefault="000B6A30" w:rsidP="00DC5F6A">
      <w:pPr>
        <w:rPr>
          <w:i/>
          <w:u w:val="single"/>
        </w:rPr>
      </w:pPr>
      <w:r>
        <w:rPr>
          <w:i/>
          <w:u w:val="single"/>
        </w:rPr>
        <w:t>WES</w:t>
      </w:r>
    </w:p>
    <w:p w:rsidR="00767288" w:rsidRDefault="00FC65A9" w:rsidP="00EB78D4">
      <w:r>
        <w:t xml:space="preserve">The derivation of the ACGIH (2001b) </w:t>
      </w:r>
      <w:r w:rsidR="000B6A30">
        <w:t xml:space="preserve">WES </w:t>
      </w:r>
      <w:r>
        <w:t xml:space="preserve">for </w:t>
      </w:r>
      <w:r w:rsidR="00FF060A">
        <w:t>PbAir</w:t>
      </w:r>
      <w:r>
        <w:t xml:space="preserve"> is less clear than the rationale for the BEI. </w:t>
      </w:r>
    </w:p>
    <w:p w:rsidR="00FC65A9" w:rsidRDefault="00FC65A9" w:rsidP="00FC65A9">
      <w:pPr>
        <w:pStyle w:val="ListParagraph"/>
        <w:numPr>
          <w:ilvl w:val="0"/>
          <w:numId w:val="2"/>
        </w:numPr>
      </w:pPr>
      <w:r>
        <w:t>ACGIH (2001b) state</w:t>
      </w:r>
      <w:r w:rsidR="00715E1D">
        <w:t>s</w:t>
      </w:r>
      <w:r>
        <w:t xml:space="preserve"> the control of PbB at or below the BEI of 30 </w:t>
      </w:r>
      <w:r w:rsidRPr="00D07A38">
        <w:t>µg/dL</w:t>
      </w:r>
      <w:r>
        <w:t xml:space="preserve"> requires careful consideration of all sources that contribute to </w:t>
      </w:r>
      <w:r w:rsidR="00EC598D">
        <w:t>l</w:t>
      </w:r>
      <w:r w:rsidR="00637B4C">
        <w:t>ead</w:t>
      </w:r>
      <w:r w:rsidR="00EC598D">
        <w:t xml:space="preserve"> </w:t>
      </w:r>
      <w:r>
        <w:t xml:space="preserve">absorption. </w:t>
      </w:r>
    </w:p>
    <w:p w:rsidR="00FC65A9" w:rsidRDefault="00FC65A9" w:rsidP="00FC65A9">
      <w:pPr>
        <w:pStyle w:val="ListParagraph"/>
        <w:numPr>
          <w:ilvl w:val="0"/>
          <w:numId w:val="2"/>
        </w:numPr>
      </w:pPr>
      <w:r>
        <w:t xml:space="preserve">The geometric mean PbB in the general US population (i.e. background PbB) was 2.8 </w:t>
      </w:r>
      <w:r w:rsidRPr="00D07A38">
        <w:t>µg/dL</w:t>
      </w:r>
      <w:r>
        <w:t xml:space="preserve"> (95% CI = 2.7 to 3.0) between 1988 and 1991. </w:t>
      </w:r>
    </w:p>
    <w:p w:rsidR="00FC65A9" w:rsidRDefault="00FC65A9" w:rsidP="00FC65A9">
      <w:pPr>
        <w:pStyle w:val="ListParagraph"/>
        <w:numPr>
          <w:ilvl w:val="0"/>
          <w:numId w:val="2"/>
        </w:numPr>
      </w:pPr>
      <w:r>
        <w:t xml:space="preserve">PbB </w:t>
      </w:r>
      <w:r w:rsidR="0019384B">
        <w:t xml:space="preserve">in workers </w:t>
      </w:r>
      <w:r>
        <w:t xml:space="preserve">above </w:t>
      </w:r>
      <w:r w:rsidR="0019384B">
        <w:t xml:space="preserve">the background nominated by ACGIH </w:t>
      </w:r>
      <w:r>
        <w:t xml:space="preserve">are the result of both inhalation and ingestion at the workplace. </w:t>
      </w:r>
    </w:p>
    <w:p w:rsidR="00FC65A9" w:rsidRDefault="00FC65A9" w:rsidP="00FC65A9">
      <w:pPr>
        <w:pStyle w:val="ListParagraph"/>
        <w:numPr>
          <w:ilvl w:val="0"/>
          <w:numId w:val="2"/>
        </w:numPr>
      </w:pPr>
      <w:r>
        <w:t xml:space="preserve">Based on </w:t>
      </w:r>
      <w:r w:rsidR="0019384B">
        <w:t xml:space="preserve">their </w:t>
      </w:r>
      <w:r>
        <w:t xml:space="preserve">analysis of the data in </w:t>
      </w:r>
      <w:r w:rsidRPr="00813634">
        <w:t>Bishop and Hill (</w:t>
      </w:r>
      <w:r w:rsidR="00813634" w:rsidRPr="00813634">
        <w:t>1983</w:t>
      </w:r>
      <w:r w:rsidRPr="00813634">
        <w:t>),</w:t>
      </w:r>
      <w:r>
        <w:t xml:space="preserve"> </w:t>
      </w:r>
      <w:r w:rsidR="0019384B" w:rsidRPr="0019384B">
        <w:t xml:space="preserve">ACGIH consider </w:t>
      </w:r>
      <w:r>
        <w:t xml:space="preserve">non-airborne (hand to mouth) lead absorption can be controlled </w:t>
      </w:r>
      <w:r w:rsidR="0019384B">
        <w:t xml:space="preserve">by good hygiene practice </w:t>
      </w:r>
      <w:r>
        <w:t xml:space="preserve">to amounts that will </w:t>
      </w:r>
      <w:r w:rsidR="0019384B">
        <w:t xml:space="preserve">incrementally </w:t>
      </w:r>
      <w:r>
        <w:t xml:space="preserve">increase PbB by 5 to 10 </w:t>
      </w:r>
      <w:r w:rsidRPr="00D07A38">
        <w:t>µg/dL</w:t>
      </w:r>
      <w:r>
        <w:t>.</w:t>
      </w:r>
      <w:r w:rsidR="0019384B">
        <w:t xml:space="preserve"> </w:t>
      </w:r>
    </w:p>
    <w:p w:rsidR="00FC65A9" w:rsidRPr="00FC65A9" w:rsidRDefault="0019384B" w:rsidP="00175E94">
      <w:pPr>
        <w:pStyle w:val="ListParagraph"/>
        <w:numPr>
          <w:ilvl w:val="0"/>
          <w:numId w:val="2"/>
        </w:numPr>
      </w:pPr>
      <w:r>
        <w:t>ACGIH reviewed a number of occupational epidemiology studies and determined a</w:t>
      </w:r>
      <w:r w:rsidR="00FC65A9">
        <w:t xml:space="preserve">ir slope factors (i.e. </w:t>
      </w:r>
      <w:r w:rsidR="0062509B">
        <w:t xml:space="preserve">ASF, </w:t>
      </w:r>
      <w:r w:rsidR="00785DD5">
        <w:t xml:space="preserve">the </w:t>
      </w:r>
      <w:r w:rsidR="00FC65A9">
        <w:rPr>
          <w:rFonts w:cs="Arial"/>
        </w:rPr>
        <w:t xml:space="preserve">relationship between inhalable </w:t>
      </w:r>
      <w:r w:rsidR="0072100B">
        <w:rPr>
          <w:rFonts w:cs="Arial"/>
        </w:rPr>
        <w:t>PbAir</w:t>
      </w:r>
      <w:r w:rsidR="00FC65A9">
        <w:rPr>
          <w:rFonts w:cs="Arial"/>
        </w:rPr>
        <w:t xml:space="preserve"> and PbB)</w:t>
      </w:r>
      <w:r w:rsidR="00FC65A9" w:rsidRPr="0013509D">
        <w:rPr>
          <w:rFonts w:cs="Arial"/>
        </w:rPr>
        <w:t xml:space="preserve"> </w:t>
      </w:r>
      <w:r w:rsidR="0062509B">
        <w:rPr>
          <w:rFonts w:cs="Arial"/>
        </w:rPr>
        <w:t xml:space="preserve">that </w:t>
      </w:r>
      <w:r w:rsidR="00FC65A9">
        <w:rPr>
          <w:rFonts w:cs="Arial"/>
        </w:rPr>
        <w:t>range</w:t>
      </w:r>
      <w:r w:rsidR="0062509B">
        <w:rPr>
          <w:rFonts w:cs="Arial"/>
        </w:rPr>
        <w:t>d</w:t>
      </w:r>
      <w:r w:rsidR="00FC65A9">
        <w:rPr>
          <w:rFonts w:cs="Arial"/>
        </w:rPr>
        <w:t xml:space="preserve"> from 0.03 to 0.19 </w:t>
      </w:r>
      <w:r w:rsidR="00FC65A9" w:rsidRPr="00D07A38">
        <w:t>µg/dL</w:t>
      </w:r>
      <w:r w:rsidR="00FC65A9">
        <w:t xml:space="preserve"> PbB per </w:t>
      </w:r>
      <w:r w:rsidR="00FC65A9" w:rsidRPr="00FC65A9">
        <w:rPr>
          <w:rFonts w:cs="Arial"/>
        </w:rPr>
        <w:t>µg/m</w:t>
      </w:r>
      <w:r w:rsidR="00FC65A9" w:rsidRPr="00FC65A9">
        <w:rPr>
          <w:rFonts w:cs="Arial"/>
          <w:vertAlign w:val="superscript"/>
        </w:rPr>
        <w:t>3</w:t>
      </w:r>
      <w:r w:rsidR="00FC65A9">
        <w:rPr>
          <w:rFonts w:cs="Arial"/>
        </w:rPr>
        <w:t xml:space="preserve"> </w:t>
      </w:r>
      <w:r w:rsidR="00263767">
        <w:rPr>
          <w:rFonts w:cs="Arial"/>
        </w:rPr>
        <w:t>PbAir</w:t>
      </w:r>
      <w:r w:rsidR="00FC65A9">
        <w:rPr>
          <w:rFonts w:cs="Arial"/>
        </w:rPr>
        <w:t xml:space="preserve">. </w:t>
      </w:r>
      <w:r w:rsidR="000D468B">
        <w:rPr>
          <w:rFonts w:cs="Arial"/>
        </w:rPr>
        <w:t>H</w:t>
      </w:r>
      <w:r>
        <w:rPr>
          <w:rFonts w:cs="Arial"/>
        </w:rPr>
        <w:t xml:space="preserve">owever </w:t>
      </w:r>
      <w:r w:rsidR="000D468B">
        <w:rPr>
          <w:rFonts w:cs="Arial"/>
        </w:rPr>
        <w:t xml:space="preserve">from the analysis in Section 5, it is apparent </w:t>
      </w:r>
      <w:r>
        <w:rPr>
          <w:rFonts w:cs="Arial"/>
        </w:rPr>
        <w:t xml:space="preserve">that PbB from background (non-occupational) exposures were not factored into </w:t>
      </w:r>
      <w:r w:rsidR="005D3BE7">
        <w:rPr>
          <w:rFonts w:cs="Arial"/>
        </w:rPr>
        <w:t xml:space="preserve">many </w:t>
      </w:r>
      <w:r w:rsidR="00F63ACD">
        <w:rPr>
          <w:rFonts w:cs="Arial"/>
        </w:rPr>
        <w:t>of these</w:t>
      </w:r>
      <w:r>
        <w:rPr>
          <w:rFonts w:cs="Arial"/>
        </w:rPr>
        <w:t xml:space="preserve"> slope factors</w:t>
      </w:r>
      <w:r w:rsidR="00785DD5">
        <w:rPr>
          <w:rFonts w:cs="Arial"/>
        </w:rPr>
        <w:t xml:space="preserve"> and cognisance was not given to the non-linear relationship between PbB and PbAir</w:t>
      </w:r>
      <w:r>
        <w:rPr>
          <w:rFonts w:cs="Arial"/>
        </w:rPr>
        <w:t xml:space="preserve">. </w:t>
      </w:r>
      <w:r w:rsidR="00FC65A9">
        <w:rPr>
          <w:rFonts w:cs="Arial"/>
        </w:rPr>
        <w:t xml:space="preserve">The correlation coefficients were variable, ranging from 0.14 to 0.9, with lower values </w:t>
      </w:r>
      <w:r w:rsidR="00FC65A9">
        <w:rPr>
          <w:rFonts w:cs="Arial"/>
        </w:rPr>
        <w:lastRenderedPageBreak/>
        <w:t xml:space="preserve">occurring at lower </w:t>
      </w:r>
      <w:r w:rsidR="00263767">
        <w:rPr>
          <w:rFonts w:cs="Arial"/>
        </w:rPr>
        <w:t>PbAir</w:t>
      </w:r>
      <w:r w:rsidR="00EC598D">
        <w:rPr>
          <w:rFonts w:cs="Arial"/>
        </w:rPr>
        <w:t xml:space="preserve"> </w:t>
      </w:r>
      <w:r w:rsidR="00FC65A9">
        <w:rPr>
          <w:rFonts w:cs="Arial"/>
        </w:rPr>
        <w:t xml:space="preserve">exposures. </w:t>
      </w:r>
      <w:r w:rsidR="00175E94" w:rsidRPr="00175E94">
        <w:rPr>
          <w:rFonts w:cs="Arial"/>
        </w:rPr>
        <w:t>Unfortunately the mathematical details of how the ACGIH determined the ASFs is not provided in their documentation.</w:t>
      </w:r>
    </w:p>
    <w:p w:rsidR="00FC65A9" w:rsidRDefault="00F63ACD" w:rsidP="00FC65A9">
      <w:pPr>
        <w:pStyle w:val="ListParagraph"/>
        <w:numPr>
          <w:ilvl w:val="0"/>
          <w:numId w:val="2"/>
        </w:numPr>
      </w:pPr>
      <w:r>
        <w:rPr>
          <w:rFonts w:cs="Arial"/>
        </w:rPr>
        <w:t>ACGIH took</w:t>
      </w:r>
      <w:r w:rsidR="00FC65A9">
        <w:rPr>
          <w:rFonts w:cs="Arial"/>
        </w:rPr>
        <w:t xml:space="preserve"> the steepest slope of 0.19 </w:t>
      </w:r>
      <w:r w:rsidR="00792404">
        <w:rPr>
          <w:rFonts w:cs="Arial"/>
        </w:rPr>
        <w:t>(</w:t>
      </w:r>
      <w:r w:rsidR="00FC65A9" w:rsidRPr="00D07A38">
        <w:t>µg/dL</w:t>
      </w:r>
      <w:r w:rsidR="00792404">
        <w:t>)</w:t>
      </w:r>
      <w:r w:rsidR="00640534">
        <w:t>/</w:t>
      </w:r>
      <w:r w:rsidR="00792404">
        <w:t>(</w:t>
      </w:r>
      <w:r w:rsidR="00FC65A9" w:rsidRPr="00FC65A9">
        <w:rPr>
          <w:rFonts w:cs="Arial"/>
        </w:rPr>
        <w:t>µg/m</w:t>
      </w:r>
      <w:r w:rsidR="00FC65A9" w:rsidRPr="00FC65A9">
        <w:rPr>
          <w:rFonts w:cs="Arial"/>
          <w:vertAlign w:val="superscript"/>
        </w:rPr>
        <w:t>3</w:t>
      </w:r>
      <w:r w:rsidR="00792404">
        <w:rPr>
          <w:rFonts w:cs="Arial"/>
        </w:rPr>
        <w:t>)</w:t>
      </w:r>
      <w:r w:rsidR="00FC65A9">
        <w:rPr>
          <w:rFonts w:cs="Arial"/>
        </w:rPr>
        <w:t xml:space="preserve"> </w:t>
      </w:r>
      <w:r w:rsidR="00640534">
        <w:rPr>
          <w:rFonts w:cs="Arial"/>
        </w:rPr>
        <w:t>which at 0.05 mg/m</w:t>
      </w:r>
      <w:r w:rsidR="00640534">
        <w:rPr>
          <w:rFonts w:cs="Arial"/>
          <w:vertAlign w:val="superscript"/>
        </w:rPr>
        <w:t>3</w:t>
      </w:r>
      <w:r w:rsidR="00640534">
        <w:rPr>
          <w:rFonts w:cs="Arial"/>
        </w:rPr>
        <w:t xml:space="preserve"> </w:t>
      </w:r>
      <w:r w:rsidR="00715E1D">
        <w:rPr>
          <w:rFonts w:cs="Arial"/>
        </w:rPr>
        <w:t xml:space="preserve">(the ACGIH recommended WES) </w:t>
      </w:r>
      <w:r w:rsidR="00640534">
        <w:rPr>
          <w:rFonts w:cs="Arial"/>
        </w:rPr>
        <w:t xml:space="preserve">gives a </w:t>
      </w:r>
      <w:r w:rsidR="00FC65A9">
        <w:rPr>
          <w:rFonts w:cs="Arial"/>
        </w:rPr>
        <w:t xml:space="preserve">PbB of 9.5 </w:t>
      </w:r>
      <w:r w:rsidR="00FC65A9" w:rsidRPr="00D07A38">
        <w:t>µg/dL</w:t>
      </w:r>
      <w:r w:rsidR="00FC65A9">
        <w:t xml:space="preserve">. </w:t>
      </w:r>
      <w:r w:rsidR="000D468B">
        <w:t>However this ASF is not representative of the PbB – PbAir relationship at 0.05 mg/m</w:t>
      </w:r>
      <w:r w:rsidR="000D468B">
        <w:rPr>
          <w:vertAlign w:val="superscript"/>
        </w:rPr>
        <w:t>3</w:t>
      </w:r>
      <w:r w:rsidR="000D468B">
        <w:t xml:space="preserve">. </w:t>
      </w:r>
      <w:r w:rsidR="00070BA0">
        <w:t xml:space="preserve"> </w:t>
      </w:r>
      <w:r w:rsidR="00175E94">
        <w:t xml:space="preserve"> </w:t>
      </w:r>
    </w:p>
    <w:p w:rsidR="00813634" w:rsidRDefault="00813634" w:rsidP="00813634"/>
    <w:p w:rsidR="00813634" w:rsidRDefault="00813634" w:rsidP="00813634">
      <w:r>
        <w:t xml:space="preserve">The above deliberations would bring the total PbB to: </w:t>
      </w:r>
    </w:p>
    <w:p w:rsidR="00FC65A9" w:rsidRDefault="00813634" w:rsidP="00813634">
      <w:r>
        <w:t xml:space="preserve">2.8 </w:t>
      </w:r>
      <w:r w:rsidRPr="00D07A38">
        <w:t>µg/dL</w:t>
      </w:r>
      <w:r>
        <w:t xml:space="preserve"> (background) + </w:t>
      </w:r>
      <w:r w:rsidR="00792404">
        <w:t>(</w:t>
      </w:r>
      <w:r>
        <w:t xml:space="preserve">5 – 10 </w:t>
      </w:r>
      <w:r w:rsidRPr="00D07A38">
        <w:t>µg/dL</w:t>
      </w:r>
      <w:r w:rsidR="00792404">
        <w:t>)</w:t>
      </w:r>
      <w:r>
        <w:t xml:space="preserve"> (hand to mouth) + 9.5 </w:t>
      </w:r>
      <w:r w:rsidRPr="00D07A38">
        <w:t>µg/dL</w:t>
      </w:r>
      <w:r>
        <w:t xml:space="preserve"> (</w:t>
      </w:r>
      <w:r w:rsidR="00565496">
        <w:t xml:space="preserve">from </w:t>
      </w:r>
      <w:r w:rsidR="00263767">
        <w:t>PbAir</w:t>
      </w:r>
      <w:r>
        <w:t xml:space="preserve">) = 17.3 – 22.3 </w:t>
      </w:r>
      <w:r w:rsidRPr="00D07A38">
        <w:t>µg/dL</w:t>
      </w:r>
    </w:p>
    <w:p w:rsidR="00813634" w:rsidRDefault="00813634" w:rsidP="00813634"/>
    <w:p w:rsidR="00813634" w:rsidRDefault="00070BA0" w:rsidP="0062509B">
      <w:pPr>
        <w:rPr>
          <w:rFonts w:cs="Arial"/>
        </w:rPr>
      </w:pPr>
      <w:r>
        <w:t>T</w:t>
      </w:r>
      <w:r w:rsidRPr="00070BA0">
        <w:t xml:space="preserve">he reason for selecting </w:t>
      </w:r>
      <w:r w:rsidR="00BC4A7E">
        <w:t>0.0</w:t>
      </w:r>
      <w:r w:rsidRPr="00070BA0">
        <w:t xml:space="preserve">5 </w:t>
      </w:r>
      <w:r w:rsidR="00BC4A7E">
        <w:t>m</w:t>
      </w:r>
      <w:r w:rsidRPr="00070BA0">
        <w:t>g/m</w:t>
      </w:r>
      <w:r w:rsidRPr="00F63ACD">
        <w:rPr>
          <w:vertAlign w:val="superscript"/>
        </w:rPr>
        <w:t>3</w:t>
      </w:r>
      <w:r w:rsidRPr="00070BA0">
        <w:t xml:space="preserve"> is not clear</w:t>
      </w:r>
      <w:r w:rsidR="00F63ACD">
        <w:t xml:space="preserve"> </w:t>
      </w:r>
      <w:r>
        <w:t>in the</w:t>
      </w:r>
      <w:r w:rsidRPr="00070BA0">
        <w:t xml:space="preserve"> </w:t>
      </w:r>
      <w:r w:rsidR="00813634">
        <w:t xml:space="preserve">ACGIH (2001b) </w:t>
      </w:r>
      <w:r>
        <w:t xml:space="preserve">documentation. </w:t>
      </w:r>
      <w:r w:rsidR="00AE6E26">
        <w:rPr>
          <w:rFonts w:cs="Arial"/>
        </w:rPr>
        <w:t>It was</w:t>
      </w:r>
      <w:r w:rsidR="000D468B">
        <w:rPr>
          <w:rFonts w:cs="Arial"/>
        </w:rPr>
        <w:t xml:space="preserve"> noted </w:t>
      </w:r>
      <w:r w:rsidR="00AE6E26">
        <w:rPr>
          <w:rFonts w:cs="Arial"/>
        </w:rPr>
        <w:t xml:space="preserve">by ACGIH that </w:t>
      </w:r>
      <w:r w:rsidR="0062509B">
        <w:rPr>
          <w:rFonts w:cs="Arial"/>
        </w:rPr>
        <w:t xml:space="preserve">a major reduction </w:t>
      </w:r>
      <w:r w:rsidR="0062509B" w:rsidRPr="0062509B">
        <w:rPr>
          <w:rFonts w:cs="Arial"/>
        </w:rPr>
        <w:t>in air lead concentrat</w:t>
      </w:r>
      <w:r w:rsidR="0062509B">
        <w:rPr>
          <w:rFonts w:cs="Arial"/>
        </w:rPr>
        <w:t xml:space="preserve">ions such as from 0.05 to 0.025 </w:t>
      </w:r>
      <w:r w:rsidR="0062509B" w:rsidRPr="0062509B">
        <w:rPr>
          <w:rFonts w:cs="Arial"/>
        </w:rPr>
        <w:t>mg/m</w:t>
      </w:r>
      <w:r w:rsidR="0062509B" w:rsidRPr="000D468B">
        <w:rPr>
          <w:rFonts w:cs="Arial"/>
          <w:vertAlign w:val="superscript"/>
        </w:rPr>
        <w:t>3</w:t>
      </w:r>
      <w:r w:rsidR="0062509B" w:rsidRPr="0062509B">
        <w:rPr>
          <w:rFonts w:cs="Arial"/>
        </w:rPr>
        <w:t xml:space="preserve"> would only resu</w:t>
      </w:r>
      <w:r w:rsidR="000D468B">
        <w:rPr>
          <w:rFonts w:cs="Arial"/>
        </w:rPr>
        <w:t xml:space="preserve">lt in a reduction of blood lead </w:t>
      </w:r>
      <w:r w:rsidR="0062509B" w:rsidRPr="0062509B">
        <w:rPr>
          <w:rFonts w:cs="Arial"/>
        </w:rPr>
        <w:t xml:space="preserve">concentration by 4.5 </w:t>
      </w:r>
      <w:r w:rsidR="0062509B">
        <w:rPr>
          <w:rFonts w:cs="Arial"/>
        </w:rPr>
        <w:t>µ</w:t>
      </w:r>
      <w:r w:rsidR="0062509B" w:rsidRPr="0062509B">
        <w:rPr>
          <w:rFonts w:cs="Arial"/>
        </w:rPr>
        <w:t>g/dl.</w:t>
      </w:r>
      <w:r w:rsidR="00AE6E26">
        <w:rPr>
          <w:rFonts w:cs="Arial"/>
        </w:rPr>
        <w:t xml:space="preserve"> Presumably this relatively small change in the face of many other factors that could affect PbB was not considered sufficient justification</w:t>
      </w:r>
      <w:r w:rsidR="004726B1">
        <w:rPr>
          <w:rFonts w:cs="Arial"/>
        </w:rPr>
        <w:t xml:space="preserve"> for a lower WES. However the rationale of the ACGIH assumed the ASF was the same at 0.05 and 0.025 mg/m</w:t>
      </w:r>
      <w:r w:rsidR="004726B1">
        <w:rPr>
          <w:rFonts w:cs="Arial"/>
          <w:vertAlign w:val="superscript"/>
        </w:rPr>
        <w:t>3</w:t>
      </w:r>
      <w:r w:rsidR="004726B1">
        <w:rPr>
          <w:rFonts w:cs="Arial"/>
        </w:rPr>
        <w:t xml:space="preserve">. </w:t>
      </w:r>
    </w:p>
    <w:p w:rsidR="007316D6" w:rsidRDefault="007316D6" w:rsidP="00813634">
      <w:pPr>
        <w:rPr>
          <w:rFonts w:cs="Arial"/>
        </w:rPr>
      </w:pPr>
    </w:p>
    <w:p w:rsidR="003D3878" w:rsidRDefault="003D3878" w:rsidP="00DA17FF">
      <w:pPr>
        <w:pStyle w:val="Heading4"/>
      </w:pPr>
      <w:r>
        <w:t>2.</w:t>
      </w:r>
      <w:r w:rsidR="0070509D">
        <w:t>1</w:t>
      </w:r>
      <w:r>
        <w:t>.2</w:t>
      </w:r>
      <w:r w:rsidR="00DA17FF">
        <w:t>.2</w:t>
      </w:r>
      <w:r>
        <w:t xml:space="preserve"> Europe</w:t>
      </w:r>
      <w:r w:rsidR="001C6758">
        <w:t xml:space="preserve"> Commission</w:t>
      </w:r>
      <w:r>
        <w:t xml:space="preserve"> (SCOEL)</w:t>
      </w:r>
    </w:p>
    <w:p w:rsidR="00FE6707" w:rsidRDefault="00FE6707" w:rsidP="003D3878"/>
    <w:p w:rsidR="00FE6707" w:rsidRPr="00FE6707" w:rsidRDefault="00FE6707" w:rsidP="003D3878">
      <w:pPr>
        <w:rPr>
          <w:i/>
          <w:u w:val="single"/>
        </w:rPr>
      </w:pPr>
      <w:r w:rsidRPr="00E34473">
        <w:rPr>
          <w:i/>
          <w:u w:val="single"/>
        </w:rPr>
        <w:t>B</w:t>
      </w:r>
      <w:r w:rsidR="005D3BE7" w:rsidRPr="00E34473">
        <w:rPr>
          <w:i/>
          <w:u w:val="single"/>
        </w:rPr>
        <w:t>LRL</w:t>
      </w:r>
    </w:p>
    <w:p w:rsidR="003D3878" w:rsidRDefault="003D3878" w:rsidP="003D3878">
      <w:r>
        <w:t xml:space="preserve">The </w:t>
      </w:r>
      <w:r w:rsidRPr="003D3878">
        <w:t>Scientific Committee o</w:t>
      </w:r>
      <w:r>
        <w:t xml:space="preserve">n Occupational Exposure Limits (SCOEL) of the </w:t>
      </w:r>
      <w:r w:rsidRPr="003D3878">
        <w:t>European Commission</w:t>
      </w:r>
      <w:r>
        <w:t xml:space="preserve"> </w:t>
      </w:r>
      <w:r w:rsidR="00560600">
        <w:t xml:space="preserve">provides scientific rationale and recommendations for </w:t>
      </w:r>
      <w:r w:rsidR="000B6A30">
        <w:t>WES</w:t>
      </w:r>
      <w:r w:rsidR="00560600">
        <w:t xml:space="preserve"> and </w:t>
      </w:r>
      <w:r w:rsidR="005D3BE7">
        <w:t>biological exposure standards</w:t>
      </w:r>
      <w:r w:rsidR="00560600">
        <w:t xml:space="preserve"> of chemical substances in the workplace, </w:t>
      </w:r>
      <w:r w:rsidR="00070BA0">
        <w:t xml:space="preserve">however </w:t>
      </w:r>
      <w:r w:rsidR="00560600">
        <w:t xml:space="preserve">these values are not legally binding. European member states may choose to conform with the values or derive their own, provided they are more stringent than those in the binding European legislation (EC 1998). </w:t>
      </w:r>
      <w:r w:rsidR="009F7C8C">
        <w:t xml:space="preserve">The latter </w:t>
      </w:r>
      <w:r w:rsidR="00792404">
        <w:t xml:space="preserve">usually </w:t>
      </w:r>
      <w:r w:rsidR="009F7C8C">
        <w:t>being set with no supporting documentation.</w:t>
      </w:r>
    </w:p>
    <w:p w:rsidR="00560600" w:rsidRDefault="00560600" w:rsidP="003D3878"/>
    <w:p w:rsidR="00F21049" w:rsidRDefault="00222010" w:rsidP="00E05DAD">
      <w:r>
        <w:t xml:space="preserve">SCOEL (2002) reviewed the PbB concentrations associated with a wide range of health effects in </w:t>
      </w:r>
      <w:r w:rsidR="000645C3">
        <w:t>workers. The overall conclusion</w:t>
      </w:r>
      <w:r>
        <w:t xml:space="preserve"> was that a long-term PbB level of 40 </w:t>
      </w:r>
      <w:r w:rsidRPr="007316D6">
        <w:t>µg/dL</w:t>
      </w:r>
      <w:r>
        <w:t xml:space="preserve"> probably represents a </w:t>
      </w:r>
      <w:r w:rsidR="000666B8" w:rsidRPr="000666B8">
        <w:t xml:space="preserve">low observed adverse effect level </w:t>
      </w:r>
      <w:r w:rsidR="000666B8">
        <w:t>(</w:t>
      </w:r>
      <w:r>
        <w:t>LOAEL</w:t>
      </w:r>
      <w:r w:rsidR="000666B8">
        <w:t>)</w:t>
      </w:r>
      <w:r>
        <w:t xml:space="preserve"> for an impairment of performance in neurobehavioural tests of adults, but that other effects generally occur at concentrations &gt; 40 </w:t>
      </w:r>
      <w:r w:rsidRPr="007316D6">
        <w:t>µg/dL</w:t>
      </w:r>
      <w:r w:rsidR="000E2B43">
        <w:t xml:space="preserve">. </w:t>
      </w:r>
      <w:r w:rsidR="00E05DAD">
        <w:t xml:space="preserve">SCOEL considered </w:t>
      </w:r>
      <w:r w:rsidR="002451DF">
        <w:t xml:space="preserve">a </w:t>
      </w:r>
      <w:r w:rsidR="00E05DAD">
        <w:t xml:space="preserve">WES based on avoiding functional CNS alterations is expected also to protect against </w:t>
      </w:r>
      <w:r w:rsidR="002451DF">
        <w:t>peripheral nervous system effects</w:t>
      </w:r>
      <w:r w:rsidR="00E05DAD">
        <w:t xml:space="preserve"> and renal toxicity, including possible renal cancer development and effects </w:t>
      </w:r>
      <w:r w:rsidR="00E05DAD" w:rsidRPr="00E05DAD">
        <w:t>on haem biosynthesis and on blood pressure</w:t>
      </w:r>
      <w:r w:rsidR="00E05DAD">
        <w:t xml:space="preserve">. </w:t>
      </w:r>
      <w:r>
        <w:t xml:space="preserve">Based on these considerations </w:t>
      </w:r>
      <w:r w:rsidR="00F21049">
        <w:t>(</w:t>
      </w:r>
      <w:r>
        <w:t xml:space="preserve">and a background PbB of ~5 </w:t>
      </w:r>
      <w:r w:rsidRPr="007316D6">
        <w:t>µg/dL</w:t>
      </w:r>
      <w:r>
        <w:t xml:space="preserve"> in </w:t>
      </w:r>
      <w:r w:rsidR="005D3BE7">
        <w:t xml:space="preserve">many </w:t>
      </w:r>
      <w:r>
        <w:t>European countries at that time</w:t>
      </w:r>
      <w:r w:rsidR="00F21049">
        <w:t>)</w:t>
      </w:r>
      <w:r>
        <w:t xml:space="preserve">, SCOEL (2002) recommended a </w:t>
      </w:r>
      <w:r w:rsidR="00E05DAD">
        <w:t xml:space="preserve">target PbB </w:t>
      </w:r>
      <w:r w:rsidR="005D3BE7">
        <w:t xml:space="preserve"> </w:t>
      </w:r>
      <w:r>
        <w:t xml:space="preserve">of </w:t>
      </w:r>
      <w:r w:rsidR="00E05DAD">
        <w:rPr>
          <w:rFonts w:cs="Arial"/>
        </w:rPr>
        <w:t>≤</w:t>
      </w:r>
      <w:r>
        <w:t xml:space="preserve">30 </w:t>
      </w:r>
      <w:r w:rsidRPr="007316D6">
        <w:t>µg/dL</w:t>
      </w:r>
      <w:r>
        <w:t xml:space="preserve"> for workers. However, they noted this level is not seen as being entirely protective of the offspring of working </w:t>
      </w:r>
      <w:r w:rsidR="00E25319">
        <w:t>females</w:t>
      </w:r>
      <w:r>
        <w:t>.</w:t>
      </w:r>
    </w:p>
    <w:p w:rsidR="00302285" w:rsidRDefault="00302285" w:rsidP="003D3878"/>
    <w:p w:rsidR="00FE6707" w:rsidRPr="00FE6707" w:rsidRDefault="00B91330" w:rsidP="003D3878">
      <w:pPr>
        <w:rPr>
          <w:i/>
          <w:u w:val="single"/>
        </w:rPr>
      </w:pPr>
      <w:r>
        <w:rPr>
          <w:i/>
          <w:u w:val="single"/>
        </w:rPr>
        <w:t>WES</w:t>
      </w:r>
    </w:p>
    <w:p w:rsidR="00FE4A04" w:rsidRDefault="00302285" w:rsidP="003D3878">
      <w:r>
        <w:t>SCOEL (2002) recommended a</w:t>
      </w:r>
      <w:r w:rsidR="00B91330">
        <w:t xml:space="preserve"> WES</w:t>
      </w:r>
      <w:r>
        <w:t xml:space="preserve"> of </w:t>
      </w:r>
      <w:r w:rsidR="00BC4A7E">
        <w:t>0.</w:t>
      </w:r>
      <w:r w:rsidR="00FE6707">
        <w:t xml:space="preserve">1 </w:t>
      </w:r>
      <w:r w:rsidR="00BC4A7E">
        <w:rPr>
          <w:rFonts w:cs="Arial"/>
        </w:rPr>
        <w:t>m</w:t>
      </w:r>
      <w:r w:rsidR="00FE6707" w:rsidRPr="00FE6707">
        <w:rPr>
          <w:rFonts w:cs="Arial"/>
        </w:rPr>
        <w:t>g/m</w:t>
      </w:r>
      <w:r w:rsidR="00FE6707" w:rsidRPr="00FE6707">
        <w:rPr>
          <w:rFonts w:cs="Arial"/>
          <w:vertAlign w:val="superscript"/>
        </w:rPr>
        <w:t>3</w:t>
      </w:r>
      <w:r w:rsidR="00FE6707">
        <w:rPr>
          <w:rFonts w:cs="Arial"/>
        </w:rPr>
        <w:t xml:space="preserve"> for </w:t>
      </w:r>
      <w:r w:rsidR="00E05DAD">
        <w:rPr>
          <w:rFonts w:cs="Arial"/>
        </w:rPr>
        <w:t>airborne lead (</w:t>
      </w:r>
      <w:r w:rsidR="00792404">
        <w:rPr>
          <w:rFonts w:cs="Arial"/>
        </w:rPr>
        <w:t xml:space="preserve">lead fumes and dust </w:t>
      </w:r>
      <w:r w:rsidR="005D3BE7">
        <w:rPr>
          <w:rFonts w:cs="Arial"/>
        </w:rPr>
        <w:t xml:space="preserve">&lt; 10 </w:t>
      </w:r>
      <w:r w:rsidR="005D3BE7" w:rsidRPr="00FE6707">
        <w:rPr>
          <w:rFonts w:cs="Arial"/>
        </w:rPr>
        <w:t>µ</w:t>
      </w:r>
      <w:r w:rsidR="005D3BE7">
        <w:rPr>
          <w:rFonts w:cs="Arial"/>
        </w:rPr>
        <w:t>m)</w:t>
      </w:r>
      <w:r w:rsidR="00E05DAD">
        <w:rPr>
          <w:rFonts w:cs="Arial"/>
        </w:rPr>
        <w:t xml:space="preserve"> which is indicated to be</w:t>
      </w:r>
      <w:r w:rsidR="00FE6707">
        <w:rPr>
          <w:rFonts w:cs="Arial"/>
        </w:rPr>
        <w:t xml:space="preserve"> consistent with </w:t>
      </w:r>
      <w:r w:rsidR="002451DF">
        <w:rPr>
          <w:rFonts w:cs="Arial"/>
        </w:rPr>
        <w:t>a</w:t>
      </w:r>
      <w:r w:rsidR="00FE6707">
        <w:rPr>
          <w:rFonts w:cs="Arial"/>
        </w:rPr>
        <w:t xml:space="preserve"> </w:t>
      </w:r>
      <w:r w:rsidR="005D3BE7" w:rsidRPr="00E05DAD">
        <w:rPr>
          <w:rFonts w:cs="Arial"/>
        </w:rPr>
        <w:t>BLRL</w:t>
      </w:r>
      <w:r w:rsidR="00FE6707">
        <w:rPr>
          <w:rFonts w:cs="Arial"/>
        </w:rPr>
        <w:t xml:space="preserve"> of 30 </w:t>
      </w:r>
      <w:r w:rsidR="00FE6707" w:rsidRPr="007316D6">
        <w:t>µg/dL</w:t>
      </w:r>
      <w:r w:rsidR="00FE6707">
        <w:t xml:space="preserve">. They state this is based on field studies on lead battery workers by Lai et al. (1997) and others (Kentner and Fischer 1993) and the </w:t>
      </w:r>
      <w:r w:rsidR="009F7C8C">
        <w:t>‘</w:t>
      </w:r>
      <w:r w:rsidR="00FE6707">
        <w:t xml:space="preserve">preferred </w:t>
      </w:r>
      <w:r w:rsidR="00FE6707" w:rsidRPr="00FE4A04">
        <w:t>values</w:t>
      </w:r>
      <w:r w:rsidR="009F7C8C">
        <w:t>’</w:t>
      </w:r>
      <w:r w:rsidR="00FE6707" w:rsidRPr="00FE4A04">
        <w:t xml:space="preserve"> approach of SCOEL. </w:t>
      </w:r>
    </w:p>
    <w:p w:rsidR="00FE4A04" w:rsidRDefault="00FE4A04" w:rsidP="003D3878"/>
    <w:p w:rsidR="00302285" w:rsidRPr="00FE6707" w:rsidRDefault="004F15C2" w:rsidP="003D3878">
      <w:pPr>
        <w:rPr>
          <w:highlight w:val="yellow"/>
        </w:rPr>
      </w:pPr>
      <w:r>
        <w:t>Kentner and Fischer (1993) could not be sourced</w:t>
      </w:r>
      <w:r w:rsidR="009F7C8C">
        <w:t>.</w:t>
      </w:r>
      <w:r>
        <w:t xml:space="preserve"> </w:t>
      </w:r>
      <w:r w:rsidR="000E2B43">
        <w:t>Lai et al. (1997)</w:t>
      </w:r>
      <w:r>
        <w:t xml:space="preserve"> </w:t>
      </w:r>
      <w:r w:rsidR="00FE4A04">
        <w:t xml:space="preserve">established </w:t>
      </w:r>
      <w:r w:rsidR="009F7C8C">
        <w:t xml:space="preserve">a </w:t>
      </w:r>
      <w:r w:rsidR="00FE4A04">
        <w:t xml:space="preserve">relationship between </w:t>
      </w:r>
      <w:r w:rsidR="00FF060A">
        <w:t>PbAir</w:t>
      </w:r>
      <w:r w:rsidR="00FE4A04">
        <w:t xml:space="preserve"> and PbB in battery workers using both simple linear and multiple regression. </w:t>
      </w:r>
      <w:r w:rsidR="00792404">
        <w:t xml:space="preserve">These models </w:t>
      </w:r>
      <w:r w:rsidR="00FE4A04">
        <w:t xml:space="preserve">predicted that when exposed to </w:t>
      </w:r>
      <w:r w:rsidR="00BC4A7E">
        <w:t>0.</w:t>
      </w:r>
      <w:r w:rsidR="00FE4A04">
        <w:t xml:space="preserve">1 </w:t>
      </w:r>
      <w:r w:rsidR="00BC4A7E">
        <w:rPr>
          <w:rFonts w:cs="Arial"/>
        </w:rPr>
        <w:t>m</w:t>
      </w:r>
      <w:r w:rsidR="00FE4A04" w:rsidRPr="00FE4A04">
        <w:rPr>
          <w:rFonts w:cs="Arial"/>
        </w:rPr>
        <w:t>g/m</w:t>
      </w:r>
      <w:r w:rsidR="00FE4A04" w:rsidRPr="00FE4A04">
        <w:rPr>
          <w:rFonts w:cs="Arial"/>
          <w:vertAlign w:val="superscript"/>
        </w:rPr>
        <w:t>3</w:t>
      </w:r>
      <w:r w:rsidR="00FE4A04">
        <w:rPr>
          <w:rFonts w:cs="Arial"/>
        </w:rPr>
        <w:t xml:space="preserve"> of </w:t>
      </w:r>
      <w:r w:rsidR="00FF060A">
        <w:rPr>
          <w:rFonts w:cs="Arial"/>
        </w:rPr>
        <w:t>PbAir</w:t>
      </w:r>
      <w:r w:rsidR="00FE4A04">
        <w:rPr>
          <w:rFonts w:cs="Arial"/>
        </w:rPr>
        <w:t xml:space="preserve">, a worker could have a PbB level of 53.7 or 43.6 </w:t>
      </w:r>
      <w:r w:rsidR="00FE4A04" w:rsidRPr="007316D6">
        <w:t>µg/dL</w:t>
      </w:r>
      <w:r w:rsidR="00FE4A04">
        <w:t xml:space="preserve"> </w:t>
      </w:r>
      <w:r w:rsidR="009F7C8C">
        <w:t>respectively</w:t>
      </w:r>
      <w:r w:rsidR="00FE4A04">
        <w:t xml:space="preserve">. They also predicted that further reduction of </w:t>
      </w:r>
      <w:r w:rsidR="00FF060A">
        <w:t>PbAir</w:t>
      </w:r>
      <w:r w:rsidR="00FE4A04">
        <w:t xml:space="preserve"> </w:t>
      </w:r>
      <w:r>
        <w:t xml:space="preserve">(e.g. by </w:t>
      </w:r>
      <w:r w:rsidR="00BC4A7E">
        <w:t>0.0</w:t>
      </w:r>
      <w:r>
        <w:t xml:space="preserve">5 </w:t>
      </w:r>
      <w:r w:rsidR="00BC4A7E">
        <w:rPr>
          <w:rFonts w:cs="Arial"/>
        </w:rPr>
        <w:t>m</w:t>
      </w:r>
      <w:r w:rsidRPr="004F15C2">
        <w:rPr>
          <w:rFonts w:cs="Arial"/>
        </w:rPr>
        <w:t>g/m</w:t>
      </w:r>
      <w:r w:rsidRPr="004F15C2">
        <w:rPr>
          <w:rFonts w:cs="Arial"/>
          <w:vertAlign w:val="superscript"/>
        </w:rPr>
        <w:t>3</w:t>
      </w:r>
      <w:r>
        <w:rPr>
          <w:rFonts w:cs="Arial"/>
        </w:rPr>
        <w:t>)</w:t>
      </w:r>
      <w:r>
        <w:t xml:space="preserve"> in this factory </w:t>
      </w:r>
      <w:r w:rsidR="00FE4A04">
        <w:t>would not significantly reduce PbB</w:t>
      </w:r>
      <w:r>
        <w:t xml:space="preserve"> (i.e. </w:t>
      </w:r>
      <w:r w:rsidR="000645C3">
        <w:t xml:space="preserve">only </w:t>
      </w:r>
      <w:r>
        <w:t xml:space="preserve">to 39.6 </w:t>
      </w:r>
      <w:r w:rsidRPr="007316D6">
        <w:t>µg/dL</w:t>
      </w:r>
      <w:r>
        <w:t xml:space="preserve">), due to the importance of hygienic practices. </w:t>
      </w:r>
    </w:p>
    <w:p w:rsidR="00FE6707" w:rsidRDefault="00FE6707" w:rsidP="003D3878">
      <w:pPr>
        <w:rPr>
          <w:highlight w:val="yellow"/>
        </w:rPr>
      </w:pPr>
    </w:p>
    <w:p w:rsidR="00FE6707" w:rsidRPr="00BA26C2" w:rsidRDefault="00E05DAD" w:rsidP="003D3878">
      <w:r>
        <w:rPr>
          <w:rFonts w:cs="Arial"/>
        </w:rPr>
        <w:t xml:space="preserve">The SCOEL documentation of the WES is poor. </w:t>
      </w:r>
      <w:r w:rsidR="004F15C2">
        <w:rPr>
          <w:rFonts w:cs="Arial"/>
        </w:rPr>
        <w:t xml:space="preserve">It is unclear how the data from Lai et al. (1997) was applied to select the recommended </w:t>
      </w:r>
      <w:r w:rsidR="00B91330">
        <w:rPr>
          <w:rFonts w:cs="Arial"/>
        </w:rPr>
        <w:t>WES</w:t>
      </w:r>
      <w:r w:rsidR="004F15C2">
        <w:rPr>
          <w:rFonts w:cs="Arial"/>
        </w:rPr>
        <w:t xml:space="preserve"> of </w:t>
      </w:r>
      <w:r w:rsidR="00BC4A7E">
        <w:rPr>
          <w:rFonts w:cs="Arial"/>
        </w:rPr>
        <w:t>0.</w:t>
      </w:r>
      <w:r w:rsidR="004F15C2">
        <w:rPr>
          <w:rFonts w:cs="Arial"/>
        </w:rPr>
        <w:t>1</w:t>
      </w:r>
      <w:r w:rsidR="00FE6707" w:rsidRPr="004F15C2">
        <w:rPr>
          <w:rFonts w:cs="Arial"/>
        </w:rPr>
        <w:t xml:space="preserve"> </w:t>
      </w:r>
      <w:r w:rsidR="00BC4A7E">
        <w:rPr>
          <w:rFonts w:cs="Arial"/>
        </w:rPr>
        <w:t>m</w:t>
      </w:r>
      <w:r w:rsidR="00FE6707" w:rsidRPr="004F15C2">
        <w:rPr>
          <w:rFonts w:cs="Arial"/>
        </w:rPr>
        <w:t>g/m</w:t>
      </w:r>
      <w:r w:rsidR="00FE6707" w:rsidRPr="004F15C2">
        <w:rPr>
          <w:rFonts w:cs="Arial"/>
          <w:vertAlign w:val="superscript"/>
        </w:rPr>
        <w:t>3</w:t>
      </w:r>
      <w:r w:rsidR="000645C3">
        <w:rPr>
          <w:rFonts w:cs="Arial"/>
        </w:rPr>
        <w:t>, as the latter</w:t>
      </w:r>
      <w:r w:rsidR="00BA26C2">
        <w:rPr>
          <w:rFonts w:cs="Arial"/>
        </w:rPr>
        <w:t xml:space="preserve"> suggests a</w:t>
      </w:r>
      <w:r w:rsidR="000B6A30">
        <w:rPr>
          <w:rFonts w:cs="Arial"/>
        </w:rPr>
        <w:t xml:space="preserve"> WES</w:t>
      </w:r>
      <w:r w:rsidR="00BA26C2">
        <w:rPr>
          <w:rFonts w:cs="Arial"/>
        </w:rPr>
        <w:t xml:space="preserve"> of </w:t>
      </w:r>
      <w:r w:rsidR="00BC4A7E">
        <w:rPr>
          <w:rFonts w:cs="Arial"/>
        </w:rPr>
        <w:t>0.</w:t>
      </w:r>
      <w:r w:rsidR="00BA26C2">
        <w:rPr>
          <w:rFonts w:cs="Arial"/>
        </w:rPr>
        <w:t xml:space="preserve">1 </w:t>
      </w:r>
      <w:r w:rsidR="00BC4A7E">
        <w:rPr>
          <w:rFonts w:cs="Arial"/>
        </w:rPr>
        <w:t>m</w:t>
      </w:r>
      <w:r w:rsidR="00BA26C2" w:rsidRPr="00BA26C2">
        <w:rPr>
          <w:rFonts w:cs="Arial"/>
        </w:rPr>
        <w:t>g/m</w:t>
      </w:r>
      <w:r w:rsidR="00BA26C2" w:rsidRPr="00BA26C2">
        <w:rPr>
          <w:rFonts w:cs="Arial"/>
          <w:vertAlign w:val="superscript"/>
        </w:rPr>
        <w:t>3</w:t>
      </w:r>
      <w:r w:rsidR="00BA26C2">
        <w:rPr>
          <w:rFonts w:cs="Arial"/>
        </w:rPr>
        <w:t xml:space="preserve"> would result in PbB levels much higher than the recommended </w:t>
      </w:r>
      <w:r w:rsidR="00BA26C2" w:rsidRPr="00E05DAD">
        <w:rPr>
          <w:rFonts w:cs="Arial"/>
        </w:rPr>
        <w:t>B</w:t>
      </w:r>
      <w:r w:rsidR="00582EB8" w:rsidRPr="00E05DAD">
        <w:rPr>
          <w:rFonts w:cs="Arial"/>
        </w:rPr>
        <w:t>LRL</w:t>
      </w:r>
      <w:r w:rsidR="00BA26C2" w:rsidRPr="00582EB8">
        <w:rPr>
          <w:rFonts w:cs="Arial"/>
        </w:rPr>
        <w:t>.</w:t>
      </w:r>
      <w:r w:rsidR="00BA26C2">
        <w:rPr>
          <w:rFonts w:cs="Arial"/>
        </w:rPr>
        <w:t xml:space="preserve"> </w:t>
      </w:r>
    </w:p>
    <w:p w:rsidR="00560600" w:rsidRPr="003D3878" w:rsidRDefault="00560600" w:rsidP="003D3878"/>
    <w:p w:rsidR="007316D6" w:rsidRDefault="003D3878" w:rsidP="00DA17FF">
      <w:pPr>
        <w:pStyle w:val="Heading4"/>
      </w:pPr>
      <w:r>
        <w:t>2.</w:t>
      </w:r>
      <w:r w:rsidR="0070509D">
        <w:t>1</w:t>
      </w:r>
      <w:r>
        <w:t>.</w:t>
      </w:r>
      <w:r w:rsidR="00DA17FF">
        <w:t>2.3</w:t>
      </w:r>
      <w:r w:rsidR="007316D6">
        <w:t xml:space="preserve"> Germany (DFG)</w:t>
      </w:r>
    </w:p>
    <w:p w:rsidR="00964B32" w:rsidRDefault="00964B32" w:rsidP="007316D6">
      <w:r>
        <w:t xml:space="preserve">The German Research Foundation (DFG) recommends </w:t>
      </w:r>
      <w:r w:rsidR="000B6A30">
        <w:t>WES</w:t>
      </w:r>
      <w:r>
        <w:t xml:space="preserve"> and </w:t>
      </w:r>
      <w:r w:rsidR="00E718B7">
        <w:t xml:space="preserve">biological exposure standards </w:t>
      </w:r>
      <w:r>
        <w:t>for chemical substances in the workplace, but the German government agency responsible for workplace safety (B</w:t>
      </w:r>
      <w:r w:rsidR="00651B58">
        <w:t>Au</w:t>
      </w:r>
      <w:r>
        <w:t xml:space="preserve">A) may or may not adopt these recommendations. </w:t>
      </w:r>
    </w:p>
    <w:p w:rsidR="00964B32" w:rsidRDefault="00964B32" w:rsidP="007316D6"/>
    <w:p w:rsidR="00CE0BA1" w:rsidRDefault="00964B32" w:rsidP="007316D6">
      <w:r>
        <w:t>DFG</w:t>
      </w:r>
      <w:r w:rsidR="007316D6">
        <w:t xml:space="preserve"> has not </w:t>
      </w:r>
      <w:r>
        <w:t xml:space="preserve">recommended </w:t>
      </w:r>
      <w:r w:rsidR="000645C3">
        <w:t>a contemporary</w:t>
      </w:r>
      <w:r w:rsidR="007316D6">
        <w:t xml:space="preserve"> </w:t>
      </w:r>
      <w:r w:rsidR="000B6A30">
        <w:t>WES</w:t>
      </w:r>
      <w:r w:rsidR="007316D6">
        <w:t xml:space="preserve"> for </w:t>
      </w:r>
      <w:r w:rsidR="00FF060A">
        <w:t>PbAir</w:t>
      </w:r>
      <w:r w:rsidR="007316D6">
        <w:t>.</w:t>
      </w:r>
      <w:r>
        <w:t xml:space="preserve"> </w:t>
      </w:r>
      <w:r w:rsidR="00CE0BA1">
        <w:t xml:space="preserve">From 1977 to 2006, the German </w:t>
      </w:r>
      <w:r w:rsidR="000B6A30">
        <w:t>WES</w:t>
      </w:r>
      <w:r w:rsidR="00CE0BA1">
        <w:t xml:space="preserve"> was </w:t>
      </w:r>
      <w:r w:rsidR="00BC4A7E">
        <w:t>0.</w:t>
      </w:r>
      <w:r w:rsidR="00CE0BA1">
        <w:t xml:space="preserve">1 </w:t>
      </w:r>
      <w:r w:rsidR="00BC4A7E">
        <w:rPr>
          <w:rFonts w:cs="Arial"/>
        </w:rPr>
        <w:t>m</w:t>
      </w:r>
      <w:r w:rsidR="00CE0BA1" w:rsidRPr="00CE0BA1">
        <w:rPr>
          <w:rFonts w:cs="Arial"/>
        </w:rPr>
        <w:t>g/m</w:t>
      </w:r>
      <w:r w:rsidR="00CE0BA1" w:rsidRPr="00CE0BA1">
        <w:rPr>
          <w:rFonts w:cs="Arial"/>
          <w:vertAlign w:val="superscript"/>
        </w:rPr>
        <w:t>3</w:t>
      </w:r>
      <w:r w:rsidR="00CE0BA1">
        <w:rPr>
          <w:rFonts w:cs="Arial"/>
        </w:rPr>
        <w:t xml:space="preserve"> (inhalable), and the </w:t>
      </w:r>
      <w:r w:rsidR="00CE0BA1" w:rsidRPr="00C45614">
        <w:rPr>
          <w:rFonts w:cs="Arial"/>
        </w:rPr>
        <w:t>B</w:t>
      </w:r>
      <w:r w:rsidR="00E718B7" w:rsidRPr="00C45614">
        <w:rPr>
          <w:rFonts w:cs="Arial"/>
        </w:rPr>
        <w:t>LRL</w:t>
      </w:r>
      <w:r w:rsidR="00CE0BA1">
        <w:rPr>
          <w:rFonts w:cs="Arial"/>
        </w:rPr>
        <w:t xml:space="preserve"> was 40</w:t>
      </w:r>
      <w:r w:rsidR="00CE0BA1" w:rsidRPr="00CE0BA1">
        <w:rPr>
          <w:rFonts w:cs="Arial"/>
        </w:rPr>
        <w:t xml:space="preserve"> µg</w:t>
      </w:r>
      <w:r w:rsidR="00CE0BA1">
        <w:rPr>
          <w:rFonts w:cs="Arial"/>
        </w:rPr>
        <w:t>/dL.</w:t>
      </w:r>
      <w:r w:rsidR="00CE0BA1">
        <w:t xml:space="preserve"> Inorganic lead compounds were reclassified in the mid-2000s from </w:t>
      </w:r>
      <w:r w:rsidR="002A575E">
        <w:t xml:space="preserve">group 2B </w:t>
      </w:r>
      <w:r w:rsidR="00CE0BA1">
        <w:t>carcinogens (</w:t>
      </w:r>
      <w:r w:rsidR="002A575E">
        <w:t xml:space="preserve">possibly carcinogenic; </w:t>
      </w:r>
      <w:r w:rsidR="00CE0BA1">
        <w:t xml:space="preserve">evidence of carcinogenicity in animal or </w:t>
      </w:r>
      <w:r w:rsidR="00CE0BA1">
        <w:rPr>
          <w:i/>
        </w:rPr>
        <w:t>in vitro</w:t>
      </w:r>
      <w:r w:rsidR="00CE0BA1">
        <w:t xml:space="preserve"> studies) to </w:t>
      </w:r>
      <w:r w:rsidR="002A575E">
        <w:t xml:space="preserve">group </w:t>
      </w:r>
      <w:r w:rsidR="00CE0BA1">
        <w:t xml:space="preserve">2A (probably carcinogenic in humans) by the International Agency for Research on Cancer (IARC). Germany subsequently assigned a category 2 cancer notation to the compounds, and the </w:t>
      </w:r>
      <w:r w:rsidR="000B6A30">
        <w:t>WES</w:t>
      </w:r>
      <w:r w:rsidR="00CE0BA1">
        <w:t xml:space="preserve"> and </w:t>
      </w:r>
      <w:r w:rsidR="00CE0BA1" w:rsidRPr="00C45614">
        <w:t>B</w:t>
      </w:r>
      <w:r w:rsidR="00E718B7" w:rsidRPr="00C45614">
        <w:t>LRL</w:t>
      </w:r>
      <w:r w:rsidR="00CE0BA1">
        <w:t xml:space="preserve"> were withdrawn since German policy states that substances carcinogenic in man or experimental animals </w:t>
      </w:r>
      <w:r w:rsidR="000645C3">
        <w:t xml:space="preserve">(i.e. those </w:t>
      </w:r>
      <w:r w:rsidR="00CE0BA1">
        <w:t>classified in categories 1 or 2</w:t>
      </w:r>
      <w:r w:rsidR="000645C3">
        <w:t>)</w:t>
      </w:r>
      <w:r w:rsidR="00CE0BA1">
        <w:t xml:space="preserve"> are not assigned </w:t>
      </w:r>
      <w:r w:rsidR="00153A91">
        <w:t>Maximale Arbeitsplatz-Konzentration (</w:t>
      </w:r>
      <w:r w:rsidR="00CE0BA1">
        <w:t>MAK</w:t>
      </w:r>
      <w:r w:rsidR="00153A91">
        <w:t xml:space="preserve"> </w:t>
      </w:r>
      <w:r w:rsidR="00AB7AE2">
        <w:t>i.e. WES</w:t>
      </w:r>
      <w:r w:rsidR="00CE0BA1">
        <w:t xml:space="preserve">) or BAT </w:t>
      </w:r>
      <w:r w:rsidR="00153A91">
        <w:t>(</w:t>
      </w:r>
      <w:r w:rsidR="00153A91">
        <w:rPr>
          <w:rStyle w:val="st"/>
          <w:rFonts w:cs="Arial"/>
          <w:color w:val="222222"/>
        </w:rPr>
        <w:t>Biologischer Arbeitsstoff-Toleranz-Wert</w:t>
      </w:r>
      <w:r w:rsidR="00153A91">
        <w:t xml:space="preserve">, i.e. </w:t>
      </w:r>
      <w:r w:rsidR="00CE0BA1" w:rsidRPr="0071343E">
        <w:t>B</w:t>
      </w:r>
      <w:r w:rsidR="00F062C4" w:rsidRPr="0071343E">
        <w:t>LRL</w:t>
      </w:r>
      <w:r w:rsidR="00CE0BA1" w:rsidRPr="00EE2C4F">
        <w:t>)</w:t>
      </w:r>
      <w:r w:rsidR="00CE0BA1">
        <w:t xml:space="preserve"> values.</w:t>
      </w:r>
      <w:r w:rsidR="00F062C4">
        <w:t xml:space="preserve"> Instead, exposure to such substances is managed through non-threshold risk-based approach where, if a level of risk deemed acceptable is exceeded, actions must be taken to either reduce or halt exposure (Haunert 2012). </w:t>
      </w:r>
      <w:r w:rsidR="00CE0BA1">
        <w:t xml:space="preserve"> </w:t>
      </w:r>
    </w:p>
    <w:p w:rsidR="00CE0BA1" w:rsidRDefault="00CE0BA1" w:rsidP="007316D6"/>
    <w:p w:rsidR="007316D6" w:rsidRDefault="00964B32" w:rsidP="007316D6">
      <w:r>
        <w:lastRenderedPageBreak/>
        <w:t xml:space="preserve">However, </w:t>
      </w:r>
      <w:r w:rsidR="00CE0BA1">
        <w:t>DFG recommended a biologic indicator value (BLW) and a biologic reference value (BAR) for inorganic lead</w:t>
      </w:r>
      <w:r w:rsidR="000645C3">
        <w:t xml:space="preserve">. These values are non-binding variants of a binding </w:t>
      </w:r>
      <w:r w:rsidR="00F062C4">
        <w:t>biological exposure standard</w:t>
      </w:r>
      <w:r w:rsidR="007316D6">
        <w:t>:</w:t>
      </w:r>
    </w:p>
    <w:p w:rsidR="007316D6" w:rsidRDefault="00CE0BA1" w:rsidP="007316D6">
      <w:pPr>
        <w:pStyle w:val="ListParagraph"/>
        <w:numPr>
          <w:ilvl w:val="0"/>
          <w:numId w:val="3"/>
        </w:numPr>
      </w:pPr>
      <w:r>
        <w:t>The BLW</w:t>
      </w:r>
      <w:r w:rsidR="006038D3">
        <w:t xml:space="preserve"> of 3</w:t>
      </w:r>
      <w:r w:rsidR="007316D6" w:rsidRPr="007316D6">
        <w:t xml:space="preserve">0 µg/dL is for </w:t>
      </w:r>
      <w:r w:rsidR="00E25319">
        <w:t>females</w:t>
      </w:r>
      <w:r w:rsidR="007316D6" w:rsidRPr="007316D6">
        <w:t xml:space="preserve"> &gt;45 years</w:t>
      </w:r>
      <w:r w:rsidR="00B1318A">
        <w:t xml:space="preserve"> and males</w:t>
      </w:r>
      <w:r w:rsidR="007316D6" w:rsidRPr="007316D6">
        <w:t xml:space="preserve">. The </w:t>
      </w:r>
      <w:r w:rsidR="00F062C4">
        <w:t>former</w:t>
      </w:r>
      <w:r w:rsidR="007316D6" w:rsidRPr="007316D6">
        <w:t xml:space="preserve"> is taken to mean females not of reproductive </w:t>
      </w:r>
      <w:r w:rsidR="006038D3">
        <w:t>capacity. DFG (2013</w:t>
      </w:r>
      <w:r w:rsidR="007316D6" w:rsidRPr="007316D6">
        <w:t>b) states this is a BLW (“Biologischer Leit-Wert”</w:t>
      </w:r>
      <w:r w:rsidR="007316D6">
        <w:t>, i.e. biological indicator value</w:t>
      </w:r>
      <w:r w:rsidR="007316D6" w:rsidRPr="007316D6">
        <w:t xml:space="preserve">), the amount of a chemical substance in exposed humans which serves as an indicator for necessary protective measures. </w:t>
      </w:r>
    </w:p>
    <w:p w:rsidR="007316D6" w:rsidRDefault="00CE0BA1" w:rsidP="007316D6">
      <w:pPr>
        <w:pStyle w:val="ListParagraph"/>
        <w:numPr>
          <w:ilvl w:val="0"/>
          <w:numId w:val="3"/>
        </w:numPr>
      </w:pPr>
      <w:r>
        <w:t>The BAR</w:t>
      </w:r>
      <w:r w:rsidR="007316D6" w:rsidRPr="007316D6">
        <w:t xml:space="preserve"> of 7 µg/dL </w:t>
      </w:r>
      <w:r w:rsidR="007316D6">
        <w:t xml:space="preserve">for </w:t>
      </w:r>
      <w:r w:rsidR="00E25319">
        <w:t>females</w:t>
      </w:r>
      <w:r w:rsidR="007316D6">
        <w:t xml:space="preserve"> &lt;45 years of age. This is regarded as a</w:t>
      </w:r>
      <w:r w:rsidR="007316D6" w:rsidRPr="007316D6">
        <w:t xml:space="preserve"> so-called BAR value (“Biologische Arbeitsstoff-Referenzwerte”</w:t>
      </w:r>
      <w:r w:rsidR="007316D6">
        <w:t>, i.e. biological workplace reference value</w:t>
      </w:r>
      <w:r w:rsidR="007316D6" w:rsidRPr="007316D6">
        <w:t>), which represent</w:t>
      </w:r>
      <w:r w:rsidR="007316D6">
        <w:t>s the background level</w:t>
      </w:r>
      <w:r w:rsidR="007316D6" w:rsidRPr="007316D6">
        <w:t xml:space="preserve"> of a substance in a reference population of persons of working age who are not occupationally exposed to the substance. The BAR values are based on the 95</w:t>
      </w:r>
      <w:r w:rsidR="007316D6" w:rsidRPr="007316D6">
        <w:rPr>
          <w:vertAlign w:val="superscript"/>
        </w:rPr>
        <w:t>th</w:t>
      </w:r>
      <w:r w:rsidR="007316D6" w:rsidRPr="007316D6">
        <w:t xml:space="preserve"> percentile of concentrations regarded as not having </w:t>
      </w:r>
      <w:r w:rsidR="006038D3">
        <w:t>effects on health, but DFG (2013</w:t>
      </w:r>
      <w:r w:rsidR="007316D6" w:rsidRPr="007316D6">
        <w:t xml:space="preserve">b) do not provide further information. </w:t>
      </w:r>
    </w:p>
    <w:p w:rsidR="007316D6" w:rsidRDefault="007316D6" w:rsidP="007316D6">
      <w:pPr>
        <w:pStyle w:val="ListParagraph"/>
        <w:numPr>
          <w:ilvl w:val="0"/>
          <w:numId w:val="3"/>
        </w:numPr>
      </w:pPr>
      <w:r w:rsidRPr="007316D6">
        <w:t>BLW and BAR values are set for chemicals for which the available toxicological or occupational-medical data are insufficient for establishment of BAT (i.e. biological tolerance) values</w:t>
      </w:r>
      <w:r w:rsidR="000645C3">
        <w:t>, or for some chemicals classed as carcinogens</w:t>
      </w:r>
      <w:r w:rsidRPr="007316D6">
        <w:t>.</w:t>
      </w:r>
      <w:r w:rsidR="00CE0BA1">
        <w:t xml:space="preserve"> </w:t>
      </w:r>
    </w:p>
    <w:p w:rsidR="007316D6" w:rsidRDefault="007316D6" w:rsidP="007316D6"/>
    <w:p w:rsidR="00A6576E" w:rsidRDefault="00A6576E" w:rsidP="00A6576E">
      <w:r>
        <w:t xml:space="preserve">DFG (2005) </w:t>
      </w:r>
      <w:r w:rsidR="006459A3">
        <w:t>has</w:t>
      </w:r>
      <w:r>
        <w:t xml:space="preserve"> published the background documentation </w:t>
      </w:r>
      <w:r w:rsidR="00CE0BA1">
        <w:t xml:space="preserve">describing the basis for the previous </w:t>
      </w:r>
      <w:r w:rsidR="00CE0BA1" w:rsidRPr="00C45614">
        <w:t>B</w:t>
      </w:r>
      <w:r w:rsidR="00F062C4" w:rsidRPr="00C45614">
        <w:t>LRL</w:t>
      </w:r>
      <w:r>
        <w:t xml:space="preserve"> values.</w:t>
      </w:r>
      <w:r w:rsidR="009E3027">
        <w:t xml:space="preserve"> The latest </w:t>
      </w:r>
      <w:r w:rsidR="00F062C4" w:rsidRPr="00C45614">
        <w:t xml:space="preserve">biological exposure standard </w:t>
      </w:r>
      <w:r w:rsidR="009E3027">
        <w:t xml:space="preserve"> list (DFG 2</w:t>
      </w:r>
      <w:r w:rsidR="006038D3">
        <w:t>013</w:t>
      </w:r>
      <w:r w:rsidR="009E3027">
        <w:t xml:space="preserve">b) contains </w:t>
      </w:r>
      <w:r w:rsidR="006038D3">
        <w:t xml:space="preserve">different </w:t>
      </w:r>
      <w:r w:rsidR="009E3027" w:rsidRPr="00C45614">
        <w:t>B</w:t>
      </w:r>
      <w:r w:rsidR="00F062C4" w:rsidRPr="00C45614">
        <w:t>LRL</w:t>
      </w:r>
      <w:r w:rsidR="00CE0BA1">
        <w:t xml:space="preserve"> (rather</w:t>
      </w:r>
      <w:r w:rsidR="000645C3">
        <w:t>,</w:t>
      </w:r>
      <w:r w:rsidR="00CE0BA1">
        <w:t xml:space="preserve"> the BLW and BAR mentioned above)</w:t>
      </w:r>
      <w:r w:rsidR="006038D3">
        <w:t xml:space="preserve"> to</w:t>
      </w:r>
      <w:r w:rsidR="009E3027">
        <w:t xml:space="preserve"> DFG (2005</w:t>
      </w:r>
      <w:r w:rsidR="006038D3">
        <w:t xml:space="preserve">) for </w:t>
      </w:r>
      <w:r w:rsidR="00E25319">
        <w:t>females</w:t>
      </w:r>
      <w:r w:rsidR="006038D3">
        <w:t xml:space="preserve"> &gt;45 years </w:t>
      </w:r>
      <w:r w:rsidR="00B1318A">
        <w:t xml:space="preserve">and males </w:t>
      </w:r>
      <w:r w:rsidR="006038D3">
        <w:t>(3</w:t>
      </w:r>
      <w:r w:rsidR="009E3027">
        <w:t xml:space="preserve">0 </w:t>
      </w:r>
      <w:r w:rsidR="006038D3">
        <w:t xml:space="preserve">vs. 40 </w:t>
      </w:r>
      <w:r w:rsidR="009E3027" w:rsidRPr="007316D6">
        <w:t>µg/dL</w:t>
      </w:r>
      <w:r w:rsidR="009E3027">
        <w:t xml:space="preserve">) </w:t>
      </w:r>
      <w:r w:rsidR="006038D3">
        <w:t xml:space="preserve">and </w:t>
      </w:r>
      <w:r w:rsidR="009E3027">
        <w:t xml:space="preserve">for </w:t>
      </w:r>
      <w:r w:rsidR="00E25319">
        <w:t>females</w:t>
      </w:r>
      <w:r w:rsidR="009E3027">
        <w:t xml:space="preserve"> &lt;</w:t>
      </w:r>
      <w:r w:rsidR="00D641B3">
        <w:t xml:space="preserve">45 years </w:t>
      </w:r>
      <w:r w:rsidR="006038D3">
        <w:t xml:space="preserve">(7 vs. </w:t>
      </w:r>
      <w:r w:rsidR="009E3027">
        <w:t xml:space="preserve">10 </w:t>
      </w:r>
      <w:r w:rsidR="009E3027" w:rsidRPr="007316D6">
        <w:t>µg/dL</w:t>
      </w:r>
      <w:r w:rsidR="006038D3">
        <w:t xml:space="preserve">). Thus between 2005 and 2013, both </w:t>
      </w:r>
      <w:r w:rsidR="00F062C4">
        <w:t xml:space="preserve">BLRL </w:t>
      </w:r>
      <w:r w:rsidR="006038D3">
        <w:t>were</w:t>
      </w:r>
      <w:r w:rsidR="009E3027">
        <w:t xml:space="preserve"> revised down</w:t>
      </w:r>
      <w:r w:rsidR="006038D3">
        <w:t>wards</w:t>
      </w:r>
      <w:r w:rsidR="000645C3">
        <w:t>, and renamed</w:t>
      </w:r>
      <w:r w:rsidR="00CE0BA1">
        <w:t xml:space="preserve"> BLW and BAR, respectively</w:t>
      </w:r>
      <w:r w:rsidR="009E3027">
        <w:t>.</w:t>
      </w:r>
      <w:r>
        <w:t xml:space="preserve"> </w:t>
      </w:r>
      <w:r w:rsidR="006038D3">
        <w:t xml:space="preserve">The rationale for the revisions could not be located. </w:t>
      </w:r>
    </w:p>
    <w:p w:rsidR="00FC62BE" w:rsidRDefault="00FC62BE" w:rsidP="00A6576E"/>
    <w:p w:rsidR="00FC62BE" w:rsidRDefault="00FC62BE" w:rsidP="00DA17FF">
      <w:pPr>
        <w:pStyle w:val="Heading4"/>
      </w:pPr>
      <w:r>
        <w:t>2.</w:t>
      </w:r>
      <w:r w:rsidR="0070509D">
        <w:t>1</w:t>
      </w:r>
      <w:r>
        <w:t>.</w:t>
      </w:r>
      <w:r w:rsidR="00DA17FF">
        <w:t xml:space="preserve">2.4 </w:t>
      </w:r>
      <w:r>
        <w:t>World Health Organisation (WHO)</w:t>
      </w:r>
    </w:p>
    <w:p w:rsidR="00FC62BE" w:rsidRDefault="00FC62BE" w:rsidP="00FC62BE">
      <w:r>
        <w:t xml:space="preserve">The WHO made recommendations for a health-based </w:t>
      </w:r>
      <w:r w:rsidR="00B91330">
        <w:t>WES</w:t>
      </w:r>
      <w:r>
        <w:t xml:space="preserve"> and </w:t>
      </w:r>
      <w:r w:rsidRPr="00C45614">
        <w:t>B</w:t>
      </w:r>
      <w:r w:rsidR="0062642E" w:rsidRPr="00C45614">
        <w:t>LRL</w:t>
      </w:r>
      <w:r>
        <w:t xml:space="preserve"> for lead as far back as 1980 (WHO 1980). </w:t>
      </w:r>
    </w:p>
    <w:p w:rsidR="00FC62BE" w:rsidRDefault="00FC62BE" w:rsidP="00FC62BE"/>
    <w:p w:rsidR="00FC62BE" w:rsidRDefault="00FC62BE" w:rsidP="00FC62BE">
      <w:pPr>
        <w:rPr>
          <w:i/>
          <w:u w:val="single"/>
        </w:rPr>
      </w:pPr>
      <w:r w:rsidRPr="00C45614">
        <w:rPr>
          <w:i/>
          <w:u w:val="single"/>
        </w:rPr>
        <w:t>B</w:t>
      </w:r>
      <w:r w:rsidR="0062642E" w:rsidRPr="00C45614">
        <w:rPr>
          <w:i/>
          <w:u w:val="single"/>
        </w:rPr>
        <w:t>LRL</w:t>
      </w:r>
    </w:p>
    <w:p w:rsidR="00FC62BE" w:rsidRDefault="00FC62BE" w:rsidP="00FC62BE">
      <w:r>
        <w:t xml:space="preserve">The WHO (1980) discussed the then current knowledge of Pb-related health effects in workers in a comprehensive review. Although pointing out there </w:t>
      </w:r>
      <w:r w:rsidR="000A1E70">
        <w:t xml:space="preserve">were </w:t>
      </w:r>
      <w:r>
        <w:t xml:space="preserve">several uncertainties and data gaps associated with the information, they concluded the following effects </w:t>
      </w:r>
      <w:r w:rsidR="000A1E70">
        <w:t>may occur</w:t>
      </w:r>
      <w:r>
        <w:t xml:space="preserve">: </w:t>
      </w:r>
    </w:p>
    <w:p w:rsidR="00FC62BE" w:rsidRPr="00571A04" w:rsidRDefault="00FC62BE" w:rsidP="00FC62BE">
      <w:pPr>
        <w:pStyle w:val="ListParagraph"/>
        <w:numPr>
          <w:ilvl w:val="0"/>
          <w:numId w:val="7"/>
        </w:numPr>
      </w:pPr>
      <w:r w:rsidRPr="002451DF">
        <w:rPr>
          <w:i/>
        </w:rPr>
        <w:t xml:space="preserve">PbB </w:t>
      </w:r>
      <w:r w:rsidRPr="002451DF">
        <w:rPr>
          <w:i/>
          <w:u w:val="single"/>
        </w:rPr>
        <w:t>&lt;</w:t>
      </w:r>
      <w:r w:rsidRPr="002451DF">
        <w:rPr>
          <w:i/>
        </w:rPr>
        <w:t xml:space="preserve"> 30 </w:t>
      </w:r>
      <w:r w:rsidRPr="002451DF">
        <w:rPr>
          <w:rFonts w:cs="Arial"/>
          <w:i/>
        </w:rPr>
        <w:t>µg/dL</w:t>
      </w:r>
      <w:r>
        <w:rPr>
          <w:rFonts w:cs="Arial"/>
        </w:rPr>
        <w:t>: An increase in the erythrocytic protoporphyrin</w:t>
      </w:r>
      <w:r w:rsidR="00930FA5">
        <w:rPr>
          <w:rFonts w:cs="Arial"/>
        </w:rPr>
        <w:t xml:space="preserve"> (PP)</w:t>
      </w:r>
      <w:r>
        <w:rPr>
          <w:rFonts w:cs="Arial"/>
        </w:rPr>
        <w:t xml:space="preserve"> </w:t>
      </w:r>
      <w:r w:rsidR="00571A04">
        <w:rPr>
          <w:rFonts w:cs="Arial"/>
        </w:rPr>
        <w:t>IX content</w:t>
      </w:r>
      <w:r w:rsidR="00571A04">
        <w:rPr>
          <w:rStyle w:val="FootnoteReference"/>
          <w:rFonts w:cs="Arial"/>
        </w:rPr>
        <w:footnoteReference w:id="8"/>
      </w:r>
      <w:r w:rsidR="00571A04">
        <w:rPr>
          <w:rFonts w:cs="Arial"/>
        </w:rPr>
        <w:t xml:space="preserve"> in about 50% of females and about 15% of males is the only discernible effect.</w:t>
      </w:r>
    </w:p>
    <w:p w:rsidR="00571A04" w:rsidRPr="00571A04" w:rsidRDefault="00571A04" w:rsidP="00FC62BE">
      <w:pPr>
        <w:pStyle w:val="ListParagraph"/>
        <w:numPr>
          <w:ilvl w:val="0"/>
          <w:numId w:val="7"/>
        </w:numPr>
      </w:pPr>
      <w:r w:rsidRPr="002451DF">
        <w:rPr>
          <w:rFonts w:cs="Arial"/>
          <w:i/>
        </w:rPr>
        <w:lastRenderedPageBreak/>
        <w:t>PbB 30 – 39.9 µg/dL:</w:t>
      </w:r>
      <w:r>
        <w:rPr>
          <w:rFonts w:cs="Arial"/>
        </w:rPr>
        <w:t xml:space="preserve"> About 90% of females and 40% of males show an elevation of the erythrocytic PP. In males about 15% of the </w:t>
      </w:r>
      <w:r w:rsidR="00930FA5">
        <w:rPr>
          <w:rFonts w:cs="Arial"/>
        </w:rPr>
        <w:t>delta-aminolevulinic acid in urine (</w:t>
      </w:r>
      <w:r>
        <w:rPr>
          <w:rFonts w:cs="Arial"/>
        </w:rPr>
        <w:t>ALA-U</w:t>
      </w:r>
      <w:r w:rsidR="00930FA5">
        <w:rPr>
          <w:rFonts w:cs="Arial"/>
        </w:rPr>
        <w:t>)</w:t>
      </w:r>
      <w:r w:rsidR="00930FA5">
        <w:rPr>
          <w:rStyle w:val="FootnoteReference"/>
          <w:rFonts w:cs="Arial"/>
        </w:rPr>
        <w:footnoteReference w:id="9"/>
      </w:r>
      <w:r>
        <w:rPr>
          <w:rFonts w:cs="Arial"/>
        </w:rPr>
        <w:t xml:space="preserve"> values exceed 5 mg/L and some values exceed 10 mg/L.</w:t>
      </w:r>
      <w:r w:rsidR="00FF7372">
        <w:rPr>
          <w:rStyle w:val="FootnoteReference"/>
          <w:rFonts w:cs="Arial"/>
        </w:rPr>
        <w:footnoteReference w:id="10"/>
      </w:r>
      <w:r>
        <w:rPr>
          <w:rFonts w:cs="Arial"/>
        </w:rPr>
        <w:t xml:space="preserve"> Approximately 40% of females excrete more than 5 mg ALA/L. </w:t>
      </w:r>
      <w:r w:rsidR="000A1E70">
        <w:rPr>
          <w:rFonts w:cs="Arial"/>
        </w:rPr>
        <w:t>WHO considered t</w:t>
      </w:r>
      <w:r>
        <w:rPr>
          <w:rFonts w:cs="Arial"/>
        </w:rPr>
        <w:t xml:space="preserve">here </w:t>
      </w:r>
      <w:r w:rsidR="000A1E70">
        <w:rPr>
          <w:rFonts w:cs="Arial"/>
        </w:rPr>
        <w:t xml:space="preserve">were </w:t>
      </w:r>
      <w:r>
        <w:rPr>
          <w:rFonts w:cs="Arial"/>
        </w:rPr>
        <w:t>suggestions of slight decrease</w:t>
      </w:r>
      <w:r w:rsidR="000A1E70">
        <w:rPr>
          <w:rFonts w:cs="Arial"/>
        </w:rPr>
        <w:t>s</w:t>
      </w:r>
      <w:r>
        <w:rPr>
          <w:rFonts w:cs="Arial"/>
        </w:rPr>
        <w:t xml:space="preserve"> in mean conduction velocities of peripheral nerves, although values below the normal range have not been demonstrated. </w:t>
      </w:r>
    </w:p>
    <w:p w:rsidR="00571A04" w:rsidRPr="00571A04" w:rsidRDefault="00571A04" w:rsidP="00FC62BE">
      <w:pPr>
        <w:pStyle w:val="ListParagraph"/>
        <w:numPr>
          <w:ilvl w:val="0"/>
          <w:numId w:val="7"/>
        </w:numPr>
      </w:pPr>
      <w:r w:rsidRPr="002451DF">
        <w:rPr>
          <w:rFonts w:cs="Arial"/>
          <w:i/>
        </w:rPr>
        <w:t>PbB 40 – 49.9 µg/dL:</w:t>
      </w:r>
      <w:r>
        <w:rPr>
          <w:rFonts w:cs="Arial"/>
        </w:rPr>
        <w:t xml:space="preserve"> The PP </w:t>
      </w:r>
      <w:r w:rsidR="000A1E70">
        <w:rPr>
          <w:rFonts w:cs="Arial"/>
        </w:rPr>
        <w:t xml:space="preserve">IX </w:t>
      </w:r>
      <w:r>
        <w:rPr>
          <w:rFonts w:cs="Arial"/>
        </w:rPr>
        <w:t>content of erythrocytes exceeds “normal” values in all females and in more than 50% of males. The urinary level of ALA coproporphyrin (CP)</w:t>
      </w:r>
      <w:r w:rsidR="00930FA5">
        <w:rPr>
          <w:rStyle w:val="FootnoteReference"/>
          <w:rFonts w:cs="Arial"/>
        </w:rPr>
        <w:footnoteReference w:id="11"/>
      </w:r>
      <w:r>
        <w:rPr>
          <w:rFonts w:cs="Arial"/>
        </w:rPr>
        <w:t xml:space="preserve"> is slightly elevated in a low proportion (&lt;20%) of lead-exposed males and in about 50% of females. The conduction velocity of the slow nerve fibres of the ulnar nerve is slightly decreased (this nerve is technically the easiest to measure</w:t>
      </w:r>
      <w:r w:rsidR="000A1E70">
        <w:rPr>
          <w:rFonts w:cs="Arial"/>
        </w:rPr>
        <w:t xml:space="preserve"> conduction velocity</w:t>
      </w:r>
      <w:r>
        <w:rPr>
          <w:rFonts w:cs="Arial"/>
        </w:rPr>
        <w:t xml:space="preserve">) and </w:t>
      </w:r>
      <w:r w:rsidR="000A1E70">
        <w:rPr>
          <w:rFonts w:cs="Arial"/>
        </w:rPr>
        <w:t xml:space="preserve">WHO concluded it was </w:t>
      </w:r>
      <w:r>
        <w:rPr>
          <w:rFonts w:cs="Arial"/>
        </w:rPr>
        <w:t>probably below the normal lower limit in a proportion of cases.</w:t>
      </w:r>
    </w:p>
    <w:p w:rsidR="00571A04" w:rsidRPr="00571A04" w:rsidRDefault="00571A04" w:rsidP="00FC62BE">
      <w:pPr>
        <w:pStyle w:val="ListParagraph"/>
        <w:numPr>
          <w:ilvl w:val="0"/>
          <w:numId w:val="7"/>
        </w:numPr>
      </w:pPr>
      <w:r w:rsidRPr="002451DF">
        <w:rPr>
          <w:rFonts w:cs="Arial"/>
          <w:i/>
        </w:rPr>
        <w:t>PbB 50 – 59.9 µg/dL:</w:t>
      </w:r>
      <w:r>
        <w:rPr>
          <w:rFonts w:cs="Arial"/>
        </w:rPr>
        <w:t xml:space="preserve"> About 50% of subjects show a marked increase in the erythrocytic PP and all values are above “normal”. The ALA-U and CP-U is elevated in about 50% of males and nearly all females. About 10-20% of subjects show slowing of the conduction velocities of two or more nerves. Impairments of visual intelligence and visual-motor functions can be detected in 20-30% of subjects. According to one study</w:t>
      </w:r>
      <w:r w:rsidR="000A1E70">
        <w:rPr>
          <w:rFonts w:cs="Arial"/>
        </w:rPr>
        <w:t xml:space="preserve"> reviewed by WHO</w:t>
      </w:r>
      <w:r>
        <w:rPr>
          <w:rFonts w:cs="Arial"/>
        </w:rPr>
        <w:t xml:space="preserve">, the frequency of subjective </w:t>
      </w:r>
      <w:r w:rsidR="007F7636">
        <w:rPr>
          <w:rFonts w:cs="Arial"/>
        </w:rPr>
        <w:t xml:space="preserve">neurological </w:t>
      </w:r>
      <w:r>
        <w:rPr>
          <w:rFonts w:cs="Arial"/>
        </w:rPr>
        <w:t>symptoms begins to increase</w:t>
      </w:r>
      <w:r w:rsidR="00C45614">
        <w:rPr>
          <w:rFonts w:cs="Arial"/>
        </w:rPr>
        <w:t xml:space="preserve"> at these PbB concentrations</w:t>
      </w:r>
      <w:r>
        <w:rPr>
          <w:rFonts w:cs="Arial"/>
        </w:rPr>
        <w:t>.</w:t>
      </w:r>
    </w:p>
    <w:p w:rsidR="00571A04" w:rsidRDefault="00571A04" w:rsidP="00FC62BE">
      <w:pPr>
        <w:pStyle w:val="ListParagraph"/>
        <w:numPr>
          <w:ilvl w:val="0"/>
          <w:numId w:val="7"/>
        </w:numPr>
      </w:pPr>
      <w:r w:rsidRPr="002451DF">
        <w:rPr>
          <w:rFonts w:cs="Arial"/>
          <w:i/>
        </w:rPr>
        <w:t>PbB 60 – 69.9 µg/dL:</w:t>
      </w:r>
      <w:r>
        <w:rPr>
          <w:rFonts w:cs="Arial"/>
        </w:rPr>
        <w:t xml:space="preserve"> ALA-U exceeds 10 </w:t>
      </w:r>
      <w:r w:rsidR="00FF7372">
        <w:rPr>
          <w:rFonts w:cs="Arial"/>
        </w:rPr>
        <w:t>m</w:t>
      </w:r>
      <w:r>
        <w:rPr>
          <w:rFonts w:cs="Arial"/>
        </w:rPr>
        <w:t xml:space="preserve">g/L in more than 50% of subjects; CP-U exceeds 100 </w:t>
      </w:r>
      <w:r w:rsidRPr="00DC5F6A">
        <w:rPr>
          <w:rFonts w:cs="Arial"/>
        </w:rPr>
        <w:t>µ</w:t>
      </w:r>
      <w:r>
        <w:rPr>
          <w:rFonts w:cs="Arial"/>
        </w:rPr>
        <w:t xml:space="preserve">g/L; and the erythrocyte PP level exceeds 3,000 </w:t>
      </w:r>
      <w:r w:rsidRPr="00DC5F6A">
        <w:rPr>
          <w:rFonts w:cs="Arial"/>
        </w:rPr>
        <w:t>µ</w:t>
      </w:r>
      <w:r>
        <w:rPr>
          <w:rFonts w:cs="Arial"/>
        </w:rPr>
        <w:t xml:space="preserve">g/L in a </w:t>
      </w:r>
      <w:r w:rsidRPr="00C45614">
        <w:rPr>
          <w:rFonts w:cs="Arial"/>
        </w:rPr>
        <w:t>majority</w:t>
      </w:r>
      <w:r>
        <w:rPr>
          <w:rFonts w:cs="Arial"/>
        </w:rPr>
        <w:t xml:space="preserve"> of subjects. Slowing of the nerve conduction velocities shows a slightly higher frequency than in the preceding group. Pathological electromyograms occur in at least one-third of subjects. Psychological impairment and subjective symptoms occur probably at the same frequency as in the preceding category (t</w:t>
      </w:r>
      <w:r w:rsidR="007F7636">
        <w:rPr>
          <w:rFonts w:cs="Arial"/>
        </w:rPr>
        <w:t>he number of individuals studied</w:t>
      </w:r>
      <w:r>
        <w:rPr>
          <w:rFonts w:cs="Arial"/>
        </w:rPr>
        <w:t xml:space="preserve"> had been too small to allow distinctions). Other effects, such as shortening of the erythrocyte life span and lowering of the haemoglobin value also begin to appear. </w:t>
      </w:r>
      <w:r w:rsidR="0062642E">
        <w:rPr>
          <w:rFonts w:cs="Arial"/>
        </w:rPr>
        <w:t xml:space="preserve">    </w:t>
      </w:r>
    </w:p>
    <w:p w:rsidR="00930FA5" w:rsidRDefault="00930FA5" w:rsidP="00FC62BE"/>
    <w:p w:rsidR="00F36569" w:rsidRDefault="00930FA5" w:rsidP="00FC62BE">
      <w:pPr>
        <w:rPr>
          <w:rFonts w:cs="Arial"/>
        </w:rPr>
      </w:pPr>
      <w:r>
        <w:t>Based on the above</w:t>
      </w:r>
      <w:r w:rsidR="00EB46CA">
        <w:t>,</w:t>
      </w:r>
      <w:r>
        <w:t xml:space="preserve"> WHO (1980) </w:t>
      </w:r>
      <w:r w:rsidR="00FC62BE">
        <w:t xml:space="preserve">recommended a </w:t>
      </w:r>
      <w:r w:rsidR="00B91330" w:rsidRPr="00C45614">
        <w:t>B</w:t>
      </w:r>
      <w:r w:rsidR="0062642E" w:rsidRPr="00C45614">
        <w:t>LRL</w:t>
      </w:r>
      <w:r w:rsidR="00B91330">
        <w:t xml:space="preserve"> </w:t>
      </w:r>
      <w:r w:rsidR="00FC62BE">
        <w:t xml:space="preserve">of 40 </w:t>
      </w:r>
      <w:r w:rsidR="00FC62BE" w:rsidRPr="00DC5F6A">
        <w:rPr>
          <w:rFonts w:cs="Arial"/>
        </w:rPr>
        <w:t>µ</w:t>
      </w:r>
      <w:r w:rsidR="00FC62BE">
        <w:rPr>
          <w:rFonts w:cs="Arial"/>
        </w:rPr>
        <w:t xml:space="preserve">g/dL for </w:t>
      </w:r>
      <w:r w:rsidR="00E25319">
        <w:rPr>
          <w:rFonts w:cs="Arial"/>
        </w:rPr>
        <w:t>females</w:t>
      </w:r>
      <w:r w:rsidR="00FC62BE">
        <w:rPr>
          <w:rFonts w:cs="Arial"/>
        </w:rPr>
        <w:t xml:space="preserve"> o</w:t>
      </w:r>
      <w:r>
        <w:rPr>
          <w:rFonts w:cs="Arial"/>
        </w:rPr>
        <w:t xml:space="preserve">ver </w:t>
      </w:r>
      <w:r w:rsidR="00FC62BE">
        <w:rPr>
          <w:rFonts w:cs="Arial"/>
        </w:rPr>
        <w:t>reproductive age (i.e. &gt;45 years)</w:t>
      </w:r>
      <w:r w:rsidR="00B1318A">
        <w:rPr>
          <w:rFonts w:cs="Arial"/>
        </w:rPr>
        <w:t xml:space="preserve"> and males</w:t>
      </w:r>
      <w:r>
        <w:rPr>
          <w:rFonts w:cs="Arial"/>
        </w:rPr>
        <w:t xml:space="preserve">. This recommendation </w:t>
      </w:r>
      <w:r w:rsidR="00EB46CA">
        <w:rPr>
          <w:rFonts w:cs="Arial"/>
        </w:rPr>
        <w:t xml:space="preserve">was </w:t>
      </w:r>
      <w:r>
        <w:rPr>
          <w:rFonts w:cs="Arial"/>
        </w:rPr>
        <w:t xml:space="preserve">based on the adverse effects of lead on the haematopoietic and peripheral nervous system at the PbB range of 40-49 </w:t>
      </w:r>
      <w:r w:rsidRPr="00DC5F6A">
        <w:rPr>
          <w:rFonts w:cs="Arial"/>
        </w:rPr>
        <w:t>µ</w:t>
      </w:r>
      <w:r>
        <w:rPr>
          <w:rFonts w:cs="Arial"/>
        </w:rPr>
        <w:t>g/dL.</w:t>
      </w:r>
      <w:r w:rsidR="00FC62BE">
        <w:rPr>
          <w:rFonts w:cs="Arial"/>
        </w:rPr>
        <w:t xml:space="preserve"> </w:t>
      </w:r>
      <w:r w:rsidR="00F36569">
        <w:rPr>
          <w:rFonts w:cs="Arial"/>
        </w:rPr>
        <w:t xml:space="preserve">The WHO (1980) noted that according to the knowledge available at the time of publication, PbB levels &lt;40 </w:t>
      </w:r>
      <w:r w:rsidR="00F36569" w:rsidRPr="00DC5F6A">
        <w:rPr>
          <w:rFonts w:cs="Arial"/>
        </w:rPr>
        <w:t>µ</w:t>
      </w:r>
      <w:r w:rsidR="00F36569">
        <w:rPr>
          <w:rFonts w:cs="Arial"/>
        </w:rPr>
        <w:t xml:space="preserve">g/dL </w:t>
      </w:r>
      <w:r w:rsidR="00EB46CA">
        <w:rPr>
          <w:rFonts w:cs="Arial"/>
        </w:rPr>
        <w:t xml:space="preserve">did </w:t>
      </w:r>
      <w:r w:rsidR="00F36569">
        <w:rPr>
          <w:rFonts w:cs="Arial"/>
        </w:rPr>
        <w:lastRenderedPageBreak/>
        <w:t xml:space="preserve">not cause adverse neurological effects, although it was admitted that a no-effect level could not be defined from the available data. However, slight increases in haem synthesis intermediates, especially in females, </w:t>
      </w:r>
      <w:r w:rsidR="00EB46CA">
        <w:rPr>
          <w:rFonts w:cs="Arial"/>
        </w:rPr>
        <w:t xml:space="preserve">were </w:t>
      </w:r>
      <w:r w:rsidR="00F36569">
        <w:rPr>
          <w:rFonts w:cs="Arial"/>
        </w:rPr>
        <w:t xml:space="preserve">not prevented. But in view of the uncertainty of the health significance of such mild effects, WHO (1980) considered there were not strong enough reasons at the time to prompt the recommendation of a limit that would entirely prevent their appearance.  </w:t>
      </w:r>
    </w:p>
    <w:p w:rsidR="00F36569" w:rsidRDefault="00F36569" w:rsidP="00FC62BE">
      <w:pPr>
        <w:rPr>
          <w:rFonts w:cs="Arial"/>
        </w:rPr>
      </w:pPr>
    </w:p>
    <w:p w:rsidR="00F36569" w:rsidRDefault="00F36569" w:rsidP="00FC62BE">
      <w:pPr>
        <w:rPr>
          <w:rFonts w:cs="Arial"/>
        </w:rPr>
      </w:pPr>
      <w:r>
        <w:rPr>
          <w:rFonts w:cs="Arial"/>
        </w:rPr>
        <w:t xml:space="preserve">WHO (1980) also recommended PbB of </w:t>
      </w:r>
      <w:r w:rsidR="00E25319">
        <w:rPr>
          <w:rFonts w:cs="Arial"/>
        </w:rPr>
        <w:t>females</w:t>
      </w:r>
      <w:r w:rsidR="00930FA5">
        <w:rPr>
          <w:rFonts w:cs="Arial"/>
        </w:rPr>
        <w:t xml:space="preserve"> of reproductive age</w:t>
      </w:r>
      <w:r>
        <w:rPr>
          <w:rFonts w:cs="Arial"/>
        </w:rPr>
        <w:t xml:space="preserve"> should be kept as low as possible, and to protect the foetus, should not exceed 30 </w:t>
      </w:r>
      <w:r w:rsidRPr="00DC5F6A">
        <w:rPr>
          <w:rFonts w:cs="Arial"/>
        </w:rPr>
        <w:t>µ</w:t>
      </w:r>
      <w:r>
        <w:rPr>
          <w:rFonts w:cs="Arial"/>
        </w:rPr>
        <w:t>g/dL</w:t>
      </w:r>
      <w:r w:rsidR="00930FA5">
        <w:rPr>
          <w:rFonts w:cs="Arial"/>
        </w:rPr>
        <w:t>.</w:t>
      </w:r>
      <w:r>
        <w:rPr>
          <w:rFonts w:cs="Arial"/>
        </w:rPr>
        <w:t xml:space="preserve"> It was stated this level would also prevent significant effects on haem synthesis. </w:t>
      </w:r>
    </w:p>
    <w:p w:rsidR="00F36569" w:rsidRDefault="00F36569" w:rsidP="00FC62BE">
      <w:pPr>
        <w:rPr>
          <w:rFonts w:cs="Arial"/>
        </w:rPr>
      </w:pPr>
    </w:p>
    <w:p w:rsidR="00FC62BE" w:rsidRDefault="00F36569" w:rsidP="00FC62BE">
      <w:r>
        <w:rPr>
          <w:rFonts w:cs="Arial"/>
        </w:rPr>
        <w:t xml:space="preserve">The rationale for the recommended </w:t>
      </w:r>
      <w:r w:rsidRPr="00C45614">
        <w:rPr>
          <w:rFonts w:cs="Arial"/>
        </w:rPr>
        <w:t>B</w:t>
      </w:r>
      <w:r w:rsidR="0062642E" w:rsidRPr="00C45614">
        <w:rPr>
          <w:rFonts w:cs="Arial"/>
        </w:rPr>
        <w:t>LRL</w:t>
      </w:r>
      <w:r>
        <w:rPr>
          <w:rFonts w:cs="Arial"/>
        </w:rPr>
        <w:t xml:space="preserve"> is reasonable considering the knowledge available to the WHO at the time. However, as noted in Section 2.2.1, contemporary reviews from </w:t>
      </w:r>
      <w:r>
        <w:t xml:space="preserve">other international agencies suggest PbB &lt; 20 </w:t>
      </w:r>
      <w:r w:rsidRPr="00DC5F6A">
        <w:rPr>
          <w:rFonts w:cs="Arial"/>
        </w:rPr>
        <w:t>µ</w:t>
      </w:r>
      <w:r>
        <w:rPr>
          <w:rFonts w:cs="Arial"/>
        </w:rPr>
        <w:t xml:space="preserve">g/dL </w:t>
      </w:r>
      <w:r>
        <w:t>in adults may be associated with health effects (NZ MfE 2011, ATSDR 2007, US EPA 2006, NTP 2012</w:t>
      </w:r>
      <w:r w:rsidR="00D97319">
        <w:t>, NRC 2013</w:t>
      </w:r>
      <w:r>
        <w:t>)</w:t>
      </w:r>
      <w:r w:rsidR="001C6758">
        <w:t xml:space="preserve"> (see Section 5)</w:t>
      </w:r>
      <w:r>
        <w:t xml:space="preserve">. </w:t>
      </w:r>
    </w:p>
    <w:p w:rsidR="00FF7372" w:rsidRDefault="00FF7372" w:rsidP="00FC62BE">
      <w:pPr>
        <w:rPr>
          <w:rFonts w:cs="Arial"/>
        </w:rPr>
      </w:pPr>
    </w:p>
    <w:p w:rsidR="008964D1" w:rsidRDefault="00B91330" w:rsidP="00FC62BE">
      <w:pPr>
        <w:rPr>
          <w:rFonts w:cs="Arial"/>
          <w:i/>
          <w:u w:val="single"/>
        </w:rPr>
      </w:pPr>
      <w:r>
        <w:rPr>
          <w:rFonts w:cs="Arial"/>
          <w:i/>
          <w:u w:val="single"/>
        </w:rPr>
        <w:t>WES</w:t>
      </w:r>
    </w:p>
    <w:p w:rsidR="008964D1" w:rsidRDefault="008964D1" w:rsidP="00FC62BE">
      <w:pPr>
        <w:rPr>
          <w:rFonts w:cs="Arial"/>
        </w:rPr>
      </w:pPr>
      <w:r>
        <w:rPr>
          <w:rFonts w:cs="Arial"/>
        </w:rPr>
        <w:t xml:space="preserve">The WHO (1980) acknowledge that the PbB levels are the primary criterion for preventing toxic effects in exposed workers, but the concentration of </w:t>
      </w:r>
      <w:r w:rsidR="00FF060A">
        <w:rPr>
          <w:rFonts w:cs="Arial"/>
        </w:rPr>
        <w:t>PbAir</w:t>
      </w:r>
      <w:r>
        <w:rPr>
          <w:rFonts w:cs="Arial"/>
        </w:rPr>
        <w:t xml:space="preserve"> is the primary guideline for engineering purposes. They </w:t>
      </w:r>
      <w:r w:rsidR="00C45614">
        <w:rPr>
          <w:rFonts w:cs="Arial"/>
        </w:rPr>
        <w:t xml:space="preserve">considered </w:t>
      </w:r>
      <w:r>
        <w:rPr>
          <w:rFonts w:cs="Arial"/>
        </w:rPr>
        <w:t xml:space="preserve">the available correlations between PbB and </w:t>
      </w:r>
      <w:r w:rsidR="00FF060A">
        <w:rPr>
          <w:rFonts w:cs="Arial"/>
        </w:rPr>
        <w:t>PbAir</w:t>
      </w:r>
      <w:r>
        <w:rPr>
          <w:rFonts w:cs="Arial"/>
        </w:rPr>
        <w:t xml:space="preserve"> were weak and that the recommended PbB levels </w:t>
      </w:r>
      <w:r w:rsidR="00C45614">
        <w:rPr>
          <w:rFonts w:cs="Arial"/>
        </w:rPr>
        <w:t xml:space="preserve">could not readily </w:t>
      </w:r>
      <w:r>
        <w:rPr>
          <w:rFonts w:cs="Arial"/>
        </w:rPr>
        <w:t xml:space="preserve">be directly translated into limits for </w:t>
      </w:r>
      <w:r w:rsidR="00FF060A">
        <w:rPr>
          <w:rFonts w:cs="Arial"/>
        </w:rPr>
        <w:t>PbAir</w:t>
      </w:r>
      <w:r>
        <w:rPr>
          <w:rFonts w:cs="Arial"/>
        </w:rPr>
        <w:t>. They noted that sin</w:t>
      </w:r>
      <w:r w:rsidR="007F7636">
        <w:rPr>
          <w:rFonts w:cs="Arial"/>
        </w:rPr>
        <w:t>ce the contribution to PbB</w:t>
      </w:r>
      <w:r>
        <w:rPr>
          <w:rFonts w:cs="Arial"/>
        </w:rPr>
        <w:t xml:space="preserve"> </w:t>
      </w:r>
      <w:r w:rsidR="00EB46CA">
        <w:rPr>
          <w:rFonts w:cs="Arial"/>
        </w:rPr>
        <w:t xml:space="preserve">from </w:t>
      </w:r>
      <w:r>
        <w:rPr>
          <w:rFonts w:cs="Arial"/>
        </w:rPr>
        <w:t xml:space="preserve">non-occupational (i.e. background) sources </w:t>
      </w:r>
      <w:r w:rsidR="00EB46CA">
        <w:rPr>
          <w:rFonts w:cs="Arial"/>
        </w:rPr>
        <w:t xml:space="preserve">varied </w:t>
      </w:r>
      <w:r>
        <w:rPr>
          <w:rFonts w:cs="Arial"/>
        </w:rPr>
        <w:t xml:space="preserve">between people and geographical areas, and since any relationship between </w:t>
      </w:r>
      <w:r w:rsidR="00FF060A">
        <w:rPr>
          <w:rFonts w:cs="Arial"/>
        </w:rPr>
        <w:t>PbAir</w:t>
      </w:r>
      <w:r>
        <w:rPr>
          <w:rFonts w:cs="Arial"/>
        </w:rPr>
        <w:t xml:space="preserve"> and PbB</w:t>
      </w:r>
      <w:r w:rsidR="00A526F0">
        <w:rPr>
          <w:rFonts w:cs="Arial"/>
        </w:rPr>
        <w:t xml:space="preserve"> will depend on the particle size and chemical form of </w:t>
      </w:r>
      <w:r w:rsidR="00263767">
        <w:rPr>
          <w:rFonts w:cs="Arial"/>
        </w:rPr>
        <w:t>lead</w:t>
      </w:r>
      <w:r w:rsidR="00A526F0">
        <w:rPr>
          <w:rFonts w:cs="Arial"/>
        </w:rPr>
        <w:t>, it is not possible to recommend a</w:t>
      </w:r>
      <w:r w:rsidR="00B91330">
        <w:rPr>
          <w:rFonts w:cs="Arial"/>
        </w:rPr>
        <w:t xml:space="preserve"> WES</w:t>
      </w:r>
      <w:r w:rsidR="00A526F0">
        <w:rPr>
          <w:rFonts w:cs="Arial"/>
        </w:rPr>
        <w:t xml:space="preserve"> that would by itself ens</w:t>
      </w:r>
      <w:r w:rsidR="007F7636">
        <w:rPr>
          <w:rFonts w:cs="Arial"/>
        </w:rPr>
        <w:t xml:space="preserve">ure full compliance with the </w:t>
      </w:r>
      <w:r w:rsidR="0062642E" w:rsidRPr="00C45614">
        <w:rPr>
          <w:rFonts w:cs="Arial"/>
        </w:rPr>
        <w:t>BLRL</w:t>
      </w:r>
      <w:r w:rsidR="00A526F0">
        <w:rPr>
          <w:rFonts w:cs="Arial"/>
        </w:rPr>
        <w:t xml:space="preserve"> of 40 </w:t>
      </w:r>
      <w:r w:rsidR="00A526F0" w:rsidRPr="00DC5F6A">
        <w:rPr>
          <w:rFonts w:cs="Arial"/>
        </w:rPr>
        <w:t>µ</w:t>
      </w:r>
      <w:r w:rsidR="00A526F0">
        <w:rPr>
          <w:rFonts w:cs="Arial"/>
        </w:rPr>
        <w:t xml:space="preserve">g/dL. </w:t>
      </w:r>
      <w:r w:rsidR="000D50CB" w:rsidRPr="000D50CB">
        <w:rPr>
          <w:rFonts w:cs="Arial"/>
        </w:rPr>
        <w:t>Since the WHO (1980) review it has become apparent that while particle size affects the extent and region of deposition in the respiratory tract, the lead that is deposited in the alveoli is completely absorbed regardless of chemical form (Chamberlain et al. 1981, 1985; Morrow et al. 1980).</w:t>
      </w:r>
    </w:p>
    <w:p w:rsidR="00A526F0" w:rsidRDefault="00A526F0" w:rsidP="00FC62BE">
      <w:pPr>
        <w:rPr>
          <w:rFonts w:cs="Arial"/>
        </w:rPr>
      </w:pPr>
    </w:p>
    <w:p w:rsidR="00A526F0" w:rsidRDefault="00A526F0" w:rsidP="00FC62BE">
      <w:pPr>
        <w:rPr>
          <w:rFonts w:cs="Arial"/>
        </w:rPr>
      </w:pPr>
      <w:r>
        <w:rPr>
          <w:rFonts w:cs="Arial"/>
        </w:rPr>
        <w:t xml:space="preserve">Nevertheless, WHO (1980) concluded an average increase of 0.5 </w:t>
      </w:r>
      <w:r w:rsidRPr="00DC5F6A">
        <w:rPr>
          <w:rFonts w:cs="Arial"/>
        </w:rPr>
        <w:t>µ</w:t>
      </w:r>
      <w:r>
        <w:rPr>
          <w:rFonts w:cs="Arial"/>
        </w:rPr>
        <w:t xml:space="preserve">g/dL can be predicted from each average increase of 1 </w:t>
      </w:r>
      <w:r w:rsidRPr="00A526F0">
        <w:rPr>
          <w:rFonts w:cs="Arial"/>
        </w:rPr>
        <w:t>µg/m</w:t>
      </w:r>
      <w:r w:rsidRPr="00A526F0">
        <w:rPr>
          <w:rFonts w:cs="Arial"/>
          <w:vertAlign w:val="superscript"/>
        </w:rPr>
        <w:t>3</w:t>
      </w:r>
      <w:r>
        <w:rPr>
          <w:rFonts w:cs="Arial"/>
        </w:rPr>
        <w:t xml:space="preserve"> </w:t>
      </w:r>
      <w:r w:rsidR="00BC4A7E">
        <w:rPr>
          <w:rFonts w:cs="Arial"/>
        </w:rPr>
        <w:t>(i.e. 0.001 mg/m</w:t>
      </w:r>
      <w:r w:rsidR="00BC4A7E">
        <w:rPr>
          <w:rFonts w:cs="Arial"/>
          <w:vertAlign w:val="superscript"/>
        </w:rPr>
        <w:t>3</w:t>
      </w:r>
      <w:r w:rsidR="00BC4A7E">
        <w:rPr>
          <w:rFonts w:cs="Arial"/>
        </w:rPr>
        <w:t xml:space="preserve">) </w:t>
      </w:r>
      <w:r>
        <w:rPr>
          <w:rFonts w:cs="Arial"/>
        </w:rPr>
        <w:t xml:space="preserve">(40 h/week average exposure) of </w:t>
      </w:r>
      <w:r w:rsidR="00FF060A">
        <w:rPr>
          <w:rFonts w:cs="Arial"/>
        </w:rPr>
        <w:t>PbAir</w:t>
      </w:r>
      <w:r>
        <w:rPr>
          <w:rFonts w:cs="Arial"/>
        </w:rPr>
        <w:t xml:space="preserve"> up to a PbB level of 50 </w:t>
      </w:r>
      <w:r w:rsidRPr="00DC5F6A">
        <w:rPr>
          <w:rFonts w:cs="Arial"/>
        </w:rPr>
        <w:t>µ</w:t>
      </w:r>
      <w:r>
        <w:rPr>
          <w:rFonts w:cs="Arial"/>
        </w:rPr>
        <w:t xml:space="preserve">g/dL. </w:t>
      </w:r>
      <w:r w:rsidR="00F5578C">
        <w:rPr>
          <w:rFonts w:cs="Arial"/>
        </w:rPr>
        <w:t>Note the latter conclusion was made using studies with several deficiencies and uncertainties. Using this information WHO (1980) concluded</w:t>
      </w:r>
      <w:r>
        <w:rPr>
          <w:rFonts w:cs="Arial"/>
        </w:rPr>
        <w:t>:</w:t>
      </w:r>
    </w:p>
    <w:p w:rsidR="00A526F0" w:rsidRDefault="00A526F0" w:rsidP="00EB46CA">
      <w:pPr>
        <w:pStyle w:val="ListParagraph"/>
        <w:numPr>
          <w:ilvl w:val="0"/>
          <w:numId w:val="8"/>
        </w:numPr>
        <w:rPr>
          <w:rFonts w:cs="Arial"/>
        </w:rPr>
      </w:pPr>
      <w:r>
        <w:rPr>
          <w:rFonts w:cs="Arial"/>
        </w:rPr>
        <w:t xml:space="preserve">For populations with an average background PbB of 25 </w:t>
      </w:r>
      <w:r w:rsidRPr="00DC5F6A">
        <w:rPr>
          <w:rFonts w:cs="Arial"/>
        </w:rPr>
        <w:t>µ</w:t>
      </w:r>
      <w:r>
        <w:rPr>
          <w:rFonts w:cs="Arial"/>
        </w:rPr>
        <w:t xml:space="preserve">g/dL, the value of </w:t>
      </w:r>
      <w:r w:rsidR="00FF060A">
        <w:rPr>
          <w:rFonts w:cs="Arial"/>
        </w:rPr>
        <w:t>PbAir</w:t>
      </w:r>
      <w:r>
        <w:rPr>
          <w:rFonts w:cs="Arial"/>
        </w:rPr>
        <w:t xml:space="preserve"> should not exceed </w:t>
      </w:r>
      <w:r w:rsidR="00BC4A7E">
        <w:rPr>
          <w:rFonts w:cs="Arial"/>
        </w:rPr>
        <w:t>0.0</w:t>
      </w:r>
      <w:r>
        <w:rPr>
          <w:rFonts w:cs="Arial"/>
        </w:rPr>
        <w:t xml:space="preserve">3 </w:t>
      </w:r>
      <w:r w:rsidR="00BC4A7E">
        <w:rPr>
          <w:rFonts w:cs="Arial"/>
        </w:rPr>
        <w:t>m</w:t>
      </w:r>
      <w:r w:rsidRPr="00A526F0">
        <w:rPr>
          <w:rFonts w:cs="Arial"/>
        </w:rPr>
        <w:t>g/m</w:t>
      </w:r>
      <w:r w:rsidRPr="00A526F0">
        <w:rPr>
          <w:rFonts w:cs="Arial"/>
          <w:vertAlign w:val="superscript"/>
        </w:rPr>
        <w:t>3</w:t>
      </w:r>
      <w:r>
        <w:rPr>
          <w:rFonts w:cs="Arial"/>
        </w:rPr>
        <w:t xml:space="preserve"> (presumably 40 </w:t>
      </w:r>
      <w:r w:rsidRPr="00DC5F6A">
        <w:rPr>
          <w:rFonts w:cs="Arial"/>
        </w:rPr>
        <w:t>µ</w:t>
      </w:r>
      <w:r>
        <w:rPr>
          <w:rFonts w:cs="Arial"/>
        </w:rPr>
        <w:t xml:space="preserve">g/dL – 25 </w:t>
      </w:r>
      <w:r w:rsidRPr="00DC5F6A">
        <w:rPr>
          <w:rFonts w:cs="Arial"/>
        </w:rPr>
        <w:t>µ</w:t>
      </w:r>
      <w:r>
        <w:rPr>
          <w:rFonts w:cs="Arial"/>
        </w:rPr>
        <w:t>g/dL ÷ 0.5</w:t>
      </w:r>
      <w:r w:rsidR="00EB46CA" w:rsidRPr="00EB46CA">
        <w:t xml:space="preserve"> </w:t>
      </w:r>
      <w:r w:rsidR="00EB46CA" w:rsidRPr="00EB46CA">
        <w:rPr>
          <w:rFonts w:cs="Arial"/>
        </w:rPr>
        <w:t>µg/dL</w:t>
      </w:r>
      <w:r>
        <w:rPr>
          <w:rFonts w:cs="Arial"/>
        </w:rPr>
        <w:t xml:space="preserve"> = 30 </w:t>
      </w:r>
      <w:r w:rsidRPr="00A526F0">
        <w:rPr>
          <w:rFonts w:cs="Arial"/>
        </w:rPr>
        <w:t>µg/m</w:t>
      </w:r>
      <w:r w:rsidRPr="00A526F0">
        <w:rPr>
          <w:rFonts w:cs="Arial"/>
          <w:vertAlign w:val="superscript"/>
        </w:rPr>
        <w:t>3</w:t>
      </w:r>
      <w:r w:rsidR="00BC4A7E">
        <w:rPr>
          <w:rFonts w:cs="Arial"/>
        </w:rPr>
        <w:t>, i.e. 0.03 mg/m</w:t>
      </w:r>
      <w:r w:rsidR="00BC4A7E">
        <w:rPr>
          <w:rFonts w:cs="Arial"/>
          <w:vertAlign w:val="superscript"/>
        </w:rPr>
        <w:t>3</w:t>
      </w:r>
      <w:r>
        <w:rPr>
          <w:rFonts w:cs="Arial"/>
        </w:rPr>
        <w:t xml:space="preserve">). </w:t>
      </w:r>
    </w:p>
    <w:p w:rsidR="00A526F0" w:rsidRDefault="00A526F0" w:rsidP="00EB46CA">
      <w:pPr>
        <w:pStyle w:val="ListParagraph"/>
        <w:numPr>
          <w:ilvl w:val="0"/>
          <w:numId w:val="8"/>
        </w:numPr>
        <w:rPr>
          <w:rFonts w:cs="Arial"/>
        </w:rPr>
      </w:pPr>
      <w:r>
        <w:rPr>
          <w:rFonts w:cs="Arial"/>
        </w:rPr>
        <w:t xml:space="preserve">Similarly, for populations with an average background PbB of 10 </w:t>
      </w:r>
      <w:r w:rsidRPr="00DC5F6A">
        <w:rPr>
          <w:rFonts w:cs="Arial"/>
        </w:rPr>
        <w:t>µ</w:t>
      </w:r>
      <w:r>
        <w:rPr>
          <w:rFonts w:cs="Arial"/>
        </w:rPr>
        <w:t xml:space="preserve">g/dL, </w:t>
      </w:r>
      <w:r w:rsidR="00FF060A">
        <w:rPr>
          <w:rFonts w:cs="Arial"/>
        </w:rPr>
        <w:t>PbAir</w:t>
      </w:r>
      <w:r>
        <w:rPr>
          <w:rFonts w:cs="Arial"/>
        </w:rPr>
        <w:t xml:space="preserve"> should not exceed </w:t>
      </w:r>
      <w:r w:rsidR="00BC4A7E">
        <w:rPr>
          <w:rFonts w:cs="Arial"/>
        </w:rPr>
        <w:t>0.0</w:t>
      </w:r>
      <w:r>
        <w:rPr>
          <w:rFonts w:cs="Arial"/>
        </w:rPr>
        <w:t xml:space="preserve">6 </w:t>
      </w:r>
      <w:r w:rsidR="00BC4A7E">
        <w:rPr>
          <w:rFonts w:cs="Arial"/>
        </w:rPr>
        <w:t>m</w:t>
      </w:r>
      <w:r w:rsidRPr="00A526F0">
        <w:rPr>
          <w:rFonts w:cs="Arial"/>
        </w:rPr>
        <w:t>g/m</w:t>
      </w:r>
      <w:r w:rsidRPr="00A526F0">
        <w:rPr>
          <w:rFonts w:cs="Arial"/>
          <w:vertAlign w:val="superscript"/>
        </w:rPr>
        <w:t>3</w:t>
      </w:r>
      <w:r>
        <w:rPr>
          <w:rFonts w:cs="Arial"/>
        </w:rPr>
        <w:t xml:space="preserve"> (i.e. 40 </w:t>
      </w:r>
      <w:r w:rsidRPr="00DC5F6A">
        <w:rPr>
          <w:rFonts w:cs="Arial"/>
        </w:rPr>
        <w:t>µ</w:t>
      </w:r>
      <w:r>
        <w:rPr>
          <w:rFonts w:cs="Arial"/>
        </w:rPr>
        <w:t xml:space="preserve">g/dL – 10 </w:t>
      </w:r>
      <w:r w:rsidRPr="00DC5F6A">
        <w:rPr>
          <w:rFonts w:cs="Arial"/>
        </w:rPr>
        <w:t>µ</w:t>
      </w:r>
      <w:r>
        <w:rPr>
          <w:rFonts w:cs="Arial"/>
        </w:rPr>
        <w:t xml:space="preserve">g/dL ÷ 0.5 </w:t>
      </w:r>
      <w:r w:rsidR="00EB46CA" w:rsidRPr="00EB46CA">
        <w:rPr>
          <w:rFonts w:cs="Arial"/>
        </w:rPr>
        <w:t xml:space="preserve">µg/dL </w:t>
      </w:r>
      <w:r>
        <w:rPr>
          <w:rFonts w:cs="Arial"/>
        </w:rPr>
        <w:t xml:space="preserve">= 60 </w:t>
      </w:r>
      <w:r w:rsidRPr="00A526F0">
        <w:rPr>
          <w:rFonts w:cs="Arial"/>
        </w:rPr>
        <w:t>µg/m</w:t>
      </w:r>
      <w:r w:rsidRPr="00A526F0">
        <w:rPr>
          <w:rFonts w:cs="Arial"/>
          <w:vertAlign w:val="superscript"/>
        </w:rPr>
        <w:t>3</w:t>
      </w:r>
      <w:r w:rsidR="00BC4A7E">
        <w:rPr>
          <w:rFonts w:cs="Arial"/>
        </w:rPr>
        <w:t>, i.e. 0.06 mg/m</w:t>
      </w:r>
      <w:r w:rsidR="00BC4A7E">
        <w:rPr>
          <w:rFonts w:cs="Arial"/>
          <w:vertAlign w:val="superscript"/>
        </w:rPr>
        <w:t>3</w:t>
      </w:r>
      <w:r>
        <w:rPr>
          <w:rFonts w:cs="Arial"/>
        </w:rPr>
        <w:t xml:space="preserve">). </w:t>
      </w:r>
    </w:p>
    <w:p w:rsidR="00EB46CA" w:rsidRDefault="00EB46CA" w:rsidP="00A526F0">
      <w:pPr>
        <w:rPr>
          <w:rFonts w:cs="Arial"/>
        </w:rPr>
      </w:pPr>
    </w:p>
    <w:p w:rsidR="00EC6210" w:rsidRPr="00EC6210" w:rsidRDefault="00A526F0" w:rsidP="00EC6210">
      <w:pPr>
        <w:rPr>
          <w:rFonts w:cs="Arial"/>
        </w:rPr>
      </w:pPr>
      <w:r>
        <w:rPr>
          <w:rFonts w:cs="Arial"/>
        </w:rPr>
        <w:lastRenderedPageBreak/>
        <w:t xml:space="preserve">Based on this reasoning, WHO (1980) recommended </w:t>
      </w:r>
      <w:r w:rsidR="00FF060A">
        <w:rPr>
          <w:rFonts w:cs="Arial"/>
        </w:rPr>
        <w:t>PbAir</w:t>
      </w:r>
      <w:r>
        <w:rPr>
          <w:rFonts w:cs="Arial"/>
        </w:rPr>
        <w:t xml:space="preserve"> should not exceed the range of 30 – 60 </w:t>
      </w:r>
      <w:r w:rsidRPr="00A526F0">
        <w:rPr>
          <w:rFonts w:cs="Arial"/>
        </w:rPr>
        <w:t>µg/m</w:t>
      </w:r>
      <w:r w:rsidRPr="00A526F0">
        <w:rPr>
          <w:rFonts w:cs="Arial"/>
          <w:vertAlign w:val="superscript"/>
        </w:rPr>
        <w:t>3</w:t>
      </w:r>
      <w:r w:rsidR="00BC4A7E">
        <w:rPr>
          <w:rFonts w:cs="Arial"/>
        </w:rPr>
        <w:t xml:space="preserve"> (i.e. 0.03 – 0.06 mg/m</w:t>
      </w:r>
      <w:r w:rsidR="00BC4A7E">
        <w:rPr>
          <w:rFonts w:cs="Arial"/>
          <w:vertAlign w:val="superscript"/>
        </w:rPr>
        <w:t>3</w:t>
      </w:r>
      <w:r w:rsidR="00BC4A7E">
        <w:rPr>
          <w:rFonts w:cs="Arial"/>
        </w:rPr>
        <w:t>)</w:t>
      </w:r>
      <w:r>
        <w:rPr>
          <w:rFonts w:cs="Arial"/>
        </w:rPr>
        <w:t xml:space="preserve">. </w:t>
      </w:r>
      <w:r w:rsidR="00EC6210">
        <w:rPr>
          <w:rFonts w:cs="Arial"/>
        </w:rPr>
        <w:t xml:space="preserve">It should be noted the background PbB used by WHO (1980) are significantly higher than what would be expected in the general population today, as they stem from a time when </w:t>
      </w:r>
      <w:r w:rsidR="00EC598D">
        <w:rPr>
          <w:rFonts w:cs="Arial"/>
        </w:rPr>
        <w:t>l</w:t>
      </w:r>
      <w:r w:rsidR="00637B4C">
        <w:rPr>
          <w:rFonts w:cs="Arial"/>
        </w:rPr>
        <w:t>ead</w:t>
      </w:r>
      <w:r w:rsidR="00EC598D">
        <w:rPr>
          <w:rFonts w:cs="Arial"/>
        </w:rPr>
        <w:t xml:space="preserve"> </w:t>
      </w:r>
      <w:r w:rsidR="00EC6210">
        <w:rPr>
          <w:rFonts w:cs="Arial"/>
        </w:rPr>
        <w:t xml:space="preserve">was still used in petrol. </w:t>
      </w:r>
    </w:p>
    <w:p w:rsidR="00A526F0" w:rsidRDefault="00A526F0" w:rsidP="00A526F0">
      <w:pPr>
        <w:rPr>
          <w:rFonts w:cs="Arial"/>
        </w:rPr>
      </w:pPr>
    </w:p>
    <w:p w:rsidR="0043629B" w:rsidRDefault="00A526F0" w:rsidP="00A526F0">
      <w:pPr>
        <w:rPr>
          <w:rFonts w:cs="Arial"/>
        </w:rPr>
      </w:pPr>
      <w:r>
        <w:rPr>
          <w:rFonts w:cs="Arial"/>
        </w:rPr>
        <w:t xml:space="preserve">It is interesting </w:t>
      </w:r>
      <w:r w:rsidR="00F5578C">
        <w:rPr>
          <w:rFonts w:cs="Arial"/>
        </w:rPr>
        <w:t xml:space="preserve">that the WHO (1980) recommendation is similar to the ACGIH (2001a, b) recommendation (i.e. </w:t>
      </w:r>
      <w:r w:rsidR="00B91330">
        <w:rPr>
          <w:rFonts w:cs="Arial"/>
        </w:rPr>
        <w:t>WES</w:t>
      </w:r>
      <w:r w:rsidR="00F5578C">
        <w:rPr>
          <w:rFonts w:cs="Arial"/>
        </w:rPr>
        <w:t xml:space="preserve"> of </w:t>
      </w:r>
      <w:r w:rsidR="00BC4A7E">
        <w:rPr>
          <w:rFonts w:cs="Arial"/>
        </w:rPr>
        <w:t>0.0</w:t>
      </w:r>
      <w:r w:rsidR="00F5578C">
        <w:rPr>
          <w:rFonts w:cs="Arial"/>
        </w:rPr>
        <w:t xml:space="preserve">5 </w:t>
      </w:r>
      <w:r w:rsidR="00BC4A7E">
        <w:rPr>
          <w:rFonts w:cs="Arial"/>
        </w:rPr>
        <w:t>m</w:t>
      </w:r>
      <w:r w:rsidR="00F5578C" w:rsidRPr="00F5578C">
        <w:rPr>
          <w:rFonts w:cs="Arial"/>
        </w:rPr>
        <w:t>g/m</w:t>
      </w:r>
      <w:r w:rsidR="00F5578C" w:rsidRPr="00F5578C">
        <w:rPr>
          <w:rFonts w:cs="Arial"/>
          <w:vertAlign w:val="superscript"/>
        </w:rPr>
        <w:t>3</w:t>
      </w:r>
      <w:r w:rsidR="00F5578C">
        <w:rPr>
          <w:rFonts w:cs="Arial"/>
        </w:rPr>
        <w:t xml:space="preserve">, </w:t>
      </w:r>
      <w:r w:rsidR="00F5578C" w:rsidRPr="00890163">
        <w:rPr>
          <w:rFonts w:cs="Arial"/>
        </w:rPr>
        <w:t>B</w:t>
      </w:r>
      <w:r w:rsidR="0062642E" w:rsidRPr="00890163">
        <w:rPr>
          <w:rFonts w:cs="Arial"/>
        </w:rPr>
        <w:t>LRL</w:t>
      </w:r>
      <w:r w:rsidR="00F5578C">
        <w:rPr>
          <w:rFonts w:cs="Arial"/>
        </w:rPr>
        <w:t xml:space="preserve"> of 30 </w:t>
      </w:r>
      <w:r w:rsidR="00F5578C" w:rsidRPr="00DC5F6A">
        <w:rPr>
          <w:rFonts w:cs="Arial"/>
        </w:rPr>
        <w:t>µ</w:t>
      </w:r>
      <w:r w:rsidR="00F5578C">
        <w:rPr>
          <w:rFonts w:cs="Arial"/>
        </w:rPr>
        <w:t>g/dL), considering the latter was first set 15 years later (Section 2.1), but the rationale used by WHO (1980)</w:t>
      </w:r>
      <w:r w:rsidR="007F7636">
        <w:rPr>
          <w:rFonts w:cs="Arial"/>
        </w:rPr>
        <w:t xml:space="preserve"> to arrive at the </w:t>
      </w:r>
      <w:r w:rsidR="00B91330">
        <w:rPr>
          <w:rFonts w:cs="Arial"/>
        </w:rPr>
        <w:t>WES</w:t>
      </w:r>
      <w:r w:rsidR="007F7636">
        <w:rPr>
          <w:rFonts w:cs="Arial"/>
        </w:rPr>
        <w:t xml:space="preserve"> is less ambiguous</w:t>
      </w:r>
      <w:r w:rsidR="00F5578C">
        <w:rPr>
          <w:rFonts w:cs="Arial"/>
        </w:rPr>
        <w:t xml:space="preserve">. </w:t>
      </w:r>
      <w:r w:rsidR="000D50CB">
        <w:rPr>
          <w:rFonts w:cs="Arial"/>
        </w:rPr>
        <w:t>It is also similar to the recommendations of this report (Sections 4.5 and 6).</w:t>
      </w:r>
    </w:p>
    <w:p w:rsidR="0043629B" w:rsidRDefault="0043629B" w:rsidP="00A526F0">
      <w:pPr>
        <w:rPr>
          <w:rFonts w:cs="Arial"/>
        </w:rPr>
      </w:pPr>
    </w:p>
    <w:p w:rsidR="0043629B" w:rsidRDefault="0043629B" w:rsidP="00444131">
      <w:pPr>
        <w:pStyle w:val="Heading4"/>
      </w:pPr>
      <w:r>
        <w:t>2.</w:t>
      </w:r>
      <w:r w:rsidR="0070509D">
        <w:t>1</w:t>
      </w:r>
      <w:r>
        <w:t>.2.5 California proposal</w:t>
      </w:r>
    </w:p>
    <w:p w:rsidR="0043629B" w:rsidRDefault="0043629B"/>
    <w:p w:rsidR="00570203" w:rsidRPr="00570203" w:rsidRDefault="00314205">
      <w:r>
        <w:rPr>
          <w:i/>
          <w:u w:val="single"/>
        </w:rPr>
        <w:t>BLRL</w:t>
      </w:r>
    </w:p>
    <w:p w:rsidR="00570203" w:rsidRDefault="0043629B">
      <w:r>
        <w:t>Kosnett et al. (2007) reviewed the available evidence in the literature on the health e</w:t>
      </w:r>
      <w:r w:rsidR="00570203">
        <w:t xml:space="preserve">ffects of lead. The review indicated the potential for hypertension, effects on renal function, cognitive dysfunction, and adverse female reproductive outcome in adults with PbB &lt; 40 </w:t>
      </w:r>
      <w:r w:rsidR="00570203" w:rsidRPr="00570203">
        <w:rPr>
          <w:rFonts w:cs="Arial"/>
        </w:rPr>
        <w:t>µ</w:t>
      </w:r>
      <w:r w:rsidR="00570203">
        <w:t xml:space="preserve">g/dL. Based on the literature and the authors’ collective experience in evaluating Pb-exposed adults, they recommended individuals be removed from occupational </w:t>
      </w:r>
      <w:r w:rsidR="00EC598D">
        <w:t>l</w:t>
      </w:r>
      <w:r w:rsidR="00637B4C">
        <w:t>ead</w:t>
      </w:r>
      <w:r w:rsidR="00EC598D">
        <w:t xml:space="preserve"> </w:t>
      </w:r>
      <w:r w:rsidR="00570203">
        <w:t xml:space="preserve">exposure if: </w:t>
      </w:r>
    </w:p>
    <w:p w:rsidR="00570203" w:rsidRDefault="00570203" w:rsidP="00242F1D">
      <w:pPr>
        <w:pStyle w:val="ListParagraph"/>
        <w:numPr>
          <w:ilvl w:val="0"/>
          <w:numId w:val="13"/>
        </w:numPr>
      </w:pPr>
      <w:r>
        <w:t xml:space="preserve">a single PbB concentration exceeds 30 </w:t>
      </w:r>
      <w:r w:rsidRPr="00570203">
        <w:rPr>
          <w:rFonts w:cs="Arial"/>
        </w:rPr>
        <w:t>µ</w:t>
      </w:r>
      <w:r>
        <w:t>g/dL or,</w:t>
      </w:r>
    </w:p>
    <w:p w:rsidR="00A526F0" w:rsidRDefault="00570203" w:rsidP="00242F1D">
      <w:pPr>
        <w:pStyle w:val="ListParagraph"/>
        <w:numPr>
          <w:ilvl w:val="0"/>
          <w:numId w:val="13"/>
        </w:numPr>
      </w:pPr>
      <w:r>
        <w:t>two</w:t>
      </w:r>
      <w:r w:rsidR="00F5578C">
        <w:t xml:space="preserve"> </w:t>
      </w:r>
      <w:r>
        <w:t xml:space="preserve">successive PbB measurements over a 4-week interval are </w:t>
      </w:r>
      <w:r>
        <w:rPr>
          <w:u w:val="single"/>
        </w:rPr>
        <w:t>&gt;</w:t>
      </w:r>
      <w:r>
        <w:t xml:space="preserve"> 20 </w:t>
      </w:r>
      <w:r w:rsidRPr="00570203">
        <w:rPr>
          <w:rFonts w:cs="Arial"/>
        </w:rPr>
        <w:t>µ</w:t>
      </w:r>
      <w:r>
        <w:t xml:space="preserve">g/dL. </w:t>
      </w:r>
    </w:p>
    <w:p w:rsidR="00570203" w:rsidRDefault="00570203" w:rsidP="00570203"/>
    <w:p w:rsidR="00570203" w:rsidRDefault="00570203" w:rsidP="00570203">
      <w:r>
        <w:t xml:space="preserve">They also concluded removal from </w:t>
      </w:r>
      <w:r w:rsidR="00EC598D">
        <w:t>l</w:t>
      </w:r>
      <w:r w:rsidR="00637B4C">
        <w:t>ead</w:t>
      </w:r>
      <w:r w:rsidR="00EC598D">
        <w:t xml:space="preserve"> </w:t>
      </w:r>
      <w:r>
        <w:t xml:space="preserve">exposure should be considered to avoid long-term risks to health if exposure controls over an extended period do not decrease PbB to &lt;10 </w:t>
      </w:r>
      <w:r w:rsidRPr="00570203">
        <w:rPr>
          <w:rFonts w:cs="Arial"/>
        </w:rPr>
        <w:t>µ</w:t>
      </w:r>
      <w:r>
        <w:t xml:space="preserve">g/dL, or if selected medical conditions exist that would increase the risk of continued exposure. </w:t>
      </w:r>
    </w:p>
    <w:p w:rsidR="00570203" w:rsidRDefault="00570203" w:rsidP="00570203"/>
    <w:p w:rsidR="00570203" w:rsidRDefault="00570203" w:rsidP="00570203">
      <w:r>
        <w:t xml:space="preserve">They also advised pregnant women to avoid occupational or avocational </w:t>
      </w:r>
      <w:r w:rsidR="00EC598D">
        <w:t>l</w:t>
      </w:r>
      <w:r w:rsidR="00637B4C">
        <w:t>ead</w:t>
      </w:r>
      <w:r w:rsidR="00EC598D">
        <w:t xml:space="preserve"> </w:t>
      </w:r>
      <w:r>
        <w:t xml:space="preserve">exposure that would result in PbB &gt; 5 </w:t>
      </w:r>
      <w:r w:rsidRPr="00570203">
        <w:rPr>
          <w:rFonts w:cs="Arial"/>
        </w:rPr>
        <w:t>µ</w:t>
      </w:r>
      <w:r>
        <w:t xml:space="preserve">g/dL (Kosnett et al. 2007). </w:t>
      </w:r>
    </w:p>
    <w:p w:rsidR="00570203" w:rsidRDefault="00570203" w:rsidP="00570203"/>
    <w:p w:rsidR="00570203" w:rsidRDefault="00570203" w:rsidP="00570203">
      <w:r>
        <w:t xml:space="preserve">The </w:t>
      </w:r>
      <w:r w:rsidRPr="00570203">
        <w:t xml:space="preserve">California Department of Public Health (Cal DPH 2009, 2010, 2011) has recommended the revised </w:t>
      </w:r>
      <w:r w:rsidR="00314205">
        <w:t>BLRL</w:t>
      </w:r>
      <w:r w:rsidRPr="00570203">
        <w:t xml:space="preserve"> </w:t>
      </w:r>
      <w:r w:rsidR="00890163">
        <w:t>as</w:t>
      </w:r>
      <w:r w:rsidR="00890163" w:rsidRPr="00570203">
        <w:t xml:space="preserve"> </w:t>
      </w:r>
      <w:r w:rsidRPr="00570203">
        <w:t xml:space="preserve">proposed by Kosnett et al. (2007) (see above) should be legislated. Specifically, the </w:t>
      </w:r>
      <w:r w:rsidR="00314205">
        <w:t>BLRL</w:t>
      </w:r>
      <w:r w:rsidR="00890163">
        <w:t>s</w:t>
      </w:r>
      <w:r w:rsidRPr="00570203">
        <w:t xml:space="preserve"> proposed by California are 30 µg/dL for a single PbB measurement, or 20 µg/dL for two consecutive PbB measurements (</w:t>
      </w:r>
      <w:r>
        <w:t xml:space="preserve">measured </w:t>
      </w:r>
      <w:r w:rsidRPr="00570203">
        <w:t>four weeks apart).</w:t>
      </w:r>
    </w:p>
    <w:p w:rsidR="00570203" w:rsidRDefault="00570203" w:rsidP="00570203"/>
    <w:p w:rsidR="00570203" w:rsidRDefault="00570203" w:rsidP="00570203">
      <w:pPr>
        <w:rPr>
          <w:i/>
          <w:u w:val="single"/>
        </w:rPr>
      </w:pPr>
      <w:r>
        <w:rPr>
          <w:i/>
          <w:u w:val="single"/>
        </w:rPr>
        <w:t>WES</w:t>
      </w:r>
    </w:p>
    <w:p w:rsidR="00570203" w:rsidRDefault="00570203" w:rsidP="00570203">
      <w:r>
        <w:t xml:space="preserve">In conjunction with the proposed revisions to the legislated </w:t>
      </w:r>
      <w:r w:rsidR="00314205">
        <w:t>BLRL</w:t>
      </w:r>
      <w:r>
        <w:t xml:space="preserve">s described above, Cal DPH (2013) </w:t>
      </w:r>
      <w:r w:rsidR="003338CE">
        <w:t xml:space="preserve">proposed a revised WES be adopted. They </w:t>
      </w:r>
      <w:r w:rsidR="008B7290">
        <w:t>c</w:t>
      </w:r>
      <w:r w:rsidR="00A87F7C">
        <w:t>ontracted</w:t>
      </w:r>
      <w:r w:rsidR="008B7290">
        <w:t xml:space="preserve"> </w:t>
      </w:r>
      <w:r w:rsidR="003338CE">
        <w:t>t</w:t>
      </w:r>
      <w:r>
        <w:t xml:space="preserve">he Office of Environmental Health and Hazard </w:t>
      </w:r>
      <w:r>
        <w:lastRenderedPageBreak/>
        <w:t>Assessment in the Cal</w:t>
      </w:r>
      <w:r w:rsidR="001C6758">
        <w:t>i</w:t>
      </w:r>
      <w:r>
        <w:t>fornian Environmental Protection Agency (OEHHA 2013)</w:t>
      </w:r>
      <w:r w:rsidR="003338CE">
        <w:t xml:space="preserve"> to model a level of </w:t>
      </w:r>
      <w:r w:rsidR="00FF060A">
        <w:t>PbAir</w:t>
      </w:r>
      <w:r w:rsidR="003338CE">
        <w:t xml:space="preserve"> which would ensure the </w:t>
      </w:r>
      <w:r w:rsidR="00CE3642">
        <w:t>“</w:t>
      </w:r>
      <w:r w:rsidR="003338CE" w:rsidRPr="00890163">
        <w:rPr>
          <w:i/>
        </w:rPr>
        <w:t>majority</w:t>
      </w:r>
      <w:r w:rsidR="00CE3642" w:rsidRPr="00CE3642">
        <w:t>”</w:t>
      </w:r>
      <w:r w:rsidR="003338CE">
        <w:t xml:space="preserve"> of workers would have a PbB &lt;10 </w:t>
      </w:r>
      <w:r w:rsidR="003338CE" w:rsidRPr="00570203">
        <w:t>µg/dL</w:t>
      </w:r>
      <w:r w:rsidR="003338CE">
        <w:t xml:space="preserve"> over a 40-year working lifetime. </w:t>
      </w:r>
    </w:p>
    <w:p w:rsidR="003338CE" w:rsidRDefault="003338CE" w:rsidP="00570203"/>
    <w:p w:rsidR="003338CE" w:rsidRDefault="001C6758" w:rsidP="00570203">
      <w:r>
        <w:t xml:space="preserve">The </w:t>
      </w:r>
      <w:r w:rsidR="003338CE">
        <w:t xml:space="preserve">pharmacokinetic modelling used an adjusted version of the non-linear Leggett model </w:t>
      </w:r>
      <w:r>
        <w:t>to make PbB</w:t>
      </w:r>
      <w:r w:rsidR="003338CE">
        <w:t xml:space="preserve"> predictions</w:t>
      </w:r>
      <w:r>
        <w:t xml:space="preserve"> from exposure to </w:t>
      </w:r>
      <w:r w:rsidR="00263767">
        <w:t>PbAir</w:t>
      </w:r>
      <w:r>
        <w:t xml:space="preserve"> in the workplace (OEHHA 2013)</w:t>
      </w:r>
      <w:r w:rsidR="003338CE">
        <w:t>. They adju</w:t>
      </w:r>
      <w:r>
        <w:t>sted blood, bone, and urine cle</w:t>
      </w:r>
      <w:r w:rsidR="003338CE">
        <w:t xml:space="preserve">arance parameters </w:t>
      </w:r>
      <w:r>
        <w:t xml:space="preserve">of the model </w:t>
      </w:r>
      <w:r w:rsidR="003338CE">
        <w:t xml:space="preserve">to fit data collected from workers chronically exposed to </w:t>
      </w:r>
      <w:r w:rsidR="00754780">
        <w:t>lead</w:t>
      </w:r>
      <w:r w:rsidR="003338CE">
        <w:t xml:space="preserve">, </w:t>
      </w:r>
      <w:r>
        <w:t xml:space="preserve">and </w:t>
      </w:r>
      <w:r w:rsidR="003338CE">
        <w:t xml:space="preserve">the general population environmentally exposed to </w:t>
      </w:r>
      <w:r w:rsidR="00754780">
        <w:t>lead</w:t>
      </w:r>
      <w:r w:rsidR="003338CE">
        <w:t xml:space="preserve">. They tested the adjusted model </w:t>
      </w:r>
      <w:r>
        <w:t xml:space="preserve">with several datasets from the literature </w:t>
      </w:r>
      <w:r w:rsidR="003338CE">
        <w:t xml:space="preserve">to ensure predictions compared well to observed data. </w:t>
      </w:r>
    </w:p>
    <w:p w:rsidR="003338CE" w:rsidRDefault="003338CE" w:rsidP="00570203"/>
    <w:p w:rsidR="008B7290" w:rsidRDefault="003338CE" w:rsidP="00570203">
      <w:r>
        <w:t>The adjusted model was used to simulate workplace inhalat</w:t>
      </w:r>
      <w:r w:rsidR="001C6758">
        <w:t xml:space="preserve">ion exposures that would result in a range of </w:t>
      </w:r>
      <w:r>
        <w:t xml:space="preserve">PbB </w:t>
      </w:r>
      <w:r w:rsidR="001C6758">
        <w:t xml:space="preserve">concentrations </w:t>
      </w:r>
      <w:r>
        <w:t>after 40 years of occupational exposure</w:t>
      </w:r>
      <w:r w:rsidR="001C6758">
        <w:t>. Exposure via background air and diet was included in the modelling</w:t>
      </w:r>
      <w:r>
        <w:t>. Using population PbB distributions based on epidemiologic data</w:t>
      </w:r>
      <w:r w:rsidR="00DC26D9">
        <w:t xml:space="preserve"> in children</w:t>
      </w:r>
      <w:r w:rsidR="00DC26D9">
        <w:rPr>
          <w:rStyle w:val="FootnoteReference"/>
        </w:rPr>
        <w:footnoteReference w:id="12"/>
      </w:r>
      <w:r>
        <w:t xml:space="preserve">, OEHHA (2013) calculated the </w:t>
      </w:r>
      <w:r w:rsidR="00DC26D9">
        <w:t>90</w:t>
      </w:r>
      <w:r w:rsidR="00DC26D9" w:rsidRPr="00444131">
        <w:rPr>
          <w:vertAlign w:val="superscript"/>
        </w:rPr>
        <w:t>th</w:t>
      </w:r>
      <w:r w:rsidR="00DC26D9">
        <w:t xml:space="preserve"> and 95</w:t>
      </w:r>
      <w:r w:rsidR="00DC26D9" w:rsidRPr="00444131">
        <w:rPr>
          <w:vertAlign w:val="superscript"/>
        </w:rPr>
        <w:t>th</w:t>
      </w:r>
      <w:r w:rsidR="00DC26D9">
        <w:t xml:space="preserve"> </w:t>
      </w:r>
      <w:r>
        <w:t xml:space="preserve">PbB </w:t>
      </w:r>
      <w:r w:rsidR="00DC26D9">
        <w:t xml:space="preserve">percentiles for workers </w:t>
      </w:r>
      <w:r w:rsidR="008B7290">
        <w:t>exposed t</w:t>
      </w:r>
      <w:r w:rsidR="00DC26D9">
        <w:t>o different</w:t>
      </w:r>
      <w:r w:rsidR="008B7290">
        <w:t xml:space="preserve"> concentration</w:t>
      </w:r>
      <w:r w:rsidR="00DC26D9">
        <w:t>s</w:t>
      </w:r>
      <w:r w:rsidR="008B7290">
        <w:t xml:space="preserve"> of </w:t>
      </w:r>
      <w:r w:rsidR="00FF060A">
        <w:t>PbAir</w:t>
      </w:r>
      <w:r w:rsidR="008B7290">
        <w:t xml:space="preserve">, ranging from 0.5 to 34 </w:t>
      </w:r>
      <w:r w:rsidR="008B7290" w:rsidRPr="00570203">
        <w:t>µ</w:t>
      </w:r>
      <w:r w:rsidR="008B7290">
        <w:t>g/m</w:t>
      </w:r>
      <w:r w:rsidR="008B7290">
        <w:rPr>
          <w:vertAlign w:val="superscript"/>
        </w:rPr>
        <w:t>3</w:t>
      </w:r>
      <w:r>
        <w:t>.</w:t>
      </w:r>
      <w:r w:rsidR="008B7290">
        <w:t xml:space="preserve"> </w:t>
      </w:r>
    </w:p>
    <w:p w:rsidR="008B7290" w:rsidRDefault="008B7290" w:rsidP="00570203"/>
    <w:p w:rsidR="008B7290" w:rsidRPr="00570203" w:rsidRDefault="008B7290" w:rsidP="008B7290">
      <w:r>
        <w:t>OEHHA (2013) also evaluated the time required for worker’s PbB to decline from a</w:t>
      </w:r>
      <w:r w:rsidR="00DC26D9">
        <w:t xml:space="preserve"> higher PbB (20, 30, 40, 50, or</w:t>
      </w:r>
      <w:r>
        <w:t xml:space="preserve"> 60 </w:t>
      </w:r>
      <w:r w:rsidRPr="00570203">
        <w:t>µg/dL</w:t>
      </w:r>
      <w:r>
        <w:t xml:space="preserve">) to 15 </w:t>
      </w:r>
      <w:r w:rsidRPr="00570203">
        <w:t>µg/dL</w:t>
      </w:r>
      <w:r>
        <w:t xml:space="preserve"> following cessation of 1, 10, 25 or 40 years workplace </w:t>
      </w:r>
      <w:r w:rsidR="00EC598D">
        <w:t>l</w:t>
      </w:r>
      <w:r w:rsidR="00637B4C">
        <w:t>ead</w:t>
      </w:r>
      <w:r w:rsidR="00EC598D">
        <w:t xml:space="preserve"> </w:t>
      </w:r>
      <w:r>
        <w:t xml:space="preserve">exposure. A target of 15 </w:t>
      </w:r>
      <w:r w:rsidRPr="00570203">
        <w:t>µg/dL</w:t>
      </w:r>
      <w:r>
        <w:t xml:space="preserve"> was used because the Cal DPH (2009) Medical Surveillance guidelines recommend a worker with elevated PbB not return to work until their PbB is below 15 </w:t>
      </w:r>
      <w:r w:rsidRPr="00570203">
        <w:t>µg/dL</w:t>
      </w:r>
      <w:r>
        <w:t xml:space="preserve">. </w:t>
      </w:r>
      <w:r w:rsidR="00DC26D9">
        <w:t xml:space="preserve">This appears to be at odds with the initial target of the modelling of &lt; 10 </w:t>
      </w:r>
      <w:r w:rsidR="00DC26D9" w:rsidRPr="00DC26D9">
        <w:rPr>
          <w:rFonts w:cs="Arial"/>
        </w:rPr>
        <w:t>µ</w:t>
      </w:r>
      <w:r w:rsidR="00DC26D9">
        <w:t xml:space="preserve">g/dL. </w:t>
      </w:r>
      <w:r>
        <w:t xml:space="preserve"> </w:t>
      </w:r>
    </w:p>
    <w:p w:rsidR="008B7290" w:rsidRDefault="008B7290" w:rsidP="00570203"/>
    <w:p w:rsidR="008B7290" w:rsidRDefault="008B7290" w:rsidP="00570203">
      <w:r>
        <w:t>Based on the</w:t>
      </w:r>
      <w:r w:rsidR="00DC26D9">
        <w:t xml:space="preserve"> modelling</w:t>
      </w:r>
      <w:r>
        <w:t xml:space="preserve"> results, in </w:t>
      </w:r>
      <w:r w:rsidR="00DC26D9">
        <w:t>order to prevent chronic PbB of</w:t>
      </w:r>
      <w:r>
        <w:t xml:space="preserve"> above 5 to 10 </w:t>
      </w:r>
      <w:r w:rsidRPr="00570203">
        <w:t>µg/dL</w:t>
      </w:r>
      <w:r>
        <w:t xml:space="preserve">, </w:t>
      </w:r>
      <w:r w:rsidR="00DC26D9">
        <w:t xml:space="preserve">Cal DPH (2013) recommended </w:t>
      </w:r>
      <w:r w:rsidR="00FF060A">
        <w:t>PbAir</w:t>
      </w:r>
      <w:r>
        <w:t xml:space="preserve"> levels in the workplace must not exceed an 8-hour TWA concentration of 0.0005 – 0.0021 mg/m</w:t>
      </w:r>
      <w:r>
        <w:rPr>
          <w:vertAlign w:val="superscript"/>
        </w:rPr>
        <w:t>3</w:t>
      </w:r>
      <w:r>
        <w:t xml:space="preserve"> (0.5 – 2.1 </w:t>
      </w:r>
      <w:r w:rsidRPr="00570203">
        <w:t>µ</w:t>
      </w:r>
      <w:r>
        <w:t>g/m</w:t>
      </w:r>
      <w:r>
        <w:rPr>
          <w:vertAlign w:val="superscript"/>
        </w:rPr>
        <w:t>3</w:t>
      </w:r>
      <w:r>
        <w:t>). At an air concentration of 0.0005 mg/m</w:t>
      </w:r>
      <w:r>
        <w:rPr>
          <w:vertAlign w:val="superscript"/>
        </w:rPr>
        <w:t>3</w:t>
      </w:r>
      <w:r>
        <w:t xml:space="preserve">, </w:t>
      </w:r>
      <w:r w:rsidR="00282D1A">
        <w:t xml:space="preserve">the modelling predicted </w:t>
      </w:r>
      <w:r>
        <w:t xml:space="preserve">95% of workers would have a PbB &lt;5 </w:t>
      </w:r>
      <w:r w:rsidRPr="00570203">
        <w:t>µg/dL</w:t>
      </w:r>
      <w:r>
        <w:t xml:space="preserve"> over a 40-year working lifetime. At a concentration of 0.0021 mg/m</w:t>
      </w:r>
      <w:r>
        <w:rPr>
          <w:vertAlign w:val="superscript"/>
        </w:rPr>
        <w:t>3</w:t>
      </w:r>
      <w:r>
        <w:t xml:space="preserve">, 95% of workers would have a PbB &lt; 10 </w:t>
      </w:r>
      <w:r w:rsidRPr="00570203">
        <w:t>µg/dL</w:t>
      </w:r>
      <w:r>
        <w:t xml:space="preserve"> and 57% a PbB &lt;5</w:t>
      </w:r>
      <w:r w:rsidRPr="008B7290">
        <w:t xml:space="preserve"> </w:t>
      </w:r>
      <w:r w:rsidRPr="00570203">
        <w:t>µg/dL</w:t>
      </w:r>
      <w:r>
        <w:t xml:space="preserve"> over their working lifetime.  </w:t>
      </w:r>
    </w:p>
    <w:p w:rsidR="008B7290" w:rsidRDefault="008B7290" w:rsidP="00570203"/>
    <w:p w:rsidR="008B7290" w:rsidRDefault="008B7290" w:rsidP="00570203">
      <w:r>
        <w:t xml:space="preserve">Cal DPH (2013) recognised technical and economic feasibility must also be considered in addition to the health information before establishing a legislative WES. </w:t>
      </w:r>
      <w:r w:rsidR="00282D1A">
        <w:t xml:space="preserve">The proposed WES of 0.0005 </w:t>
      </w:r>
      <w:r w:rsidR="00275F89">
        <w:t>m</w:t>
      </w:r>
      <w:r w:rsidR="00282D1A">
        <w:t>g/m</w:t>
      </w:r>
      <w:r w:rsidR="00282D1A">
        <w:rPr>
          <w:vertAlign w:val="superscript"/>
        </w:rPr>
        <w:t>3</w:t>
      </w:r>
      <w:r w:rsidR="00282D1A">
        <w:t xml:space="preserve"> is </w:t>
      </w:r>
      <w:r w:rsidR="00282D1A">
        <w:lastRenderedPageBreak/>
        <w:t>100 times lower than the current WES in California and those set by other organisations in the US, it is anticipated there will be concerted opposition to such a dramatic change.</w:t>
      </w:r>
    </w:p>
    <w:p w:rsidR="00A87F7C" w:rsidRDefault="00A87F7C" w:rsidP="00570203"/>
    <w:p w:rsidR="00A87F7C" w:rsidRDefault="00A87F7C" w:rsidP="00570203">
      <w:r>
        <w:t xml:space="preserve">It is noted the proposed WES uses a long term target concentration of worker PbB of &lt;10 or &lt;5 </w:t>
      </w:r>
      <w:r w:rsidRPr="00570203">
        <w:t>µg/dL</w:t>
      </w:r>
      <w:r>
        <w:t xml:space="preserve">. The revisions to the </w:t>
      </w:r>
      <w:r w:rsidR="00314205">
        <w:t>BLRL</w:t>
      </w:r>
      <w:r>
        <w:t xml:space="preserve">s proposed by California (Cal DPH 2011) of 30 or 20 </w:t>
      </w:r>
      <w:r w:rsidRPr="00570203">
        <w:t>µg/dL</w:t>
      </w:r>
      <w:r>
        <w:t xml:space="preserve"> are somewhat at odds with this advice. According to the modelling conducted by OEHHA (2013), 95% of the worker population would be expected to have PbB below 30 or 20 </w:t>
      </w:r>
      <w:r w:rsidRPr="00570203">
        <w:t>µg/dL</w:t>
      </w:r>
      <w:r>
        <w:t xml:space="preserve"> if exposed to </w:t>
      </w:r>
      <w:r w:rsidR="00FF060A">
        <w:t>PbAir</w:t>
      </w:r>
      <w:r>
        <w:t xml:space="preserve"> at 0.01</w:t>
      </w:r>
      <w:r w:rsidR="00275F89">
        <w:t>04</w:t>
      </w:r>
      <w:r>
        <w:t xml:space="preserve"> or 0.006 mg/m</w:t>
      </w:r>
      <w:r>
        <w:rPr>
          <w:vertAlign w:val="superscript"/>
        </w:rPr>
        <w:t>3</w:t>
      </w:r>
      <w:r w:rsidR="002A575E">
        <w:t>, respectively</w:t>
      </w:r>
      <w:r>
        <w:t xml:space="preserve"> (i.e. 10.4 or 6 </w:t>
      </w:r>
      <w:r w:rsidRPr="00570203">
        <w:t>µ</w:t>
      </w:r>
      <w:r>
        <w:t>g/m</w:t>
      </w:r>
      <w:r>
        <w:rPr>
          <w:vertAlign w:val="superscript"/>
        </w:rPr>
        <w:t>3</w:t>
      </w:r>
      <w:r>
        <w:t xml:space="preserve">). </w:t>
      </w:r>
    </w:p>
    <w:p w:rsidR="005E3F9C" w:rsidRDefault="005E3F9C" w:rsidP="00570203"/>
    <w:p w:rsidR="005E3F9C" w:rsidRDefault="005E3F9C" w:rsidP="00376116">
      <w:pPr>
        <w:pStyle w:val="Heading2"/>
      </w:pPr>
      <w:bookmarkStart w:id="10" w:name="_Toc391288218"/>
      <w:r>
        <w:t>2.2 Key points in Section 2</w:t>
      </w:r>
      <w:bookmarkEnd w:id="10"/>
    </w:p>
    <w:p w:rsidR="005E3F9C" w:rsidRDefault="005E3F9C" w:rsidP="005E3F9C">
      <w:r>
        <w:t xml:space="preserve">Summary comments are provided at the beginning of Section 2.1. It is evident many of the WES and </w:t>
      </w:r>
      <w:r w:rsidRPr="00B73A23">
        <w:t>B</w:t>
      </w:r>
      <w:r w:rsidR="00CE3642" w:rsidRPr="00B73A23">
        <w:t>LRL</w:t>
      </w:r>
      <w:r>
        <w:t xml:space="preserve"> were set a long time ago, and in the </w:t>
      </w:r>
      <w:r w:rsidRPr="00B73A23">
        <w:t>majority</w:t>
      </w:r>
      <w:r>
        <w:t xml:space="preserve"> of instances background documentation explaining the derivation of the values was not available. It is also clear many of the existing WES and </w:t>
      </w:r>
      <w:r w:rsidRPr="00B73A23">
        <w:t>B</w:t>
      </w:r>
      <w:r w:rsidR="00CE3642" w:rsidRPr="00B73A23">
        <w:t>LRL</w:t>
      </w:r>
      <w:r>
        <w:t xml:space="preserve"> do not incorporate consideration of recent understanding on health effects in adults and dose response.  It appears there may be </w:t>
      </w:r>
      <w:r w:rsidR="00507941">
        <w:t>ad</w:t>
      </w:r>
      <w:r w:rsidR="000666B8">
        <w:t xml:space="preserve">verse </w:t>
      </w:r>
      <w:r w:rsidR="00376116">
        <w:t xml:space="preserve">health effects at </w:t>
      </w:r>
      <w:r w:rsidR="00EC598D">
        <w:t>l</w:t>
      </w:r>
      <w:r w:rsidR="00637B4C">
        <w:t>ead</w:t>
      </w:r>
      <w:r w:rsidR="00EC598D">
        <w:t xml:space="preserve"> </w:t>
      </w:r>
      <w:r>
        <w:t xml:space="preserve">exposures less than those associated with many of the </w:t>
      </w:r>
      <w:r w:rsidR="00CE3642" w:rsidRPr="00B73A23">
        <w:t>BLRL</w:t>
      </w:r>
      <w:r w:rsidRPr="00CE3642">
        <w:t>.</w:t>
      </w:r>
      <w:r>
        <w:t xml:space="preserve">  </w:t>
      </w:r>
    </w:p>
    <w:p w:rsidR="005E3F9C" w:rsidRDefault="005E3F9C" w:rsidP="005E3F9C"/>
    <w:p w:rsidR="005E3F9C" w:rsidRDefault="005E3F9C" w:rsidP="005E3F9C">
      <w:r>
        <w:t>The work of the ACGIH in 1995 has been influential; many jurisd</w:t>
      </w:r>
      <w:r w:rsidR="00471CCC">
        <w:t xml:space="preserve">ictions appear to have ‘picked </w:t>
      </w:r>
      <w:r>
        <w:t>up</w:t>
      </w:r>
      <w:r w:rsidR="00471CCC">
        <w:t>’</w:t>
      </w:r>
      <w:r>
        <w:t xml:space="preserve"> the ACGIH recommendations. These, like many other WES and </w:t>
      </w:r>
      <w:r w:rsidR="00306669" w:rsidRPr="00B73A23">
        <w:t>BLRL</w:t>
      </w:r>
      <w:r>
        <w:t>, are nonetheless old and in need of update. Furthermore while ACGIH provides documentati</w:t>
      </w:r>
      <w:r w:rsidR="00376116">
        <w:t xml:space="preserve">on on the health effects of </w:t>
      </w:r>
      <w:r w:rsidR="00263767">
        <w:t>lead</w:t>
      </w:r>
      <w:r>
        <w:t>, the logic leading to the WES recommended value is somewhat obscure. In addition it is noted ACGIH is not a statu</w:t>
      </w:r>
      <w:r w:rsidR="00306669">
        <w:t>to</w:t>
      </w:r>
      <w:r>
        <w:t xml:space="preserve">ry body in the US and its deliberations do not have regulatory status. The competent regulatory authority in the US is OSHA and their WES and </w:t>
      </w:r>
      <w:r w:rsidRPr="003D0B05">
        <w:t>B</w:t>
      </w:r>
      <w:r w:rsidR="00306669" w:rsidRPr="003D0B05">
        <w:t>LRL</w:t>
      </w:r>
      <w:r>
        <w:t xml:space="preserve"> are higher than ACGIH for both females of reproductive capacity</w:t>
      </w:r>
      <w:r w:rsidR="00B1318A">
        <w:t xml:space="preserve"> and males</w:t>
      </w:r>
      <w:r>
        <w:t xml:space="preserve">. The European Union has the highest WES and </w:t>
      </w:r>
      <w:r w:rsidRPr="003D0B05">
        <w:t>B</w:t>
      </w:r>
      <w:r w:rsidR="00306669" w:rsidRPr="003D0B05">
        <w:t>LRL</w:t>
      </w:r>
      <w:r>
        <w:t xml:space="preserve"> set in 1998 with no supporting documentation</w:t>
      </w:r>
      <w:r w:rsidR="00DC53B8">
        <w:t>. These have</w:t>
      </w:r>
      <w:r>
        <w:t xml:space="preserve"> been adopted by member countries that have not establish</w:t>
      </w:r>
      <w:r w:rsidR="00376116">
        <w:t xml:space="preserve">ed their own guidelines for </w:t>
      </w:r>
      <w:r w:rsidR="00754780">
        <w:t>lead</w:t>
      </w:r>
      <w:r w:rsidR="00376116">
        <w:t xml:space="preserve">. </w:t>
      </w:r>
      <w:r w:rsidR="00306669">
        <w:t xml:space="preserve">Nevertheless, many European countries have chosen to adopt values lower than the general EU guidelines. </w:t>
      </w:r>
    </w:p>
    <w:p w:rsidR="00566A05" w:rsidRDefault="00566A05" w:rsidP="00025217">
      <w:pPr>
        <w:pStyle w:val="Heading1"/>
      </w:pPr>
      <w:bookmarkStart w:id="11" w:name="_Toc391288219"/>
      <w:r>
        <w:t xml:space="preserve">3. Alternatives to </w:t>
      </w:r>
      <w:r w:rsidR="000C3863">
        <w:t>PbB</w:t>
      </w:r>
      <w:bookmarkEnd w:id="11"/>
    </w:p>
    <w:p w:rsidR="00E506C9" w:rsidRDefault="00497A1A" w:rsidP="00025217">
      <w:pPr>
        <w:pStyle w:val="Heading2"/>
      </w:pPr>
      <w:bookmarkStart w:id="12" w:name="_Toc391288220"/>
      <w:r>
        <w:t>3.1 Measuring lead</w:t>
      </w:r>
      <w:r w:rsidR="002934C4">
        <w:t xml:space="preserve"> in biological media</w:t>
      </w:r>
      <w:bookmarkEnd w:id="12"/>
    </w:p>
    <w:p w:rsidR="00ED4816" w:rsidRDefault="00F86E9C" w:rsidP="00FC62BE">
      <w:r>
        <w:t xml:space="preserve">Bergdahl and Skerfving (2008) have reviewed alternatives to PbB and indicate there are a number </w:t>
      </w:r>
      <w:r w:rsidR="00ED4816">
        <w:t>of qualities that are of importance in evaluating a biomark</w:t>
      </w:r>
      <w:r w:rsidR="005A0D80">
        <w:t>er’s usefulness and performance. These are:</w:t>
      </w:r>
    </w:p>
    <w:p w:rsidR="00FC62BE" w:rsidRDefault="00ED4816" w:rsidP="00ED4816">
      <w:pPr>
        <w:pStyle w:val="ListParagraph"/>
        <w:numPr>
          <w:ilvl w:val="0"/>
          <w:numId w:val="11"/>
        </w:numPr>
      </w:pPr>
      <w:r>
        <w:t>Analytical accuracy and precision</w:t>
      </w:r>
    </w:p>
    <w:p w:rsidR="00ED4816" w:rsidRDefault="00ED4816" w:rsidP="00ED4816">
      <w:pPr>
        <w:pStyle w:val="ListParagraph"/>
        <w:numPr>
          <w:ilvl w:val="0"/>
          <w:numId w:val="11"/>
        </w:numPr>
      </w:pPr>
      <w:r>
        <w:t>Cost</w:t>
      </w:r>
    </w:p>
    <w:p w:rsidR="00ED4816" w:rsidRDefault="00ED4816" w:rsidP="00ED4816">
      <w:pPr>
        <w:pStyle w:val="ListParagraph"/>
        <w:numPr>
          <w:ilvl w:val="0"/>
          <w:numId w:val="11"/>
        </w:numPr>
      </w:pPr>
      <w:r>
        <w:t>Practical issues</w:t>
      </w:r>
    </w:p>
    <w:p w:rsidR="00ED4816" w:rsidRDefault="00ED4816" w:rsidP="00ED4816">
      <w:pPr>
        <w:pStyle w:val="ListParagraph"/>
        <w:numPr>
          <w:ilvl w:val="0"/>
          <w:numId w:val="11"/>
        </w:numPr>
      </w:pPr>
      <w:r>
        <w:lastRenderedPageBreak/>
        <w:t>What is reflected by the biomarker</w:t>
      </w:r>
    </w:p>
    <w:p w:rsidR="00ED4816" w:rsidRDefault="00ED4816" w:rsidP="00ED4816">
      <w:pPr>
        <w:pStyle w:val="ListParagraph"/>
        <w:numPr>
          <w:ilvl w:val="0"/>
          <w:numId w:val="11"/>
        </w:numPr>
      </w:pPr>
      <w:r>
        <w:t>Relationship to exposure</w:t>
      </w:r>
    </w:p>
    <w:p w:rsidR="00ED4816" w:rsidRDefault="00ED4816" w:rsidP="00ED4816">
      <w:pPr>
        <w:pStyle w:val="ListParagraph"/>
        <w:numPr>
          <w:ilvl w:val="0"/>
          <w:numId w:val="11"/>
        </w:numPr>
      </w:pPr>
      <w:r>
        <w:t>Relationship to effects</w:t>
      </w:r>
    </w:p>
    <w:p w:rsidR="00ED4816" w:rsidRDefault="00ED4816" w:rsidP="00ED4816"/>
    <w:p w:rsidR="00ED4816" w:rsidRDefault="005A0D80" w:rsidP="00ED4816">
      <w:r>
        <w:t>Information</w:t>
      </w:r>
      <w:r w:rsidR="00ED4816">
        <w:t xml:space="preserve"> indicate</w:t>
      </w:r>
      <w:r>
        <w:t>s</w:t>
      </w:r>
      <w:r w:rsidR="00ED4816">
        <w:t xml:space="preserve"> </w:t>
      </w:r>
      <w:r w:rsidR="00497A1A">
        <w:t xml:space="preserve">in many circumstances </w:t>
      </w:r>
      <w:r w:rsidR="00ED4816">
        <w:t xml:space="preserve">the best </w:t>
      </w:r>
      <w:r w:rsidR="00497A1A">
        <w:t xml:space="preserve">and </w:t>
      </w:r>
      <w:r w:rsidR="00754780" w:rsidRPr="003D0B05">
        <w:t>most</w:t>
      </w:r>
      <w:r w:rsidR="00497A1A">
        <w:t xml:space="preserve"> convenient</w:t>
      </w:r>
      <w:r w:rsidR="003D0B05">
        <w:t xml:space="preserve"> </w:t>
      </w:r>
      <w:r w:rsidR="00497A1A">
        <w:t xml:space="preserve">media in which to </w:t>
      </w:r>
      <w:r w:rsidR="003D0B05">
        <w:t xml:space="preserve">biomonitor exposure to </w:t>
      </w:r>
      <w:r w:rsidR="00497A1A">
        <w:t xml:space="preserve">lead is whole </w:t>
      </w:r>
      <w:r w:rsidR="00ED4816">
        <w:t xml:space="preserve">blood, but bone or teeth (for past exposures), faeces (for current </w:t>
      </w:r>
      <w:r w:rsidR="003D0B05">
        <w:t xml:space="preserve">oral </w:t>
      </w:r>
      <w:r w:rsidR="00ED4816">
        <w:t xml:space="preserve">exposure) or urine (for organic Pb) are </w:t>
      </w:r>
      <w:r w:rsidR="003D0B05">
        <w:t xml:space="preserve">also </w:t>
      </w:r>
      <w:r w:rsidR="00ED4816">
        <w:t xml:space="preserve">sometimes useful (Bergdahl and Skerfving 2008). </w:t>
      </w:r>
      <w:r w:rsidR="00497A1A">
        <w:t xml:space="preserve">Nevertheless </w:t>
      </w:r>
      <w:r w:rsidR="003D0B05">
        <w:t xml:space="preserve">whole </w:t>
      </w:r>
      <w:r w:rsidR="00497A1A">
        <w:t>b</w:t>
      </w:r>
      <w:r w:rsidR="00ED4816">
        <w:t>lood has shortco</w:t>
      </w:r>
      <w:r>
        <w:t>mings in that it shows slow</w:t>
      </w:r>
      <w:r w:rsidR="00ED4816">
        <w:t xml:space="preserve"> response to changes in exposure. The </w:t>
      </w:r>
      <w:r w:rsidR="00497A1A">
        <w:t>use of</w:t>
      </w:r>
      <w:r w:rsidR="00ED4816">
        <w:t xml:space="preserve"> plasma</w:t>
      </w:r>
      <w:r w:rsidR="003D0B05">
        <w:t>, which contains the free fraction of lead that is able to interact with target tissues,</w:t>
      </w:r>
      <w:r w:rsidR="00ED4816">
        <w:t xml:space="preserve"> has not been sufficiently evaluated to be considered an alternative in occupational health services (Bergdahl and Skerfving 2008). </w:t>
      </w:r>
    </w:p>
    <w:p w:rsidR="00497A1A" w:rsidRDefault="00497A1A" w:rsidP="00ED4816"/>
    <w:p w:rsidR="00680BED" w:rsidRDefault="003D0B05" w:rsidP="00ED4816">
      <w:r>
        <w:t xml:space="preserve">In the scientific and medical literature </w:t>
      </w:r>
      <w:r w:rsidR="00497A1A" w:rsidRPr="00497A1A">
        <w:t xml:space="preserve">PbB (i.e. whole blood) is by far the predominant parameter used for biomonitoring lead exposure. Lead has been measured in a number of alternative media (plasma, serum, urine, bone, teeth, faeces, hair, nails, sweat, saliva, milk, exhaled breath, and placenta), but when compared to </w:t>
      </w:r>
      <w:r w:rsidR="000C3863">
        <w:t>PbB</w:t>
      </w:r>
      <w:r w:rsidR="00497A1A" w:rsidRPr="00497A1A">
        <w:t xml:space="preserve"> they have limited applicability in the occupational arena.</w:t>
      </w:r>
      <w:r w:rsidR="00497A1A">
        <w:t xml:space="preserve"> </w:t>
      </w:r>
      <w:r w:rsidR="00680BED">
        <w:t xml:space="preserve">The principal issue with </w:t>
      </w:r>
      <w:r>
        <w:t xml:space="preserve">media </w:t>
      </w:r>
      <w:r w:rsidR="00680BED">
        <w:t>other than whole blood is the lack of information r</w:t>
      </w:r>
      <w:r w:rsidR="00794ADD">
        <w:t xml:space="preserve">elating the </w:t>
      </w:r>
      <w:r w:rsidR="00497A1A">
        <w:t xml:space="preserve">lead </w:t>
      </w:r>
      <w:r w:rsidR="00794ADD">
        <w:t xml:space="preserve">concentrations </w:t>
      </w:r>
      <w:r w:rsidR="00680BED">
        <w:t xml:space="preserve">to exposure and health effects. </w:t>
      </w:r>
      <w:r>
        <w:t>Due to</w:t>
      </w:r>
      <w:r w:rsidR="00680BED">
        <w:t xml:space="preserve"> its historical use, the database and available knowledge on PbB is much larger</w:t>
      </w:r>
      <w:r w:rsidR="00497A1A">
        <w:t xml:space="preserve"> and therefore makes whole blood a </w:t>
      </w:r>
      <w:r>
        <w:t xml:space="preserve">more appropriate </w:t>
      </w:r>
      <w:r w:rsidR="00497A1A">
        <w:t>media in which to measure lead</w:t>
      </w:r>
      <w:r w:rsidR="00680BED">
        <w:t xml:space="preserve">. </w:t>
      </w:r>
    </w:p>
    <w:p w:rsidR="001D4EAE" w:rsidRDefault="001D4EAE" w:rsidP="00ED4816"/>
    <w:p w:rsidR="00680BED" w:rsidRDefault="00680BED" w:rsidP="00ED4816">
      <w:r>
        <w:t xml:space="preserve">Perhaps the </w:t>
      </w:r>
      <w:r w:rsidR="003D0B05">
        <w:t xml:space="preserve">media </w:t>
      </w:r>
      <w:r>
        <w:t xml:space="preserve">that shows </w:t>
      </w:r>
      <w:r w:rsidR="00754780" w:rsidRPr="000D50CB">
        <w:t>most</w:t>
      </w:r>
      <w:r>
        <w:t xml:space="preserve"> promise </w:t>
      </w:r>
      <w:r w:rsidR="00757E77">
        <w:t>in</w:t>
      </w:r>
      <w:r>
        <w:t xml:space="preserve"> supplementing PbB information is bone lead, particularly as it provides a better indication of past exposures and total body burden. </w:t>
      </w:r>
      <w:r w:rsidR="00497A1A">
        <w:t>Since bone lead has been used as a research tool</w:t>
      </w:r>
      <w:r w:rsidR="006D197F">
        <w:t xml:space="preserve"> for occupational health monitoring in various industries, </w:t>
      </w:r>
      <w:r w:rsidR="00794ADD">
        <w:t xml:space="preserve">information </w:t>
      </w:r>
      <w:r w:rsidR="003D0B05">
        <w:t xml:space="preserve">is being obtained </w:t>
      </w:r>
      <w:r w:rsidR="00794ADD">
        <w:t>relating bone lead concentrations to</w:t>
      </w:r>
      <w:r w:rsidR="00497A1A">
        <w:t xml:space="preserve"> potential</w:t>
      </w:r>
      <w:r w:rsidR="00794ADD">
        <w:t xml:space="preserve"> health effect</w:t>
      </w:r>
      <w:r w:rsidR="00497A1A">
        <w:t>s</w:t>
      </w:r>
      <w:r w:rsidR="00794ADD">
        <w:t xml:space="preserve">. </w:t>
      </w:r>
      <w:r w:rsidR="00497A1A">
        <w:t xml:space="preserve">An advantage is </w:t>
      </w:r>
      <w:r w:rsidR="003D0B05">
        <w:t>the</w:t>
      </w:r>
      <w:r w:rsidR="003E4604">
        <w:t xml:space="preserve"> X-ray diffraction techniques are non-invasive</w:t>
      </w:r>
      <w:r w:rsidR="003D0B05">
        <w:t>.</w:t>
      </w:r>
      <w:r w:rsidR="003E4604">
        <w:t xml:space="preserve"> </w:t>
      </w:r>
      <w:r w:rsidR="00794ADD">
        <w:t>T</w:t>
      </w:r>
      <w:r>
        <w:t>here are</w:t>
      </w:r>
      <w:r w:rsidR="00794ADD">
        <w:t>, however,</w:t>
      </w:r>
      <w:r>
        <w:t xml:space="preserve"> obvious limitations concerning the costs and logistics</w:t>
      </w:r>
      <w:r w:rsidR="00794ADD">
        <w:t xml:space="preserve"> of using lead</w:t>
      </w:r>
      <w:r>
        <w:t xml:space="preserve"> in b</w:t>
      </w:r>
      <w:r w:rsidR="00794ADD">
        <w:t xml:space="preserve">one as a standard </w:t>
      </w:r>
      <w:r>
        <w:t>test in an occupational setting</w:t>
      </w:r>
      <w:r w:rsidR="005A0D80">
        <w:t>, particularly relating to initial investment costs for</w:t>
      </w:r>
      <w:r w:rsidR="003E4604">
        <w:t xml:space="preserve"> the equipment</w:t>
      </w:r>
      <w:r w:rsidR="005A0D80">
        <w:t xml:space="preserve"> and training to use it</w:t>
      </w:r>
      <w:r>
        <w:t xml:space="preserve">. </w:t>
      </w:r>
    </w:p>
    <w:p w:rsidR="003F4CAA" w:rsidRDefault="003F4CAA" w:rsidP="00ED4816"/>
    <w:p w:rsidR="006C6E1D" w:rsidRDefault="005A0D80" w:rsidP="00ED4816">
      <w:r>
        <w:t>Table 3.1 provides</w:t>
      </w:r>
      <w:r w:rsidR="003F4CAA">
        <w:t xml:space="preserve"> an overview of various </w:t>
      </w:r>
      <w:r w:rsidR="002934C4">
        <w:t xml:space="preserve">biological media in </w:t>
      </w:r>
      <w:r w:rsidR="001D4EAE">
        <w:t xml:space="preserve">which </w:t>
      </w:r>
      <w:r w:rsidR="002934C4">
        <w:t>lead has been measured</w:t>
      </w:r>
      <w:r w:rsidR="003F4CAA">
        <w:t xml:space="preserve">, and the advantages and disadvantages of each. It has been compiled from </w:t>
      </w:r>
      <w:r w:rsidR="0026066D">
        <w:t xml:space="preserve">many </w:t>
      </w:r>
      <w:r w:rsidR="003F4CAA">
        <w:t xml:space="preserve">references (Bergdahl and Skerfving 2008, </w:t>
      </w:r>
      <w:r w:rsidR="00794ADD">
        <w:t xml:space="preserve">Barbosa Jr et al. 2005, </w:t>
      </w:r>
      <w:r w:rsidR="004A1C8F">
        <w:t xml:space="preserve">Angerer et al. 2007, </w:t>
      </w:r>
      <w:r w:rsidR="00CB6E67">
        <w:t xml:space="preserve">Barreiros et al. 2013, Costa de Almeida et al. 2009, </w:t>
      </w:r>
      <w:r w:rsidR="00DC729B">
        <w:t>Esteban and Casta</w:t>
      </w:r>
      <w:r w:rsidR="00DC729B">
        <w:rPr>
          <w:rFonts w:cs="Arial"/>
        </w:rPr>
        <w:t>ñ</w:t>
      </w:r>
      <w:r w:rsidR="00DC729B">
        <w:t xml:space="preserve">o 2009, </w:t>
      </w:r>
      <w:r w:rsidR="009F3A19">
        <w:t xml:space="preserve">Gil et al. 2011, Grandjean 1978, </w:t>
      </w:r>
      <w:r w:rsidR="003E4604">
        <w:t xml:space="preserve">Hu et al. 2007, </w:t>
      </w:r>
      <w:r>
        <w:t>Iyengar and Rapp 2001,</w:t>
      </w:r>
      <w:r w:rsidR="006D197F">
        <w:t xml:space="preserve"> Khan et al. 2009, Koh et al. 2003,</w:t>
      </w:r>
      <w:r>
        <w:t xml:space="preserve"> </w:t>
      </w:r>
      <w:r w:rsidR="006D197F">
        <w:t>Lee 1999</w:t>
      </w:r>
      <w:r w:rsidR="00B03F1E">
        <w:t xml:space="preserve">, </w:t>
      </w:r>
      <w:r w:rsidR="00AD711F">
        <w:t xml:space="preserve">Omokhodion and Crockford 1991, </w:t>
      </w:r>
      <w:r w:rsidR="00B03F1E">
        <w:t>Rentschler et al. 2009, Rezende et al. 2010, Sajo-Bohus et al. 2004, Sakai 2000</w:t>
      </w:r>
      <w:r w:rsidR="00076344">
        <w:t>, Sch</w:t>
      </w:r>
      <w:r w:rsidR="00076344">
        <w:rPr>
          <w:rFonts w:cs="Arial"/>
        </w:rPr>
        <w:t>ü</w:t>
      </w:r>
      <w:r w:rsidR="00076344">
        <w:t xml:space="preserve">tz et al. 2005, Shih et al. 2007, Sommar et al. 2013, </w:t>
      </w:r>
      <w:r w:rsidR="00A341CF">
        <w:t>Stawarz et al. 2011, Thaweboon et al. 2005, Theppeang et al. 2004, Timchalk et al. 2004</w:t>
      </w:r>
      <w:r>
        <w:t xml:space="preserve">). The interested reader is urged to consult these references for more detail. </w:t>
      </w:r>
    </w:p>
    <w:p w:rsidR="00306669" w:rsidRDefault="00306669" w:rsidP="00ED4816">
      <w:pPr>
        <w:rPr>
          <w:b/>
        </w:rPr>
      </w:pPr>
    </w:p>
    <w:p w:rsidR="006C6E1D" w:rsidRPr="00966BA8" w:rsidRDefault="006C6E1D" w:rsidP="00ED4816">
      <w:pPr>
        <w:rPr>
          <w:b/>
          <w:vertAlign w:val="superscript"/>
        </w:rPr>
      </w:pPr>
      <w:r>
        <w:rPr>
          <w:b/>
        </w:rPr>
        <w:lastRenderedPageBreak/>
        <w:t xml:space="preserve">Table 3.1: Advantages and disadvantages of </w:t>
      </w:r>
      <w:r w:rsidR="00F23375">
        <w:rPr>
          <w:b/>
        </w:rPr>
        <w:t>exposure biomarkers for lead</w:t>
      </w:r>
      <w:r w:rsidR="000D50CB">
        <w:rPr>
          <w:b/>
        </w:rPr>
        <w:t xml:space="preserve"> </w:t>
      </w:r>
      <w:r w:rsidR="00966BA8">
        <w:rPr>
          <w:b/>
          <w:vertAlign w:val="superscript"/>
        </w:rPr>
        <w:t>a</w:t>
      </w: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1526"/>
        <w:gridCol w:w="3969"/>
        <w:gridCol w:w="4394"/>
      </w:tblGrid>
      <w:tr w:rsidR="003F4CAA" w:rsidTr="000D50CB">
        <w:trPr>
          <w:cantSplit/>
          <w:tblHeader/>
        </w:trPr>
        <w:tc>
          <w:tcPr>
            <w:tcW w:w="1526" w:type="dxa"/>
            <w:tcBorders>
              <w:top w:val="single" w:sz="12" w:space="0" w:color="auto"/>
              <w:bottom w:val="single" w:sz="12" w:space="0" w:color="auto"/>
            </w:tcBorders>
            <w:shd w:val="clear" w:color="auto" w:fill="B8CCE4" w:themeFill="accent1" w:themeFillTint="66"/>
          </w:tcPr>
          <w:p w:rsidR="003F4CAA" w:rsidRPr="00ED4816" w:rsidRDefault="003F4CAA" w:rsidP="00B21259">
            <w:pPr>
              <w:spacing w:line="240" w:lineRule="auto"/>
              <w:rPr>
                <w:b/>
              </w:rPr>
            </w:pPr>
            <w:r>
              <w:rPr>
                <w:b/>
              </w:rPr>
              <w:t>Biomarker</w:t>
            </w:r>
            <w:r w:rsidR="003D0B05">
              <w:rPr>
                <w:b/>
              </w:rPr>
              <w:t xml:space="preserve"> medium</w:t>
            </w:r>
          </w:p>
        </w:tc>
        <w:tc>
          <w:tcPr>
            <w:tcW w:w="3969" w:type="dxa"/>
            <w:tcBorders>
              <w:top w:val="single" w:sz="12" w:space="0" w:color="auto"/>
              <w:bottom w:val="single" w:sz="12" w:space="0" w:color="auto"/>
            </w:tcBorders>
            <w:shd w:val="clear" w:color="auto" w:fill="B8CCE4" w:themeFill="accent1" w:themeFillTint="66"/>
          </w:tcPr>
          <w:p w:rsidR="003F4CAA" w:rsidRPr="00ED4816" w:rsidRDefault="003F4CAA" w:rsidP="00B21259">
            <w:pPr>
              <w:spacing w:line="240" w:lineRule="auto"/>
              <w:rPr>
                <w:b/>
              </w:rPr>
            </w:pPr>
            <w:r>
              <w:rPr>
                <w:b/>
              </w:rPr>
              <w:t>Advantages</w:t>
            </w:r>
          </w:p>
        </w:tc>
        <w:tc>
          <w:tcPr>
            <w:tcW w:w="4394" w:type="dxa"/>
            <w:tcBorders>
              <w:top w:val="single" w:sz="12" w:space="0" w:color="auto"/>
              <w:bottom w:val="single" w:sz="12" w:space="0" w:color="auto"/>
            </w:tcBorders>
            <w:shd w:val="clear" w:color="auto" w:fill="B8CCE4" w:themeFill="accent1" w:themeFillTint="66"/>
          </w:tcPr>
          <w:p w:rsidR="003F4CAA" w:rsidRPr="00ED4816" w:rsidRDefault="003F4CAA" w:rsidP="00B21259">
            <w:pPr>
              <w:spacing w:line="240" w:lineRule="auto"/>
              <w:rPr>
                <w:b/>
              </w:rPr>
            </w:pPr>
            <w:r>
              <w:rPr>
                <w:b/>
              </w:rPr>
              <w:t>Disadvantages</w:t>
            </w:r>
          </w:p>
        </w:tc>
      </w:tr>
      <w:tr w:rsidR="003F4CAA" w:rsidTr="000D50CB">
        <w:trPr>
          <w:cantSplit/>
        </w:trPr>
        <w:tc>
          <w:tcPr>
            <w:tcW w:w="1526" w:type="dxa"/>
            <w:tcBorders>
              <w:top w:val="single" w:sz="12" w:space="0" w:color="auto"/>
            </w:tcBorders>
          </w:tcPr>
          <w:p w:rsidR="003F4CAA" w:rsidRDefault="003F4CAA" w:rsidP="00B21259">
            <w:pPr>
              <w:spacing w:line="240" w:lineRule="auto"/>
              <w:rPr>
                <w:sz w:val="20"/>
                <w:szCs w:val="20"/>
              </w:rPr>
            </w:pPr>
            <w:r w:rsidRPr="004E3A68">
              <w:rPr>
                <w:sz w:val="20"/>
                <w:szCs w:val="20"/>
              </w:rPr>
              <w:t>Whole blood</w:t>
            </w:r>
          </w:p>
          <w:p w:rsidR="00727E1E" w:rsidRPr="004E3A68" w:rsidRDefault="00727E1E" w:rsidP="00B21259">
            <w:pPr>
              <w:spacing w:line="240" w:lineRule="auto"/>
              <w:rPr>
                <w:sz w:val="20"/>
                <w:szCs w:val="20"/>
              </w:rPr>
            </w:pPr>
            <w:r>
              <w:rPr>
                <w:sz w:val="20"/>
                <w:szCs w:val="20"/>
              </w:rPr>
              <w:t>(PbB)</w:t>
            </w:r>
          </w:p>
        </w:tc>
        <w:tc>
          <w:tcPr>
            <w:tcW w:w="3969" w:type="dxa"/>
            <w:tcBorders>
              <w:top w:val="single" w:sz="12" w:space="0" w:color="auto"/>
            </w:tcBorders>
          </w:tcPr>
          <w:p w:rsidR="003F4CAA" w:rsidRDefault="003F4CAA" w:rsidP="00B21259">
            <w:pPr>
              <w:spacing w:line="240" w:lineRule="auto"/>
              <w:rPr>
                <w:sz w:val="20"/>
                <w:szCs w:val="20"/>
              </w:rPr>
            </w:pPr>
            <w:r w:rsidRPr="004E3A68">
              <w:rPr>
                <w:sz w:val="20"/>
                <w:szCs w:val="20"/>
              </w:rPr>
              <w:t>1. Good a</w:t>
            </w:r>
            <w:r>
              <w:rPr>
                <w:sz w:val="20"/>
                <w:szCs w:val="20"/>
              </w:rPr>
              <w:t xml:space="preserve">nalytical precision. </w:t>
            </w:r>
          </w:p>
          <w:p w:rsidR="003F4CAA" w:rsidRDefault="003F4CAA" w:rsidP="00B21259">
            <w:pPr>
              <w:spacing w:line="240" w:lineRule="auto"/>
              <w:rPr>
                <w:sz w:val="20"/>
                <w:szCs w:val="20"/>
              </w:rPr>
            </w:pPr>
            <w:r>
              <w:rPr>
                <w:sz w:val="20"/>
                <w:szCs w:val="20"/>
              </w:rPr>
              <w:t>2. Many inter</w:t>
            </w:r>
            <w:r w:rsidR="00EE2C4F">
              <w:rPr>
                <w:sz w:val="20"/>
                <w:szCs w:val="20"/>
              </w:rPr>
              <w:t>-</w:t>
            </w:r>
            <w:r>
              <w:rPr>
                <w:sz w:val="20"/>
                <w:szCs w:val="20"/>
              </w:rPr>
              <w:t xml:space="preserve">laboratory comparisons available; </w:t>
            </w:r>
            <w:r w:rsidR="0026066D">
              <w:rPr>
                <w:sz w:val="20"/>
                <w:szCs w:val="20"/>
              </w:rPr>
              <w:t xml:space="preserve">routine </w:t>
            </w:r>
            <w:r>
              <w:rPr>
                <w:sz w:val="20"/>
                <w:szCs w:val="20"/>
              </w:rPr>
              <w:t>standard techniques.</w:t>
            </w:r>
          </w:p>
          <w:p w:rsidR="003F4CAA" w:rsidRDefault="003F4CAA" w:rsidP="00B21259">
            <w:pPr>
              <w:spacing w:line="240" w:lineRule="auto"/>
              <w:rPr>
                <w:sz w:val="20"/>
                <w:szCs w:val="20"/>
              </w:rPr>
            </w:pPr>
            <w:r>
              <w:rPr>
                <w:sz w:val="20"/>
                <w:szCs w:val="20"/>
              </w:rPr>
              <w:t>3. Cost is relatively cheap compared to other media</w:t>
            </w:r>
            <w:r w:rsidR="00F23375">
              <w:rPr>
                <w:sz w:val="20"/>
                <w:szCs w:val="20"/>
              </w:rPr>
              <w:t>.</w:t>
            </w:r>
          </w:p>
          <w:p w:rsidR="001D4EAE" w:rsidRDefault="003F4CAA" w:rsidP="00B21259">
            <w:pPr>
              <w:spacing w:line="240" w:lineRule="auto"/>
              <w:rPr>
                <w:sz w:val="20"/>
                <w:szCs w:val="20"/>
              </w:rPr>
            </w:pPr>
            <w:r>
              <w:rPr>
                <w:sz w:val="20"/>
                <w:szCs w:val="20"/>
              </w:rPr>
              <w:t>4. Large database on health effect information relating to whole blood</w:t>
            </w:r>
            <w:r w:rsidR="0026066D">
              <w:rPr>
                <w:sz w:val="20"/>
                <w:szCs w:val="20"/>
              </w:rPr>
              <w:t>.</w:t>
            </w:r>
            <w:r>
              <w:rPr>
                <w:sz w:val="20"/>
                <w:szCs w:val="20"/>
              </w:rPr>
              <w:t xml:space="preserve"> </w:t>
            </w:r>
          </w:p>
          <w:p w:rsidR="00F23375" w:rsidRDefault="00F23375" w:rsidP="00B21259">
            <w:pPr>
              <w:spacing w:line="240" w:lineRule="auto"/>
              <w:rPr>
                <w:sz w:val="20"/>
                <w:szCs w:val="20"/>
              </w:rPr>
            </w:pPr>
            <w:r>
              <w:rPr>
                <w:sz w:val="20"/>
                <w:szCs w:val="20"/>
              </w:rPr>
              <w:t xml:space="preserve">5. Long history of use so there is a lot of experience </w:t>
            </w:r>
            <w:r w:rsidR="0026066D">
              <w:rPr>
                <w:sz w:val="20"/>
                <w:szCs w:val="20"/>
              </w:rPr>
              <w:t>and familiarity</w:t>
            </w:r>
            <w:r>
              <w:rPr>
                <w:sz w:val="20"/>
                <w:szCs w:val="20"/>
              </w:rPr>
              <w:t xml:space="preserve">. </w:t>
            </w:r>
          </w:p>
          <w:p w:rsidR="00076344" w:rsidRPr="004E3A68" w:rsidRDefault="00A341CF" w:rsidP="003D0B05">
            <w:pPr>
              <w:spacing w:line="240" w:lineRule="auto"/>
              <w:rPr>
                <w:sz w:val="20"/>
                <w:szCs w:val="20"/>
              </w:rPr>
            </w:pPr>
            <w:r>
              <w:rPr>
                <w:sz w:val="20"/>
                <w:szCs w:val="20"/>
              </w:rPr>
              <w:t xml:space="preserve">6. When compared with other biomarkers, PbB has the ability to discriminate between individuals with different mean concentrations (i.e. the </w:t>
            </w:r>
            <w:r w:rsidRPr="00727E1E">
              <w:rPr>
                <w:sz w:val="20"/>
                <w:szCs w:val="20"/>
              </w:rPr>
              <w:t>variance in measurements is attributable al</w:t>
            </w:r>
            <w:r w:rsidR="00754780" w:rsidRPr="00727E1E">
              <w:rPr>
                <w:sz w:val="20"/>
                <w:szCs w:val="20"/>
              </w:rPr>
              <w:t>most</w:t>
            </w:r>
            <w:r w:rsidRPr="00727E1E">
              <w:rPr>
                <w:sz w:val="20"/>
                <w:szCs w:val="20"/>
              </w:rPr>
              <w:t xml:space="preserve"> entirely</w:t>
            </w:r>
            <w:r>
              <w:rPr>
                <w:sz w:val="20"/>
                <w:szCs w:val="20"/>
              </w:rPr>
              <w:t xml:space="preserve"> to differences </w:t>
            </w:r>
            <w:r w:rsidR="003D0B05">
              <w:rPr>
                <w:sz w:val="20"/>
                <w:szCs w:val="20"/>
              </w:rPr>
              <w:t>in PbB concentrations and not analytical precision</w:t>
            </w:r>
            <w:r>
              <w:rPr>
                <w:sz w:val="20"/>
                <w:szCs w:val="20"/>
              </w:rPr>
              <w:t xml:space="preserve">). </w:t>
            </w:r>
          </w:p>
        </w:tc>
        <w:tc>
          <w:tcPr>
            <w:tcW w:w="4394" w:type="dxa"/>
            <w:tcBorders>
              <w:top w:val="single" w:sz="12" w:space="0" w:color="auto"/>
            </w:tcBorders>
          </w:tcPr>
          <w:p w:rsidR="003F4CAA" w:rsidRDefault="003F4CAA" w:rsidP="00B21259">
            <w:pPr>
              <w:spacing w:line="240" w:lineRule="auto"/>
              <w:rPr>
                <w:sz w:val="20"/>
                <w:szCs w:val="20"/>
              </w:rPr>
            </w:pPr>
            <w:r>
              <w:rPr>
                <w:sz w:val="20"/>
                <w:szCs w:val="20"/>
              </w:rPr>
              <w:t xml:space="preserve">1. Some </w:t>
            </w:r>
            <w:r w:rsidR="0026066D">
              <w:rPr>
                <w:sz w:val="20"/>
                <w:szCs w:val="20"/>
              </w:rPr>
              <w:t xml:space="preserve">minimal </w:t>
            </w:r>
            <w:r>
              <w:rPr>
                <w:sz w:val="20"/>
                <w:szCs w:val="20"/>
              </w:rPr>
              <w:t>risk of sample contamination</w:t>
            </w:r>
            <w:r w:rsidR="003D0B05">
              <w:rPr>
                <w:sz w:val="20"/>
                <w:szCs w:val="20"/>
              </w:rPr>
              <w:t xml:space="preserve"> if skin not thoroughly cleaned</w:t>
            </w:r>
            <w:r>
              <w:rPr>
                <w:sz w:val="20"/>
                <w:szCs w:val="20"/>
              </w:rPr>
              <w:t>.</w:t>
            </w:r>
          </w:p>
          <w:p w:rsidR="003F4CAA" w:rsidRDefault="003F4CAA" w:rsidP="00B21259">
            <w:pPr>
              <w:spacing w:line="240" w:lineRule="auto"/>
              <w:rPr>
                <w:sz w:val="20"/>
                <w:szCs w:val="20"/>
              </w:rPr>
            </w:pPr>
            <w:r>
              <w:rPr>
                <w:sz w:val="20"/>
                <w:szCs w:val="20"/>
              </w:rPr>
              <w:t xml:space="preserve">2. Process is invasive. </w:t>
            </w:r>
          </w:p>
          <w:p w:rsidR="00C22C69" w:rsidRDefault="00C22C69" w:rsidP="00B21259">
            <w:pPr>
              <w:spacing w:line="240" w:lineRule="auto"/>
              <w:rPr>
                <w:sz w:val="20"/>
                <w:szCs w:val="20"/>
              </w:rPr>
            </w:pPr>
            <w:r>
              <w:rPr>
                <w:sz w:val="20"/>
                <w:szCs w:val="20"/>
              </w:rPr>
              <w:t>3. Reflects relatively short-term exposure (months)</w:t>
            </w:r>
            <w:r w:rsidR="00F23375">
              <w:rPr>
                <w:sz w:val="20"/>
                <w:szCs w:val="20"/>
              </w:rPr>
              <w:t>; may not adequately reflect a sudden increase i</w:t>
            </w:r>
            <w:r w:rsidR="00966BA8">
              <w:rPr>
                <w:sz w:val="20"/>
                <w:szCs w:val="20"/>
              </w:rPr>
              <w:t>n exposure or cumulative exposure</w:t>
            </w:r>
            <w:r>
              <w:rPr>
                <w:sz w:val="20"/>
                <w:szCs w:val="20"/>
              </w:rPr>
              <w:t xml:space="preserve">. </w:t>
            </w:r>
          </w:p>
          <w:p w:rsidR="00C22C69" w:rsidRPr="004E3A68" w:rsidRDefault="00C22C69" w:rsidP="00B21259">
            <w:pPr>
              <w:spacing w:line="240" w:lineRule="auto"/>
              <w:rPr>
                <w:sz w:val="20"/>
                <w:szCs w:val="20"/>
              </w:rPr>
            </w:pP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t>Plasma</w:t>
            </w:r>
            <w:r w:rsidR="002934C4">
              <w:rPr>
                <w:sz w:val="20"/>
                <w:szCs w:val="20"/>
              </w:rPr>
              <w:t xml:space="preserve"> &amp; serum</w:t>
            </w:r>
          </w:p>
        </w:tc>
        <w:tc>
          <w:tcPr>
            <w:tcW w:w="3969" w:type="dxa"/>
          </w:tcPr>
          <w:p w:rsidR="003F4CAA" w:rsidRDefault="003F4CAA" w:rsidP="00B21259">
            <w:pPr>
              <w:spacing w:line="240" w:lineRule="auto"/>
              <w:rPr>
                <w:sz w:val="20"/>
                <w:szCs w:val="20"/>
              </w:rPr>
            </w:pPr>
            <w:r>
              <w:rPr>
                <w:sz w:val="20"/>
                <w:szCs w:val="20"/>
              </w:rPr>
              <w:t>1. Cost is relatively cheap compared to other media</w:t>
            </w:r>
          </w:p>
          <w:p w:rsidR="003F4CAA" w:rsidRDefault="003F4CAA" w:rsidP="00B21259">
            <w:pPr>
              <w:spacing w:line="240" w:lineRule="auto"/>
              <w:rPr>
                <w:sz w:val="20"/>
                <w:szCs w:val="20"/>
              </w:rPr>
            </w:pPr>
            <w:r>
              <w:rPr>
                <w:sz w:val="20"/>
                <w:szCs w:val="20"/>
              </w:rPr>
              <w:t xml:space="preserve">2. </w:t>
            </w:r>
            <w:r w:rsidR="002934C4">
              <w:rPr>
                <w:sz w:val="20"/>
                <w:szCs w:val="20"/>
              </w:rPr>
              <w:t xml:space="preserve">Plasma contains the body burden pool of lead that is able to interact with target tissues </w:t>
            </w:r>
            <w:r w:rsidR="00B03F1E">
              <w:rPr>
                <w:sz w:val="20"/>
                <w:szCs w:val="20"/>
              </w:rPr>
              <w:t xml:space="preserve">and </w:t>
            </w:r>
            <w:r w:rsidR="002934C4">
              <w:rPr>
                <w:sz w:val="20"/>
                <w:szCs w:val="20"/>
              </w:rPr>
              <w:t xml:space="preserve">therefore </w:t>
            </w:r>
            <w:r w:rsidR="00794ADD">
              <w:rPr>
                <w:sz w:val="20"/>
                <w:szCs w:val="20"/>
              </w:rPr>
              <w:t xml:space="preserve">represents a more relevant </w:t>
            </w:r>
            <w:r w:rsidR="002934C4">
              <w:rPr>
                <w:sz w:val="20"/>
                <w:szCs w:val="20"/>
              </w:rPr>
              <w:t xml:space="preserve">measurement </w:t>
            </w:r>
            <w:r w:rsidR="00794ADD">
              <w:rPr>
                <w:sz w:val="20"/>
                <w:szCs w:val="20"/>
              </w:rPr>
              <w:t>index</w:t>
            </w:r>
            <w:r w:rsidR="0026066D">
              <w:rPr>
                <w:sz w:val="20"/>
                <w:szCs w:val="20"/>
              </w:rPr>
              <w:t>.</w:t>
            </w:r>
            <w:r w:rsidR="00794ADD">
              <w:rPr>
                <w:sz w:val="20"/>
                <w:szCs w:val="20"/>
              </w:rPr>
              <w:t xml:space="preserve"> </w:t>
            </w:r>
          </w:p>
          <w:p w:rsidR="00076344" w:rsidRPr="004E3A68" w:rsidRDefault="00076344" w:rsidP="00533727">
            <w:pPr>
              <w:spacing w:line="240" w:lineRule="auto"/>
              <w:rPr>
                <w:sz w:val="20"/>
                <w:szCs w:val="20"/>
              </w:rPr>
            </w:pPr>
            <w:r>
              <w:rPr>
                <w:sz w:val="20"/>
                <w:szCs w:val="20"/>
              </w:rPr>
              <w:t>3. Can serve as a good indicator for recent exposure.</w:t>
            </w:r>
          </w:p>
        </w:tc>
        <w:tc>
          <w:tcPr>
            <w:tcW w:w="4394" w:type="dxa"/>
          </w:tcPr>
          <w:p w:rsidR="0026066D" w:rsidRDefault="0026066D" w:rsidP="00B21259">
            <w:pPr>
              <w:spacing w:line="240" w:lineRule="auto"/>
              <w:rPr>
                <w:sz w:val="20"/>
                <w:szCs w:val="20"/>
              </w:rPr>
            </w:pPr>
            <w:r>
              <w:rPr>
                <w:sz w:val="20"/>
                <w:szCs w:val="20"/>
              </w:rPr>
              <w:t>1.</w:t>
            </w:r>
            <w:r>
              <w:t xml:space="preserve"> </w:t>
            </w:r>
            <w:r w:rsidRPr="0026066D">
              <w:rPr>
                <w:sz w:val="20"/>
                <w:szCs w:val="20"/>
              </w:rPr>
              <w:t>The plasma lead pool is only approx. 1% of the lead in whole blood.</w:t>
            </w:r>
            <w:r>
              <w:rPr>
                <w:sz w:val="20"/>
                <w:szCs w:val="20"/>
              </w:rPr>
              <w:t xml:space="preserve"> </w:t>
            </w:r>
          </w:p>
          <w:p w:rsidR="008A71E8" w:rsidRDefault="001D4EAE" w:rsidP="00B21259">
            <w:pPr>
              <w:spacing w:line="240" w:lineRule="auto"/>
              <w:rPr>
                <w:sz w:val="20"/>
                <w:szCs w:val="20"/>
              </w:rPr>
            </w:pPr>
            <w:r>
              <w:rPr>
                <w:sz w:val="20"/>
                <w:szCs w:val="20"/>
              </w:rPr>
              <w:t>2</w:t>
            </w:r>
            <w:r w:rsidR="003F4CAA">
              <w:rPr>
                <w:sz w:val="20"/>
                <w:szCs w:val="20"/>
              </w:rPr>
              <w:t xml:space="preserve">. </w:t>
            </w:r>
            <w:r w:rsidR="003D0B05">
              <w:rPr>
                <w:sz w:val="20"/>
                <w:szCs w:val="20"/>
              </w:rPr>
              <w:t>Low d</w:t>
            </w:r>
            <w:r w:rsidR="003F4CAA">
              <w:rPr>
                <w:sz w:val="20"/>
                <w:szCs w:val="20"/>
              </w:rPr>
              <w:t>etection limits</w:t>
            </w:r>
            <w:r w:rsidR="003D0B05">
              <w:rPr>
                <w:sz w:val="20"/>
                <w:szCs w:val="20"/>
              </w:rPr>
              <w:t xml:space="preserve"> are</w:t>
            </w:r>
            <w:r w:rsidR="003F4CAA">
              <w:rPr>
                <w:sz w:val="20"/>
                <w:szCs w:val="20"/>
              </w:rPr>
              <w:t xml:space="preserve"> needed</w:t>
            </w:r>
            <w:r w:rsidR="003D0B05">
              <w:rPr>
                <w:sz w:val="20"/>
                <w:szCs w:val="20"/>
              </w:rPr>
              <w:t>.</w:t>
            </w:r>
            <w:r w:rsidR="003F4CAA">
              <w:rPr>
                <w:sz w:val="20"/>
                <w:szCs w:val="20"/>
              </w:rPr>
              <w:t xml:space="preserve"> </w:t>
            </w:r>
          </w:p>
          <w:p w:rsidR="003F4CAA" w:rsidRDefault="001D4EAE" w:rsidP="00B21259">
            <w:pPr>
              <w:spacing w:line="240" w:lineRule="auto"/>
              <w:rPr>
                <w:sz w:val="20"/>
                <w:szCs w:val="20"/>
              </w:rPr>
            </w:pPr>
            <w:r>
              <w:rPr>
                <w:sz w:val="20"/>
                <w:szCs w:val="20"/>
              </w:rPr>
              <w:t>3</w:t>
            </w:r>
            <w:r w:rsidR="003F4CAA">
              <w:rPr>
                <w:sz w:val="20"/>
                <w:szCs w:val="20"/>
              </w:rPr>
              <w:t>. No schemes for i</w:t>
            </w:r>
            <w:r w:rsidR="00794ADD">
              <w:rPr>
                <w:sz w:val="20"/>
                <w:szCs w:val="20"/>
              </w:rPr>
              <w:t>nter</w:t>
            </w:r>
            <w:r w:rsidR="00EE2C4F">
              <w:rPr>
                <w:sz w:val="20"/>
                <w:szCs w:val="20"/>
              </w:rPr>
              <w:t>-</w:t>
            </w:r>
            <w:r w:rsidR="00794ADD">
              <w:rPr>
                <w:sz w:val="20"/>
                <w:szCs w:val="20"/>
              </w:rPr>
              <w:t xml:space="preserve">laboratory comparison </w:t>
            </w:r>
            <w:r w:rsidR="008A71E8">
              <w:rPr>
                <w:sz w:val="20"/>
                <w:szCs w:val="20"/>
              </w:rPr>
              <w:t xml:space="preserve">appear to </w:t>
            </w:r>
            <w:r w:rsidR="00794ADD">
              <w:rPr>
                <w:sz w:val="20"/>
                <w:szCs w:val="20"/>
              </w:rPr>
              <w:t xml:space="preserve">exist, certified reference materials are lacking. </w:t>
            </w:r>
          </w:p>
          <w:p w:rsidR="003F4CAA" w:rsidRDefault="001D4EAE" w:rsidP="00B21259">
            <w:pPr>
              <w:spacing w:line="240" w:lineRule="auto"/>
              <w:rPr>
                <w:sz w:val="20"/>
                <w:szCs w:val="20"/>
              </w:rPr>
            </w:pPr>
            <w:r>
              <w:rPr>
                <w:sz w:val="20"/>
                <w:szCs w:val="20"/>
              </w:rPr>
              <w:t>4</w:t>
            </w:r>
            <w:r w:rsidR="003F4CAA">
              <w:rPr>
                <w:sz w:val="20"/>
                <w:szCs w:val="20"/>
              </w:rPr>
              <w:t xml:space="preserve">. Haemolysis </w:t>
            </w:r>
            <w:r w:rsidR="003D0B05">
              <w:rPr>
                <w:sz w:val="20"/>
                <w:szCs w:val="20"/>
              </w:rPr>
              <w:t xml:space="preserve">can </w:t>
            </w:r>
            <w:r w:rsidR="003F4CAA">
              <w:rPr>
                <w:sz w:val="20"/>
                <w:szCs w:val="20"/>
              </w:rPr>
              <w:t xml:space="preserve">often </w:t>
            </w:r>
            <w:r w:rsidR="003D0B05">
              <w:rPr>
                <w:sz w:val="20"/>
                <w:szCs w:val="20"/>
              </w:rPr>
              <w:t xml:space="preserve">occur </w:t>
            </w:r>
            <w:r w:rsidR="00794ADD">
              <w:rPr>
                <w:sz w:val="20"/>
                <w:szCs w:val="20"/>
              </w:rPr>
              <w:t xml:space="preserve">if </w:t>
            </w:r>
            <w:r w:rsidR="003D0B05">
              <w:rPr>
                <w:sz w:val="20"/>
                <w:szCs w:val="20"/>
              </w:rPr>
              <w:t xml:space="preserve">serum/plasma </w:t>
            </w:r>
            <w:r w:rsidR="00794ADD">
              <w:rPr>
                <w:sz w:val="20"/>
                <w:szCs w:val="20"/>
              </w:rPr>
              <w:t xml:space="preserve">isn’t </w:t>
            </w:r>
            <w:r w:rsidR="003D0B05">
              <w:rPr>
                <w:sz w:val="20"/>
                <w:szCs w:val="20"/>
              </w:rPr>
              <w:t xml:space="preserve">prepared </w:t>
            </w:r>
            <w:r w:rsidR="00794ADD">
              <w:rPr>
                <w:sz w:val="20"/>
                <w:szCs w:val="20"/>
              </w:rPr>
              <w:t>quickly after collection</w:t>
            </w:r>
            <w:r w:rsidR="003D0B05">
              <w:rPr>
                <w:sz w:val="20"/>
                <w:szCs w:val="20"/>
              </w:rPr>
              <w:t xml:space="preserve">. This </w:t>
            </w:r>
            <w:r w:rsidR="003F4CAA">
              <w:rPr>
                <w:sz w:val="20"/>
                <w:szCs w:val="20"/>
              </w:rPr>
              <w:t xml:space="preserve"> can </w:t>
            </w:r>
            <w:r w:rsidR="00794ADD">
              <w:rPr>
                <w:sz w:val="20"/>
                <w:szCs w:val="20"/>
              </w:rPr>
              <w:t xml:space="preserve">erroneously </w:t>
            </w:r>
            <w:r w:rsidR="003F4CAA">
              <w:rPr>
                <w:sz w:val="20"/>
                <w:szCs w:val="20"/>
              </w:rPr>
              <w:t xml:space="preserve">increase plasma </w:t>
            </w:r>
            <w:r w:rsidR="00EC598D">
              <w:rPr>
                <w:sz w:val="20"/>
                <w:szCs w:val="20"/>
              </w:rPr>
              <w:t>l</w:t>
            </w:r>
            <w:r w:rsidR="00637B4C">
              <w:rPr>
                <w:sz w:val="20"/>
                <w:szCs w:val="20"/>
              </w:rPr>
              <w:t>ead</w:t>
            </w:r>
            <w:r w:rsidR="00EC598D">
              <w:rPr>
                <w:sz w:val="20"/>
                <w:szCs w:val="20"/>
              </w:rPr>
              <w:t xml:space="preserve"> </w:t>
            </w:r>
            <w:r w:rsidR="003F4CAA">
              <w:rPr>
                <w:sz w:val="20"/>
                <w:szCs w:val="20"/>
              </w:rPr>
              <w:t>concentration.</w:t>
            </w:r>
          </w:p>
          <w:p w:rsidR="00C22C69" w:rsidRPr="004E3A68" w:rsidRDefault="001D4EAE" w:rsidP="003D0B05">
            <w:pPr>
              <w:spacing w:line="240" w:lineRule="auto"/>
              <w:rPr>
                <w:sz w:val="20"/>
                <w:szCs w:val="20"/>
              </w:rPr>
            </w:pPr>
            <w:r>
              <w:rPr>
                <w:sz w:val="20"/>
                <w:szCs w:val="20"/>
              </w:rPr>
              <w:t>5</w:t>
            </w:r>
            <w:r w:rsidR="00C22C69">
              <w:rPr>
                <w:sz w:val="20"/>
                <w:szCs w:val="20"/>
              </w:rPr>
              <w:t xml:space="preserve">. </w:t>
            </w:r>
            <w:r w:rsidR="003D0B05">
              <w:rPr>
                <w:sz w:val="20"/>
                <w:szCs w:val="20"/>
              </w:rPr>
              <w:t>There is l</w:t>
            </w:r>
            <w:r w:rsidR="00C22C69">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sidR="00C22C69">
              <w:rPr>
                <w:sz w:val="20"/>
                <w:szCs w:val="20"/>
              </w:rPr>
              <w:t>in th</w:t>
            </w:r>
            <w:r>
              <w:rPr>
                <w:sz w:val="20"/>
                <w:szCs w:val="20"/>
              </w:rPr>
              <w:t>ese media</w:t>
            </w:r>
            <w:r w:rsidR="00C22C69">
              <w:rPr>
                <w:sz w:val="20"/>
                <w:szCs w:val="20"/>
              </w:rPr>
              <w:t xml:space="preserve"> to exposure and effect.</w:t>
            </w: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t>Urine</w:t>
            </w:r>
          </w:p>
        </w:tc>
        <w:tc>
          <w:tcPr>
            <w:tcW w:w="3969" w:type="dxa"/>
          </w:tcPr>
          <w:p w:rsidR="003F4CAA" w:rsidRDefault="003F4CAA" w:rsidP="00B21259">
            <w:pPr>
              <w:spacing w:line="240" w:lineRule="auto"/>
              <w:rPr>
                <w:sz w:val="20"/>
                <w:szCs w:val="20"/>
              </w:rPr>
            </w:pPr>
            <w:r>
              <w:rPr>
                <w:sz w:val="20"/>
                <w:szCs w:val="20"/>
              </w:rPr>
              <w:t>1.</w:t>
            </w:r>
            <w:r w:rsidR="006D197F">
              <w:rPr>
                <w:sz w:val="20"/>
                <w:szCs w:val="20"/>
              </w:rPr>
              <w:t xml:space="preserve"> Generally </w:t>
            </w:r>
            <w:r w:rsidR="002934C4">
              <w:rPr>
                <w:sz w:val="20"/>
                <w:szCs w:val="20"/>
              </w:rPr>
              <w:t xml:space="preserve">easy and </w:t>
            </w:r>
            <w:r w:rsidR="006D197F">
              <w:rPr>
                <w:sz w:val="20"/>
                <w:szCs w:val="20"/>
              </w:rPr>
              <w:t xml:space="preserve">reliable </w:t>
            </w:r>
            <w:r w:rsidR="002934C4">
              <w:rPr>
                <w:sz w:val="20"/>
                <w:szCs w:val="20"/>
              </w:rPr>
              <w:t>to measure</w:t>
            </w:r>
            <w:r>
              <w:rPr>
                <w:sz w:val="20"/>
                <w:szCs w:val="20"/>
              </w:rPr>
              <w:t>.</w:t>
            </w:r>
          </w:p>
          <w:p w:rsidR="001D4EAE" w:rsidRDefault="003F4CAA" w:rsidP="00B21259">
            <w:pPr>
              <w:spacing w:line="240" w:lineRule="auto"/>
              <w:rPr>
                <w:sz w:val="20"/>
                <w:szCs w:val="20"/>
              </w:rPr>
            </w:pPr>
            <w:r>
              <w:rPr>
                <w:sz w:val="20"/>
                <w:szCs w:val="20"/>
              </w:rPr>
              <w:t>2. Cost is relatively cheap</w:t>
            </w:r>
            <w:r w:rsidR="002934C4">
              <w:rPr>
                <w:sz w:val="20"/>
                <w:szCs w:val="20"/>
              </w:rPr>
              <w:t>.</w:t>
            </w:r>
            <w:r>
              <w:rPr>
                <w:sz w:val="20"/>
                <w:szCs w:val="20"/>
              </w:rPr>
              <w:t xml:space="preserve"> </w:t>
            </w:r>
          </w:p>
          <w:p w:rsidR="003F4CAA" w:rsidRDefault="003F4CAA" w:rsidP="00B21259">
            <w:pPr>
              <w:spacing w:line="240" w:lineRule="auto"/>
              <w:rPr>
                <w:sz w:val="20"/>
                <w:szCs w:val="20"/>
              </w:rPr>
            </w:pPr>
            <w:r>
              <w:rPr>
                <w:sz w:val="20"/>
                <w:szCs w:val="20"/>
              </w:rPr>
              <w:t>3. Sample easy to obtain.</w:t>
            </w:r>
          </w:p>
          <w:p w:rsidR="003F4CAA" w:rsidRPr="004E3A68" w:rsidRDefault="003F4CAA" w:rsidP="008A71E8">
            <w:pPr>
              <w:spacing w:line="240" w:lineRule="auto"/>
              <w:rPr>
                <w:sz w:val="20"/>
                <w:szCs w:val="20"/>
              </w:rPr>
            </w:pPr>
            <w:r>
              <w:rPr>
                <w:sz w:val="20"/>
                <w:szCs w:val="20"/>
              </w:rPr>
              <w:t xml:space="preserve">4. Along with bone, more toxicological data available than other </w:t>
            </w:r>
            <w:r w:rsidR="008A71E8">
              <w:rPr>
                <w:sz w:val="20"/>
                <w:szCs w:val="20"/>
              </w:rPr>
              <w:t>biomarker media</w:t>
            </w:r>
            <w:r>
              <w:rPr>
                <w:sz w:val="20"/>
                <w:szCs w:val="20"/>
              </w:rPr>
              <w:t xml:space="preserve">, with the exception of whole blood. </w:t>
            </w:r>
          </w:p>
        </w:tc>
        <w:tc>
          <w:tcPr>
            <w:tcW w:w="4394" w:type="dxa"/>
          </w:tcPr>
          <w:p w:rsidR="003F4CAA" w:rsidRDefault="003F4CAA" w:rsidP="00B21259">
            <w:pPr>
              <w:spacing w:line="240" w:lineRule="auto"/>
              <w:rPr>
                <w:sz w:val="20"/>
                <w:szCs w:val="20"/>
              </w:rPr>
            </w:pPr>
            <w:r>
              <w:rPr>
                <w:sz w:val="20"/>
                <w:szCs w:val="20"/>
              </w:rPr>
              <w:t>1. Lower detection limits desirable than for whole blood.</w:t>
            </w:r>
          </w:p>
          <w:p w:rsidR="003F4CAA" w:rsidRDefault="003F4CAA" w:rsidP="00B21259">
            <w:pPr>
              <w:spacing w:line="240" w:lineRule="auto"/>
              <w:rPr>
                <w:sz w:val="20"/>
                <w:szCs w:val="20"/>
              </w:rPr>
            </w:pPr>
            <w:r>
              <w:rPr>
                <w:sz w:val="20"/>
                <w:szCs w:val="20"/>
              </w:rPr>
              <w:t>2. Available programs f</w:t>
            </w:r>
            <w:r w:rsidR="006D197F">
              <w:rPr>
                <w:sz w:val="20"/>
                <w:szCs w:val="20"/>
              </w:rPr>
              <w:t>or inter</w:t>
            </w:r>
            <w:r w:rsidR="00EE2C4F">
              <w:rPr>
                <w:sz w:val="20"/>
                <w:szCs w:val="20"/>
              </w:rPr>
              <w:t>-</w:t>
            </w:r>
            <w:r w:rsidR="006D197F">
              <w:rPr>
                <w:sz w:val="20"/>
                <w:szCs w:val="20"/>
              </w:rPr>
              <w:t>laboratory comparison</w:t>
            </w:r>
            <w:r>
              <w:rPr>
                <w:sz w:val="20"/>
                <w:szCs w:val="20"/>
              </w:rPr>
              <w:t xml:space="preserve"> </w:t>
            </w:r>
            <w:r w:rsidR="006D197F">
              <w:rPr>
                <w:sz w:val="20"/>
                <w:szCs w:val="20"/>
              </w:rPr>
              <w:t xml:space="preserve">fewer </w:t>
            </w:r>
            <w:r>
              <w:rPr>
                <w:sz w:val="20"/>
                <w:szCs w:val="20"/>
              </w:rPr>
              <w:t>than for whole blood.</w:t>
            </w:r>
          </w:p>
          <w:p w:rsidR="003F4CAA" w:rsidRDefault="003F4CAA" w:rsidP="00B21259">
            <w:pPr>
              <w:spacing w:line="240" w:lineRule="auto"/>
              <w:rPr>
                <w:sz w:val="20"/>
                <w:szCs w:val="20"/>
              </w:rPr>
            </w:pPr>
            <w:r>
              <w:rPr>
                <w:sz w:val="20"/>
                <w:szCs w:val="20"/>
              </w:rPr>
              <w:t>3. Sample contamination is easier than with blood.</w:t>
            </w:r>
          </w:p>
          <w:p w:rsidR="00C22C69" w:rsidRDefault="003F4CAA" w:rsidP="00B21259">
            <w:pPr>
              <w:spacing w:line="240" w:lineRule="auto"/>
              <w:rPr>
                <w:sz w:val="20"/>
                <w:szCs w:val="20"/>
              </w:rPr>
            </w:pPr>
            <w:r>
              <w:rPr>
                <w:sz w:val="20"/>
                <w:szCs w:val="20"/>
              </w:rPr>
              <w:t>4. Not a good index for total body burden (i.e. long-term accumulation).</w:t>
            </w:r>
          </w:p>
          <w:p w:rsidR="00F43D2F" w:rsidRPr="004E3A68" w:rsidRDefault="00F43D2F" w:rsidP="008A71E8">
            <w:pPr>
              <w:spacing w:line="240" w:lineRule="auto"/>
              <w:rPr>
                <w:sz w:val="20"/>
                <w:szCs w:val="20"/>
              </w:rPr>
            </w:pPr>
            <w:r>
              <w:rPr>
                <w:sz w:val="20"/>
                <w:szCs w:val="20"/>
              </w:rPr>
              <w:t>5. Spot urine specimen</w:t>
            </w:r>
            <w:r w:rsidR="008A71E8">
              <w:rPr>
                <w:sz w:val="20"/>
                <w:szCs w:val="20"/>
              </w:rPr>
              <w:t>s</w:t>
            </w:r>
            <w:r>
              <w:rPr>
                <w:sz w:val="20"/>
                <w:szCs w:val="20"/>
              </w:rPr>
              <w:t xml:space="preserve"> </w:t>
            </w:r>
            <w:r w:rsidR="008A71E8">
              <w:rPr>
                <w:sz w:val="20"/>
                <w:szCs w:val="20"/>
              </w:rPr>
              <w:t xml:space="preserve">are </w:t>
            </w:r>
            <w:r w:rsidR="00AB7AE2">
              <w:rPr>
                <w:sz w:val="20"/>
                <w:szCs w:val="20"/>
              </w:rPr>
              <w:t>potentially</w:t>
            </w:r>
            <w:r w:rsidR="008A71E8">
              <w:rPr>
                <w:sz w:val="20"/>
                <w:szCs w:val="20"/>
              </w:rPr>
              <w:t xml:space="preserve"> </w:t>
            </w:r>
            <w:r>
              <w:rPr>
                <w:sz w:val="20"/>
                <w:szCs w:val="20"/>
              </w:rPr>
              <w:t xml:space="preserve">unreliable because </w:t>
            </w:r>
            <w:r w:rsidR="008A71E8">
              <w:rPr>
                <w:sz w:val="20"/>
                <w:szCs w:val="20"/>
              </w:rPr>
              <w:t xml:space="preserve"> volume is</w:t>
            </w:r>
            <w:r>
              <w:rPr>
                <w:sz w:val="20"/>
                <w:szCs w:val="20"/>
              </w:rPr>
              <w:t xml:space="preserve"> subject to large variations </w:t>
            </w:r>
            <w:r w:rsidR="008A71E8">
              <w:rPr>
                <w:sz w:val="20"/>
                <w:szCs w:val="20"/>
              </w:rPr>
              <w:t xml:space="preserve">so measurements </w:t>
            </w:r>
            <w:r>
              <w:rPr>
                <w:sz w:val="20"/>
                <w:szCs w:val="20"/>
              </w:rPr>
              <w:t xml:space="preserve">need creatinine excretion correction. </w:t>
            </w:r>
          </w:p>
        </w:tc>
      </w:tr>
      <w:tr w:rsidR="003F4CAA" w:rsidTr="000D50CB">
        <w:trPr>
          <w:cantSplit/>
        </w:trPr>
        <w:tc>
          <w:tcPr>
            <w:tcW w:w="1526" w:type="dxa"/>
          </w:tcPr>
          <w:p w:rsidR="003F4CAA" w:rsidRDefault="003F4CAA" w:rsidP="00B21259">
            <w:pPr>
              <w:spacing w:line="240" w:lineRule="auto"/>
              <w:rPr>
                <w:sz w:val="20"/>
                <w:szCs w:val="20"/>
              </w:rPr>
            </w:pPr>
            <w:r>
              <w:rPr>
                <w:sz w:val="20"/>
                <w:szCs w:val="20"/>
              </w:rPr>
              <w:lastRenderedPageBreak/>
              <w:t>Bone</w:t>
            </w:r>
          </w:p>
          <w:p w:rsidR="002934C4" w:rsidRPr="002934C4" w:rsidRDefault="002934C4" w:rsidP="00B21259">
            <w:pPr>
              <w:spacing w:line="240" w:lineRule="auto"/>
              <w:rPr>
                <w:sz w:val="20"/>
                <w:szCs w:val="20"/>
              </w:rPr>
            </w:pPr>
            <w:r>
              <w:rPr>
                <w:sz w:val="20"/>
                <w:szCs w:val="20"/>
              </w:rPr>
              <w:t>(</w:t>
            </w:r>
            <w:r>
              <w:rPr>
                <w:i/>
                <w:sz w:val="20"/>
                <w:szCs w:val="20"/>
              </w:rPr>
              <w:t>in situ</w:t>
            </w:r>
            <w:r>
              <w:rPr>
                <w:sz w:val="20"/>
                <w:szCs w:val="20"/>
              </w:rPr>
              <w:t>)</w:t>
            </w:r>
          </w:p>
        </w:tc>
        <w:tc>
          <w:tcPr>
            <w:tcW w:w="3969" w:type="dxa"/>
          </w:tcPr>
          <w:p w:rsidR="003F4CAA" w:rsidRDefault="003F4CAA" w:rsidP="00B21259">
            <w:pPr>
              <w:spacing w:line="240" w:lineRule="auto"/>
              <w:rPr>
                <w:sz w:val="20"/>
                <w:szCs w:val="20"/>
              </w:rPr>
            </w:pPr>
            <w:r>
              <w:rPr>
                <w:sz w:val="20"/>
                <w:szCs w:val="20"/>
              </w:rPr>
              <w:t xml:space="preserve">1. Usually contains </w:t>
            </w:r>
            <w:r w:rsidR="008A71E8">
              <w:rPr>
                <w:sz w:val="20"/>
                <w:szCs w:val="20"/>
              </w:rPr>
              <w:t xml:space="preserve">easily measureable </w:t>
            </w:r>
            <w:r>
              <w:rPr>
                <w:sz w:val="20"/>
                <w:szCs w:val="20"/>
              </w:rPr>
              <w:t xml:space="preserve">levels of </w:t>
            </w:r>
            <w:r w:rsidR="00263767">
              <w:rPr>
                <w:sz w:val="20"/>
                <w:szCs w:val="20"/>
              </w:rPr>
              <w:t>lead</w:t>
            </w:r>
            <w:r>
              <w:rPr>
                <w:sz w:val="20"/>
                <w:szCs w:val="20"/>
              </w:rPr>
              <w:t>, so detection limits are often not a problem.</w:t>
            </w:r>
          </w:p>
          <w:p w:rsidR="003F4CAA" w:rsidRDefault="003F4CAA" w:rsidP="00B21259">
            <w:pPr>
              <w:spacing w:line="240" w:lineRule="auto"/>
              <w:rPr>
                <w:sz w:val="20"/>
                <w:szCs w:val="20"/>
              </w:rPr>
            </w:pPr>
            <w:r>
              <w:rPr>
                <w:sz w:val="20"/>
                <w:szCs w:val="20"/>
              </w:rPr>
              <w:t xml:space="preserve">2. Contamination is not </w:t>
            </w:r>
            <w:r w:rsidR="008A71E8">
              <w:rPr>
                <w:sz w:val="20"/>
                <w:szCs w:val="20"/>
              </w:rPr>
              <w:t>an</w:t>
            </w:r>
            <w:r>
              <w:rPr>
                <w:sz w:val="20"/>
                <w:szCs w:val="20"/>
              </w:rPr>
              <w:t xml:space="preserve"> issue</w:t>
            </w:r>
            <w:r w:rsidR="00331259">
              <w:rPr>
                <w:sz w:val="20"/>
                <w:szCs w:val="20"/>
              </w:rPr>
              <w:t xml:space="preserve"> if care taken</w:t>
            </w:r>
            <w:r>
              <w:rPr>
                <w:sz w:val="20"/>
                <w:szCs w:val="20"/>
              </w:rPr>
              <w:t xml:space="preserve">. </w:t>
            </w:r>
          </w:p>
          <w:p w:rsidR="003F4CAA" w:rsidRDefault="003F4CAA" w:rsidP="00B21259">
            <w:pPr>
              <w:spacing w:line="240" w:lineRule="auto"/>
              <w:rPr>
                <w:sz w:val="20"/>
                <w:szCs w:val="20"/>
              </w:rPr>
            </w:pPr>
            <w:r>
              <w:rPr>
                <w:sz w:val="20"/>
                <w:szCs w:val="20"/>
              </w:rPr>
              <w:t xml:space="preserve">3. Along with urine, more toxicological data </w:t>
            </w:r>
            <w:r w:rsidR="008A71E8">
              <w:rPr>
                <w:sz w:val="20"/>
                <w:szCs w:val="20"/>
              </w:rPr>
              <w:t xml:space="preserve">is </w:t>
            </w:r>
            <w:r>
              <w:rPr>
                <w:sz w:val="20"/>
                <w:szCs w:val="20"/>
              </w:rPr>
              <w:t xml:space="preserve">available than </w:t>
            </w:r>
            <w:r w:rsidR="006D197F">
              <w:rPr>
                <w:sz w:val="20"/>
                <w:szCs w:val="20"/>
              </w:rPr>
              <w:t xml:space="preserve">for </w:t>
            </w:r>
            <w:r>
              <w:rPr>
                <w:sz w:val="20"/>
                <w:szCs w:val="20"/>
              </w:rPr>
              <w:t>other biomarkers, with the exception of whole blood.</w:t>
            </w:r>
          </w:p>
          <w:p w:rsidR="006C6E1D" w:rsidRDefault="006C6E1D" w:rsidP="00B21259">
            <w:pPr>
              <w:spacing w:line="240" w:lineRule="auto"/>
              <w:rPr>
                <w:sz w:val="20"/>
                <w:szCs w:val="20"/>
              </w:rPr>
            </w:pPr>
            <w:r>
              <w:rPr>
                <w:sz w:val="20"/>
                <w:szCs w:val="20"/>
              </w:rPr>
              <w:t xml:space="preserve">4. Data is also available for </w:t>
            </w:r>
            <w:r w:rsidR="002934C4">
              <w:rPr>
                <w:sz w:val="20"/>
                <w:szCs w:val="20"/>
              </w:rPr>
              <w:t>developing ‘normal’</w:t>
            </w:r>
            <w:r>
              <w:rPr>
                <w:sz w:val="20"/>
                <w:szCs w:val="20"/>
              </w:rPr>
              <w:t xml:space="preserve"> reference levels of </w:t>
            </w:r>
            <w:r w:rsidR="00754780">
              <w:rPr>
                <w:sz w:val="20"/>
                <w:szCs w:val="20"/>
              </w:rPr>
              <w:t>lead</w:t>
            </w:r>
            <w:r>
              <w:rPr>
                <w:sz w:val="20"/>
                <w:szCs w:val="20"/>
              </w:rPr>
              <w:t>.</w:t>
            </w:r>
          </w:p>
          <w:p w:rsidR="003F4CAA" w:rsidRDefault="006C6E1D" w:rsidP="00B21259">
            <w:pPr>
              <w:spacing w:line="240" w:lineRule="auto"/>
              <w:rPr>
                <w:sz w:val="20"/>
                <w:szCs w:val="20"/>
              </w:rPr>
            </w:pPr>
            <w:r>
              <w:rPr>
                <w:sz w:val="20"/>
                <w:szCs w:val="20"/>
              </w:rPr>
              <w:t>5</w:t>
            </w:r>
            <w:r w:rsidR="003F4CAA">
              <w:rPr>
                <w:sz w:val="20"/>
                <w:szCs w:val="20"/>
              </w:rPr>
              <w:t xml:space="preserve">. </w:t>
            </w:r>
            <w:r w:rsidR="008A71E8">
              <w:rPr>
                <w:sz w:val="20"/>
                <w:szCs w:val="20"/>
              </w:rPr>
              <w:t>Lead in bone is the b</w:t>
            </w:r>
            <w:r w:rsidR="003F4CAA">
              <w:rPr>
                <w:sz w:val="20"/>
                <w:szCs w:val="20"/>
              </w:rPr>
              <w:t xml:space="preserve">est reflection of </w:t>
            </w:r>
            <w:r>
              <w:rPr>
                <w:sz w:val="20"/>
                <w:szCs w:val="20"/>
              </w:rPr>
              <w:t xml:space="preserve">cumulative </w:t>
            </w:r>
            <w:r w:rsidR="003F4CAA">
              <w:rPr>
                <w:sz w:val="20"/>
                <w:szCs w:val="20"/>
              </w:rPr>
              <w:t xml:space="preserve">long-term exposure &amp; total body </w:t>
            </w:r>
            <w:r w:rsidR="006E237D">
              <w:rPr>
                <w:sz w:val="20"/>
                <w:szCs w:val="20"/>
              </w:rPr>
              <w:t xml:space="preserve">burden, often with stronger associations </w:t>
            </w:r>
            <w:r w:rsidR="008A71E8">
              <w:rPr>
                <w:sz w:val="20"/>
                <w:szCs w:val="20"/>
              </w:rPr>
              <w:t>than</w:t>
            </w:r>
            <w:r w:rsidR="006E237D">
              <w:rPr>
                <w:sz w:val="20"/>
                <w:szCs w:val="20"/>
              </w:rPr>
              <w:t xml:space="preserve"> PbB. </w:t>
            </w:r>
          </w:p>
          <w:p w:rsidR="006C6E1D" w:rsidRPr="004E3A68" w:rsidRDefault="006C6E1D" w:rsidP="00B21259">
            <w:pPr>
              <w:spacing w:line="240" w:lineRule="auto"/>
              <w:rPr>
                <w:sz w:val="20"/>
                <w:szCs w:val="20"/>
              </w:rPr>
            </w:pPr>
            <w:r>
              <w:rPr>
                <w:sz w:val="20"/>
                <w:szCs w:val="20"/>
              </w:rPr>
              <w:t xml:space="preserve">6. </w:t>
            </w:r>
            <w:r w:rsidR="006D197F" w:rsidRPr="002934C4">
              <w:rPr>
                <w:i/>
                <w:sz w:val="20"/>
                <w:szCs w:val="20"/>
              </w:rPr>
              <w:t xml:space="preserve">In </w:t>
            </w:r>
            <w:r w:rsidRPr="002934C4">
              <w:rPr>
                <w:i/>
                <w:sz w:val="20"/>
                <w:szCs w:val="20"/>
              </w:rPr>
              <w:t>vivo</w:t>
            </w:r>
            <w:r>
              <w:rPr>
                <w:sz w:val="20"/>
                <w:szCs w:val="20"/>
              </w:rPr>
              <w:t xml:space="preserve"> XRF techniques are non-invasive. </w:t>
            </w:r>
          </w:p>
        </w:tc>
        <w:tc>
          <w:tcPr>
            <w:tcW w:w="4394" w:type="dxa"/>
          </w:tcPr>
          <w:p w:rsidR="003F4CAA" w:rsidRDefault="003F4CAA" w:rsidP="00B21259">
            <w:pPr>
              <w:spacing w:line="240" w:lineRule="auto"/>
              <w:rPr>
                <w:sz w:val="20"/>
                <w:szCs w:val="20"/>
              </w:rPr>
            </w:pPr>
            <w:r>
              <w:rPr>
                <w:sz w:val="20"/>
                <w:szCs w:val="20"/>
              </w:rPr>
              <w:t xml:space="preserve">1. Measurement is more difficult than </w:t>
            </w:r>
            <w:r w:rsidR="008A71E8">
              <w:rPr>
                <w:sz w:val="20"/>
                <w:szCs w:val="20"/>
              </w:rPr>
              <w:t xml:space="preserve">for </w:t>
            </w:r>
            <w:r>
              <w:rPr>
                <w:sz w:val="20"/>
                <w:szCs w:val="20"/>
              </w:rPr>
              <w:t>other biological samples</w:t>
            </w:r>
            <w:r w:rsidR="003E4604">
              <w:rPr>
                <w:sz w:val="20"/>
                <w:szCs w:val="20"/>
              </w:rPr>
              <w:t xml:space="preserve"> (e.g. thickness of overlying tissue and movement of subject can influence results)</w:t>
            </w:r>
            <w:r>
              <w:rPr>
                <w:sz w:val="20"/>
                <w:szCs w:val="20"/>
              </w:rPr>
              <w:t xml:space="preserve">, and analytical accuracy therefore more </w:t>
            </w:r>
            <w:r w:rsidR="002934C4">
              <w:rPr>
                <w:sz w:val="20"/>
                <w:szCs w:val="20"/>
              </w:rPr>
              <w:t xml:space="preserve">difficult </w:t>
            </w:r>
            <w:r>
              <w:rPr>
                <w:sz w:val="20"/>
                <w:szCs w:val="20"/>
              </w:rPr>
              <w:t>to ensure.</w:t>
            </w:r>
          </w:p>
          <w:p w:rsidR="003F4CAA" w:rsidRDefault="003F4CAA" w:rsidP="00B21259">
            <w:pPr>
              <w:spacing w:line="240" w:lineRule="auto"/>
              <w:rPr>
                <w:sz w:val="20"/>
                <w:szCs w:val="20"/>
              </w:rPr>
            </w:pPr>
            <w:r>
              <w:rPr>
                <w:sz w:val="20"/>
                <w:szCs w:val="20"/>
              </w:rPr>
              <w:t xml:space="preserve">2. Measurement requires </w:t>
            </w:r>
            <w:r w:rsidR="002934C4">
              <w:rPr>
                <w:sz w:val="20"/>
                <w:szCs w:val="20"/>
              </w:rPr>
              <w:t>special</w:t>
            </w:r>
            <w:r>
              <w:rPr>
                <w:sz w:val="20"/>
                <w:szCs w:val="20"/>
              </w:rPr>
              <w:t xml:space="preserve"> equipment </w:t>
            </w:r>
            <w:r w:rsidR="006C6E1D">
              <w:rPr>
                <w:sz w:val="20"/>
                <w:szCs w:val="20"/>
              </w:rPr>
              <w:t>(</w:t>
            </w:r>
            <w:r w:rsidR="006C6E1D" w:rsidRPr="002934C4">
              <w:rPr>
                <w:i/>
                <w:sz w:val="20"/>
                <w:szCs w:val="20"/>
              </w:rPr>
              <w:t>in vivo</w:t>
            </w:r>
            <w:r w:rsidR="006C6E1D">
              <w:rPr>
                <w:sz w:val="20"/>
                <w:szCs w:val="20"/>
              </w:rPr>
              <w:t xml:space="preserve"> XRF analysis) </w:t>
            </w:r>
            <w:r>
              <w:rPr>
                <w:sz w:val="20"/>
                <w:szCs w:val="20"/>
              </w:rPr>
              <w:t xml:space="preserve">which </w:t>
            </w:r>
            <w:r w:rsidR="002934C4">
              <w:rPr>
                <w:sz w:val="20"/>
                <w:szCs w:val="20"/>
              </w:rPr>
              <w:t xml:space="preserve">increases cost.  </w:t>
            </w:r>
          </w:p>
          <w:p w:rsidR="003E4604" w:rsidRDefault="003F4CAA" w:rsidP="00B21259">
            <w:pPr>
              <w:spacing w:line="240" w:lineRule="auto"/>
              <w:rPr>
                <w:sz w:val="20"/>
                <w:szCs w:val="20"/>
              </w:rPr>
            </w:pPr>
            <w:r>
              <w:rPr>
                <w:sz w:val="20"/>
                <w:szCs w:val="20"/>
              </w:rPr>
              <w:t xml:space="preserve">3. </w:t>
            </w:r>
            <w:r w:rsidRPr="002934C4">
              <w:rPr>
                <w:i/>
                <w:sz w:val="20"/>
                <w:szCs w:val="20"/>
              </w:rPr>
              <w:t>In situ</w:t>
            </w:r>
            <w:r>
              <w:rPr>
                <w:sz w:val="20"/>
                <w:szCs w:val="20"/>
              </w:rPr>
              <w:t xml:space="preserve"> sampling </w:t>
            </w:r>
            <w:r w:rsidR="006C6E1D">
              <w:rPr>
                <w:sz w:val="20"/>
                <w:szCs w:val="20"/>
              </w:rPr>
              <w:t xml:space="preserve">at the workplace </w:t>
            </w:r>
            <w:r>
              <w:rPr>
                <w:sz w:val="20"/>
                <w:szCs w:val="20"/>
              </w:rPr>
              <w:t>is often not possible</w:t>
            </w:r>
            <w:r w:rsidR="006C6E1D">
              <w:rPr>
                <w:sz w:val="20"/>
                <w:szCs w:val="20"/>
              </w:rPr>
              <w:t>, due to the need to transport the person to the equipment</w:t>
            </w:r>
            <w:r w:rsidR="00966BA8">
              <w:rPr>
                <w:sz w:val="20"/>
                <w:szCs w:val="20"/>
              </w:rPr>
              <w:t xml:space="preserve">. </w:t>
            </w:r>
          </w:p>
          <w:p w:rsidR="00331259" w:rsidRPr="004E3A68" w:rsidRDefault="00331259" w:rsidP="008A71E8">
            <w:pPr>
              <w:spacing w:line="240" w:lineRule="auto"/>
              <w:rPr>
                <w:sz w:val="20"/>
                <w:szCs w:val="20"/>
              </w:rPr>
            </w:pPr>
            <w:r>
              <w:rPr>
                <w:sz w:val="20"/>
                <w:szCs w:val="20"/>
              </w:rPr>
              <w:t xml:space="preserve">4. </w:t>
            </w:r>
            <w:r w:rsidR="008A71E8">
              <w:rPr>
                <w:sz w:val="20"/>
                <w:szCs w:val="20"/>
              </w:rPr>
              <w:t>There is</w:t>
            </w:r>
            <w:r>
              <w:rPr>
                <w:sz w:val="20"/>
                <w:szCs w:val="20"/>
              </w:rPr>
              <w:t xml:space="preserve"> not exhaustive knowledge of associations of bone concentrations and clinical health effects.</w:t>
            </w: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t>Teeth</w:t>
            </w:r>
          </w:p>
        </w:tc>
        <w:tc>
          <w:tcPr>
            <w:tcW w:w="3969" w:type="dxa"/>
          </w:tcPr>
          <w:p w:rsidR="003F4CAA" w:rsidRDefault="003F4CAA" w:rsidP="00B21259">
            <w:pPr>
              <w:spacing w:line="240" w:lineRule="auto"/>
              <w:rPr>
                <w:sz w:val="20"/>
                <w:szCs w:val="20"/>
              </w:rPr>
            </w:pPr>
            <w:r>
              <w:rPr>
                <w:sz w:val="20"/>
                <w:szCs w:val="20"/>
              </w:rPr>
              <w:t xml:space="preserve">1. Usually contain </w:t>
            </w:r>
            <w:r w:rsidR="008A71E8">
              <w:rPr>
                <w:sz w:val="20"/>
                <w:szCs w:val="20"/>
              </w:rPr>
              <w:t xml:space="preserve">measureable </w:t>
            </w:r>
            <w:r>
              <w:rPr>
                <w:sz w:val="20"/>
                <w:szCs w:val="20"/>
              </w:rPr>
              <w:t xml:space="preserve">levels of </w:t>
            </w:r>
            <w:r w:rsidR="00263767">
              <w:rPr>
                <w:sz w:val="20"/>
                <w:szCs w:val="20"/>
              </w:rPr>
              <w:t>lead</w:t>
            </w:r>
            <w:r>
              <w:rPr>
                <w:sz w:val="20"/>
                <w:szCs w:val="20"/>
              </w:rPr>
              <w:t xml:space="preserve">, so </w:t>
            </w:r>
            <w:r w:rsidR="00331259">
              <w:rPr>
                <w:sz w:val="20"/>
                <w:szCs w:val="20"/>
              </w:rPr>
              <w:t xml:space="preserve">chemical based </w:t>
            </w:r>
            <w:r>
              <w:rPr>
                <w:sz w:val="20"/>
                <w:szCs w:val="20"/>
              </w:rPr>
              <w:t>detection limits are often not a problem.</w:t>
            </w:r>
          </w:p>
          <w:p w:rsidR="003F4CAA" w:rsidRDefault="003F4CAA" w:rsidP="00B21259">
            <w:pPr>
              <w:spacing w:line="240" w:lineRule="auto"/>
              <w:rPr>
                <w:sz w:val="20"/>
                <w:szCs w:val="20"/>
              </w:rPr>
            </w:pPr>
            <w:r>
              <w:rPr>
                <w:sz w:val="20"/>
                <w:szCs w:val="20"/>
              </w:rPr>
              <w:t xml:space="preserve">2. Contamination is not a </w:t>
            </w:r>
            <w:r w:rsidR="008A71E8">
              <w:rPr>
                <w:sz w:val="20"/>
                <w:szCs w:val="20"/>
              </w:rPr>
              <w:t xml:space="preserve">significant </w:t>
            </w:r>
            <w:r>
              <w:rPr>
                <w:sz w:val="20"/>
                <w:szCs w:val="20"/>
              </w:rPr>
              <w:t>issue.</w:t>
            </w:r>
          </w:p>
          <w:p w:rsidR="00C22C69" w:rsidRDefault="00C22C69" w:rsidP="00B21259">
            <w:pPr>
              <w:spacing w:line="240" w:lineRule="auto"/>
              <w:rPr>
                <w:sz w:val="20"/>
                <w:szCs w:val="20"/>
              </w:rPr>
            </w:pPr>
            <w:r>
              <w:rPr>
                <w:sz w:val="20"/>
                <w:szCs w:val="20"/>
              </w:rPr>
              <w:t xml:space="preserve">3. May be more useful for obtaining temporal information of </w:t>
            </w:r>
            <w:r w:rsidR="00EC598D">
              <w:rPr>
                <w:sz w:val="20"/>
                <w:szCs w:val="20"/>
              </w:rPr>
              <w:t>l</w:t>
            </w:r>
            <w:r w:rsidR="00637B4C">
              <w:rPr>
                <w:sz w:val="20"/>
                <w:szCs w:val="20"/>
              </w:rPr>
              <w:t>ead</w:t>
            </w:r>
            <w:r w:rsidR="00EC598D">
              <w:rPr>
                <w:sz w:val="20"/>
                <w:szCs w:val="20"/>
              </w:rPr>
              <w:t xml:space="preserve"> </w:t>
            </w:r>
            <w:r>
              <w:rPr>
                <w:sz w:val="20"/>
                <w:szCs w:val="20"/>
              </w:rPr>
              <w:t>exposure du</w:t>
            </w:r>
            <w:r w:rsidR="006C6E1D">
              <w:rPr>
                <w:sz w:val="20"/>
                <w:szCs w:val="20"/>
              </w:rPr>
              <w:t xml:space="preserve">ring pre- and neonatal periods, i.e. through the use of deciduous teeth. </w:t>
            </w:r>
          </w:p>
          <w:p w:rsidR="006C6E1D" w:rsidRPr="004E3A68" w:rsidRDefault="006C6E1D" w:rsidP="00B21259">
            <w:pPr>
              <w:spacing w:line="240" w:lineRule="auto"/>
              <w:rPr>
                <w:sz w:val="20"/>
                <w:szCs w:val="20"/>
              </w:rPr>
            </w:pPr>
          </w:p>
        </w:tc>
        <w:tc>
          <w:tcPr>
            <w:tcW w:w="4394" w:type="dxa"/>
          </w:tcPr>
          <w:p w:rsidR="003F4CAA" w:rsidRDefault="003F4CAA" w:rsidP="00B21259">
            <w:pPr>
              <w:spacing w:line="240" w:lineRule="auto"/>
              <w:rPr>
                <w:sz w:val="20"/>
                <w:szCs w:val="20"/>
              </w:rPr>
            </w:pPr>
            <w:r>
              <w:rPr>
                <w:sz w:val="20"/>
                <w:szCs w:val="20"/>
              </w:rPr>
              <w:t xml:space="preserve">1. </w:t>
            </w:r>
            <w:r w:rsidR="0015026D">
              <w:rPr>
                <w:sz w:val="20"/>
                <w:szCs w:val="20"/>
              </w:rPr>
              <w:t>L</w:t>
            </w:r>
            <w:r>
              <w:rPr>
                <w:sz w:val="20"/>
                <w:szCs w:val="20"/>
              </w:rPr>
              <w:t>ittle experience with this medium, as it is rarely used.</w:t>
            </w:r>
          </w:p>
          <w:p w:rsidR="003F4CAA" w:rsidRDefault="003F4CAA" w:rsidP="00B21259">
            <w:pPr>
              <w:spacing w:line="240" w:lineRule="auto"/>
              <w:rPr>
                <w:sz w:val="20"/>
                <w:szCs w:val="20"/>
              </w:rPr>
            </w:pPr>
            <w:r>
              <w:rPr>
                <w:sz w:val="20"/>
                <w:szCs w:val="20"/>
              </w:rPr>
              <w:t xml:space="preserve">2. Difficult to make a good homogenate of a tooth. </w:t>
            </w:r>
          </w:p>
          <w:p w:rsidR="00C22C69" w:rsidRDefault="00C22C69" w:rsidP="00B21259">
            <w:pPr>
              <w:spacing w:line="240" w:lineRule="auto"/>
              <w:rPr>
                <w:sz w:val="20"/>
                <w:szCs w:val="20"/>
              </w:rPr>
            </w:pPr>
            <w:r>
              <w:rPr>
                <w:sz w:val="20"/>
                <w:szCs w:val="20"/>
              </w:rPr>
              <w:t xml:space="preserve">3. Not a good correlation between </w:t>
            </w:r>
            <w:r w:rsidR="00EC598D">
              <w:rPr>
                <w:sz w:val="20"/>
                <w:szCs w:val="20"/>
              </w:rPr>
              <w:t>l</w:t>
            </w:r>
            <w:r w:rsidR="00637B4C">
              <w:rPr>
                <w:sz w:val="20"/>
                <w:szCs w:val="20"/>
              </w:rPr>
              <w:t>ead</w:t>
            </w:r>
            <w:r w:rsidR="00EC598D">
              <w:rPr>
                <w:sz w:val="20"/>
                <w:szCs w:val="20"/>
              </w:rPr>
              <w:t xml:space="preserve"> </w:t>
            </w:r>
            <w:r>
              <w:rPr>
                <w:sz w:val="20"/>
                <w:szCs w:val="20"/>
              </w:rPr>
              <w:t xml:space="preserve">in teeth and blood. </w:t>
            </w:r>
          </w:p>
          <w:p w:rsidR="00C22C69" w:rsidRDefault="00C22C69" w:rsidP="00B21259">
            <w:pPr>
              <w:spacing w:line="240" w:lineRule="auto"/>
              <w:rPr>
                <w:sz w:val="20"/>
                <w:szCs w:val="20"/>
              </w:rPr>
            </w:pPr>
            <w:r>
              <w:rPr>
                <w:sz w:val="20"/>
                <w:szCs w:val="20"/>
              </w:rPr>
              <w:t xml:space="preserve">4. </w:t>
            </w:r>
            <w:r w:rsidR="0015026D">
              <w:rPr>
                <w:sz w:val="20"/>
                <w:szCs w:val="20"/>
              </w:rPr>
              <w:t>L</w:t>
            </w:r>
            <w:r>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Pr>
                <w:sz w:val="20"/>
                <w:szCs w:val="20"/>
              </w:rPr>
              <w:t>in this medium to exposure and effect.</w:t>
            </w:r>
          </w:p>
          <w:p w:rsidR="006C6E1D" w:rsidRPr="004E3A68" w:rsidRDefault="006C6E1D" w:rsidP="00B21259">
            <w:pPr>
              <w:spacing w:line="240" w:lineRule="auto"/>
              <w:rPr>
                <w:sz w:val="20"/>
                <w:szCs w:val="20"/>
              </w:rPr>
            </w:pPr>
            <w:r>
              <w:rPr>
                <w:sz w:val="20"/>
                <w:szCs w:val="20"/>
              </w:rPr>
              <w:t>5. Little usefulness for assessing occupational exposure</w:t>
            </w:r>
            <w:r w:rsidR="00966BA8">
              <w:rPr>
                <w:sz w:val="20"/>
                <w:szCs w:val="20"/>
              </w:rPr>
              <w:t xml:space="preserve">, as primary </w:t>
            </w:r>
            <w:r w:rsidR="00331259">
              <w:rPr>
                <w:sz w:val="20"/>
                <w:szCs w:val="20"/>
              </w:rPr>
              <w:t>sample source</w:t>
            </w:r>
            <w:r w:rsidR="00966BA8">
              <w:rPr>
                <w:sz w:val="20"/>
                <w:szCs w:val="20"/>
              </w:rPr>
              <w:t xml:space="preserve"> would be deciduous teeth</w:t>
            </w:r>
            <w:r>
              <w:rPr>
                <w:sz w:val="20"/>
                <w:szCs w:val="20"/>
              </w:rPr>
              <w:t xml:space="preserve">. </w:t>
            </w: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t>Faeces</w:t>
            </w:r>
          </w:p>
        </w:tc>
        <w:tc>
          <w:tcPr>
            <w:tcW w:w="3969" w:type="dxa"/>
          </w:tcPr>
          <w:p w:rsidR="003F4CAA" w:rsidRDefault="003F4CAA" w:rsidP="00B21259">
            <w:pPr>
              <w:spacing w:line="240" w:lineRule="auto"/>
              <w:rPr>
                <w:sz w:val="20"/>
                <w:szCs w:val="20"/>
              </w:rPr>
            </w:pPr>
            <w:r>
              <w:rPr>
                <w:sz w:val="20"/>
                <w:szCs w:val="20"/>
              </w:rPr>
              <w:t>1. Non-invasive</w:t>
            </w:r>
          </w:p>
          <w:p w:rsidR="00C22C69" w:rsidRPr="004E3A68" w:rsidRDefault="00C22C69" w:rsidP="00B21259">
            <w:pPr>
              <w:spacing w:line="240" w:lineRule="auto"/>
              <w:rPr>
                <w:sz w:val="20"/>
                <w:szCs w:val="20"/>
              </w:rPr>
            </w:pPr>
            <w:r>
              <w:rPr>
                <w:sz w:val="20"/>
                <w:szCs w:val="20"/>
              </w:rPr>
              <w:t xml:space="preserve">2. Useful as indicator of oral intake. </w:t>
            </w:r>
          </w:p>
        </w:tc>
        <w:tc>
          <w:tcPr>
            <w:tcW w:w="4394" w:type="dxa"/>
          </w:tcPr>
          <w:p w:rsidR="003F4CAA" w:rsidRDefault="003F4CAA" w:rsidP="00B21259">
            <w:pPr>
              <w:spacing w:line="240" w:lineRule="auto"/>
              <w:rPr>
                <w:sz w:val="20"/>
                <w:szCs w:val="20"/>
              </w:rPr>
            </w:pPr>
            <w:r>
              <w:rPr>
                <w:sz w:val="20"/>
                <w:szCs w:val="20"/>
              </w:rPr>
              <w:t xml:space="preserve">1. </w:t>
            </w:r>
            <w:r w:rsidR="0015026D">
              <w:rPr>
                <w:sz w:val="20"/>
                <w:szCs w:val="20"/>
              </w:rPr>
              <w:t>L</w:t>
            </w:r>
            <w:r>
              <w:rPr>
                <w:sz w:val="20"/>
                <w:szCs w:val="20"/>
              </w:rPr>
              <w:t>ittle experience with this medium, as it is rarely used.</w:t>
            </w:r>
          </w:p>
          <w:p w:rsidR="00C22C69" w:rsidRDefault="00C22C69" w:rsidP="00B21259">
            <w:pPr>
              <w:spacing w:line="240" w:lineRule="auto"/>
              <w:rPr>
                <w:sz w:val="20"/>
                <w:szCs w:val="20"/>
              </w:rPr>
            </w:pPr>
            <w:r>
              <w:rPr>
                <w:sz w:val="20"/>
                <w:szCs w:val="20"/>
              </w:rPr>
              <w:t xml:space="preserve">2. </w:t>
            </w:r>
            <w:r w:rsidR="0015026D">
              <w:rPr>
                <w:sz w:val="20"/>
                <w:szCs w:val="20"/>
              </w:rPr>
              <w:t>L</w:t>
            </w:r>
            <w:r>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Pr>
                <w:sz w:val="20"/>
                <w:szCs w:val="20"/>
              </w:rPr>
              <w:t>in this medium to exposure and effect.</w:t>
            </w:r>
          </w:p>
          <w:p w:rsidR="00F43D2F" w:rsidRDefault="00F43D2F" w:rsidP="00B21259">
            <w:pPr>
              <w:spacing w:line="240" w:lineRule="auto"/>
              <w:rPr>
                <w:sz w:val="20"/>
                <w:szCs w:val="20"/>
              </w:rPr>
            </w:pPr>
            <w:r>
              <w:rPr>
                <w:sz w:val="20"/>
                <w:szCs w:val="20"/>
              </w:rPr>
              <w:t>3. Inter</w:t>
            </w:r>
            <w:r w:rsidR="00331259">
              <w:rPr>
                <w:sz w:val="20"/>
                <w:szCs w:val="20"/>
              </w:rPr>
              <w:t>-</w:t>
            </w:r>
            <w:r w:rsidR="00AB7AE2">
              <w:rPr>
                <w:sz w:val="20"/>
                <w:szCs w:val="20"/>
              </w:rPr>
              <w:t>individual</w:t>
            </w:r>
            <w:r>
              <w:rPr>
                <w:sz w:val="20"/>
                <w:szCs w:val="20"/>
              </w:rPr>
              <w:t xml:space="preserve"> variation in absorption and endogenous (biliary) excretion may be mis-interpreted as variation in environmental exposure. </w:t>
            </w:r>
          </w:p>
          <w:p w:rsidR="00966BA8" w:rsidRDefault="00966BA8" w:rsidP="00B21259">
            <w:pPr>
              <w:spacing w:line="240" w:lineRule="auto"/>
              <w:rPr>
                <w:sz w:val="20"/>
                <w:szCs w:val="20"/>
              </w:rPr>
            </w:pPr>
            <w:r>
              <w:rPr>
                <w:sz w:val="20"/>
                <w:szCs w:val="20"/>
              </w:rPr>
              <w:t xml:space="preserve">4. Probably less applicable for occupational exposures, where </w:t>
            </w:r>
            <w:r w:rsidR="0062631B">
              <w:rPr>
                <w:sz w:val="20"/>
                <w:szCs w:val="20"/>
              </w:rPr>
              <w:t xml:space="preserve">a </w:t>
            </w:r>
            <w:r>
              <w:rPr>
                <w:sz w:val="20"/>
                <w:szCs w:val="20"/>
              </w:rPr>
              <w:t xml:space="preserve">primary source of </w:t>
            </w:r>
            <w:r w:rsidR="0062631B">
              <w:rPr>
                <w:sz w:val="20"/>
                <w:szCs w:val="20"/>
              </w:rPr>
              <w:t xml:space="preserve">exposure </w:t>
            </w:r>
            <w:r>
              <w:rPr>
                <w:sz w:val="20"/>
                <w:szCs w:val="20"/>
              </w:rPr>
              <w:t xml:space="preserve">is </w:t>
            </w:r>
            <w:r w:rsidR="0062631B">
              <w:rPr>
                <w:sz w:val="20"/>
                <w:szCs w:val="20"/>
              </w:rPr>
              <w:t xml:space="preserve">via </w:t>
            </w:r>
            <w:r>
              <w:rPr>
                <w:sz w:val="20"/>
                <w:szCs w:val="20"/>
              </w:rPr>
              <w:t>air.</w:t>
            </w:r>
          </w:p>
          <w:p w:rsidR="00331259" w:rsidRPr="004E3A68" w:rsidRDefault="00331259" w:rsidP="00B21259">
            <w:pPr>
              <w:spacing w:line="240" w:lineRule="auto"/>
              <w:rPr>
                <w:sz w:val="20"/>
                <w:szCs w:val="20"/>
              </w:rPr>
            </w:pPr>
            <w:r>
              <w:rPr>
                <w:sz w:val="20"/>
                <w:szCs w:val="20"/>
              </w:rPr>
              <w:t>5. Messy.</w:t>
            </w: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t>Nails</w:t>
            </w:r>
          </w:p>
        </w:tc>
        <w:tc>
          <w:tcPr>
            <w:tcW w:w="3969" w:type="dxa"/>
          </w:tcPr>
          <w:p w:rsidR="003F4CAA" w:rsidRDefault="003F4CAA" w:rsidP="00B21259">
            <w:pPr>
              <w:spacing w:line="240" w:lineRule="auto"/>
              <w:rPr>
                <w:sz w:val="20"/>
                <w:szCs w:val="20"/>
              </w:rPr>
            </w:pPr>
            <w:r>
              <w:rPr>
                <w:sz w:val="20"/>
                <w:szCs w:val="20"/>
              </w:rPr>
              <w:t>1. Non-invasive</w:t>
            </w:r>
            <w:r w:rsidR="00F43D2F">
              <w:rPr>
                <w:sz w:val="20"/>
                <w:szCs w:val="20"/>
              </w:rPr>
              <w:t xml:space="preserve"> &amp; easily collected and stored. </w:t>
            </w:r>
          </w:p>
          <w:p w:rsidR="0062631B" w:rsidRDefault="00F43D2F" w:rsidP="00B21259">
            <w:pPr>
              <w:spacing w:line="240" w:lineRule="auto"/>
              <w:rPr>
                <w:sz w:val="20"/>
                <w:szCs w:val="20"/>
              </w:rPr>
            </w:pPr>
            <w:r>
              <w:rPr>
                <w:sz w:val="20"/>
                <w:szCs w:val="20"/>
              </w:rPr>
              <w:t>2. Considered to represent long term exposure.</w:t>
            </w:r>
          </w:p>
          <w:p w:rsidR="00F43D2F" w:rsidRPr="004E3A68" w:rsidRDefault="00F43D2F" w:rsidP="00B21259">
            <w:pPr>
              <w:spacing w:line="240" w:lineRule="auto"/>
              <w:rPr>
                <w:sz w:val="20"/>
                <w:szCs w:val="20"/>
              </w:rPr>
            </w:pPr>
          </w:p>
        </w:tc>
        <w:tc>
          <w:tcPr>
            <w:tcW w:w="4394" w:type="dxa"/>
          </w:tcPr>
          <w:p w:rsidR="003F4CAA" w:rsidRDefault="003F4CAA" w:rsidP="00B21259">
            <w:pPr>
              <w:spacing w:line="240" w:lineRule="auto"/>
              <w:rPr>
                <w:sz w:val="20"/>
                <w:szCs w:val="20"/>
              </w:rPr>
            </w:pPr>
            <w:r>
              <w:rPr>
                <w:sz w:val="20"/>
                <w:szCs w:val="20"/>
              </w:rPr>
              <w:t xml:space="preserve">1. </w:t>
            </w:r>
            <w:r w:rsidR="0015026D">
              <w:rPr>
                <w:sz w:val="20"/>
                <w:szCs w:val="20"/>
              </w:rPr>
              <w:t>L</w:t>
            </w:r>
            <w:r>
              <w:rPr>
                <w:sz w:val="20"/>
                <w:szCs w:val="20"/>
              </w:rPr>
              <w:t>ittle experience with this medium, as it is rarely used.</w:t>
            </w:r>
          </w:p>
          <w:p w:rsidR="00C22C69" w:rsidRDefault="00C22C69" w:rsidP="00B21259">
            <w:pPr>
              <w:spacing w:line="240" w:lineRule="auto"/>
              <w:rPr>
                <w:sz w:val="20"/>
                <w:szCs w:val="20"/>
              </w:rPr>
            </w:pPr>
            <w:r>
              <w:rPr>
                <w:sz w:val="20"/>
                <w:szCs w:val="20"/>
              </w:rPr>
              <w:t xml:space="preserve">2. </w:t>
            </w:r>
            <w:r w:rsidR="0015026D">
              <w:rPr>
                <w:sz w:val="20"/>
                <w:szCs w:val="20"/>
              </w:rPr>
              <w:t>L</w:t>
            </w:r>
            <w:r>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Pr>
                <w:sz w:val="20"/>
                <w:szCs w:val="20"/>
              </w:rPr>
              <w:t>in this medium to exposure and effect.</w:t>
            </w:r>
          </w:p>
          <w:p w:rsidR="006C6E1D" w:rsidRDefault="006C6E1D" w:rsidP="00EC598D">
            <w:pPr>
              <w:spacing w:line="240" w:lineRule="auto"/>
              <w:rPr>
                <w:sz w:val="20"/>
                <w:szCs w:val="20"/>
              </w:rPr>
            </w:pPr>
            <w:r>
              <w:rPr>
                <w:sz w:val="20"/>
                <w:szCs w:val="20"/>
              </w:rPr>
              <w:t xml:space="preserve">3. High variability in </w:t>
            </w:r>
            <w:r w:rsidR="00EC598D">
              <w:rPr>
                <w:sz w:val="20"/>
                <w:szCs w:val="20"/>
              </w:rPr>
              <w:t>l</w:t>
            </w:r>
            <w:r w:rsidR="00637B4C">
              <w:rPr>
                <w:sz w:val="20"/>
                <w:szCs w:val="20"/>
              </w:rPr>
              <w:t>ead</w:t>
            </w:r>
            <w:r w:rsidR="00EC598D">
              <w:rPr>
                <w:sz w:val="20"/>
                <w:szCs w:val="20"/>
              </w:rPr>
              <w:t xml:space="preserve"> </w:t>
            </w:r>
            <w:r>
              <w:rPr>
                <w:sz w:val="20"/>
                <w:szCs w:val="20"/>
              </w:rPr>
              <w:t xml:space="preserve">measured in same nails from same subjects. </w:t>
            </w:r>
          </w:p>
          <w:p w:rsidR="0062631B" w:rsidRPr="004E3A68" w:rsidRDefault="0062631B" w:rsidP="00EC598D">
            <w:pPr>
              <w:spacing w:line="240" w:lineRule="auto"/>
              <w:rPr>
                <w:sz w:val="20"/>
                <w:szCs w:val="20"/>
              </w:rPr>
            </w:pPr>
            <w:r>
              <w:rPr>
                <w:sz w:val="20"/>
                <w:szCs w:val="20"/>
              </w:rPr>
              <w:t>4</w:t>
            </w:r>
            <w:r w:rsidRPr="0062631B">
              <w:rPr>
                <w:sz w:val="20"/>
                <w:szCs w:val="20"/>
              </w:rPr>
              <w:t>. Contamination can be a problem.</w:t>
            </w: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lastRenderedPageBreak/>
              <w:t>Hair</w:t>
            </w:r>
          </w:p>
        </w:tc>
        <w:tc>
          <w:tcPr>
            <w:tcW w:w="3969" w:type="dxa"/>
          </w:tcPr>
          <w:p w:rsidR="003F4CAA" w:rsidRDefault="003F4CAA" w:rsidP="00B21259">
            <w:pPr>
              <w:spacing w:line="240" w:lineRule="auto"/>
              <w:rPr>
                <w:sz w:val="20"/>
                <w:szCs w:val="20"/>
              </w:rPr>
            </w:pPr>
            <w:r>
              <w:rPr>
                <w:sz w:val="20"/>
                <w:szCs w:val="20"/>
              </w:rPr>
              <w:t>1. Non-invasive</w:t>
            </w:r>
            <w:r w:rsidR="007B08D0">
              <w:rPr>
                <w:sz w:val="20"/>
                <w:szCs w:val="20"/>
              </w:rPr>
              <w:t xml:space="preserve"> &amp; easily collected. </w:t>
            </w:r>
          </w:p>
          <w:p w:rsidR="007B08D0" w:rsidRDefault="007B08D0" w:rsidP="00B21259">
            <w:pPr>
              <w:spacing w:line="240" w:lineRule="auto"/>
              <w:rPr>
                <w:sz w:val="20"/>
                <w:szCs w:val="20"/>
              </w:rPr>
            </w:pPr>
            <w:r>
              <w:rPr>
                <w:sz w:val="20"/>
                <w:szCs w:val="20"/>
              </w:rPr>
              <w:t xml:space="preserve">2. Low cost of collection, but higher cost of analysis. </w:t>
            </w:r>
          </w:p>
          <w:p w:rsidR="0062631B" w:rsidRPr="004E3A68" w:rsidRDefault="0062631B" w:rsidP="00B21259">
            <w:pPr>
              <w:spacing w:line="240" w:lineRule="auto"/>
              <w:rPr>
                <w:sz w:val="20"/>
                <w:szCs w:val="20"/>
              </w:rPr>
            </w:pPr>
          </w:p>
        </w:tc>
        <w:tc>
          <w:tcPr>
            <w:tcW w:w="4394" w:type="dxa"/>
          </w:tcPr>
          <w:p w:rsidR="003F4CAA" w:rsidRDefault="003F4CAA" w:rsidP="00B21259">
            <w:pPr>
              <w:spacing w:line="240" w:lineRule="auto"/>
              <w:rPr>
                <w:sz w:val="20"/>
                <w:szCs w:val="20"/>
              </w:rPr>
            </w:pPr>
            <w:r>
              <w:rPr>
                <w:sz w:val="20"/>
                <w:szCs w:val="20"/>
              </w:rPr>
              <w:t xml:space="preserve">1. </w:t>
            </w:r>
            <w:r w:rsidR="00533727">
              <w:rPr>
                <w:sz w:val="20"/>
                <w:szCs w:val="20"/>
              </w:rPr>
              <w:t>L</w:t>
            </w:r>
            <w:r>
              <w:rPr>
                <w:sz w:val="20"/>
                <w:szCs w:val="20"/>
              </w:rPr>
              <w:t>ittle experience with this medium, as it is rarely used.</w:t>
            </w:r>
            <w:r w:rsidR="007B08D0">
              <w:rPr>
                <w:sz w:val="20"/>
                <w:szCs w:val="20"/>
              </w:rPr>
              <w:t xml:space="preserve"> No consensus on collection method. </w:t>
            </w:r>
          </w:p>
          <w:p w:rsidR="003F4CAA" w:rsidRDefault="003F4CAA" w:rsidP="00B21259">
            <w:pPr>
              <w:spacing w:line="240" w:lineRule="auto"/>
              <w:rPr>
                <w:sz w:val="20"/>
                <w:szCs w:val="20"/>
              </w:rPr>
            </w:pPr>
            <w:r>
              <w:rPr>
                <w:sz w:val="20"/>
                <w:szCs w:val="20"/>
              </w:rPr>
              <w:t>2. Easily contaminated, and difficult to decontaminate.</w:t>
            </w:r>
          </w:p>
          <w:p w:rsidR="003F4CAA" w:rsidRDefault="003F4CAA" w:rsidP="00B21259">
            <w:pPr>
              <w:spacing w:line="240" w:lineRule="auto"/>
              <w:rPr>
                <w:sz w:val="20"/>
                <w:szCs w:val="20"/>
              </w:rPr>
            </w:pPr>
            <w:r>
              <w:rPr>
                <w:sz w:val="20"/>
                <w:szCs w:val="20"/>
              </w:rPr>
              <w:t xml:space="preserve">3. Variation in </w:t>
            </w:r>
            <w:r w:rsidR="00EC598D">
              <w:rPr>
                <w:sz w:val="20"/>
                <w:szCs w:val="20"/>
              </w:rPr>
              <w:t>l</w:t>
            </w:r>
            <w:r w:rsidR="00637B4C">
              <w:rPr>
                <w:sz w:val="20"/>
                <w:szCs w:val="20"/>
              </w:rPr>
              <w:t>ead</w:t>
            </w:r>
            <w:r w:rsidR="00EC598D">
              <w:rPr>
                <w:sz w:val="20"/>
                <w:szCs w:val="20"/>
              </w:rPr>
              <w:t xml:space="preserve"> </w:t>
            </w:r>
            <w:r>
              <w:rPr>
                <w:sz w:val="20"/>
                <w:szCs w:val="20"/>
              </w:rPr>
              <w:t>between hairs from the same person and b</w:t>
            </w:r>
            <w:r w:rsidR="007B08D0">
              <w:rPr>
                <w:sz w:val="20"/>
                <w:szCs w:val="20"/>
              </w:rPr>
              <w:t xml:space="preserve">etween different people is high, so reference ranges are difficult to establish. </w:t>
            </w:r>
            <w:r>
              <w:rPr>
                <w:sz w:val="20"/>
                <w:szCs w:val="20"/>
              </w:rPr>
              <w:t xml:space="preserve"> </w:t>
            </w:r>
          </w:p>
          <w:p w:rsidR="00C22C69" w:rsidRDefault="00C22C69" w:rsidP="00B21259">
            <w:pPr>
              <w:spacing w:line="240" w:lineRule="auto"/>
              <w:rPr>
                <w:sz w:val="20"/>
                <w:szCs w:val="20"/>
              </w:rPr>
            </w:pPr>
            <w:r>
              <w:rPr>
                <w:sz w:val="20"/>
                <w:szCs w:val="20"/>
              </w:rPr>
              <w:t xml:space="preserve">4. </w:t>
            </w:r>
            <w:r w:rsidR="00533727">
              <w:rPr>
                <w:sz w:val="20"/>
                <w:szCs w:val="20"/>
              </w:rPr>
              <w:t>L</w:t>
            </w:r>
            <w:r>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Pr>
                <w:sz w:val="20"/>
                <w:szCs w:val="20"/>
              </w:rPr>
              <w:t>in this medium to exposure and effect.</w:t>
            </w:r>
          </w:p>
          <w:p w:rsidR="00DC729B" w:rsidRDefault="00F43D2F" w:rsidP="00B21259">
            <w:pPr>
              <w:spacing w:line="240" w:lineRule="auto"/>
              <w:rPr>
                <w:sz w:val="20"/>
                <w:szCs w:val="20"/>
              </w:rPr>
            </w:pPr>
            <w:r>
              <w:rPr>
                <w:sz w:val="20"/>
                <w:szCs w:val="20"/>
              </w:rPr>
              <w:t>5. Inter</w:t>
            </w:r>
            <w:r w:rsidR="00331259">
              <w:rPr>
                <w:sz w:val="20"/>
                <w:szCs w:val="20"/>
              </w:rPr>
              <w:t>-</w:t>
            </w:r>
            <w:r>
              <w:rPr>
                <w:sz w:val="20"/>
                <w:szCs w:val="20"/>
              </w:rPr>
              <w:t>laboratory reproducibility of analysis is low.</w:t>
            </w:r>
          </w:p>
          <w:p w:rsidR="00F43D2F" w:rsidRPr="004E3A68" w:rsidRDefault="00DC729B" w:rsidP="00EC598D">
            <w:pPr>
              <w:spacing w:line="240" w:lineRule="auto"/>
              <w:rPr>
                <w:sz w:val="20"/>
                <w:szCs w:val="20"/>
              </w:rPr>
            </w:pPr>
            <w:r>
              <w:rPr>
                <w:sz w:val="20"/>
                <w:szCs w:val="20"/>
              </w:rPr>
              <w:t xml:space="preserve">6. Relationship between hair </w:t>
            </w:r>
            <w:r w:rsidR="00EC598D">
              <w:rPr>
                <w:sz w:val="20"/>
                <w:szCs w:val="20"/>
              </w:rPr>
              <w:t>l</w:t>
            </w:r>
            <w:r w:rsidR="00637B4C">
              <w:rPr>
                <w:sz w:val="20"/>
                <w:szCs w:val="20"/>
              </w:rPr>
              <w:t>ead</w:t>
            </w:r>
            <w:r w:rsidR="00EC598D">
              <w:rPr>
                <w:sz w:val="20"/>
                <w:szCs w:val="20"/>
              </w:rPr>
              <w:t xml:space="preserve"> </w:t>
            </w:r>
            <w:r>
              <w:rPr>
                <w:sz w:val="20"/>
                <w:szCs w:val="20"/>
              </w:rPr>
              <w:t xml:space="preserve">and PbB have been investigated in a few studies and the results are divergent. </w:t>
            </w:r>
            <w:r w:rsidR="00F43D2F">
              <w:rPr>
                <w:sz w:val="20"/>
                <w:szCs w:val="20"/>
              </w:rPr>
              <w:t xml:space="preserve"> </w:t>
            </w: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t>Sweat</w:t>
            </w:r>
          </w:p>
        </w:tc>
        <w:tc>
          <w:tcPr>
            <w:tcW w:w="3969" w:type="dxa"/>
          </w:tcPr>
          <w:p w:rsidR="003F4CAA" w:rsidRDefault="003F4CAA" w:rsidP="00B21259">
            <w:pPr>
              <w:spacing w:line="240" w:lineRule="auto"/>
              <w:rPr>
                <w:sz w:val="20"/>
                <w:szCs w:val="20"/>
              </w:rPr>
            </w:pPr>
            <w:r>
              <w:rPr>
                <w:sz w:val="20"/>
                <w:szCs w:val="20"/>
              </w:rPr>
              <w:t>1. Non-invasive</w:t>
            </w:r>
          </w:p>
          <w:p w:rsidR="00AD711F" w:rsidRPr="004E3A68" w:rsidRDefault="00AD711F" w:rsidP="00EC598D">
            <w:pPr>
              <w:spacing w:line="240" w:lineRule="auto"/>
              <w:rPr>
                <w:sz w:val="20"/>
                <w:szCs w:val="20"/>
              </w:rPr>
            </w:pPr>
            <w:r>
              <w:rPr>
                <w:sz w:val="20"/>
                <w:szCs w:val="20"/>
              </w:rPr>
              <w:t xml:space="preserve">2. Limited information indicates correlations of </w:t>
            </w:r>
            <w:r w:rsidR="00EC598D">
              <w:rPr>
                <w:sz w:val="20"/>
                <w:szCs w:val="20"/>
              </w:rPr>
              <w:t>l</w:t>
            </w:r>
            <w:r w:rsidR="00637B4C">
              <w:rPr>
                <w:sz w:val="20"/>
                <w:szCs w:val="20"/>
              </w:rPr>
              <w:t>ead</w:t>
            </w:r>
            <w:r w:rsidR="00EC598D">
              <w:rPr>
                <w:sz w:val="20"/>
                <w:szCs w:val="20"/>
              </w:rPr>
              <w:t xml:space="preserve"> </w:t>
            </w:r>
            <w:r>
              <w:rPr>
                <w:sz w:val="20"/>
                <w:szCs w:val="20"/>
              </w:rPr>
              <w:t xml:space="preserve">in sweat with PbB are better than for </w:t>
            </w:r>
            <w:r w:rsidR="00EC598D">
              <w:rPr>
                <w:sz w:val="20"/>
                <w:szCs w:val="20"/>
              </w:rPr>
              <w:t>l</w:t>
            </w:r>
            <w:r w:rsidR="00637B4C">
              <w:rPr>
                <w:sz w:val="20"/>
                <w:szCs w:val="20"/>
              </w:rPr>
              <w:t>ead</w:t>
            </w:r>
            <w:r w:rsidR="00EC598D">
              <w:rPr>
                <w:sz w:val="20"/>
                <w:szCs w:val="20"/>
              </w:rPr>
              <w:t xml:space="preserve"> </w:t>
            </w:r>
            <w:r>
              <w:rPr>
                <w:sz w:val="20"/>
                <w:szCs w:val="20"/>
              </w:rPr>
              <w:t xml:space="preserve">in saliva or urine. </w:t>
            </w:r>
          </w:p>
        </w:tc>
        <w:tc>
          <w:tcPr>
            <w:tcW w:w="4394" w:type="dxa"/>
          </w:tcPr>
          <w:p w:rsidR="003F4CAA" w:rsidRDefault="003F4CAA" w:rsidP="00B21259">
            <w:pPr>
              <w:spacing w:line="240" w:lineRule="auto"/>
              <w:rPr>
                <w:sz w:val="20"/>
                <w:szCs w:val="20"/>
              </w:rPr>
            </w:pPr>
            <w:r>
              <w:rPr>
                <w:sz w:val="20"/>
                <w:szCs w:val="20"/>
              </w:rPr>
              <w:t xml:space="preserve">1. </w:t>
            </w:r>
            <w:r w:rsidR="00533727">
              <w:rPr>
                <w:sz w:val="20"/>
                <w:szCs w:val="20"/>
              </w:rPr>
              <w:t>L</w:t>
            </w:r>
            <w:r>
              <w:rPr>
                <w:sz w:val="20"/>
                <w:szCs w:val="20"/>
              </w:rPr>
              <w:t>ittle experience with this medium, as it is rarely used.</w:t>
            </w:r>
          </w:p>
          <w:p w:rsidR="00AD711F" w:rsidRDefault="00C22C69" w:rsidP="00533727">
            <w:pPr>
              <w:spacing w:line="240" w:lineRule="auto"/>
              <w:rPr>
                <w:sz w:val="20"/>
                <w:szCs w:val="20"/>
              </w:rPr>
            </w:pPr>
            <w:r>
              <w:rPr>
                <w:sz w:val="20"/>
                <w:szCs w:val="20"/>
              </w:rPr>
              <w:t xml:space="preserve">2. </w:t>
            </w:r>
            <w:r w:rsidR="00533727">
              <w:rPr>
                <w:sz w:val="20"/>
                <w:szCs w:val="20"/>
              </w:rPr>
              <w:t>L</w:t>
            </w:r>
            <w:r>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Pr>
                <w:sz w:val="20"/>
                <w:szCs w:val="20"/>
              </w:rPr>
              <w:t>in thi</w:t>
            </w:r>
            <w:r w:rsidR="00AD711F">
              <w:rPr>
                <w:sz w:val="20"/>
                <w:szCs w:val="20"/>
              </w:rPr>
              <w:t>s medium to exposure and effect.</w:t>
            </w:r>
          </w:p>
          <w:p w:rsidR="0062631B" w:rsidRDefault="0062631B" w:rsidP="00533727">
            <w:pPr>
              <w:spacing w:line="240" w:lineRule="auto"/>
              <w:rPr>
                <w:sz w:val="20"/>
                <w:szCs w:val="20"/>
              </w:rPr>
            </w:pPr>
            <w:r>
              <w:rPr>
                <w:sz w:val="20"/>
                <w:szCs w:val="20"/>
              </w:rPr>
              <w:t>3. Large volumes not easy to collect.</w:t>
            </w:r>
          </w:p>
          <w:p w:rsidR="0062631B" w:rsidRPr="004E3A68" w:rsidRDefault="0062631B" w:rsidP="00533727">
            <w:pPr>
              <w:spacing w:line="240" w:lineRule="auto"/>
              <w:rPr>
                <w:sz w:val="20"/>
                <w:szCs w:val="20"/>
              </w:rPr>
            </w:pPr>
            <w:r>
              <w:rPr>
                <w:sz w:val="20"/>
                <w:szCs w:val="20"/>
              </w:rPr>
              <w:t>4. Low analytical detection limits required.</w:t>
            </w:r>
          </w:p>
        </w:tc>
      </w:tr>
      <w:tr w:rsidR="003F4CAA" w:rsidTr="000D50CB">
        <w:trPr>
          <w:cantSplit/>
        </w:trPr>
        <w:tc>
          <w:tcPr>
            <w:tcW w:w="1526" w:type="dxa"/>
          </w:tcPr>
          <w:p w:rsidR="003F4CAA" w:rsidRPr="004E3A68" w:rsidRDefault="003F4CAA" w:rsidP="00B21259">
            <w:pPr>
              <w:spacing w:line="240" w:lineRule="auto"/>
              <w:rPr>
                <w:sz w:val="20"/>
                <w:szCs w:val="20"/>
              </w:rPr>
            </w:pPr>
            <w:r>
              <w:rPr>
                <w:sz w:val="20"/>
                <w:szCs w:val="20"/>
              </w:rPr>
              <w:t>Saliva</w:t>
            </w:r>
          </w:p>
        </w:tc>
        <w:tc>
          <w:tcPr>
            <w:tcW w:w="3969" w:type="dxa"/>
          </w:tcPr>
          <w:p w:rsidR="003F4CAA" w:rsidRPr="004E3A68" w:rsidRDefault="00794ADD" w:rsidP="00B21259">
            <w:pPr>
              <w:spacing w:line="240" w:lineRule="auto"/>
              <w:rPr>
                <w:sz w:val="20"/>
                <w:szCs w:val="20"/>
              </w:rPr>
            </w:pPr>
            <w:r>
              <w:rPr>
                <w:sz w:val="20"/>
                <w:szCs w:val="20"/>
              </w:rPr>
              <w:t xml:space="preserve">1. Easily collected. </w:t>
            </w:r>
          </w:p>
        </w:tc>
        <w:tc>
          <w:tcPr>
            <w:tcW w:w="4394" w:type="dxa"/>
          </w:tcPr>
          <w:p w:rsidR="003F4CAA" w:rsidRDefault="003F4CAA" w:rsidP="00B21259">
            <w:pPr>
              <w:spacing w:line="240" w:lineRule="auto"/>
              <w:rPr>
                <w:sz w:val="20"/>
                <w:szCs w:val="20"/>
              </w:rPr>
            </w:pPr>
            <w:r>
              <w:rPr>
                <w:sz w:val="20"/>
                <w:szCs w:val="20"/>
              </w:rPr>
              <w:t xml:space="preserve">1. </w:t>
            </w:r>
            <w:r w:rsidR="00533727">
              <w:rPr>
                <w:sz w:val="20"/>
                <w:szCs w:val="20"/>
              </w:rPr>
              <w:t>L</w:t>
            </w:r>
            <w:r>
              <w:rPr>
                <w:sz w:val="20"/>
                <w:szCs w:val="20"/>
              </w:rPr>
              <w:t>ittle experience with this medium, as it is rarely used.</w:t>
            </w:r>
          </w:p>
          <w:p w:rsidR="00C22C69" w:rsidRDefault="00C22C69" w:rsidP="00B21259">
            <w:pPr>
              <w:spacing w:line="240" w:lineRule="auto"/>
              <w:rPr>
                <w:sz w:val="20"/>
                <w:szCs w:val="20"/>
              </w:rPr>
            </w:pPr>
            <w:r>
              <w:rPr>
                <w:sz w:val="20"/>
                <w:szCs w:val="20"/>
              </w:rPr>
              <w:t xml:space="preserve">2. </w:t>
            </w:r>
            <w:r w:rsidR="00533727">
              <w:rPr>
                <w:sz w:val="20"/>
                <w:szCs w:val="20"/>
              </w:rPr>
              <w:t>L</w:t>
            </w:r>
            <w:r>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Pr>
                <w:sz w:val="20"/>
                <w:szCs w:val="20"/>
              </w:rPr>
              <w:t>in this medium to exposure and effect.</w:t>
            </w:r>
          </w:p>
          <w:p w:rsidR="00794ADD" w:rsidRDefault="00794ADD" w:rsidP="00B21259">
            <w:pPr>
              <w:spacing w:line="240" w:lineRule="auto"/>
              <w:rPr>
                <w:sz w:val="20"/>
                <w:szCs w:val="20"/>
              </w:rPr>
            </w:pPr>
            <w:r>
              <w:rPr>
                <w:sz w:val="20"/>
                <w:szCs w:val="20"/>
              </w:rPr>
              <w:t xml:space="preserve">3. Large variations due to ion content, salivary flow rates, </w:t>
            </w:r>
            <w:r w:rsidR="007B08D0">
              <w:rPr>
                <w:sz w:val="20"/>
                <w:szCs w:val="20"/>
              </w:rPr>
              <w:t xml:space="preserve">nutritional status of individual </w:t>
            </w:r>
            <w:r>
              <w:rPr>
                <w:sz w:val="20"/>
                <w:szCs w:val="20"/>
              </w:rPr>
              <w:t xml:space="preserve">and manner in which saliva is collected. </w:t>
            </w:r>
          </w:p>
          <w:p w:rsidR="007B08D0" w:rsidRDefault="007B08D0" w:rsidP="00B21259">
            <w:pPr>
              <w:spacing w:line="240" w:lineRule="auto"/>
              <w:rPr>
                <w:sz w:val="20"/>
                <w:szCs w:val="20"/>
              </w:rPr>
            </w:pPr>
            <w:r>
              <w:rPr>
                <w:sz w:val="20"/>
                <w:szCs w:val="20"/>
              </w:rPr>
              <w:t xml:space="preserve">4. </w:t>
            </w:r>
            <w:r w:rsidR="0062631B">
              <w:rPr>
                <w:sz w:val="20"/>
                <w:szCs w:val="20"/>
              </w:rPr>
              <w:t>Only l</w:t>
            </w:r>
            <w:r>
              <w:rPr>
                <w:sz w:val="20"/>
                <w:szCs w:val="20"/>
              </w:rPr>
              <w:t xml:space="preserve">ow levels of </w:t>
            </w:r>
            <w:r w:rsidR="00EC598D">
              <w:rPr>
                <w:sz w:val="20"/>
                <w:szCs w:val="20"/>
              </w:rPr>
              <w:t>l</w:t>
            </w:r>
            <w:r w:rsidR="00637B4C">
              <w:rPr>
                <w:sz w:val="20"/>
                <w:szCs w:val="20"/>
              </w:rPr>
              <w:t>ead</w:t>
            </w:r>
            <w:r w:rsidR="00EC598D">
              <w:rPr>
                <w:sz w:val="20"/>
                <w:szCs w:val="20"/>
              </w:rPr>
              <w:t xml:space="preserve"> </w:t>
            </w:r>
            <w:r w:rsidR="0062631B">
              <w:rPr>
                <w:sz w:val="20"/>
                <w:szCs w:val="20"/>
              </w:rPr>
              <w:t xml:space="preserve">are </w:t>
            </w:r>
            <w:r>
              <w:rPr>
                <w:sz w:val="20"/>
                <w:szCs w:val="20"/>
              </w:rPr>
              <w:t xml:space="preserve">generally present in saliva, limiting analytical techniques that can be used for measurement. </w:t>
            </w:r>
          </w:p>
          <w:p w:rsidR="00CB6E67" w:rsidRPr="004E3A68" w:rsidRDefault="00CB6E67" w:rsidP="0062631B">
            <w:pPr>
              <w:spacing w:line="240" w:lineRule="auto"/>
              <w:rPr>
                <w:sz w:val="20"/>
                <w:szCs w:val="20"/>
              </w:rPr>
            </w:pPr>
            <w:r>
              <w:rPr>
                <w:sz w:val="20"/>
                <w:szCs w:val="20"/>
              </w:rPr>
              <w:t xml:space="preserve">5. Relatively poor correlations have been found with </w:t>
            </w:r>
            <w:r w:rsidR="00EC598D">
              <w:rPr>
                <w:sz w:val="20"/>
                <w:szCs w:val="20"/>
              </w:rPr>
              <w:t>PbB</w:t>
            </w:r>
            <w:r w:rsidR="00DC729B">
              <w:rPr>
                <w:sz w:val="20"/>
                <w:szCs w:val="20"/>
              </w:rPr>
              <w:t xml:space="preserve"> and </w:t>
            </w:r>
            <w:r w:rsidR="0062631B">
              <w:rPr>
                <w:sz w:val="20"/>
                <w:szCs w:val="20"/>
              </w:rPr>
              <w:t>saliva</w:t>
            </w:r>
            <w:r w:rsidR="00DC729B">
              <w:rPr>
                <w:sz w:val="20"/>
                <w:szCs w:val="20"/>
              </w:rPr>
              <w:t>.</w:t>
            </w:r>
          </w:p>
        </w:tc>
      </w:tr>
      <w:tr w:rsidR="003F4CAA" w:rsidTr="000D50CB">
        <w:trPr>
          <w:cantSplit/>
        </w:trPr>
        <w:tc>
          <w:tcPr>
            <w:tcW w:w="1526" w:type="dxa"/>
          </w:tcPr>
          <w:p w:rsidR="003F4CAA" w:rsidRPr="004E3A68" w:rsidRDefault="00DC729B" w:rsidP="00B21259">
            <w:pPr>
              <w:spacing w:line="240" w:lineRule="auto"/>
              <w:rPr>
                <w:sz w:val="20"/>
                <w:szCs w:val="20"/>
              </w:rPr>
            </w:pPr>
            <w:r>
              <w:rPr>
                <w:sz w:val="20"/>
                <w:szCs w:val="20"/>
              </w:rPr>
              <w:t>Breast m</w:t>
            </w:r>
            <w:r w:rsidR="003F4CAA">
              <w:rPr>
                <w:sz w:val="20"/>
                <w:szCs w:val="20"/>
              </w:rPr>
              <w:t>ilk</w:t>
            </w:r>
          </w:p>
        </w:tc>
        <w:tc>
          <w:tcPr>
            <w:tcW w:w="3969" w:type="dxa"/>
          </w:tcPr>
          <w:p w:rsidR="003F4CAA" w:rsidRPr="004E3A68" w:rsidRDefault="00966BA8" w:rsidP="0062631B">
            <w:pPr>
              <w:spacing w:line="240" w:lineRule="auto"/>
              <w:rPr>
                <w:sz w:val="20"/>
                <w:szCs w:val="20"/>
              </w:rPr>
            </w:pPr>
            <w:r>
              <w:rPr>
                <w:sz w:val="20"/>
                <w:szCs w:val="20"/>
              </w:rPr>
              <w:t xml:space="preserve">1. May provide indication of exposure to breastfeeding child. </w:t>
            </w:r>
          </w:p>
        </w:tc>
        <w:tc>
          <w:tcPr>
            <w:tcW w:w="4394" w:type="dxa"/>
          </w:tcPr>
          <w:p w:rsidR="003F4CAA" w:rsidRDefault="003F4CAA" w:rsidP="00B21259">
            <w:pPr>
              <w:spacing w:line="240" w:lineRule="auto"/>
              <w:rPr>
                <w:sz w:val="20"/>
                <w:szCs w:val="20"/>
              </w:rPr>
            </w:pPr>
            <w:r>
              <w:rPr>
                <w:sz w:val="20"/>
                <w:szCs w:val="20"/>
              </w:rPr>
              <w:t xml:space="preserve">1. </w:t>
            </w:r>
            <w:r w:rsidR="00533727">
              <w:rPr>
                <w:sz w:val="20"/>
                <w:szCs w:val="20"/>
              </w:rPr>
              <w:t>L</w:t>
            </w:r>
            <w:r>
              <w:rPr>
                <w:sz w:val="20"/>
                <w:szCs w:val="20"/>
              </w:rPr>
              <w:t>ittle experience with this medium, as it is rarely used.</w:t>
            </w:r>
          </w:p>
          <w:p w:rsidR="003F4CAA" w:rsidRDefault="003F4CAA" w:rsidP="00B21259">
            <w:pPr>
              <w:spacing w:line="240" w:lineRule="auto"/>
              <w:rPr>
                <w:sz w:val="20"/>
                <w:szCs w:val="20"/>
              </w:rPr>
            </w:pPr>
            <w:r>
              <w:rPr>
                <w:sz w:val="20"/>
                <w:szCs w:val="20"/>
              </w:rPr>
              <w:t xml:space="preserve">2. </w:t>
            </w:r>
            <w:r w:rsidR="0062631B">
              <w:rPr>
                <w:sz w:val="20"/>
                <w:szCs w:val="20"/>
              </w:rPr>
              <w:t>R</w:t>
            </w:r>
            <w:r>
              <w:rPr>
                <w:sz w:val="20"/>
                <w:szCs w:val="20"/>
              </w:rPr>
              <w:t>isk of sample contamination.</w:t>
            </w:r>
          </w:p>
          <w:p w:rsidR="00C22C69" w:rsidRDefault="00C22C69" w:rsidP="00B21259">
            <w:pPr>
              <w:spacing w:line="240" w:lineRule="auto"/>
              <w:rPr>
                <w:sz w:val="20"/>
                <w:szCs w:val="20"/>
              </w:rPr>
            </w:pPr>
            <w:r>
              <w:rPr>
                <w:sz w:val="20"/>
                <w:szCs w:val="20"/>
              </w:rPr>
              <w:t xml:space="preserve">3. </w:t>
            </w:r>
            <w:r w:rsidR="00533727">
              <w:rPr>
                <w:sz w:val="20"/>
                <w:szCs w:val="20"/>
              </w:rPr>
              <w:t>L</w:t>
            </w:r>
            <w:r>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Pr>
                <w:sz w:val="20"/>
                <w:szCs w:val="20"/>
              </w:rPr>
              <w:t>in this medium to exposure and effect.</w:t>
            </w:r>
          </w:p>
          <w:p w:rsidR="00966BA8" w:rsidRPr="004E3A68" w:rsidRDefault="001D4EAE" w:rsidP="00B21259">
            <w:pPr>
              <w:spacing w:line="240" w:lineRule="auto"/>
              <w:rPr>
                <w:sz w:val="20"/>
                <w:szCs w:val="20"/>
              </w:rPr>
            </w:pPr>
            <w:r>
              <w:rPr>
                <w:sz w:val="20"/>
                <w:szCs w:val="20"/>
              </w:rPr>
              <w:t>4</w:t>
            </w:r>
            <w:r w:rsidR="00966BA8">
              <w:rPr>
                <w:sz w:val="20"/>
                <w:szCs w:val="20"/>
              </w:rPr>
              <w:t xml:space="preserve">. Limited applicability for occupational biomonitoring, i.e. </w:t>
            </w:r>
            <w:r w:rsidR="00331259">
              <w:rPr>
                <w:sz w:val="20"/>
                <w:szCs w:val="20"/>
              </w:rPr>
              <w:t xml:space="preserve">primarily </w:t>
            </w:r>
            <w:r w:rsidR="00966BA8">
              <w:rPr>
                <w:sz w:val="20"/>
                <w:szCs w:val="20"/>
              </w:rPr>
              <w:t xml:space="preserve">relevant to breastfeeding </w:t>
            </w:r>
            <w:r w:rsidR="00E25319">
              <w:rPr>
                <w:sz w:val="20"/>
                <w:szCs w:val="20"/>
              </w:rPr>
              <w:t>females</w:t>
            </w:r>
            <w:r w:rsidR="00331259">
              <w:rPr>
                <w:sz w:val="20"/>
                <w:szCs w:val="20"/>
              </w:rPr>
              <w:t xml:space="preserve"> who have returned high PbB</w:t>
            </w:r>
            <w:r w:rsidR="00966BA8">
              <w:rPr>
                <w:sz w:val="20"/>
                <w:szCs w:val="20"/>
              </w:rPr>
              <w:t xml:space="preserve">. </w:t>
            </w:r>
          </w:p>
        </w:tc>
      </w:tr>
      <w:tr w:rsidR="00CB6E67" w:rsidTr="000D50CB">
        <w:trPr>
          <w:cantSplit/>
        </w:trPr>
        <w:tc>
          <w:tcPr>
            <w:tcW w:w="1526" w:type="dxa"/>
          </w:tcPr>
          <w:p w:rsidR="00CB6E67" w:rsidRDefault="00CB6E67" w:rsidP="00B21259">
            <w:pPr>
              <w:spacing w:line="240" w:lineRule="auto"/>
              <w:rPr>
                <w:sz w:val="20"/>
                <w:szCs w:val="20"/>
              </w:rPr>
            </w:pPr>
            <w:r>
              <w:rPr>
                <w:sz w:val="20"/>
                <w:szCs w:val="20"/>
              </w:rPr>
              <w:t>Exhaled breath</w:t>
            </w:r>
          </w:p>
        </w:tc>
        <w:tc>
          <w:tcPr>
            <w:tcW w:w="3969" w:type="dxa"/>
          </w:tcPr>
          <w:p w:rsidR="00CB6E67" w:rsidRPr="004E3A68" w:rsidRDefault="00CB6E67" w:rsidP="00533727">
            <w:pPr>
              <w:spacing w:line="240" w:lineRule="auto"/>
              <w:rPr>
                <w:sz w:val="20"/>
                <w:szCs w:val="20"/>
              </w:rPr>
            </w:pPr>
            <w:r>
              <w:rPr>
                <w:sz w:val="20"/>
                <w:szCs w:val="20"/>
              </w:rPr>
              <w:t>1. Theoretically presents simple, non-invasive, quick collection procedure</w:t>
            </w:r>
          </w:p>
        </w:tc>
        <w:tc>
          <w:tcPr>
            <w:tcW w:w="4394" w:type="dxa"/>
          </w:tcPr>
          <w:p w:rsidR="00CB6E67" w:rsidRDefault="00CB6E67" w:rsidP="00B21259">
            <w:pPr>
              <w:spacing w:line="240" w:lineRule="auto"/>
              <w:rPr>
                <w:sz w:val="20"/>
                <w:szCs w:val="20"/>
              </w:rPr>
            </w:pPr>
            <w:r>
              <w:rPr>
                <w:sz w:val="20"/>
                <w:szCs w:val="20"/>
              </w:rPr>
              <w:t xml:space="preserve">1. Exhaled breath is an inhomogenous sample with organic &amp; particulate matter in suspension, which may hamper analytical results reliability. </w:t>
            </w:r>
          </w:p>
          <w:p w:rsidR="001D4EAE" w:rsidRDefault="001D4EAE" w:rsidP="00B21259">
            <w:pPr>
              <w:spacing w:line="240" w:lineRule="auto"/>
              <w:rPr>
                <w:sz w:val="20"/>
                <w:szCs w:val="20"/>
              </w:rPr>
            </w:pPr>
            <w:r>
              <w:rPr>
                <w:sz w:val="20"/>
                <w:szCs w:val="20"/>
              </w:rPr>
              <w:t xml:space="preserve">2. Exhaled </w:t>
            </w:r>
            <w:r w:rsidR="00EC598D">
              <w:rPr>
                <w:sz w:val="20"/>
                <w:szCs w:val="20"/>
              </w:rPr>
              <w:t>l</w:t>
            </w:r>
            <w:r w:rsidR="00637B4C">
              <w:rPr>
                <w:sz w:val="20"/>
                <w:szCs w:val="20"/>
              </w:rPr>
              <w:t>ead</w:t>
            </w:r>
            <w:r w:rsidR="00EC598D">
              <w:rPr>
                <w:sz w:val="20"/>
                <w:szCs w:val="20"/>
              </w:rPr>
              <w:t xml:space="preserve"> </w:t>
            </w:r>
            <w:r>
              <w:rPr>
                <w:sz w:val="20"/>
                <w:szCs w:val="20"/>
              </w:rPr>
              <w:t xml:space="preserve">is </w:t>
            </w:r>
            <w:r w:rsidR="0062631B">
              <w:rPr>
                <w:sz w:val="20"/>
                <w:szCs w:val="20"/>
              </w:rPr>
              <w:t xml:space="preserve">a </w:t>
            </w:r>
            <w:r>
              <w:rPr>
                <w:sz w:val="20"/>
                <w:szCs w:val="20"/>
              </w:rPr>
              <w:t>minor excretion pathway so concentrations are low and challenging to measure by routine techniques.</w:t>
            </w:r>
          </w:p>
          <w:p w:rsidR="001D4EAE" w:rsidRDefault="001D4EAE" w:rsidP="00533727">
            <w:pPr>
              <w:spacing w:line="240" w:lineRule="auto"/>
              <w:rPr>
                <w:sz w:val="20"/>
                <w:szCs w:val="20"/>
              </w:rPr>
            </w:pPr>
            <w:r>
              <w:rPr>
                <w:sz w:val="20"/>
                <w:szCs w:val="20"/>
              </w:rPr>
              <w:t>3</w:t>
            </w:r>
            <w:r w:rsidR="00CB6E67">
              <w:rPr>
                <w:sz w:val="20"/>
                <w:szCs w:val="20"/>
              </w:rPr>
              <w:t xml:space="preserve">. </w:t>
            </w:r>
            <w:r w:rsidR="00533727">
              <w:rPr>
                <w:sz w:val="20"/>
                <w:szCs w:val="20"/>
              </w:rPr>
              <w:t>L</w:t>
            </w:r>
            <w:r w:rsidR="00CB6E67">
              <w:rPr>
                <w:sz w:val="20"/>
                <w:szCs w:val="20"/>
              </w:rPr>
              <w:t xml:space="preserve">ittle information relating </w:t>
            </w:r>
            <w:r w:rsidR="00EC598D">
              <w:rPr>
                <w:sz w:val="20"/>
                <w:szCs w:val="20"/>
              </w:rPr>
              <w:t>l</w:t>
            </w:r>
            <w:r w:rsidR="00637B4C">
              <w:rPr>
                <w:sz w:val="20"/>
                <w:szCs w:val="20"/>
              </w:rPr>
              <w:t>ead</w:t>
            </w:r>
            <w:r w:rsidR="00EC598D">
              <w:rPr>
                <w:sz w:val="20"/>
                <w:szCs w:val="20"/>
              </w:rPr>
              <w:t xml:space="preserve"> </w:t>
            </w:r>
            <w:r w:rsidR="00CB6E67">
              <w:rPr>
                <w:sz w:val="20"/>
                <w:szCs w:val="20"/>
              </w:rPr>
              <w:t xml:space="preserve">in this medium to exposure and effect. </w:t>
            </w:r>
          </w:p>
        </w:tc>
      </w:tr>
    </w:tbl>
    <w:p w:rsidR="00ED4816" w:rsidRPr="00966BA8" w:rsidRDefault="00966BA8" w:rsidP="00966BA8">
      <w:pPr>
        <w:spacing w:line="240" w:lineRule="auto"/>
        <w:ind w:left="142" w:hanging="142"/>
        <w:rPr>
          <w:sz w:val="18"/>
          <w:szCs w:val="18"/>
        </w:rPr>
      </w:pPr>
      <w:r>
        <w:rPr>
          <w:sz w:val="24"/>
          <w:szCs w:val="24"/>
          <w:vertAlign w:val="superscript"/>
        </w:rPr>
        <w:t>a</w:t>
      </w:r>
      <w:r>
        <w:rPr>
          <w:sz w:val="18"/>
          <w:szCs w:val="18"/>
        </w:rPr>
        <w:t xml:space="preserve"> The information in this table has been compiled from numerous references. These are: </w:t>
      </w:r>
      <w:r w:rsidRPr="00966BA8">
        <w:rPr>
          <w:sz w:val="18"/>
          <w:szCs w:val="18"/>
        </w:rPr>
        <w:t>Bergdahl and Skerfving 2008, Barbosa Jr et al. 2005, Angerer et al. 2007, Barreiros et al. 2013, Costa de Almeida et al. 2009, Esteban and Castaño 2009, Gil et al. 2011, Grandjean 1978, Hu et al. 2007, Iyengar and Rapp 2001, Khan et al. 2009, Koh et al. 2003, Lee 1999, Omokhodion and Crockford 1991, Rentschler et al. 2009, Rezende et al. 2010, Sajo-Bohus et al. 2004, Sakai 2000, Schütz et al. 2005, Shih et al. 2007, Sommar et al. 2013, Stawarz et al. 2011, Thaweboon et al. 2005, Theppeang et al. 2004, Timchalk et al. 2004</w:t>
      </w:r>
      <w:r>
        <w:rPr>
          <w:sz w:val="18"/>
          <w:szCs w:val="18"/>
        </w:rPr>
        <w:t>.</w:t>
      </w:r>
    </w:p>
    <w:p w:rsidR="00FC62BE" w:rsidRPr="00FC62BE" w:rsidRDefault="00FC62BE" w:rsidP="00FC62BE"/>
    <w:p w:rsidR="00A6576E" w:rsidRDefault="00331259" w:rsidP="00025217">
      <w:pPr>
        <w:pStyle w:val="Heading2"/>
      </w:pPr>
      <w:bookmarkStart w:id="13" w:name="_Toc391288221"/>
      <w:r>
        <w:t>3.2 Biochemical parameters</w:t>
      </w:r>
      <w:bookmarkEnd w:id="13"/>
    </w:p>
    <w:p w:rsidR="00331259" w:rsidRDefault="00331259" w:rsidP="003D5113">
      <w:r w:rsidRPr="00331259">
        <w:t>It is well known that lead affects several enzymatic processes responsible for haem synthesis. Lead directly inhibits the activity of the cytoplasmic enzyme δ-aminolevulinic acid dehydratase (ALAD), resulting in a negative exponential relationship between ALAD and PbB (Barbosa Jr. et al. 2005). Lead depresses coproporphyrinogen oxidase, resulting in increased coproporphyrin activity. It also interferes with the normal functioning of the intra-mitochondrial enzyme ferrochelatase, which is responsible for the chelation of iron by protoporphyrin. Failure to insert iron into the protoporphyrin ring results in depressed haem formation and an accumulation of protoporphyrin; this in turn chelates zinc in place of iron, to form zinc protoporphyrin. These effects also result in modifications of some other metabolite concentrations in urine (ALA-U), blood, (ALA-B) and plasma (ALA-P), as well as coproporphyrin in urine (CP). The activities of pyrimidine nucleotidase (P5´N) and nicotinamide adenine dinucleotide synthase (NADS) are also modified in blood after lead exposure. Levels of these various metabolites in biological fluids have been used in the past to diagnose lead poisoning when direct lead levels were difficult to obtain in tissues or body fluids or as information com</w:t>
      </w:r>
      <w:r w:rsidR="000E3869">
        <w:t xml:space="preserve">plementary to PbB test results </w:t>
      </w:r>
      <w:r w:rsidRPr="00331259">
        <w:t xml:space="preserve">(Barbosa Jr. et al. 2005, Sakai 2000). </w:t>
      </w:r>
    </w:p>
    <w:p w:rsidR="0005394E" w:rsidRDefault="0005394E" w:rsidP="00331259"/>
    <w:p w:rsidR="0005394E" w:rsidRDefault="0005394E" w:rsidP="003D5113">
      <w:r>
        <w:t xml:space="preserve">Theoretically changes in various aspects of </w:t>
      </w:r>
      <w:r w:rsidRPr="0005394E">
        <w:t>porphyrin</w:t>
      </w:r>
      <w:r>
        <w:t xml:space="preserve"> biochemistry measured in blood or urine could be used to monitor occupational exposure to lead. In some instances they may be as sensitive as measuring lead in whole blood, for example changes in </w:t>
      </w:r>
      <w:r w:rsidR="00F775DE">
        <w:t xml:space="preserve">blood </w:t>
      </w:r>
      <w:r>
        <w:t xml:space="preserve">ALAD are noted at low PbB concentrations. It is also noted that the recommendations for a </w:t>
      </w:r>
      <w:r w:rsidR="00306669" w:rsidRPr="00F775DE">
        <w:t>BLRL</w:t>
      </w:r>
      <w:r>
        <w:t xml:space="preserve"> and </w:t>
      </w:r>
      <w:r w:rsidR="00B91330">
        <w:t>WES</w:t>
      </w:r>
      <w:r>
        <w:t xml:space="preserve"> </w:t>
      </w:r>
      <w:r w:rsidR="003D5113">
        <w:t>have been</w:t>
      </w:r>
      <w:r>
        <w:t xml:space="preserve"> based on disturbance of </w:t>
      </w:r>
      <w:r w:rsidRPr="0005394E">
        <w:t>porphyrin biochemistry</w:t>
      </w:r>
      <w:r>
        <w:t xml:space="preserve">. Clinical chemistry measurement of </w:t>
      </w:r>
      <w:r w:rsidR="00F775DE">
        <w:t xml:space="preserve">serum </w:t>
      </w:r>
      <w:r>
        <w:t xml:space="preserve">porphyrin biochemistry in blood does not offer advantages over PbB since both are invasive. In addition to the former not being routinely used as an exposure metric, there is not a well-established relationship </w:t>
      </w:r>
      <w:r w:rsidR="000E3869">
        <w:t xml:space="preserve">with </w:t>
      </w:r>
      <w:r>
        <w:t xml:space="preserve">clinical adverse effects to facilitate interpretation of the measurements.  </w:t>
      </w:r>
      <w:r w:rsidR="003D5113">
        <w:t>Use of urinary zinc protoporphyrin  for controlling worker exposure has been criticised mainly for its low sensitivity and for the high percentage of false negatives in predicting PbB of less than 40 μg/dl (SCOEL 2002).</w:t>
      </w:r>
      <w:r>
        <w:t xml:space="preserve"> </w:t>
      </w:r>
    </w:p>
    <w:p w:rsidR="005E3F9C" w:rsidRDefault="005E3F9C" w:rsidP="00331259"/>
    <w:p w:rsidR="005E3F9C" w:rsidRPr="00331259" w:rsidRDefault="005E3F9C" w:rsidP="00376116">
      <w:pPr>
        <w:pStyle w:val="Heading2"/>
      </w:pPr>
      <w:bookmarkStart w:id="14" w:name="_Toc391288222"/>
      <w:r>
        <w:t>3.3 Key points in Section 3</w:t>
      </w:r>
      <w:bookmarkEnd w:id="14"/>
    </w:p>
    <w:p w:rsidR="005E3F9C" w:rsidRDefault="00376116" w:rsidP="005E3F9C">
      <w:r>
        <w:t>While PbB</w:t>
      </w:r>
      <w:r w:rsidR="005E3F9C">
        <w:t xml:space="preserve"> concentrations are the benchmark for predicting potential for development of clinical health effects, a number of alternative biomonitoring methods have been proposed by various researchers. A brief comparative summary of the information is </w:t>
      </w:r>
      <w:r w:rsidR="003D5113">
        <w:t xml:space="preserve">has been </w:t>
      </w:r>
      <w:r w:rsidR="005E3F9C">
        <w:t xml:space="preserve">provided in Section 3.  A major issue </w:t>
      </w:r>
      <w:r w:rsidR="003D5113">
        <w:t>in measuring lead in biomedia other than blood, or using a biomarker other than the concentration of lead,</w:t>
      </w:r>
      <w:r w:rsidR="005E3F9C">
        <w:t xml:space="preserve"> is lack of relevant information li</w:t>
      </w:r>
      <w:r>
        <w:t>nking the concentrations</w:t>
      </w:r>
      <w:r w:rsidR="003D5113">
        <w:t>,</w:t>
      </w:r>
      <w:r>
        <w:t xml:space="preserve"> </w:t>
      </w:r>
      <w:r w:rsidR="003D5113">
        <w:t xml:space="preserve">or </w:t>
      </w:r>
      <w:r w:rsidR="005E3F9C">
        <w:t>changes in biomarker</w:t>
      </w:r>
      <w:r w:rsidR="003D5113">
        <w:t>,</w:t>
      </w:r>
      <w:r w:rsidR="005E3F9C">
        <w:t xml:space="preserve"> </w:t>
      </w:r>
      <w:r w:rsidR="003D5113">
        <w:t xml:space="preserve">with </w:t>
      </w:r>
      <w:r w:rsidR="005E3F9C">
        <w:t>demonstrable health impacts. Because of its historical use, the database and available k</w:t>
      </w:r>
      <w:r>
        <w:t xml:space="preserve">nowledge on </w:t>
      </w:r>
      <w:r w:rsidR="00AB7AE2">
        <w:lastRenderedPageBreak/>
        <w:t>exposure, PbB</w:t>
      </w:r>
      <w:r w:rsidR="003D5113">
        <w:t xml:space="preserve"> and </w:t>
      </w:r>
      <w:r w:rsidR="005E3F9C">
        <w:t xml:space="preserve">health </w:t>
      </w:r>
      <w:r w:rsidR="003D5113">
        <w:t xml:space="preserve">effect relationships </w:t>
      </w:r>
      <w:r w:rsidR="005E3F9C">
        <w:t>is much larger</w:t>
      </w:r>
      <w:r w:rsidR="003D5113">
        <w:t xml:space="preserve"> than for other potential biomonitoring media</w:t>
      </w:r>
      <w:r w:rsidR="005E3F9C">
        <w:t xml:space="preserve">. </w:t>
      </w:r>
    </w:p>
    <w:p w:rsidR="005E3F9C" w:rsidRDefault="005E3F9C" w:rsidP="005E3F9C"/>
    <w:p w:rsidR="005E3F9C" w:rsidRPr="00A57BF6" w:rsidRDefault="005E3F9C" w:rsidP="005E3F9C">
      <w:r>
        <w:t xml:space="preserve">The biomarker that potentially shows </w:t>
      </w:r>
      <w:r w:rsidR="00754780" w:rsidRPr="00F775DE">
        <w:t>most</w:t>
      </w:r>
      <w:r>
        <w:t xml:space="preserve"> pro</w:t>
      </w:r>
      <w:r w:rsidR="00376116">
        <w:t xml:space="preserve">mise to supplementing PbB information is bone </w:t>
      </w:r>
      <w:r w:rsidR="00263767">
        <w:t>lead</w:t>
      </w:r>
      <w:r>
        <w:t>, particularly as it provides a good, perhaps better indication, of chronic past exposures and total body burde</w:t>
      </w:r>
      <w:r w:rsidR="00376116">
        <w:t xml:space="preserve">n. Unfortunately since bone </w:t>
      </w:r>
      <w:r w:rsidR="00EC598D">
        <w:t>l</w:t>
      </w:r>
      <w:r w:rsidR="00637B4C">
        <w:t>ead</w:t>
      </w:r>
      <w:r w:rsidR="00EC598D">
        <w:t xml:space="preserve"> </w:t>
      </w:r>
      <w:r>
        <w:t>reflects chronic exposures it arguably may not be an ideal method in the workplace to identify ‘at risk’ persons. Whether the technique has been adequately developed and validated as a routine monitoring tool is also arguable.</w:t>
      </w:r>
    </w:p>
    <w:p w:rsidR="00331259" w:rsidRPr="00331259" w:rsidRDefault="00331259" w:rsidP="00331259"/>
    <w:p w:rsidR="001B68EB" w:rsidRDefault="005E3F9C" w:rsidP="00F877A0">
      <w:pPr>
        <w:pStyle w:val="Heading1"/>
      </w:pPr>
      <w:bookmarkStart w:id="15" w:name="_Toc391288223"/>
      <w:r>
        <w:t>4</w:t>
      </w:r>
      <w:r w:rsidR="001B68EB">
        <w:t xml:space="preserve">. </w:t>
      </w:r>
      <w:r w:rsidR="006E78BA">
        <w:t xml:space="preserve">Toxicological information for </w:t>
      </w:r>
      <w:r w:rsidR="001B68EB">
        <w:t>lead</w:t>
      </w:r>
      <w:bookmarkEnd w:id="15"/>
      <w:r w:rsidR="001B68EB">
        <w:t xml:space="preserve"> </w:t>
      </w:r>
    </w:p>
    <w:p w:rsidR="001B68EB" w:rsidRDefault="005E3F9C" w:rsidP="001B68EB">
      <w:pPr>
        <w:pStyle w:val="Heading2"/>
      </w:pPr>
      <w:bookmarkStart w:id="16" w:name="_Toc391288224"/>
      <w:r>
        <w:t>4</w:t>
      </w:r>
      <w:r w:rsidR="001B68EB">
        <w:t>.1 Overview</w:t>
      </w:r>
      <w:bookmarkEnd w:id="16"/>
    </w:p>
    <w:p w:rsidR="000E6331" w:rsidRDefault="000E6331" w:rsidP="009A7626">
      <w:pPr>
        <w:tabs>
          <w:tab w:val="left" w:pos="8370"/>
        </w:tabs>
      </w:pPr>
      <w:r>
        <w:t xml:space="preserve">The available literature on </w:t>
      </w:r>
      <w:r w:rsidR="003D5113">
        <w:t xml:space="preserve">the toxicity and potential health effects of </w:t>
      </w:r>
      <w:r w:rsidR="00EC598D">
        <w:t>l</w:t>
      </w:r>
      <w:r w:rsidR="00637B4C">
        <w:t>ead</w:t>
      </w:r>
      <w:r w:rsidR="00EC598D">
        <w:t xml:space="preserve"> </w:t>
      </w:r>
      <w:r>
        <w:t xml:space="preserve">is vast. </w:t>
      </w:r>
      <w:r w:rsidR="009D0BC0">
        <w:t xml:space="preserve">Rather than re-reviewing information that has already been considered in detail by several international agencies, the overview information provided in this section has primarily been drawn from </w:t>
      </w:r>
      <w:r w:rsidR="003D5113">
        <w:t xml:space="preserve">reviews by authoritive organisations </w:t>
      </w:r>
      <w:r w:rsidR="009D0BC0">
        <w:t>(AIOH 2009, ATSDR 2007, NIWL 2005, US EPA 2006, 2013</w:t>
      </w:r>
      <w:r w:rsidR="00BC5CED">
        <w:t>, IARC 2006</w:t>
      </w:r>
      <w:r w:rsidR="009D0BC0" w:rsidRPr="009D0BC0">
        <w:t>).</w:t>
      </w:r>
      <w:r w:rsidR="009D0BC0">
        <w:t xml:space="preserve"> </w:t>
      </w:r>
    </w:p>
    <w:p w:rsidR="000E6331" w:rsidRDefault="000E6331" w:rsidP="009A7626">
      <w:pPr>
        <w:tabs>
          <w:tab w:val="left" w:pos="8370"/>
        </w:tabs>
      </w:pPr>
    </w:p>
    <w:p w:rsidR="009A7626" w:rsidRDefault="00961A5D" w:rsidP="009A7626">
      <w:pPr>
        <w:tabs>
          <w:tab w:val="left" w:pos="8370"/>
        </w:tabs>
      </w:pPr>
      <w:r>
        <w:t xml:space="preserve">In humans, </w:t>
      </w:r>
      <w:r w:rsidR="00EC598D">
        <w:t>l</w:t>
      </w:r>
      <w:r w:rsidR="00637B4C">
        <w:t>ead</w:t>
      </w:r>
      <w:r w:rsidR="00EC598D">
        <w:t xml:space="preserve"> </w:t>
      </w:r>
      <w:r w:rsidR="009A7626">
        <w:t xml:space="preserve">can </w:t>
      </w:r>
      <w:r w:rsidR="003D5113">
        <w:t xml:space="preserve">cause </w:t>
      </w:r>
      <w:r w:rsidR="009A7626">
        <w:t xml:space="preserve">in a wide range of biological effects depending upon the level and duration of exposure. Effects may range from inhibition of enzyme activity, subtle and gross neurological impacts, to the production of marked morphological changes and death. </w:t>
      </w:r>
      <w:r w:rsidR="0037733F">
        <w:t xml:space="preserve">Such </w:t>
      </w:r>
      <w:r w:rsidR="009A7626">
        <w:t xml:space="preserve">effects occur over a broad range of exposures. For neurological, metabolic and behavioural impacts, children are more </w:t>
      </w:r>
      <w:r w:rsidR="0037733F">
        <w:t xml:space="preserve">susceptible and </w:t>
      </w:r>
      <w:r w:rsidR="009A7626">
        <w:t>vulnerable than a</w:t>
      </w:r>
      <w:r w:rsidR="0069756F">
        <w:t>dults</w:t>
      </w:r>
      <w:r w:rsidR="00496143">
        <w:t>,</w:t>
      </w:r>
      <w:r w:rsidR="0069756F">
        <w:t xml:space="preserve"> </w:t>
      </w:r>
      <w:r w:rsidR="00496143">
        <w:t>which is largely due to the developing physiology of infants and children</w:t>
      </w:r>
      <w:r w:rsidR="0037733F">
        <w:t>, and their behaviour patterns</w:t>
      </w:r>
      <w:r w:rsidR="00496143">
        <w:t xml:space="preserve"> </w:t>
      </w:r>
      <w:r w:rsidR="0069756F">
        <w:t xml:space="preserve">(UNEP 2006, ATSDR 2007). </w:t>
      </w:r>
    </w:p>
    <w:p w:rsidR="009A7626" w:rsidRDefault="009A7626" w:rsidP="009A7626"/>
    <w:p w:rsidR="009A7626" w:rsidRDefault="00496143" w:rsidP="009A7626">
      <w:r>
        <w:t>Human m</w:t>
      </w:r>
      <w:r w:rsidR="009A7626">
        <w:t>ale</w:t>
      </w:r>
      <w:r w:rsidR="009A7626" w:rsidRPr="008C721F">
        <w:t xml:space="preserve"> </w:t>
      </w:r>
      <w:r w:rsidR="00961A5D">
        <w:t xml:space="preserve">reproductive effects of </w:t>
      </w:r>
      <w:r w:rsidR="00EC598D">
        <w:t>l</w:t>
      </w:r>
      <w:r w:rsidR="00637B4C">
        <w:t>ead</w:t>
      </w:r>
      <w:r w:rsidR="00EC598D">
        <w:t xml:space="preserve"> </w:t>
      </w:r>
      <w:r w:rsidR="009A7626" w:rsidRPr="008C721F">
        <w:t>are limited to sperm morphology</w:t>
      </w:r>
      <w:r w:rsidR="009A7626">
        <w:t xml:space="preserve"> </w:t>
      </w:r>
      <w:r>
        <w:t xml:space="preserve">and count. In </w:t>
      </w:r>
      <w:r w:rsidR="009A7626" w:rsidRPr="008C721F">
        <w:t>female</w:t>
      </w:r>
      <w:r>
        <w:t>s,</w:t>
      </w:r>
      <w:r w:rsidR="009A7626" w:rsidRPr="008C721F">
        <w:t xml:space="preserve"> adverse pregnancy outcomes have been attributed</w:t>
      </w:r>
      <w:r w:rsidR="009A7626">
        <w:t xml:space="preserve"> </w:t>
      </w:r>
      <w:r w:rsidR="00961A5D">
        <w:t xml:space="preserve">to </w:t>
      </w:r>
      <w:r w:rsidR="00EC598D">
        <w:t>lead</w:t>
      </w:r>
      <w:r w:rsidR="00961A5D">
        <w:t xml:space="preserve">. </w:t>
      </w:r>
      <w:r w:rsidR="00EC598D">
        <w:t>L</w:t>
      </w:r>
      <w:r w:rsidR="00637B4C">
        <w:t>ead</w:t>
      </w:r>
      <w:r w:rsidR="00EC598D">
        <w:t xml:space="preserve"> </w:t>
      </w:r>
      <w:r w:rsidR="009A7626" w:rsidRPr="008C721F">
        <w:t>does not appear to h</w:t>
      </w:r>
      <w:r w:rsidR="0069756F">
        <w:t>ave deleterious effects on skin or</w:t>
      </w:r>
      <w:r w:rsidR="009A7626" w:rsidRPr="008C721F">
        <w:t xml:space="preserve"> muscle </w:t>
      </w:r>
      <w:r w:rsidR="0069756F">
        <w:t>(WHO 1995;</w:t>
      </w:r>
      <w:r w:rsidR="009A7626">
        <w:t xml:space="preserve"> US EPA 2006, </w:t>
      </w:r>
      <w:r w:rsidR="0069756F">
        <w:t xml:space="preserve">2013; </w:t>
      </w:r>
      <w:r w:rsidR="009A7626">
        <w:t>ATSDR 2007)</w:t>
      </w:r>
      <w:r w:rsidR="009A7626" w:rsidRPr="008C721F">
        <w:t>.</w:t>
      </w:r>
    </w:p>
    <w:p w:rsidR="009A7626" w:rsidRDefault="009A7626" w:rsidP="009A7626"/>
    <w:p w:rsidR="0037733F" w:rsidRDefault="00637B4C" w:rsidP="009A7626">
      <w:r>
        <w:t>Lead</w:t>
      </w:r>
      <w:r w:rsidR="00B242FB">
        <w:t xml:space="preserve"> </w:t>
      </w:r>
      <w:r w:rsidR="009A7626" w:rsidRPr="008C721F">
        <w:t xml:space="preserve">has effects on haemoglobin synthesis and </w:t>
      </w:r>
      <w:r w:rsidR="0037733F">
        <w:t xml:space="preserve">can cause </w:t>
      </w:r>
      <w:r w:rsidR="009A7626" w:rsidRPr="008C721F">
        <w:t>anaemia</w:t>
      </w:r>
      <w:r w:rsidR="00275F89">
        <w:t>. Th</w:t>
      </w:r>
      <w:r w:rsidR="00A86664">
        <w:t>e latter</w:t>
      </w:r>
      <w:r w:rsidR="0037733F">
        <w:t xml:space="preserve"> </w:t>
      </w:r>
      <w:r w:rsidR="009A7626" w:rsidRPr="008C721F">
        <w:t>has be</w:t>
      </w:r>
      <w:r w:rsidR="004741BD">
        <w:t xml:space="preserve">en observed in adults </w:t>
      </w:r>
      <w:r w:rsidR="009A7626">
        <w:t xml:space="preserve">at </w:t>
      </w:r>
      <w:r w:rsidR="000C3863">
        <w:t>PbB</w:t>
      </w:r>
      <w:r w:rsidR="004741BD">
        <w:t xml:space="preserve"> levels above 50</w:t>
      </w:r>
      <w:r w:rsidR="009A7626">
        <w:t>μg/dL</w:t>
      </w:r>
      <w:r w:rsidR="00961A5D">
        <w:t xml:space="preserve">. </w:t>
      </w:r>
    </w:p>
    <w:p w:rsidR="0037733F" w:rsidRDefault="0037733F" w:rsidP="009A7626"/>
    <w:p w:rsidR="009A7626" w:rsidRDefault="00637B4C" w:rsidP="009A7626">
      <w:r>
        <w:t>Lead</w:t>
      </w:r>
      <w:r w:rsidR="00B242FB">
        <w:t xml:space="preserve"> </w:t>
      </w:r>
      <w:r w:rsidR="00496143">
        <w:t xml:space="preserve">also </w:t>
      </w:r>
      <w:r w:rsidR="009A7626" w:rsidRPr="008C721F">
        <w:t>cause</w:t>
      </w:r>
      <w:r w:rsidR="00496143">
        <w:t>s</w:t>
      </w:r>
      <w:r w:rsidR="009A7626" w:rsidRPr="008C721F">
        <w:t xml:space="preserve"> kidney </w:t>
      </w:r>
      <w:r w:rsidR="0037733F">
        <w:t>toxicity</w:t>
      </w:r>
      <w:r w:rsidR="00496143">
        <w:t>. S</w:t>
      </w:r>
      <w:r w:rsidR="009A7626" w:rsidRPr="008C721F">
        <w:t xml:space="preserve">ome </w:t>
      </w:r>
      <w:r w:rsidR="009A7626">
        <w:t>functional or biomarker renal</w:t>
      </w:r>
      <w:r w:rsidR="009A7626" w:rsidRPr="008C721F">
        <w:t xml:space="preserve"> effects are reversible,</w:t>
      </w:r>
      <w:r w:rsidR="009A7626">
        <w:t xml:space="preserve"> but</w:t>
      </w:r>
      <w:r w:rsidR="009A7626" w:rsidRPr="008C721F">
        <w:t xml:space="preserve"> chronic exposure to high levels may result in </w:t>
      </w:r>
      <w:r w:rsidR="00496143">
        <w:t xml:space="preserve">prolonged alterations of </w:t>
      </w:r>
      <w:r w:rsidR="009A7626" w:rsidRPr="008C721F">
        <w:t>kidney function and possible renal failure</w:t>
      </w:r>
      <w:r w:rsidR="009A7626">
        <w:t xml:space="preserve"> (WHO 1995, US EPA 2006, ATSDR 2007)</w:t>
      </w:r>
      <w:r w:rsidR="009A7626" w:rsidRPr="008C721F">
        <w:t>.</w:t>
      </w:r>
      <w:r w:rsidR="009A7626">
        <w:t xml:space="preserve"> </w:t>
      </w:r>
    </w:p>
    <w:p w:rsidR="009A7626" w:rsidRPr="008C721F" w:rsidRDefault="009A7626" w:rsidP="009A7626"/>
    <w:p w:rsidR="009A7626" w:rsidRDefault="0037733F" w:rsidP="009A7626">
      <w:r w:rsidRPr="0037733F">
        <w:lastRenderedPageBreak/>
        <w:t>Some lead compounds have been shown to be carcinogenic in animals, in particular producing kidney tumours</w:t>
      </w:r>
      <w:r w:rsidR="008B366A">
        <w:t>.</w:t>
      </w:r>
      <w:r w:rsidRPr="0037733F">
        <w:t xml:space="preserve"> </w:t>
      </w:r>
      <w:r w:rsidR="009A7626" w:rsidRPr="008C721F">
        <w:t>The evid</w:t>
      </w:r>
      <w:r w:rsidR="00961A5D">
        <w:t xml:space="preserve">ence for carcinogenicity of </w:t>
      </w:r>
      <w:r w:rsidR="00EC598D">
        <w:t>l</w:t>
      </w:r>
      <w:r w:rsidR="00637B4C">
        <w:t>ead</w:t>
      </w:r>
      <w:r w:rsidR="00EC598D">
        <w:t xml:space="preserve"> </w:t>
      </w:r>
      <w:r w:rsidR="00961A5D">
        <w:t xml:space="preserve">and several inorganic </w:t>
      </w:r>
      <w:r w:rsidR="00EC598D">
        <w:t>l</w:t>
      </w:r>
      <w:r w:rsidR="00637B4C">
        <w:t>ead</w:t>
      </w:r>
      <w:r w:rsidR="00EC598D">
        <w:t xml:space="preserve"> </w:t>
      </w:r>
      <w:r w:rsidR="009A7626" w:rsidRPr="008C721F">
        <w:t>compounds</w:t>
      </w:r>
      <w:r w:rsidR="009A7626">
        <w:t xml:space="preserve"> in humans is limited</w:t>
      </w:r>
      <w:r w:rsidR="009A7626" w:rsidRPr="008C721F">
        <w:t xml:space="preserve">. </w:t>
      </w:r>
      <w:r w:rsidRPr="0037733F">
        <w:t>In 1987 IARC concluded that the epidemiological evidence was inadequate whilst the data from animal experiments provided sufficient evidence of carcinogenicity. This prompted lead to be classified lead as possibly carcinogenic for humans (group 2B) (IARC, 1987).</w:t>
      </w:r>
      <w:r>
        <w:t xml:space="preserve"> </w:t>
      </w:r>
      <w:r w:rsidR="00195C1B">
        <w:t xml:space="preserve">IARC, in 2006, undertook a review of the epidemiological and animal toxicity information on the carcinogenicity of lead compounds. They increased the </w:t>
      </w:r>
      <w:r w:rsidR="009A7626">
        <w:t>c</w:t>
      </w:r>
      <w:r w:rsidR="009A7626" w:rsidRPr="008C721F">
        <w:t xml:space="preserve">lassification </w:t>
      </w:r>
      <w:r w:rsidR="00195C1B">
        <w:t xml:space="preserve">of inorganic lead compounds from 2B to </w:t>
      </w:r>
      <w:r>
        <w:t xml:space="preserve">Group </w:t>
      </w:r>
      <w:r w:rsidR="009A7626">
        <w:t>2A</w:t>
      </w:r>
      <w:r w:rsidR="009A7626" w:rsidRPr="008C721F">
        <w:t xml:space="preserve"> </w:t>
      </w:r>
      <w:r w:rsidR="009A7626" w:rsidRPr="008C721F">
        <w:rPr>
          <w:i/>
          <w:iCs/>
        </w:rPr>
        <w:t>‘The agent (mixture)</w:t>
      </w:r>
      <w:r w:rsidR="009A7626">
        <w:rPr>
          <w:i/>
          <w:iCs/>
        </w:rPr>
        <w:t xml:space="preserve"> </w:t>
      </w:r>
      <w:r w:rsidR="009A7626" w:rsidRPr="008C721F">
        <w:rPr>
          <w:i/>
          <w:iCs/>
        </w:rPr>
        <w:t xml:space="preserve">is </w:t>
      </w:r>
      <w:r w:rsidR="009A7626">
        <w:rPr>
          <w:i/>
          <w:iCs/>
        </w:rPr>
        <w:t xml:space="preserve">probably </w:t>
      </w:r>
      <w:r w:rsidR="009A7626" w:rsidRPr="008C721F">
        <w:rPr>
          <w:i/>
          <w:iCs/>
        </w:rPr>
        <w:t>carcinogenic to humans. The exposure circumstance entails</w:t>
      </w:r>
      <w:r w:rsidR="009A7626">
        <w:rPr>
          <w:i/>
          <w:iCs/>
        </w:rPr>
        <w:t xml:space="preserve"> exposures that are probably</w:t>
      </w:r>
      <w:r w:rsidR="009A7626" w:rsidRPr="008C721F">
        <w:rPr>
          <w:i/>
          <w:iCs/>
        </w:rPr>
        <w:t xml:space="preserve"> carcinogenic to humans’</w:t>
      </w:r>
      <w:r w:rsidR="009A7626">
        <w:rPr>
          <w:i/>
          <w:iCs/>
        </w:rPr>
        <w:t xml:space="preserve"> </w:t>
      </w:r>
      <w:r w:rsidR="00195C1B">
        <w:rPr>
          <w:iCs/>
        </w:rPr>
        <w:t xml:space="preserve">on the basis that there </w:t>
      </w:r>
      <w:r w:rsidR="00727E1E">
        <w:rPr>
          <w:iCs/>
        </w:rPr>
        <w:t xml:space="preserve">is </w:t>
      </w:r>
      <w:r w:rsidR="00195C1B">
        <w:rPr>
          <w:iCs/>
        </w:rPr>
        <w:t xml:space="preserve">now limited evidence of carcinogenicity from lead exposure in a variety of lead industries </w:t>
      </w:r>
      <w:r w:rsidR="009A7626" w:rsidRPr="006039B9">
        <w:rPr>
          <w:iCs/>
        </w:rPr>
        <w:t>(</w:t>
      </w:r>
      <w:r w:rsidR="00AC4201">
        <w:t>Section 4.4.4</w:t>
      </w:r>
      <w:r w:rsidR="009A7626">
        <w:t>)</w:t>
      </w:r>
      <w:r w:rsidR="009A7626" w:rsidRPr="008C721F">
        <w:t>.</w:t>
      </w:r>
      <w:r w:rsidR="00195C1B">
        <w:t xml:space="preserve"> </w:t>
      </w:r>
    </w:p>
    <w:p w:rsidR="009A7626" w:rsidRDefault="009A7626" w:rsidP="009A7626"/>
    <w:p w:rsidR="007C2C67" w:rsidRDefault="007C2C67" w:rsidP="007C2C67">
      <w:r>
        <w:t xml:space="preserve">The above overview information has been provided primarily for adults, as the health effects relevant to occupational exposures </w:t>
      </w:r>
      <w:r w:rsidR="003170DF">
        <w:t xml:space="preserve">(i.e. </w:t>
      </w:r>
      <w:r>
        <w:t>adults</w:t>
      </w:r>
      <w:r w:rsidR="003170DF">
        <w:t>)</w:t>
      </w:r>
      <w:r>
        <w:t xml:space="preserve"> are the focus of this report. Nevertheless, some of the effects observed in children are also relevant to occupational exposures </w:t>
      </w:r>
      <w:r w:rsidR="0037733F">
        <w:t xml:space="preserve">by </w:t>
      </w:r>
      <w:r>
        <w:t xml:space="preserve">women, since accumulated </w:t>
      </w:r>
      <w:r w:rsidR="00EC598D">
        <w:t>l</w:t>
      </w:r>
      <w:r w:rsidR="00637B4C">
        <w:t>ead</w:t>
      </w:r>
      <w:r w:rsidR="00B242FB">
        <w:t xml:space="preserve"> </w:t>
      </w:r>
      <w:r>
        <w:t xml:space="preserve">in bone can be remobilised into blood </w:t>
      </w:r>
      <w:r w:rsidR="0037733F">
        <w:t xml:space="preserve">during pregnancy </w:t>
      </w:r>
      <w:r>
        <w:t xml:space="preserve">and transferred to the </w:t>
      </w:r>
      <w:r w:rsidR="0037733F">
        <w:t xml:space="preserve">developing </w:t>
      </w:r>
      <w:r>
        <w:t>foetus</w:t>
      </w:r>
      <w:r w:rsidR="0037733F">
        <w:t>. Furthermore lead is excreted, albeit to a small extent, into breast milk</w:t>
      </w:r>
      <w:r>
        <w:t xml:space="preserve"> (see Section </w:t>
      </w:r>
      <w:r w:rsidR="00DB05CC">
        <w:t>4</w:t>
      </w:r>
      <w:r>
        <w:t xml:space="preserve">.2). </w:t>
      </w:r>
      <w:r w:rsidR="003170DF">
        <w:t>Effects observed with occupational exposures (</w:t>
      </w:r>
      <w:r w:rsidR="00C14CB5">
        <w:t>Section 4.3.1</w:t>
      </w:r>
      <w:r w:rsidR="003170DF">
        <w:t xml:space="preserve">) are dealt </w:t>
      </w:r>
      <w:r w:rsidR="00A86664">
        <w:t>with s</w:t>
      </w:r>
      <w:r w:rsidR="00A86664" w:rsidRPr="00A86664">
        <w:t>eparately</w:t>
      </w:r>
      <w:r w:rsidR="003170DF">
        <w:t xml:space="preserve"> from the effects observed in epidemiological studies of the general </w:t>
      </w:r>
      <w:r w:rsidR="004F33AF">
        <w:t xml:space="preserve">adult </w:t>
      </w:r>
      <w:r w:rsidR="003170DF">
        <w:t>population (</w:t>
      </w:r>
      <w:r w:rsidR="00C14CB5">
        <w:t>Section 4.3.2</w:t>
      </w:r>
      <w:r w:rsidR="003170DF">
        <w:t>).</w:t>
      </w:r>
      <w:r>
        <w:t xml:space="preserve"> </w:t>
      </w:r>
    </w:p>
    <w:p w:rsidR="007C2C67" w:rsidRDefault="007C2C67" w:rsidP="009A7626"/>
    <w:p w:rsidR="00BC020E" w:rsidRDefault="007C2C67" w:rsidP="00BC020E">
      <w:r>
        <w:t>The critical concern for environmental exposur</w:t>
      </w:r>
      <w:r w:rsidR="00496143">
        <w:t xml:space="preserve">es by the general public </w:t>
      </w:r>
      <w:r w:rsidR="00C14CB5">
        <w:t>are potential effects</w:t>
      </w:r>
      <w:r>
        <w:t xml:space="preserve"> on the central nervous system of children. Epidemiological studies suggest that low level exposure of the foetus and developing child may impair learning capacity and neuropsyc</w:t>
      </w:r>
      <w:r w:rsidR="00496143">
        <w:t>hological development. M</w:t>
      </w:r>
      <w:r>
        <w:t xml:space="preserve">any studies indicate a non-linear </w:t>
      </w:r>
      <w:r w:rsidR="00C14CB5">
        <w:t xml:space="preserve">association </w:t>
      </w:r>
      <w:r>
        <w:t xml:space="preserve">between </w:t>
      </w:r>
      <w:r w:rsidR="000C3863">
        <w:t>PbB</w:t>
      </w:r>
      <w:r>
        <w:t xml:space="preserve"> and a lower IQ</w:t>
      </w:r>
      <w:r w:rsidR="00496143">
        <w:t xml:space="preserve"> such that impact at low PbB is disproportionally large compared with higher PbB</w:t>
      </w:r>
      <w:r>
        <w:t xml:space="preserve"> (WHO 1995, ATSDR 2007, NTP 2012).  The investigations of these endpoints are not precise and outcomes are influenced by genetics, socio-economic status and early life experience/environment (NHMRC 2009).  Given the imprecise nature and outcomes, the National Health and Medical Research Council of Australia (NHMRC) recently concluded it is not possible to make a definitive statement on what constitutes a ‘safe level’ or ‘level of concern’ for </w:t>
      </w:r>
      <w:r w:rsidR="000C3863">
        <w:t>PbB</w:t>
      </w:r>
      <w:r>
        <w:t xml:space="preserve"> and recommended all Australians should have </w:t>
      </w:r>
      <w:r w:rsidRPr="00C72688">
        <w:t xml:space="preserve">a </w:t>
      </w:r>
      <w:r w:rsidR="000C3863">
        <w:t>PbB</w:t>
      </w:r>
      <w:r w:rsidRPr="00C72688">
        <w:t xml:space="preserve"> </w:t>
      </w:r>
      <w:r>
        <w:t>concentration below 10 µg/</w:t>
      </w:r>
      <w:r w:rsidR="00BC020E">
        <w:t>dL.</w:t>
      </w:r>
    </w:p>
    <w:p w:rsidR="0092071D" w:rsidRDefault="0092071D" w:rsidP="00BC020E"/>
    <w:p w:rsidR="0092071D" w:rsidRDefault="0092071D" w:rsidP="00BC020E">
      <w:r w:rsidRPr="0092071D">
        <w:t xml:space="preserve">The extensive animal toxicity information has not been </w:t>
      </w:r>
      <w:r>
        <w:t>reviewed</w:t>
      </w:r>
      <w:r w:rsidRPr="0092071D">
        <w:t xml:space="preserve"> in this report unless it offers particular insight for an effect observed in humans.</w:t>
      </w:r>
      <w:r>
        <w:t xml:space="preserve"> </w:t>
      </w:r>
    </w:p>
    <w:p w:rsidR="00BC020E" w:rsidRDefault="00BC020E" w:rsidP="00BC020E"/>
    <w:p w:rsidR="0073168C" w:rsidRDefault="00DB05CC" w:rsidP="00BC020E">
      <w:pPr>
        <w:pStyle w:val="Heading2"/>
      </w:pPr>
      <w:bookmarkStart w:id="17" w:name="_Toc391288225"/>
      <w:r>
        <w:t>4</w:t>
      </w:r>
      <w:r w:rsidR="006E78BA">
        <w:t xml:space="preserve">.2 </w:t>
      </w:r>
      <w:r w:rsidR="0073168C">
        <w:t>Kinetics and absorption</w:t>
      </w:r>
      <w:bookmarkEnd w:id="17"/>
    </w:p>
    <w:p w:rsidR="007C2C67" w:rsidRDefault="007C2C67" w:rsidP="007C2C67">
      <w:r>
        <w:t xml:space="preserve">Only a portion of </w:t>
      </w:r>
      <w:r w:rsidR="00EC598D">
        <w:t>l</w:t>
      </w:r>
      <w:r w:rsidR="00637B4C">
        <w:t>ead</w:t>
      </w:r>
      <w:r w:rsidR="00EC598D">
        <w:t xml:space="preserve"> </w:t>
      </w:r>
      <w:r>
        <w:t xml:space="preserve">that is ingested or inhaled as particulates is absorbed and distributed to various body compartments from which it is eliminated at various rates. The absorption and distribution of </w:t>
      </w:r>
      <w:r w:rsidR="00EC598D">
        <w:lastRenderedPageBreak/>
        <w:t>l</w:t>
      </w:r>
      <w:r w:rsidR="00637B4C">
        <w:t>ead</w:t>
      </w:r>
      <w:r w:rsidR="00EC598D">
        <w:t xml:space="preserve"> </w:t>
      </w:r>
      <w:r>
        <w:t>varies depending on duration and intensity of the exposure, age, and various physiological variables (e.g. age, nutritional status, pregnancy, and menopause) (ATSDR 2007).</w:t>
      </w:r>
    </w:p>
    <w:p w:rsidR="007C2C67" w:rsidRDefault="007C2C67" w:rsidP="007C2C67"/>
    <w:p w:rsidR="007C2C67" w:rsidRDefault="00DB05CC" w:rsidP="007C2C67">
      <w:pPr>
        <w:pStyle w:val="Heading3"/>
      </w:pPr>
      <w:bookmarkStart w:id="18" w:name="_Toc391288226"/>
      <w:r>
        <w:t>4</w:t>
      </w:r>
      <w:r w:rsidR="007C2C67">
        <w:t>.2.1 Absorption via inhalation</w:t>
      </w:r>
      <w:bookmarkEnd w:id="18"/>
    </w:p>
    <w:p w:rsidR="0073168C" w:rsidRDefault="0073168C" w:rsidP="0073168C"/>
    <w:p w:rsidR="00CF0A01" w:rsidRDefault="0073168C" w:rsidP="00DA218B">
      <w:r>
        <w:t xml:space="preserve">Absorption of </w:t>
      </w:r>
      <w:r w:rsidR="00B242FB">
        <w:t>l</w:t>
      </w:r>
      <w:r w:rsidR="00637B4C">
        <w:t>ead</w:t>
      </w:r>
      <w:r w:rsidR="00B242FB">
        <w:t xml:space="preserve"> </w:t>
      </w:r>
      <w:r>
        <w:t xml:space="preserve">that is deposited in the respiratory tract is influenced by particle size and </w:t>
      </w:r>
      <w:r w:rsidR="00CF0A01">
        <w:t xml:space="preserve">perhaps </w:t>
      </w:r>
      <w:r>
        <w:t>solubility, and by the pattern of regional deposition within the respiratory tract. Fine particles (&lt;1 μm) deposited in the bronchiolar and alveolar region can be absorbed after extracellular dissolution or can be ingested by phagocytic cells and transported from t</w:t>
      </w:r>
      <w:r w:rsidR="009942DB">
        <w:t>he respiratory tract (ATSDR 2007</w:t>
      </w:r>
      <w:r>
        <w:t xml:space="preserve">). </w:t>
      </w:r>
    </w:p>
    <w:p w:rsidR="00CF0A01" w:rsidRDefault="00CF0A01" w:rsidP="00DA218B"/>
    <w:p w:rsidR="007C6145" w:rsidRDefault="00DA218B" w:rsidP="00DA218B">
      <w:r>
        <w:t xml:space="preserve">Several studies have shown lead particles deposited in the alveoli of the lung are absorbed relatively quickly and completely </w:t>
      </w:r>
      <w:r w:rsidR="0073168C">
        <w:t>(ATSDR 2007, US</w:t>
      </w:r>
      <w:r w:rsidR="00961A5D">
        <w:t xml:space="preserve"> </w:t>
      </w:r>
      <w:r w:rsidR="0073168C">
        <w:t>EPA 2006</w:t>
      </w:r>
      <w:r w:rsidR="00CF0A01">
        <w:t>, Cohen 1987</w:t>
      </w:r>
      <w:r w:rsidR="0073168C">
        <w:t xml:space="preserve">). </w:t>
      </w:r>
      <w:r w:rsidR="007C6145">
        <w:t xml:space="preserve">Most of the lead </w:t>
      </w:r>
      <w:r w:rsidR="00E468E0">
        <w:t xml:space="preserve">deposited in the alveoli </w:t>
      </w:r>
      <w:r w:rsidR="007C6145">
        <w:t xml:space="preserve">is absorbed into the systemic circulation and little is brought up by cilliary action and swallowed. </w:t>
      </w:r>
      <w:r>
        <w:t>For example, r</w:t>
      </w:r>
      <w:r w:rsidRPr="004E5BE0">
        <w:t xml:space="preserve">ates of clearance </w:t>
      </w:r>
      <w:r>
        <w:t xml:space="preserve">(mucocillary and direct absorption) </w:t>
      </w:r>
      <w:r w:rsidRPr="004E5BE0">
        <w:t>from the res</w:t>
      </w:r>
      <w:r>
        <w:t xml:space="preserve">piratory tract of inorganic </w:t>
      </w:r>
      <w:r w:rsidR="00EC598D">
        <w:t>l</w:t>
      </w:r>
      <w:r w:rsidR="00637B4C">
        <w:t>ead</w:t>
      </w:r>
      <w:r w:rsidR="00EC598D">
        <w:t xml:space="preserve"> </w:t>
      </w:r>
      <w:r w:rsidRPr="004E5BE0">
        <w:t xml:space="preserve">inhaled as submicron particles </w:t>
      </w:r>
      <w:r>
        <w:t>(</w:t>
      </w:r>
      <w:r w:rsidRPr="00550402">
        <w:t>majority</w:t>
      </w:r>
      <w:r>
        <w:t xml:space="preserve"> </w:t>
      </w:r>
      <w:r w:rsidR="005D66A1">
        <w:rPr>
          <w:rFonts w:cs="Arial"/>
        </w:rPr>
        <w:t>≤</w:t>
      </w:r>
      <w:r w:rsidR="005D66A1">
        <w:t xml:space="preserve"> </w:t>
      </w:r>
      <w:r>
        <w:t xml:space="preserve">0.1 μm) of </w:t>
      </w:r>
      <w:r w:rsidR="00EC598D">
        <w:t>l</w:t>
      </w:r>
      <w:r w:rsidR="00637B4C">
        <w:t>ead</w:t>
      </w:r>
      <w:r w:rsidR="00EC598D">
        <w:t xml:space="preserve"> </w:t>
      </w:r>
      <w:r>
        <w:t xml:space="preserve">oxide </w:t>
      </w:r>
      <w:r w:rsidR="002E6EA6">
        <w:t xml:space="preserve">(insoluble in water) </w:t>
      </w:r>
      <w:r>
        <w:t xml:space="preserve">or </w:t>
      </w:r>
      <w:r w:rsidR="00EC598D">
        <w:t>l</w:t>
      </w:r>
      <w:r w:rsidR="00637B4C">
        <w:t>ead</w:t>
      </w:r>
      <w:r w:rsidR="00EC598D">
        <w:t xml:space="preserve"> </w:t>
      </w:r>
      <w:r w:rsidRPr="004E5BE0">
        <w:t>nitrate</w:t>
      </w:r>
      <w:r w:rsidR="002E6EA6">
        <w:t xml:space="preserve"> (soluble in water)</w:t>
      </w:r>
      <w:r w:rsidRPr="004E5BE0">
        <w:t>, were described with half-times of 0.8 hours (22%), 2.5 hours (34%), 9 hours (33%), and 44 hours</w:t>
      </w:r>
      <w:r>
        <w:t xml:space="preserve"> (12%)</w:t>
      </w:r>
      <w:r w:rsidR="007C6145">
        <w:t>. There wa</w:t>
      </w:r>
      <w:r w:rsidR="00001A9A">
        <w:t>s no difference</w:t>
      </w:r>
      <w:r w:rsidR="007C6145">
        <w:t xml:space="preserve"> in the pulmonary clearance of lead oxide or lead nitrate.</w:t>
      </w:r>
      <w:r w:rsidR="00001A9A">
        <w:t xml:space="preserve"> </w:t>
      </w:r>
      <w:r>
        <w:t xml:space="preserve"> </w:t>
      </w:r>
      <w:r w:rsidR="007C6145">
        <w:t xml:space="preserve">This maybe because the </w:t>
      </w:r>
      <w:r w:rsidR="00AB7AE2">
        <w:t>transfer</w:t>
      </w:r>
      <w:r w:rsidR="007C6145">
        <w:t xml:space="preserve"> is slow (peak blood concentrations occurred at approximately 30 hours) and is the rate limiting step regardless of compound solubility at these particle sizes </w:t>
      </w:r>
      <w:r>
        <w:t>(Chamberlain et al. 1978</w:t>
      </w:r>
      <w:r w:rsidRPr="004E5BE0">
        <w:t xml:space="preserve">). </w:t>
      </w:r>
    </w:p>
    <w:p w:rsidR="007C6145" w:rsidRDefault="007C6145" w:rsidP="00DA218B"/>
    <w:p w:rsidR="00DA218B" w:rsidRDefault="00DA218B" w:rsidP="00DA218B">
      <w:r>
        <w:t xml:space="preserve">Morrow et al. (1980) followed </w:t>
      </w:r>
      <w:r w:rsidRPr="004E5BE0">
        <w:t xml:space="preserve">the systemic uptake of </w:t>
      </w:r>
      <w:r w:rsidRPr="004E5BE0">
        <w:rPr>
          <w:vertAlign w:val="superscript"/>
        </w:rPr>
        <w:t>203</w:t>
      </w:r>
      <w:r w:rsidRPr="004E5BE0">
        <w:t xml:space="preserve">Pb in 17 adult subjects </w:t>
      </w:r>
      <w:r>
        <w:t xml:space="preserve">after a 5 minute exposure to aerosols </w:t>
      </w:r>
      <w:r w:rsidR="00862751" w:rsidRPr="00862751">
        <w:t>(MMAD 0.25 μm)</w:t>
      </w:r>
      <w:r w:rsidR="00862751">
        <w:t xml:space="preserve"> </w:t>
      </w:r>
      <w:r>
        <w:t xml:space="preserve">of </w:t>
      </w:r>
      <w:r w:rsidR="00EC598D">
        <w:t>l</w:t>
      </w:r>
      <w:r w:rsidR="00637B4C">
        <w:t>ead</w:t>
      </w:r>
      <w:r w:rsidR="00EC598D">
        <w:t xml:space="preserve"> </w:t>
      </w:r>
      <w:r w:rsidRPr="004E5BE0">
        <w:t xml:space="preserve">chloride </w:t>
      </w:r>
      <w:r w:rsidR="00862751">
        <w:t xml:space="preserve">(soluble, but less </w:t>
      </w:r>
      <w:r w:rsidR="004F33AF">
        <w:t xml:space="preserve">so </w:t>
      </w:r>
      <w:r w:rsidR="00862751">
        <w:t xml:space="preserve">than nitrate) </w:t>
      </w:r>
      <w:r w:rsidRPr="004E5BE0">
        <w:t>o</w:t>
      </w:r>
      <w:r>
        <w:t xml:space="preserve">r </w:t>
      </w:r>
      <w:r w:rsidR="00EC598D">
        <w:t>l</w:t>
      </w:r>
      <w:r w:rsidR="00637B4C">
        <w:t>ead</w:t>
      </w:r>
      <w:r w:rsidR="00EC598D">
        <w:t xml:space="preserve"> </w:t>
      </w:r>
      <w:r w:rsidRPr="004E5BE0">
        <w:t>hydroxide</w:t>
      </w:r>
      <w:r w:rsidR="00E142FE">
        <w:t xml:space="preserve"> </w:t>
      </w:r>
      <w:r w:rsidR="00862751">
        <w:t>(insoluble)</w:t>
      </w:r>
      <w:r w:rsidRPr="004E5BE0">
        <w:t xml:space="preserve">. Half of the </w:t>
      </w:r>
      <w:r>
        <w:t xml:space="preserve">pulmonary </w:t>
      </w:r>
      <w:r w:rsidRPr="004E5BE0">
        <w:t xml:space="preserve">deposited fraction of either </w:t>
      </w:r>
      <w:r>
        <w:t xml:space="preserve">substance </w:t>
      </w:r>
      <w:r w:rsidRPr="004E5BE0">
        <w:t xml:space="preserve">was absorbed in </w:t>
      </w:r>
      <w:r>
        <w:t>approximately 13 - 14</w:t>
      </w:r>
      <w:r w:rsidRPr="004E5BE0">
        <w:t xml:space="preserve"> hours.</w:t>
      </w:r>
      <w:r>
        <w:t xml:space="preserve"> Hursh and Mercer (1970) showed that 27-62% of inhaled </w:t>
      </w:r>
      <w:r>
        <w:rPr>
          <w:vertAlign w:val="superscript"/>
        </w:rPr>
        <w:t>212</w:t>
      </w:r>
      <w:r>
        <w:t xml:space="preserve">Pb </w:t>
      </w:r>
      <w:r w:rsidR="00E142FE">
        <w:t xml:space="preserve">(elemental) </w:t>
      </w:r>
      <w:r>
        <w:t>of different sizes (</w:t>
      </w:r>
      <w:r w:rsidR="00E142FE">
        <w:t>approx</w:t>
      </w:r>
      <w:r w:rsidR="004F33AF">
        <w:t>imately</w:t>
      </w:r>
      <w:r w:rsidR="00E142FE">
        <w:t xml:space="preserve"> 99.5% </w:t>
      </w:r>
      <w:r>
        <w:t xml:space="preserve">&lt;1 </w:t>
      </w:r>
      <w:r w:rsidRPr="00DA218B">
        <w:rPr>
          <w:rFonts w:cs="Arial"/>
        </w:rPr>
        <w:t>µ</w:t>
      </w:r>
      <w:r>
        <w:t>m in diameter) deposited in the lung, with clearance occurring rapidl</w:t>
      </w:r>
      <w:r w:rsidR="004F33AF">
        <w:t xml:space="preserve">y (half-time of 10.5-11.5 hrs). It was </w:t>
      </w:r>
      <w:r>
        <w:t xml:space="preserve">estimated at least 95% of the deposited </w:t>
      </w:r>
      <w:r w:rsidR="00EC598D">
        <w:t>l</w:t>
      </w:r>
      <w:r w:rsidR="00637B4C">
        <w:t>ead</w:t>
      </w:r>
      <w:r w:rsidR="00EC598D">
        <w:t xml:space="preserve"> </w:t>
      </w:r>
      <w:r>
        <w:t xml:space="preserve">was absorbed. </w:t>
      </w:r>
      <w:r w:rsidR="00CF0A01">
        <w:t xml:space="preserve">In a model used to define the relationship between </w:t>
      </w:r>
      <w:r w:rsidR="00FF060A">
        <w:t>PbAir</w:t>
      </w:r>
      <w:r w:rsidR="00CF0A01">
        <w:t xml:space="preserve"> and PbB, Chamberlain (1983) assumed 100% of </w:t>
      </w:r>
      <w:r w:rsidR="00EC598D">
        <w:t>l</w:t>
      </w:r>
      <w:r w:rsidR="00637B4C">
        <w:t>ead</w:t>
      </w:r>
      <w:r w:rsidR="00EC598D">
        <w:t xml:space="preserve"> </w:t>
      </w:r>
      <w:r w:rsidR="00CF0A01">
        <w:t xml:space="preserve">deposited in the alveolar region is absorbed into the blood. </w:t>
      </w:r>
      <w:r w:rsidR="00E468E0">
        <w:t xml:space="preserve"> </w:t>
      </w:r>
    </w:p>
    <w:p w:rsidR="00CF0A01" w:rsidRDefault="00CF0A01" w:rsidP="00DA218B"/>
    <w:p w:rsidR="00CF0A01" w:rsidRPr="00DA218B" w:rsidRDefault="00E468E0" w:rsidP="00DA218B">
      <w:r>
        <w:t>S</w:t>
      </w:r>
      <w:r w:rsidR="00CF0A01">
        <w:t xml:space="preserve">everal authors </w:t>
      </w:r>
      <w:r>
        <w:t xml:space="preserve">or organisations </w:t>
      </w:r>
      <w:r w:rsidR="00CF0A01">
        <w:t xml:space="preserve">have remarked that pulmonary absorption of </w:t>
      </w:r>
      <w:r w:rsidR="00EC598D">
        <w:t>l</w:t>
      </w:r>
      <w:r w:rsidR="00637B4C">
        <w:t>ead</w:t>
      </w:r>
      <w:r w:rsidR="00EC598D">
        <w:t xml:space="preserve"> </w:t>
      </w:r>
      <w:r w:rsidR="00CF0A01">
        <w:t>compounds, regardless of chemical form, is rapid and complete (Grant 2009, ATSDR 2007, Cohen 1987, Morrow et al. 1980</w:t>
      </w:r>
      <w:r w:rsidR="007D23BC">
        <w:t>, US EPA</w:t>
      </w:r>
      <w:r>
        <w:t xml:space="preserve"> 2013</w:t>
      </w:r>
      <w:r w:rsidR="00CF0A01">
        <w:t>)</w:t>
      </w:r>
      <w:r w:rsidR="00643249">
        <w:t xml:space="preserve">. </w:t>
      </w:r>
      <w:r w:rsidR="00E142FE">
        <w:t xml:space="preserve">This </w:t>
      </w:r>
      <w:r w:rsidR="004F33AF" w:rsidRPr="004F33AF">
        <w:t xml:space="preserve">opinion </w:t>
      </w:r>
      <w:r w:rsidR="00E142FE">
        <w:t>is primarily based on m</w:t>
      </w:r>
      <w:r w:rsidR="00E142FE" w:rsidRPr="00E142FE">
        <w:t xml:space="preserve">easurement of </w:t>
      </w:r>
      <w:r w:rsidR="00E142FE">
        <w:t xml:space="preserve">transfer </w:t>
      </w:r>
      <w:r w:rsidR="004F33AF" w:rsidRPr="004F33AF">
        <w:t xml:space="preserve">of radioactive lead </w:t>
      </w:r>
      <w:r w:rsidR="00E142FE" w:rsidRPr="00E142FE">
        <w:t xml:space="preserve">from the lungs </w:t>
      </w:r>
      <w:r w:rsidR="004F33AF">
        <w:t xml:space="preserve">of volunteers </w:t>
      </w:r>
      <w:r w:rsidR="00E142FE" w:rsidRPr="00E142FE">
        <w:t>to the systemic circulation</w:t>
      </w:r>
      <w:r w:rsidRPr="00E468E0">
        <w:t xml:space="preserve"> from </w:t>
      </w:r>
      <w:r w:rsidR="004F33AF">
        <w:t>forms of lead</w:t>
      </w:r>
      <w:r w:rsidRPr="00E468E0">
        <w:t xml:space="preserve"> with different solubility</w:t>
      </w:r>
      <w:r w:rsidR="00E142FE">
        <w:t>. However the experimental volunteer studies have been for sub-micron sized particles</w:t>
      </w:r>
      <w:r w:rsidR="007D23BC">
        <w:t xml:space="preserve"> that are deposited into the small bronchi and alveolar regions of the lung</w:t>
      </w:r>
      <w:r w:rsidR="00E142FE">
        <w:t xml:space="preserve">. </w:t>
      </w:r>
      <w:r w:rsidR="00E142FE" w:rsidRPr="00E142FE">
        <w:t xml:space="preserve"> Information was not located for </w:t>
      </w:r>
      <w:r w:rsidR="00E142FE" w:rsidRPr="00E142FE">
        <w:lastRenderedPageBreak/>
        <w:t xml:space="preserve">larger particle sizes or for mineralised forms of lead. </w:t>
      </w:r>
      <w:r w:rsidR="00643249">
        <w:t xml:space="preserve">No information, for example, could be found for insoluble </w:t>
      </w:r>
      <w:r w:rsidR="00EC598D">
        <w:t>l</w:t>
      </w:r>
      <w:r w:rsidR="00637B4C">
        <w:t>ead</w:t>
      </w:r>
      <w:r w:rsidR="00EC598D">
        <w:t xml:space="preserve"> </w:t>
      </w:r>
      <w:r w:rsidR="00643249">
        <w:t>sulphides.</w:t>
      </w:r>
      <w:r w:rsidR="00194943">
        <w:t xml:space="preserve"> </w:t>
      </w:r>
      <w:r w:rsidR="00194943" w:rsidRPr="00194943">
        <w:t xml:space="preserve">Thus there is currently insufficient information for deriving appropriate adjustment factors which could potentially be applied to a WES for different forms of lead. </w:t>
      </w:r>
      <w:r w:rsidR="003069AC">
        <w:t xml:space="preserve"> </w:t>
      </w:r>
      <w:r w:rsidR="00E142FE">
        <w:t xml:space="preserve"> </w:t>
      </w:r>
    </w:p>
    <w:p w:rsidR="007571B0" w:rsidRDefault="007571B0" w:rsidP="0073168C"/>
    <w:p w:rsidR="0073168C" w:rsidRDefault="0073168C" w:rsidP="0073168C">
      <w:r>
        <w:t xml:space="preserve">Larger particles (&gt;2.5 μm) that are primarily deposited in the ciliated airways (nasopharyngeal and tracheobronchial regions) </w:t>
      </w:r>
      <w:r w:rsidR="0057676B">
        <w:t>are</w:t>
      </w:r>
      <w:r>
        <w:t xml:space="preserve"> transferred </w:t>
      </w:r>
      <w:r w:rsidR="0057676B">
        <w:t xml:space="preserve">within hours </w:t>
      </w:r>
      <w:r>
        <w:t xml:space="preserve">by mucociliary transport into the oesophagus and </w:t>
      </w:r>
      <w:r w:rsidR="0057676B">
        <w:t xml:space="preserve">mainly </w:t>
      </w:r>
      <w:r>
        <w:t>swallowed (ATSDR 2007</w:t>
      </w:r>
      <w:r w:rsidR="009942DB">
        <w:t>, US EPA 2013</w:t>
      </w:r>
      <w:r w:rsidR="00AB7AE2">
        <w:t>)</w:t>
      </w:r>
      <w:r w:rsidR="00275F89">
        <w:t>.</w:t>
      </w:r>
      <w:r w:rsidR="00AB7AE2">
        <w:t xml:space="preserve"> </w:t>
      </w:r>
      <w:r w:rsidR="00643249">
        <w:t xml:space="preserve">Therefore, depending on the particle size and concentrations of </w:t>
      </w:r>
      <w:r w:rsidR="00EC598D">
        <w:t>l</w:t>
      </w:r>
      <w:r w:rsidR="00637B4C">
        <w:t>ead</w:t>
      </w:r>
      <w:r w:rsidR="00EC598D">
        <w:t xml:space="preserve"> </w:t>
      </w:r>
      <w:r w:rsidR="00643249">
        <w:t xml:space="preserve">associated with a particular air exposure source, the digestive tract can also be an important avenue of </w:t>
      </w:r>
      <w:r w:rsidR="00EC598D">
        <w:t>l</w:t>
      </w:r>
      <w:r w:rsidR="00637B4C">
        <w:t>ead</w:t>
      </w:r>
      <w:r w:rsidR="00EC598D">
        <w:t xml:space="preserve"> </w:t>
      </w:r>
      <w:r w:rsidR="00643249">
        <w:t xml:space="preserve">absorption following inhalation. </w:t>
      </w:r>
    </w:p>
    <w:p w:rsidR="0073168C" w:rsidRDefault="0073168C" w:rsidP="0073168C"/>
    <w:p w:rsidR="007C2C67" w:rsidRDefault="00DB05CC" w:rsidP="007C2C67">
      <w:pPr>
        <w:pStyle w:val="Heading3"/>
      </w:pPr>
      <w:bookmarkStart w:id="19" w:name="_Toc391288227"/>
      <w:r>
        <w:t>4</w:t>
      </w:r>
      <w:r w:rsidR="007C2C67">
        <w:t>.2.2 Oral absorption</w:t>
      </w:r>
      <w:bookmarkEnd w:id="19"/>
    </w:p>
    <w:p w:rsidR="0073168C" w:rsidRDefault="0073168C" w:rsidP="0073168C">
      <w:r>
        <w:t xml:space="preserve">The extent and rate of gastrointestinal absorption of ingested inorganic </w:t>
      </w:r>
      <w:r w:rsidR="00EC598D">
        <w:t>l</w:t>
      </w:r>
      <w:r w:rsidR="00637B4C">
        <w:t>ead</w:t>
      </w:r>
      <w:r w:rsidR="00EC598D">
        <w:t xml:space="preserve"> </w:t>
      </w:r>
      <w:r w:rsidR="00496143">
        <w:t>is</w:t>
      </w:r>
      <w:r>
        <w:t xml:space="preserve"> influenced by the physiological status of the exposed individual (e.g. age, fasting, nutritional calcium and iron status, pregnancy) and physicochemical characteristics of the lead-bearing material ingested (e.g. particle size, mineralogy, solubility, lead species) (US EPA 2006). </w:t>
      </w:r>
      <w:r w:rsidR="00C904E9">
        <w:t>Physiological i</w:t>
      </w:r>
      <w:r w:rsidR="00496143">
        <w:t xml:space="preserve">nfluences have not been studied for inhalation exposure. </w:t>
      </w:r>
      <w:r>
        <w:t xml:space="preserve"> </w:t>
      </w:r>
    </w:p>
    <w:p w:rsidR="0073168C" w:rsidRDefault="0073168C" w:rsidP="0073168C"/>
    <w:p w:rsidR="0073168C" w:rsidRDefault="0073168C" w:rsidP="0073168C">
      <w:r>
        <w:t xml:space="preserve">Human studies investigating the absorption of water soluble </w:t>
      </w:r>
      <w:r w:rsidR="00EC598D">
        <w:t>l</w:t>
      </w:r>
      <w:r w:rsidR="00637B4C">
        <w:t>ead</w:t>
      </w:r>
      <w:r w:rsidR="00EC598D">
        <w:t xml:space="preserve"> </w:t>
      </w:r>
      <w:r>
        <w:t xml:space="preserve">compounds indicate that 40-50% of ingested </w:t>
      </w:r>
      <w:r w:rsidR="00EC598D">
        <w:t>l</w:t>
      </w:r>
      <w:r w:rsidR="00637B4C">
        <w:t>ead</w:t>
      </w:r>
      <w:r w:rsidR="00EC598D">
        <w:t xml:space="preserve"> </w:t>
      </w:r>
      <w:r>
        <w:t xml:space="preserve">is absorbed in children (2 week old infants to approximately 8 year old children) while only 3-10% of ingested </w:t>
      </w:r>
      <w:r w:rsidR="00EC598D">
        <w:t>l</w:t>
      </w:r>
      <w:r w:rsidR="00637B4C">
        <w:t>ead</w:t>
      </w:r>
      <w:r w:rsidR="00EC598D">
        <w:t xml:space="preserve"> </w:t>
      </w:r>
      <w:r>
        <w:t>is</w:t>
      </w:r>
      <w:r w:rsidR="00582DBD">
        <w:t xml:space="preserve"> absorbed by </w:t>
      </w:r>
      <w:r w:rsidR="0057676B">
        <w:t xml:space="preserve">fed </w:t>
      </w:r>
      <w:r w:rsidR="00582DBD">
        <w:t>adults</w:t>
      </w:r>
      <w:r w:rsidR="0057676B">
        <w:t xml:space="preserve">, </w:t>
      </w:r>
      <w:r w:rsidR="00582DBD">
        <w:t xml:space="preserve"> </w:t>
      </w:r>
      <w:r w:rsidR="0057676B" w:rsidRPr="0057676B">
        <w:t xml:space="preserve">in fasted adults absorption of water-soluble </w:t>
      </w:r>
      <w:r w:rsidR="0017502B">
        <w:t>lead</w:t>
      </w:r>
      <w:r w:rsidR="0057676B" w:rsidRPr="0057676B">
        <w:t xml:space="preserve"> </w:t>
      </w:r>
      <w:r w:rsidR="0017502B">
        <w:t>increases</w:t>
      </w:r>
      <w:r w:rsidR="0057676B">
        <w:t xml:space="preserve"> to about</w:t>
      </w:r>
      <w:r w:rsidR="0057676B" w:rsidRPr="0057676B">
        <w:t xml:space="preserve"> 26 </w:t>
      </w:r>
      <w:r w:rsidR="00194943">
        <w:t>-</w:t>
      </w:r>
      <w:r w:rsidR="0057676B" w:rsidRPr="0057676B">
        <w:t>70%</w:t>
      </w:r>
      <w:r w:rsidR="0017502B">
        <w:t xml:space="preserve"> </w:t>
      </w:r>
      <w:r w:rsidR="00582DBD">
        <w:t>(ATSDR 2007;</w:t>
      </w:r>
      <w:r>
        <w:t xml:space="preserve"> US EPA 2006</w:t>
      </w:r>
      <w:r w:rsidR="00582DBD">
        <w:t>, 2013</w:t>
      </w:r>
      <w:r>
        <w:t xml:space="preserve">).  The difference is thought to be due to differences in physiological and dietary factors. </w:t>
      </w:r>
      <w:r w:rsidR="0017502B">
        <w:t>For example, a</w:t>
      </w:r>
      <w:r w:rsidR="0017502B" w:rsidRPr="0017502B">
        <w:t xml:space="preserve">lthough not demonstrated in adult women, in animal studies and in children </w:t>
      </w:r>
      <w:r w:rsidR="0017502B">
        <w:t>iron deficiency increases absorp</w:t>
      </w:r>
      <w:r w:rsidR="0017502B" w:rsidRPr="0017502B">
        <w:t>tion of lead and PbB levels. In adults co-administration with calcium salts decreases absorption and PbB</w:t>
      </w:r>
      <w:r w:rsidR="0017502B">
        <w:t>.</w:t>
      </w:r>
      <w:r w:rsidR="0017502B" w:rsidRPr="0017502B">
        <w:t xml:space="preserve"> </w:t>
      </w:r>
      <w:r>
        <w:t xml:space="preserve">Ultimately, the proportion of ingested </w:t>
      </w:r>
      <w:r w:rsidR="00EC598D">
        <w:t>l</w:t>
      </w:r>
      <w:r w:rsidR="00637B4C">
        <w:t>ead</w:t>
      </w:r>
      <w:r w:rsidR="00EC598D">
        <w:t xml:space="preserve"> </w:t>
      </w:r>
      <w:r>
        <w:t>absorbed is also dependent on the amount that is available for absorption, i.e. the bioaccessibility</w:t>
      </w:r>
      <w:r w:rsidR="0017502B">
        <w:t>. Administration of poorly soluble salts with fruit juices (citric acid) increases their solubility and absorption</w:t>
      </w:r>
      <w:r w:rsidRPr="000D3858">
        <w:t>.</w:t>
      </w:r>
      <w:r w:rsidR="009942DB">
        <w:t xml:space="preserve"> </w:t>
      </w:r>
      <w:r w:rsidR="00496143">
        <w:t xml:space="preserve">The </w:t>
      </w:r>
      <w:r w:rsidR="003069AC">
        <w:t xml:space="preserve">lead </w:t>
      </w:r>
      <w:r w:rsidR="00496143">
        <w:t>substance</w:t>
      </w:r>
      <w:r w:rsidR="003069AC">
        <w:t xml:space="preserve"> </w:t>
      </w:r>
      <w:r w:rsidR="009942DB">
        <w:t xml:space="preserve">must become bioaccessible in order for absorption to occur. </w:t>
      </w:r>
      <w:r w:rsidR="00C904E9">
        <w:t xml:space="preserve">Mineralisation of lead strongly influences its bioaccessibility. </w:t>
      </w:r>
    </w:p>
    <w:p w:rsidR="0073168C" w:rsidRDefault="0073168C" w:rsidP="0073168C"/>
    <w:p w:rsidR="0023747D" w:rsidRDefault="00DB05CC" w:rsidP="0023747D">
      <w:pPr>
        <w:pStyle w:val="Heading3"/>
      </w:pPr>
      <w:bookmarkStart w:id="20" w:name="_Toc391288228"/>
      <w:r>
        <w:t>4</w:t>
      </w:r>
      <w:r w:rsidR="0023747D">
        <w:t>.2.3 Dermal absorption</w:t>
      </w:r>
      <w:bookmarkEnd w:id="20"/>
    </w:p>
    <w:p w:rsidR="0073168C" w:rsidRPr="009A7626" w:rsidRDefault="0073168C" w:rsidP="0073168C">
      <w:pPr>
        <w:rPr>
          <w:lang w:val="en-US"/>
        </w:rPr>
      </w:pPr>
      <w:r>
        <w:t xml:space="preserve">Dermal absorption of inorganic </w:t>
      </w:r>
      <w:r w:rsidR="00EC598D">
        <w:t>l</w:t>
      </w:r>
      <w:r w:rsidR="00637B4C">
        <w:t>ead</w:t>
      </w:r>
      <w:r w:rsidR="00EC598D">
        <w:t xml:space="preserve"> </w:t>
      </w:r>
      <w:r>
        <w:t>compounds is negligible (ATSDR 2007</w:t>
      </w:r>
      <w:r w:rsidRPr="00932C9E">
        <w:rPr>
          <w:lang w:val="en-US"/>
        </w:rPr>
        <w:t>, US EPA 2006)</w:t>
      </w:r>
      <w:r>
        <w:rPr>
          <w:lang w:val="en-US"/>
        </w:rPr>
        <w:t xml:space="preserve">. </w:t>
      </w:r>
      <w:r w:rsidRPr="00932C9E">
        <w:rPr>
          <w:lang w:val="en-US"/>
        </w:rPr>
        <w:t xml:space="preserve">Few studies have provided quantitative estimates of dermal absorption of inorganic </w:t>
      </w:r>
      <w:r w:rsidR="00EC598D">
        <w:rPr>
          <w:lang w:val="en-US"/>
        </w:rPr>
        <w:t>l</w:t>
      </w:r>
      <w:r w:rsidR="00637B4C">
        <w:rPr>
          <w:lang w:val="en-US"/>
        </w:rPr>
        <w:t>ead</w:t>
      </w:r>
      <w:r w:rsidR="00EC598D">
        <w:rPr>
          <w:lang w:val="en-US"/>
        </w:rPr>
        <w:t xml:space="preserve"> </w:t>
      </w:r>
      <w:r w:rsidRPr="00932C9E">
        <w:rPr>
          <w:lang w:val="en-US"/>
        </w:rPr>
        <w:t xml:space="preserve">in </w:t>
      </w:r>
      <w:r>
        <w:rPr>
          <w:lang w:val="en-US"/>
        </w:rPr>
        <w:t>either humans or animals</w:t>
      </w:r>
      <w:r w:rsidRPr="00932C9E">
        <w:rPr>
          <w:lang w:val="en-US"/>
        </w:rPr>
        <w:t>.</w:t>
      </w:r>
      <w:r>
        <w:rPr>
          <w:lang w:val="en-US"/>
        </w:rPr>
        <w:t xml:space="preserve"> Those that have been conducted consistently show the absorption to be </w:t>
      </w:r>
      <w:r w:rsidR="00C904E9">
        <w:rPr>
          <w:lang w:val="en-US"/>
        </w:rPr>
        <w:t>negli</w:t>
      </w:r>
      <w:r w:rsidR="00EE2C4F">
        <w:rPr>
          <w:lang w:val="en-US"/>
        </w:rPr>
        <w:t>gi</w:t>
      </w:r>
      <w:r w:rsidR="00C904E9">
        <w:rPr>
          <w:lang w:val="en-US"/>
        </w:rPr>
        <w:t xml:space="preserve">ble </w:t>
      </w:r>
      <w:r>
        <w:rPr>
          <w:lang w:val="en-US"/>
        </w:rPr>
        <w:t xml:space="preserve">for both soluble and insoluble </w:t>
      </w:r>
      <w:r w:rsidR="00EC598D">
        <w:rPr>
          <w:lang w:val="en-US"/>
        </w:rPr>
        <w:t>l</w:t>
      </w:r>
      <w:r w:rsidR="00637B4C">
        <w:rPr>
          <w:lang w:val="en-US"/>
        </w:rPr>
        <w:t>ead</w:t>
      </w:r>
      <w:r w:rsidR="00EC598D">
        <w:rPr>
          <w:lang w:val="en-US"/>
        </w:rPr>
        <w:t xml:space="preserve"> </w:t>
      </w:r>
      <w:r>
        <w:rPr>
          <w:lang w:val="en-US"/>
        </w:rPr>
        <w:t xml:space="preserve">compounds.  ATSDR (2007) </w:t>
      </w:r>
      <w:r w:rsidRPr="00632B72">
        <w:t>summarise</w:t>
      </w:r>
      <w:r>
        <w:rPr>
          <w:lang w:val="en-US"/>
        </w:rPr>
        <w:t xml:space="preserve"> </w:t>
      </w:r>
      <w:r w:rsidRPr="00412288">
        <w:rPr>
          <w:lang w:val="en-US"/>
        </w:rPr>
        <w:t>a comparative study of</w:t>
      </w:r>
      <w:r>
        <w:rPr>
          <w:lang w:val="en-US"/>
        </w:rPr>
        <w:t xml:space="preserve"> </w:t>
      </w:r>
      <w:r w:rsidRPr="00412288">
        <w:rPr>
          <w:lang w:val="en-US"/>
        </w:rPr>
        <w:t xml:space="preserve">dermal absorption of inorganic and organic salts of </w:t>
      </w:r>
      <w:r w:rsidR="00EC598D">
        <w:rPr>
          <w:lang w:val="en-US"/>
        </w:rPr>
        <w:t>l</w:t>
      </w:r>
      <w:r w:rsidR="00637B4C">
        <w:rPr>
          <w:lang w:val="en-US"/>
        </w:rPr>
        <w:t>ead</w:t>
      </w:r>
      <w:r w:rsidR="00EC598D">
        <w:rPr>
          <w:lang w:val="en-US"/>
        </w:rPr>
        <w:t xml:space="preserve"> </w:t>
      </w:r>
      <w:r w:rsidRPr="00412288">
        <w:rPr>
          <w:lang w:val="en-US"/>
        </w:rPr>
        <w:t>conducted in rats</w:t>
      </w:r>
      <w:r>
        <w:rPr>
          <w:lang w:val="en-US"/>
        </w:rPr>
        <w:t xml:space="preserve"> where approximately 1</w:t>
      </w:r>
      <w:r w:rsidRPr="00412288">
        <w:rPr>
          <w:lang w:val="en-US"/>
        </w:rPr>
        <w:t xml:space="preserve">00 mg of </w:t>
      </w:r>
      <w:r w:rsidR="00EC598D">
        <w:rPr>
          <w:lang w:val="en-US"/>
        </w:rPr>
        <w:t>l</w:t>
      </w:r>
      <w:r w:rsidR="00637B4C">
        <w:rPr>
          <w:lang w:val="en-US"/>
        </w:rPr>
        <w:t>ead</w:t>
      </w:r>
      <w:r w:rsidR="00EC598D">
        <w:rPr>
          <w:lang w:val="en-US"/>
        </w:rPr>
        <w:t xml:space="preserve"> </w:t>
      </w:r>
      <w:r w:rsidRPr="00412288">
        <w:rPr>
          <w:lang w:val="en-US"/>
        </w:rPr>
        <w:t>was</w:t>
      </w:r>
      <w:r>
        <w:rPr>
          <w:lang w:val="en-US"/>
        </w:rPr>
        <w:t xml:space="preserve"> </w:t>
      </w:r>
      <w:r w:rsidRPr="00412288">
        <w:rPr>
          <w:lang w:val="en-US"/>
        </w:rPr>
        <w:t xml:space="preserve">applied in an occluded patch to the shaved backs of rats. Based on urinary </w:t>
      </w:r>
      <w:r w:rsidR="00EC598D">
        <w:rPr>
          <w:lang w:val="en-US"/>
        </w:rPr>
        <w:t>l</w:t>
      </w:r>
      <w:r w:rsidR="00637B4C">
        <w:rPr>
          <w:lang w:val="en-US"/>
        </w:rPr>
        <w:t>ead</w:t>
      </w:r>
      <w:r w:rsidR="00EC598D">
        <w:rPr>
          <w:lang w:val="en-US"/>
        </w:rPr>
        <w:t xml:space="preserve"> </w:t>
      </w:r>
      <w:r w:rsidRPr="00412288">
        <w:rPr>
          <w:lang w:val="en-US"/>
        </w:rPr>
        <w:lastRenderedPageBreak/>
        <w:t>measurements</w:t>
      </w:r>
      <w:r>
        <w:rPr>
          <w:lang w:val="en-US"/>
        </w:rPr>
        <w:t xml:space="preserve"> </w:t>
      </w:r>
      <w:r w:rsidRPr="00412288">
        <w:rPr>
          <w:lang w:val="en-US"/>
        </w:rPr>
        <w:t xml:space="preserve">made prior to and for 12 days following exposure, </w:t>
      </w:r>
      <w:r w:rsidR="00EC598D">
        <w:rPr>
          <w:lang w:val="en-US"/>
        </w:rPr>
        <w:t>l</w:t>
      </w:r>
      <w:r w:rsidR="00637B4C">
        <w:rPr>
          <w:lang w:val="en-US"/>
        </w:rPr>
        <w:t>ead</w:t>
      </w:r>
      <w:r w:rsidR="00EC598D">
        <w:rPr>
          <w:lang w:val="en-US"/>
        </w:rPr>
        <w:t xml:space="preserve"> </w:t>
      </w:r>
      <w:r w:rsidRPr="00412288">
        <w:rPr>
          <w:lang w:val="en-US"/>
        </w:rPr>
        <w:t>compounds could be ranked according to</w:t>
      </w:r>
      <w:r>
        <w:rPr>
          <w:lang w:val="en-US"/>
        </w:rPr>
        <w:t xml:space="preserve"> </w:t>
      </w:r>
      <w:r w:rsidRPr="00412288">
        <w:rPr>
          <w:lang w:val="en-US"/>
        </w:rPr>
        <w:t xml:space="preserve">the </w:t>
      </w:r>
      <w:r>
        <w:rPr>
          <w:lang w:val="en-US"/>
        </w:rPr>
        <w:t>relative amounts absorbed (i.e.</w:t>
      </w:r>
      <w:r w:rsidRPr="00412288">
        <w:rPr>
          <w:lang w:val="en-US"/>
        </w:rPr>
        <w:t xml:space="preserve"> percent of dose recovered in urine): </w:t>
      </w:r>
      <w:r>
        <w:rPr>
          <w:lang w:val="en-US"/>
        </w:rPr>
        <w:t>lead</w:t>
      </w:r>
      <w:r w:rsidRPr="00412288">
        <w:rPr>
          <w:lang w:val="en-US"/>
        </w:rPr>
        <w:t xml:space="preserve"> naphthenate (0.17%),</w:t>
      </w:r>
      <w:r>
        <w:rPr>
          <w:lang w:val="en-US"/>
        </w:rPr>
        <w:t xml:space="preserve"> lead</w:t>
      </w:r>
      <w:r w:rsidRPr="00412288">
        <w:rPr>
          <w:lang w:val="en-US"/>
        </w:rPr>
        <w:t xml:space="preserve"> nitrate (0.03%), </w:t>
      </w:r>
      <w:r>
        <w:rPr>
          <w:lang w:val="en-US"/>
        </w:rPr>
        <w:t>lead</w:t>
      </w:r>
      <w:r w:rsidRPr="00412288">
        <w:rPr>
          <w:lang w:val="en-US"/>
        </w:rPr>
        <w:t xml:space="preserve"> stearate (0.006%), </w:t>
      </w:r>
      <w:r>
        <w:rPr>
          <w:lang w:val="en-US"/>
        </w:rPr>
        <w:t>lead sulph</w:t>
      </w:r>
      <w:r w:rsidRPr="00412288">
        <w:rPr>
          <w:lang w:val="en-US"/>
        </w:rPr>
        <w:t xml:space="preserve">ate (0.006%), </w:t>
      </w:r>
      <w:r>
        <w:rPr>
          <w:lang w:val="en-US"/>
        </w:rPr>
        <w:t>lead</w:t>
      </w:r>
      <w:r w:rsidRPr="00412288">
        <w:rPr>
          <w:lang w:val="en-US"/>
        </w:rPr>
        <w:t xml:space="preserve"> oxide (0.005%), and metal </w:t>
      </w:r>
      <w:r>
        <w:rPr>
          <w:lang w:val="en-US"/>
        </w:rPr>
        <w:t xml:space="preserve">lead </w:t>
      </w:r>
      <w:r w:rsidRPr="00412288">
        <w:rPr>
          <w:lang w:val="en-US"/>
        </w:rPr>
        <w:t>powder (0.002%)</w:t>
      </w:r>
      <w:r>
        <w:rPr>
          <w:lang w:val="en-US"/>
        </w:rPr>
        <w:t xml:space="preserve">.  </w:t>
      </w:r>
    </w:p>
    <w:p w:rsidR="0073168C" w:rsidRDefault="0073168C" w:rsidP="0073168C"/>
    <w:p w:rsidR="0023747D" w:rsidRDefault="00DB05CC" w:rsidP="0023747D">
      <w:pPr>
        <w:pStyle w:val="Heading3"/>
      </w:pPr>
      <w:bookmarkStart w:id="21" w:name="_Toc391288229"/>
      <w:r>
        <w:t>4</w:t>
      </w:r>
      <w:r w:rsidR="0023747D">
        <w:t>.2.4 Distribution and Deposition</w:t>
      </w:r>
      <w:bookmarkEnd w:id="21"/>
    </w:p>
    <w:p w:rsidR="00961A5D" w:rsidRDefault="0073168C" w:rsidP="0073168C">
      <w:r w:rsidRPr="005D0932">
        <w:t xml:space="preserve">Throughout life, </w:t>
      </w:r>
      <w:r w:rsidR="00EC598D">
        <w:t>l</w:t>
      </w:r>
      <w:r w:rsidR="00637B4C">
        <w:t>ead</w:t>
      </w:r>
      <w:r w:rsidR="00EC598D">
        <w:t xml:space="preserve"> </w:t>
      </w:r>
      <w:r w:rsidRPr="005D0932">
        <w:t>in the body is exchanged between blood and bone and between blood and soft tissues</w:t>
      </w:r>
      <w:r>
        <w:t>. V</w:t>
      </w:r>
      <w:r w:rsidRPr="005D0932">
        <w:t xml:space="preserve">ariation in these exchanges </w:t>
      </w:r>
      <w:r w:rsidR="00C904E9">
        <w:t>is influenced by</w:t>
      </w:r>
      <w:r w:rsidR="00C904E9" w:rsidRPr="005D0932">
        <w:t xml:space="preserve"> </w:t>
      </w:r>
      <w:r w:rsidRPr="005D0932">
        <w:t>duration and intensity of the exposure, age and various physiological variables (US EPA 2006</w:t>
      </w:r>
      <w:r w:rsidR="00961A5D">
        <w:t>, 2013</w:t>
      </w:r>
      <w:r w:rsidRPr="005D0932">
        <w:t xml:space="preserve">).  The site of accumulation in bone is dependent on the </w:t>
      </w:r>
      <w:r w:rsidR="00754780" w:rsidRPr="00C904E9">
        <w:t>most</w:t>
      </w:r>
      <w:r w:rsidRPr="005D0932">
        <w:t xml:space="preserve"> active areas of calcification at the time of exposure.</w:t>
      </w:r>
      <w:r w:rsidR="00961A5D">
        <w:t xml:space="preserve"> In adulthood, calcification occurs at sites of remodelling in cortical (e.g. tibia) and trabecular bone (e.g. patella), whereas in infancy an</w:t>
      </w:r>
      <w:r w:rsidR="00B463B8">
        <w:t>d childhood, calcification is</w:t>
      </w:r>
      <w:r w:rsidR="00961A5D">
        <w:t xml:space="preserve"> </w:t>
      </w:r>
      <w:r w:rsidR="00754780" w:rsidRPr="00C904E9">
        <w:t>most</w:t>
      </w:r>
      <w:r w:rsidR="00961A5D">
        <w:t xml:space="preserve"> active in trabecular bone.</w:t>
      </w:r>
      <w:r w:rsidR="00B463B8">
        <w:t xml:space="preserve"> A larger fraction of the </w:t>
      </w:r>
      <w:r w:rsidR="00EC598D">
        <w:t>l</w:t>
      </w:r>
      <w:r w:rsidR="00637B4C">
        <w:t>ead</w:t>
      </w:r>
      <w:r w:rsidR="00EC598D">
        <w:t xml:space="preserve"> </w:t>
      </w:r>
      <w:r w:rsidRPr="005D0932">
        <w:t>body burden of adults resides in bone (approx. 90%) than in children (approx. 70%) (ATSDR 2007</w:t>
      </w:r>
      <w:r w:rsidR="00961A5D">
        <w:t>;</w:t>
      </w:r>
      <w:r w:rsidRPr="005D0932">
        <w:t xml:space="preserve"> US EPA 2006</w:t>
      </w:r>
      <w:r w:rsidR="00961A5D">
        <w:t>, 2013</w:t>
      </w:r>
      <w:r w:rsidRPr="005D0932">
        <w:t xml:space="preserve">). </w:t>
      </w:r>
      <w:r w:rsidR="00961A5D">
        <w:t xml:space="preserve">Of the bone types, trabecular bone is more reflective of recent exposures than is cortical bone due to the slow turnover rate and lower blood perfusion of cortical bone (US EPA 2013). Some </w:t>
      </w:r>
      <w:r w:rsidR="00EC598D">
        <w:t>l</w:t>
      </w:r>
      <w:r w:rsidR="00637B4C">
        <w:t>ead</w:t>
      </w:r>
      <w:r w:rsidR="00EC598D">
        <w:t xml:space="preserve"> </w:t>
      </w:r>
      <w:r w:rsidR="00961A5D">
        <w:t>diffuses</w:t>
      </w:r>
      <w:r w:rsidR="00B463B8">
        <w:t xml:space="preserve"> into deeper bone regions, where it is relatively inert, particularly in adults. These bone compartments are much more labile in infants and children than in adults as reflected by half-times for movement of </w:t>
      </w:r>
      <w:r w:rsidR="00EC598D">
        <w:t>l</w:t>
      </w:r>
      <w:r w:rsidR="00637B4C">
        <w:t>ead</w:t>
      </w:r>
      <w:r w:rsidR="00EC598D">
        <w:t xml:space="preserve"> </w:t>
      </w:r>
      <w:r w:rsidR="00B463B8">
        <w:t xml:space="preserve">from bone into plasma (e.g. cortical half-time = 0.23 yrs at birth, 3.7 yrs at 15 yrs of age, and 23 yrs </w:t>
      </w:r>
      <w:r w:rsidR="004766FD">
        <w:t xml:space="preserve">at </w:t>
      </w:r>
      <w:r w:rsidR="004766FD">
        <w:rPr>
          <w:u w:val="single"/>
        </w:rPr>
        <w:t>&gt;</w:t>
      </w:r>
      <w:r w:rsidR="004766FD">
        <w:t xml:space="preserve"> 25 yrs</w:t>
      </w:r>
      <w:r w:rsidR="00B463B8">
        <w:t>; trabecular half-time = 0.23 yrs at birth, 2 yrs at 15 yrs of age, and 3.8 yrs</w:t>
      </w:r>
      <w:r w:rsidR="004766FD">
        <w:t xml:space="preserve"> at </w:t>
      </w:r>
      <w:r w:rsidR="004766FD">
        <w:rPr>
          <w:u w:val="single"/>
        </w:rPr>
        <w:t>&gt;</w:t>
      </w:r>
      <w:r w:rsidR="004766FD">
        <w:t xml:space="preserve"> 25 yrs</w:t>
      </w:r>
      <w:r w:rsidR="00B463B8">
        <w:t>) (</w:t>
      </w:r>
      <w:r w:rsidR="00B463B8" w:rsidRPr="00D87472">
        <w:t>Leggett 1993, in US EPA 2013</w:t>
      </w:r>
      <w:r w:rsidR="00B463B8">
        <w:t xml:space="preserve">). </w:t>
      </w:r>
    </w:p>
    <w:p w:rsidR="00961A5D" w:rsidRDefault="00961A5D" w:rsidP="0073168C"/>
    <w:p w:rsidR="0073168C" w:rsidRDefault="0073168C" w:rsidP="0073168C">
      <w:r>
        <w:t>Only a</w:t>
      </w:r>
      <w:r w:rsidRPr="005D0932">
        <w:t xml:space="preserve">pproximately 1% of the </w:t>
      </w:r>
      <w:r w:rsidR="00EC598D">
        <w:t>l</w:t>
      </w:r>
      <w:r w:rsidR="00637B4C">
        <w:t>ead</w:t>
      </w:r>
      <w:r w:rsidR="00EC598D">
        <w:t xml:space="preserve"> </w:t>
      </w:r>
      <w:r w:rsidRPr="005D0932">
        <w:t>body burden is found in blood</w:t>
      </w:r>
      <w:r w:rsidR="000229A0">
        <w:t>,</w:t>
      </w:r>
      <w:r w:rsidR="00194943">
        <w:t xml:space="preserve"> </w:t>
      </w:r>
      <w:r w:rsidRPr="005D0932">
        <w:t>primarily in red blood cells bound to protein</w:t>
      </w:r>
      <w:r w:rsidR="00194943">
        <w:t>;</w:t>
      </w:r>
      <w:r w:rsidR="000229A0">
        <w:t xml:space="preserve"> </w:t>
      </w:r>
      <w:r w:rsidR="000229A0" w:rsidRPr="000229A0">
        <w:t>δ-aminolevulinic acid dehydratase (ALAD) is the primary binding ligand</w:t>
      </w:r>
      <w:r w:rsidR="00950118">
        <w:t xml:space="preserve"> but this is saturable</w:t>
      </w:r>
      <w:r w:rsidR="00194943">
        <w:t>.</w:t>
      </w:r>
      <w:r w:rsidR="00950118">
        <w:t xml:space="preserve"> </w:t>
      </w:r>
      <w:r w:rsidR="000229A0">
        <w:t>I</w:t>
      </w:r>
      <w:r w:rsidR="00496143">
        <w:t xml:space="preserve">t is only the free </w:t>
      </w:r>
      <w:r w:rsidR="000229A0" w:rsidRPr="000229A0">
        <w:t xml:space="preserve">(i.e. unbound) </w:t>
      </w:r>
      <w:r w:rsidR="00496143">
        <w:t>fraction in blood that is biologically active</w:t>
      </w:r>
      <w:r w:rsidR="00F3596A">
        <w:t xml:space="preserve">. </w:t>
      </w:r>
      <w:r w:rsidRPr="005D0932">
        <w:t xml:space="preserve"> </w:t>
      </w:r>
      <w:r w:rsidR="00F3596A">
        <w:t xml:space="preserve">Lead </w:t>
      </w:r>
      <w:r w:rsidR="00F3596A" w:rsidRPr="00F3596A">
        <w:t>in blood is primarily (~99%)</w:t>
      </w:r>
      <w:r w:rsidR="00F3596A">
        <w:t xml:space="preserve"> bound to red blood cells</w:t>
      </w:r>
      <w:r w:rsidR="00F3596A" w:rsidRPr="00F3596A">
        <w:t xml:space="preserve">. </w:t>
      </w:r>
      <w:r w:rsidR="00F3596A">
        <w:t>This leaves about 1% of PbB in plasma</w:t>
      </w:r>
      <w:r w:rsidR="002E0FBE">
        <w:t xml:space="preserve"> of which </w:t>
      </w:r>
      <w:r w:rsidR="002E0FBE" w:rsidRPr="002E0FBE">
        <w:t>40-75% is bound to proteins</w:t>
      </w:r>
      <w:r w:rsidR="002E0FBE">
        <w:t xml:space="preserve"> (primarily albumin). Thus </w:t>
      </w:r>
      <w:r w:rsidR="00F3596A">
        <w:t>only a</w:t>
      </w:r>
      <w:r w:rsidR="00F3596A" w:rsidRPr="00F3596A">
        <w:t xml:space="preserve"> small fraction of </w:t>
      </w:r>
      <w:r w:rsidR="002E0FBE">
        <w:t xml:space="preserve">PbB </w:t>
      </w:r>
      <w:r w:rsidR="00F3596A" w:rsidRPr="00F3596A">
        <w:t xml:space="preserve">(&lt;1%) </w:t>
      </w:r>
      <w:r w:rsidR="002E0FBE">
        <w:t>is the</w:t>
      </w:r>
      <w:r w:rsidR="00F3596A" w:rsidRPr="00F3596A">
        <w:t xml:space="preserve"> biologically labile and toxicologically active fraction of the circulating </w:t>
      </w:r>
      <w:r w:rsidR="00F3596A">
        <w:t>lead</w:t>
      </w:r>
      <w:r w:rsidR="000229A0">
        <w:t xml:space="preserve"> </w:t>
      </w:r>
      <w:r w:rsidR="00F3596A">
        <w:t>(</w:t>
      </w:r>
      <w:r w:rsidRPr="005D0932">
        <w:t>US EPA 2006</w:t>
      </w:r>
      <w:r w:rsidR="00961A5D">
        <w:t>, 2013</w:t>
      </w:r>
      <w:r w:rsidRPr="005D0932">
        <w:t xml:space="preserve">).  </w:t>
      </w:r>
      <w:r w:rsidR="00B463B8">
        <w:t xml:space="preserve">Nevertheless </w:t>
      </w:r>
      <w:r w:rsidR="00F3596A">
        <w:t xml:space="preserve">lead measurement in whole blood (i.e. </w:t>
      </w:r>
      <w:r w:rsidR="00B463B8">
        <w:t>PbB</w:t>
      </w:r>
      <w:r w:rsidR="00F3596A">
        <w:t>)</w:t>
      </w:r>
      <w:r>
        <w:t xml:space="preserve"> is used </w:t>
      </w:r>
      <w:r w:rsidR="00B463B8">
        <w:t xml:space="preserve">as a convenient biomarker for </w:t>
      </w:r>
      <w:r w:rsidR="00EC598D">
        <w:t>l</w:t>
      </w:r>
      <w:r w:rsidR="00637B4C">
        <w:t>ead</w:t>
      </w:r>
      <w:r w:rsidR="00EC598D">
        <w:t xml:space="preserve"> </w:t>
      </w:r>
      <w:r>
        <w:t xml:space="preserve">exposure and for correlating exposure with effects. </w:t>
      </w:r>
      <w:r w:rsidR="00B463B8">
        <w:t xml:space="preserve">Bone </w:t>
      </w:r>
      <w:r w:rsidR="00EC598D">
        <w:t>l</w:t>
      </w:r>
      <w:r w:rsidR="00637B4C">
        <w:t>ead</w:t>
      </w:r>
      <w:r w:rsidR="00EC598D">
        <w:t xml:space="preserve"> </w:t>
      </w:r>
      <w:r>
        <w:t>has</w:t>
      </w:r>
      <w:r w:rsidRPr="005D0932">
        <w:t xml:space="preserve"> a half-life of several decades. </w:t>
      </w:r>
      <w:r>
        <w:t>However a</w:t>
      </w:r>
      <w:r w:rsidRPr="005D0932">
        <w:t xml:space="preserve"> labile compartment </w:t>
      </w:r>
      <w:r>
        <w:t xml:space="preserve">in bone </w:t>
      </w:r>
      <w:r w:rsidRPr="00AC74C8">
        <w:t xml:space="preserve">also </w:t>
      </w:r>
      <w:r w:rsidRPr="005D0932">
        <w:t>exists</w:t>
      </w:r>
      <w:r>
        <w:t>,</w:t>
      </w:r>
      <w:r w:rsidRPr="005D0932">
        <w:t xml:space="preserve"> </w:t>
      </w:r>
      <w:r>
        <w:t xml:space="preserve">this facilitates the </w:t>
      </w:r>
      <w:r w:rsidRPr="005D0932">
        <w:t xml:space="preserve">equilibrium of </w:t>
      </w:r>
      <w:r>
        <w:t xml:space="preserve">bone </w:t>
      </w:r>
      <w:r w:rsidR="00EC598D">
        <w:t>l</w:t>
      </w:r>
      <w:r w:rsidR="00637B4C">
        <w:t>ead</w:t>
      </w:r>
      <w:r w:rsidR="00EC598D">
        <w:t xml:space="preserve"> </w:t>
      </w:r>
      <w:r>
        <w:t xml:space="preserve">with that in </w:t>
      </w:r>
      <w:r w:rsidRPr="005D0932">
        <w:t xml:space="preserve">soft tissue </w:t>
      </w:r>
      <w:r>
        <w:t>and</w:t>
      </w:r>
      <w:r w:rsidRPr="005D0932">
        <w:t xml:space="preserve"> blood (ATSDR 2007, US EPA 2006).  The labile phase, exhibited shortly after a change in exposure occurs, has a half-life of approximately 20 to 30 days (US EPA 2006 p 4-18</w:t>
      </w:r>
      <w:r w:rsidR="00B463B8">
        <w:t>, US EPA 2013</w:t>
      </w:r>
      <w:r w:rsidRPr="005D0932">
        <w:t>).</w:t>
      </w:r>
      <w:r w:rsidRPr="005D0932" w:rsidDel="0052103C">
        <w:t xml:space="preserve"> </w:t>
      </w:r>
      <w:r w:rsidR="000229A0">
        <w:t xml:space="preserve"> </w:t>
      </w:r>
    </w:p>
    <w:p w:rsidR="009F0739" w:rsidRDefault="009F0739" w:rsidP="0073168C"/>
    <w:p w:rsidR="009F0739" w:rsidRDefault="009F0739" w:rsidP="0073168C">
      <w:r>
        <w:t xml:space="preserve">In adults and children whose exposure to </w:t>
      </w:r>
      <w:r w:rsidR="00EC598D">
        <w:t>l</w:t>
      </w:r>
      <w:r w:rsidR="00637B4C">
        <w:t>ead</w:t>
      </w:r>
      <w:r w:rsidR="00EC598D">
        <w:t xml:space="preserve"> </w:t>
      </w:r>
      <w:r>
        <w:t xml:space="preserve">has effectively ceased or greatly decreased, there is </w:t>
      </w:r>
      <w:r w:rsidR="00496143">
        <w:t xml:space="preserve">a </w:t>
      </w:r>
      <w:r>
        <w:t>rapid decline in PbB over the first few months followed by a more gradu</w:t>
      </w:r>
      <w:r w:rsidR="00496143">
        <w:t>al, slow decline in PbB over a</w:t>
      </w:r>
      <w:r>
        <w:t xml:space="preserve"> period of years due to the gradual release of </w:t>
      </w:r>
      <w:r w:rsidR="00EC598D">
        <w:t>l</w:t>
      </w:r>
      <w:r w:rsidR="00637B4C">
        <w:t>ead</w:t>
      </w:r>
      <w:r w:rsidR="00EC598D">
        <w:t xml:space="preserve"> </w:t>
      </w:r>
      <w:r>
        <w:t xml:space="preserve">from bone (US EPA 2013). Bone </w:t>
      </w:r>
      <w:r w:rsidR="00EC598D">
        <w:t>l</w:t>
      </w:r>
      <w:r w:rsidR="00637B4C">
        <w:t>ead</w:t>
      </w:r>
      <w:r w:rsidR="00EC598D">
        <w:t xml:space="preserve"> </w:t>
      </w:r>
      <w:r>
        <w:t xml:space="preserve">is therefore </w:t>
      </w:r>
      <w:r>
        <w:lastRenderedPageBreak/>
        <w:t xml:space="preserve">an index of cumulative exposure and body burden (see Section 3.1). </w:t>
      </w:r>
      <w:r w:rsidR="00496143">
        <w:t>Consequently it</w:t>
      </w:r>
      <w:r w:rsidR="00C275BD">
        <w:t xml:space="preserve"> is not surprising that persons removed from a relatively brief exposure to </w:t>
      </w:r>
      <w:r w:rsidR="00EC598D">
        <w:t>l</w:t>
      </w:r>
      <w:r w:rsidR="00637B4C">
        <w:t>ead</w:t>
      </w:r>
      <w:r w:rsidR="00EC598D">
        <w:t xml:space="preserve"> </w:t>
      </w:r>
      <w:r w:rsidR="00C275BD">
        <w:t xml:space="preserve">also exhibit faster slow-phase </w:t>
      </w:r>
      <w:r w:rsidR="00496143">
        <w:t xml:space="preserve">blood elimination </w:t>
      </w:r>
      <w:r w:rsidR="00C275BD">
        <w:t xml:space="preserve">kinetics than those removed from exposures that lasted several years, due to the higher accumulated </w:t>
      </w:r>
      <w:r w:rsidR="00EC598D">
        <w:t>l</w:t>
      </w:r>
      <w:r w:rsidR="00637B4C">
        <w:t>ead</w:t>
      </w:r>
      <w:r w:rsidR="00EC598D">
        <w:t xml:space="preserve"> </w:t>
      </w:r>
      <w:r w:rsidR="00C275BD">
        <w:t xml:space="preserve">stores in bone (US EPA 2013). </w:t>
      </w:r>
    </w:p>
    <w:p w:rsidR="00582DBD" w:rsidRDefault="00582DBD" w:rsidP="0073168C"/>
    <w:p w:rsidR="00B04B8F" w:rsidRDefault="00C159B1" w:rsidP="0073168C">
      <w:pPr>
        <w:rPr>
          <w:rFonts w:cs="Arial"/>
        </w:rPr>
      </w:pPr>
      <w:r>
        <w:t>M</w:t>
      </w:r>
      <w:r w:rsidR="00582DBD">
        <w:t>aternal-to-fo</w:t>
      </w:r>
      <w:r>
        <w:t xml:space="preserve">etal transfer of </w:t>
      </w:r>
      <w:r w:rsidR="00BE2EAA">
        <w:t>l</w:t>
      </w:r>
      <w:r w:rsidR="00637B4C">
        <w:t>ead</w:t>
      </w:r>
      <w:r w:rsidR="00BE2EAA">
        <w:t xml:space="preserve"> </w:t>
      </w:r>
      <w:r>
        <w:t xml:space="preserve">in humans, measured as the ratio of cord </w:t>
      </w:r>
      <w:r w:rsidR="00BE2EAA">
        <w:t xml:space="preserve">PbB </w:t>
      </w:r>
      <w:r>
        <w:t xml:space="preserve">to maternal PbB, has been found to range from 0.7 to 1.0 at the time of delivery for maternal PbB ranging from 1.7-8.6 </w:t>
      </w:r>
      <w:r w:rsidRPr="00C159B1">
        <w:rPr>
          <w:rFonts w:cs="Arial"/>
        </w:rPr>
        <w:t>µg/dL</w:t>
      </w:r>
      <w:r>
        <w:rPr>
          <w:rFonts w:cs="Arial"/>
        </w:rPr>
        <w:t xml:space="preserve"> (US EPA 2013)</w:t>
      </w:r>
      <w:r w:rsidRPr="00C159B1">
        <w:rPr>
          <w:rFonts w:cs="Arial"/>
        </w:rPr>
        <w:t xml:space="preserve">. </w:t>
      </w:r>
      <w:r>
        <w:rPr>
          <w:rFonts w:cs="Arial"/>
        </w:rPr>
        <w:t xml:space="preserve">The transfer appears to be partly related to the mobilisation of </w:t>
      </w:r>
      <w:r w:rsidR="00BE2EAA">
        <w:rPr>
          <w:rFonts w:cs="Arial"/>
        </w:rPr>
        <w:t>l</w:t>
      </w:r>
      <w:r w:rsidR="00637B4C">
        <w:rPr>
          <w:rFonts w:cs="Arial"/>
        </w:rPr>
        <w:t>ead</w:t>
      </w:r>
      <w:r w:rsidR="00BE2EAA">
        <w:rPr>
          <w:rFonts w:cs="Arial"/>
        </w:rPr>
        <w:t xml:space="preserve"> </w:t>
      </w:r>
      <w:r>
        <w:rPr>
          <w:rFonts w:cs="Arial"/>
        </w:rPr>
        <w:t xml:space="preserve">from the maternal skeleton during pregnancy. </w:t>
      </w:r>
      <w:r w:rsidR="00B04B8F">
        <w:rPr>
          <w:rFonts w:cs="Arial"/>
        </w:rPr>
        <w:t xml:space="preserve">Similarly in old age, PbB may increase due to the demineralisation of the skeleton that occurs through the aging process, and in particular, through the menopause period in women. </w:t>
      </w:r>
    </w:p>
    <w:p w:rsidR="00EC5923" w:rsidRDefault="00EC5923" w:rsidP="0073168C">
      <w:pPr>
        <w:rPr>
          <w:rFonts w:cs="Arial"/>
        </w:rPr>
      </w:pPr>
    </w:p>
    <w:p w:rsidR="006E78BA" w:rsidRPr="00CC232F" w:rsidRDefault="00EC5923" w:rsidP="0073168C">
      <w:pPr>
        <w:rPr>
          <w:rFonts w:cs="Arial"/>
        </w:rPr>
      </w:pPr>
      <w:r>
        <w:rPr>
          <w:rFonts w:cs="Arial"/>
        </w:rPr>
        <w:t xml:space="preserve">Koyashiki et al. (2011) reviewed published epidemiologic studies containing information </w:t>
      </w:r>
      <w:r w:rsidR="00CC232F">
        <w:rPr>
          <w:rFonts w:cs="Arial"/>
        </w:rPr>
        <w:t xml:space="preserve">on the excretion of </w:t>
      </w:r>
      <w:r w:rsidR="00BE2EAA">
        <w:rPr>
          <w:rFonts w:cs="Arial"/>
        </w:rPr>
        <w:t>l</w:t>
      </w:r>
      <w:r w:rsidR="00637B4C">
        <w:rPr>
          <w:rFonts w:cs="Arial"/>
        </w:rPr>
        <w:t>ead</w:t>
      </w:r>
      <w:r w:rsidR="00BE2EAA">
        <w:rPr>
          <w:rFonts w:cs="Arial"/>
        </w:rPr>
        <w:t xml:space="preserve"> </w:t>
      </w:r>
      <w:r w:rsidR="00CC232F">
        <w:rPr>
          <w:rFonts w:cs="Arial"/>
        </w:rPr>
        <w:t xml:space="preserve">in breast milk. </w:t>
      </w:r>
      <w:r>
        <w:rPr>
          <w:rFonts w:cs="Arial"/>
        </w:rPr>
        <w:t>They found the milk to maternal PbB ratio</w:t>
      </w:r>
      <w:r w:rsidR="00CC232F">
        <w:rPr>
          <w:rFonts w:cs="Arial"/>
        </w:rPr>
        <w:t xml:space="preserve">s from 11 studies varied between 0.01 and 0.48, and concluded the available information does not indicate a health risk from breast milk exposure. </w:t>
      </w:r>
      <w:r w:rsidR="004766FD">
        <w:rPr>
          <w:rFonts w:cs="Arial"/>
        </w:rPr>
        <w:t>One of t</w:t>
      </w:r>
      <w:r w:rsidR="00CC232F">
        <w:rPr>
          <w:rFonts w:cs="Arial"/>
        </w:rPr>
        <w:t xml:space="preserve">he </w:t>
      </w:r>
      <w:r w:rsidR="00754780" w:rsidRPr="004A2557">
        <w:rPr>
          <w:rFonts w:cs="Arial"/>
        </w:rPr>
        <w:t>most</w:t>
      </w:r>
      <w:r w:rsidR="00CC232F">
        <w:rPr>
          <w:rFonts w:cs="Arial"/>
        </w:rPr>
        <w:t xml:space="preserve"> recent review</w:t>
      </w:r>
      <w:r w:rsidR="004766FD">
        <w:rPr>
          <w:rFonts w:cs="Arial"/>
        </w:rPr>
        <w:t>s</w:t>
      </w:r>
      <w:r w:rsidR="00CC232F">
        <w:rPr>
          <w:rFonts w:cs="Arial"/>
        </w:rPr>
        <w:t xml:space="preserve"> on the health effects of </w:t>
      </w:r>
      <w:r w:rsidR="00BE2EAA">
        <w:rPr>
          <w:rFonts w:cs="Arial"/>
        </w:rPr>
        <w:t>l</w:t>
      </w:r>
      <w:r w:rsidR="00637B4C">
        <w:rPr>
          <w:rFonts w:cs="Arial"/>
        </w:rPr>
        <w:t>ead</w:t>
      </w:r>
      <w:r w:rsidR="00BE2EAA">
        <w:rPr>
          <w:rFonts w:cs="Arial"/>
        </w:rPr>
        <w:t xml:space="preserve"> </w:t>
      </w:r>
      <w:r w:rsidR="00CC232F">
        <w:rPr>
          <w:rFonts w:cs="Arial"/>
        </w:rPr>
        <w:t xml:space="preserve">exposure (US EPA 2013) does not make a conclusion regarding exposure and health risk to children from ingesting breast milk. </w:t>
      </w:r>
      <w:r>
        <w:rPr>
          <w:rFonts w:cs="Arial"/>
        </w:rPr>
        <w:t xml:space="preserve"> </w:t>
      </w:r>
    </w:p>
    <w:p w:rsidR="001B68EB" w:rsidRDefault="001B68EB" w:rsidP="001B68EB"/>
    <w:p w:rsidR="00975C27" w:rsidRDefault="00DB05CC" w:rsidP="001B68EB">
      <w:pPr>
        <w:pStyle w:val="Heading2"/>
      </w:pPr>
      <w:bookmarkStart w:id="22" w:name="_Toc391288230"/>
      <w:r>
        <w:t>4</w:t>
      </w:r>
      <w:r w:rsidR="00937D19">
        <w:t>.3</w:t>
      </w:r>
      <w:r w:rsidR="001B68EB">
        <w:t xml:space="preserve"> </w:t>
      </w:r>
      <w:r w:rsidR="001F1D0C">
        <w:t>Overview of h</w:t>
      </w:r>
      <w:r w:rsidR="00975C27">
        <w:t>ealth effects</w:t>
      </w:r>
      <w:r w:rsidR="00311B54">
        <w:t xml:space="preserve"> from epidemiological studies</w:t>
      </w:r>
      <w:bookmarkEnd w:id="22"/>
    </w:p>
    <w:p w:rsidR="00311B54" w:rsidRDefault="00975C27" w:rsidP="00975C27">
      <w:r>
        <w:t xml:space="preserve">The health </w:t>
      </w:r>
      <w:r w:rsidR="00311B54">
        <w:t xml:space="preserve">endpoints and </w:t>
      </w:r>
      <w:r>
        <w:t>effects discussed in this report focus primarily on those relevant to occupational exposures by adults</w:t>
      </w:r>
      <w:r w:rsidR="00A818B0">
        <w:t xml:space="preserve"> (Section </w:t>
      </w:r>
      <w:r w:rsidR="00DB05CC">
        <w:t>4</w:t>
      </w:r>
      <w:r w:rsidR="00A818B0">
        <w:t>.3</w:t>
      </w:r>
      <w:r>
        <w:t xml:space="preserve">.1). Exposures to </w:t>
      </w:r>
      <w:r w:rsidR="00BE2EAA">
        <w:t>l</w:t>
      </w:r>
      <w:r w:rsidR="00637B4C">
        <w:t>ead</w:t>
      </w:r>
      <w:r w:rsidR="00BE2EAA">
        <w:t xml:space="preserve"> </w:t>
      </w:r>
      <w:r>
        <w:t>in occupational scenarios will be primarily via inhalation of air</w:t>
      </w:r>
      <w:r w:rsidR="004766FD">
        <w:t xml:space="preserve"> and from oral intake as a result of poor hygiene practi</w:t>
      </w:r>
      <w:r w:rsidR="00275F89">
        <w:t>c</w:t>
      </w:r>
      <w:r w:rsidR="004766FD">
        <w:t>es</w:t>
      </w:r>
      <w:r>
        <w:t>. Nevert</w:t>
      </w:r>
      <w:r w:rsidR="00496143">
        <w:t>heless, the health effects observed</w:t>
      </w:r>
      <w:r>
        <w:t xml:space="preserve"> in studies conducted in the </w:t>
      </w:r>
      <w:r w:rsidR="00496143">
        <w:t xml:space="preserve">adult </w:t>
      </w:r>
      <w:r>
        <w:t>general population or in people with non-occupational exposure</w:t>
      </w:r>
      <w:r w:rsidR="00311B54">
        <w:t xml:space="preserve"> (this primarily occurs via the diet)</w:t>
      </w:r>
      <w:r>
        <w:t xml:space="preserve"> to </w:t>
      </w:r>
      <w:r w:rsidR="00BE2EAA">
        <w:t>l</w:t>
      </w:r>
      <w:r w:rsidR="00637B4C">
        <w:t>ead</w:t>
      </w:r>
      <w:r w:rsidR="00BE2EAA">
        <w:t xml:space="preserve"> </w:t>
      </w:r>
      <w:r w:rsidR="00496143">
        <w:t>may also have relevance and</w:t>
      </w:r>
      <w:r>
        <w:t xml:space="preserve"> have been </w:t>
      </w:r>
      <w:r w:rsidR="00496143">
        <w:t xml:space="preserve">briefly included </w:t>
      </w:r>
      <w:r w:rsidR="00A818B0">
        <w:t xml:space="preserve">in Section </w:t>
      </w:r>
      <w:r w:rsidR="00DB05CC">
        <w:t>4</w:t>
      </w:r>
      <w:r w:rsidR="00A818B0">
        <w:t>.3</w:t>
      </w:r>
      <w:r>
        <w:t xml:space="preserve">.2. </w:t>
      </w:r>
    </w:p>
    <w:p w:rsidR="00311B54" w:rsidRDefault="00311B54" w:rsidP="00975C27"/>
    <w:p w:rsidR="00311B54" w:rsidRDefault="00311B54" w:rsidP="00975C27">
      <w:r>
        <w:t xml:space="preserve">It is important to understand when interpreting epidemiological information that report associations between PbB and a particular health endpoint </w:t>
      </w:r>
      <w:r w:rsidR="00496143">
        <w:t>that this is not necessarily equivalent to causation. S</w:t>
      </w:r>
      <w:r>
        <w:t xml:space="preserve">ome studies may have inadequacies which restrict their value in determining if the reported association is </w:t>
      </w:r>
      <w:r w:rsidR="003E12C5">
        <w:t xml:space="preserve">a </w:t>
      </w:r>
      <w:r>
        <w:t>true</w:t>
      </w:r>
      <w:r w:rsidR="003E12C5">
        <w:t xml:space="preserve"> effect of lead exposure</w:t>
      </w:r>
      <w:r>
        <w:t>. These inadequacies may relate</w:t>
      </w:r>
      <w:r w:rsidR="004A2557">
        <w:t>, but not limited</w:t>
      </w:r>
      <w:r>
        <w:t xml:space="preserve"> to:</w:t>
      </w:r>
    </w:p>
    <w:p w:rsidR="00975C27" w:rsidRDefault="00311B54" w:rsidP="00242F1D">
      <w:pPr>
        <w:pStyle w:val="ListParagraph"/>
        <w:numPr>
          <w:ilvl w:val="0"/>
          <w:numId w:val="17"/>
        </w:numPr>
      </w:pPr>
      <w:r>
        <w:t>Study design (e.g. small size, cross-sectional analysis)</w:t>
      </w:r>
      <w:r w:rsidR="004A2557">
        <w:t>.</w:t>
      </w:r>
    </w:p>
    <w:p w:rsidR="00311B54" w:rsidRDefault="00311B54" w:rsidP="00242F1D">
      <w:pPr>
        <w:pStyle w:val="ListParagraph"/>
        <w:numPr>
          <w:ilvl w:val="0"/>
          <w:numId w:val="17"/>
        </w:numPr>
      </w:pPr>
      <w:r>
        <w:t>Statistical analysis</w:t>
      </w:r>
      <w:r w:rsidR="004A2557">
        <w:t>.</w:t>
      </w:r>
    </w:p>
    <w:p w:rsidR="00311B54" w:rsidRDefault="00311B54" w:rsidP="00242F1D">
      <w:pPr>
        <w:pStyle w:val="ListParagraph"/>
        <w:numPr>
          <w:ilvl w:val="0"/>
          <w:numId w:val="17"/>
        </w:numPr>
      </w:pPr>
      <w:r>
        <w:t>Consideration of confounding factors</w:t>
      </w:r>
      <w:r w:rsidR="004A2557">
        <w:t>.</w:t>
      </w:r>
    </w:p>
    <w:p w:rsidR="00311B54" w:rsidRDefault="00311B54" w:rsidP="00311B54"/>
    <w:p w:rsidR="00311B54" w:rsidRDefault="00311B54" w:rsidP="00311B54">
      <w:r>
        <w:lastRenderedPageBreak/>
        <w:t xml:space="preserve">The epidemiological information used to generate the PbB response </w:t>
      </w:r>
      <w:r w:rsidR="00A818B0">
        <w:t xml:space="preserve">tables in Sections </w:t>
      </w:r>
      <w:r w:rsidR="00DB05CC">
        <w:t>4</w:t>
      </w:r>
      <w:r w:rsidR="00A818B0">
        <w:t xml:space="preserve">.3.1 and </w:t>
      </w:r>
      <w:r w:rsidR="00DB05CC">
        <w:t>4</w:t>
      </w:r>
      <w:r w:rsidR="00A818B0">
        <w:t>.3</w:t>
      </w:r>
      <w:r>
        <w:t xml:space="preserve">.2 </w:t>
      </w:r>
      <w:r w:rsidR="0080182D">
        <w:t xml:space="preserve">has been compiled by consulting recent agency reviews. </w:t>
      </w:r>
    </w:p>
    <w:p w:rsidR="00311B54" w:rsidRDefault="00311B54" w:rsidP="00311B54"/>
    <w:p w:rsidR="00311B54" w:rsidRDefault="00311B54" w:rsidP="00311B54">
      <w:r>
        <w:t xml:space="preserve">The latest of the available agency reviews on the toxicology of lead (US EPA 2013) is an integrated </w:t>
      </w:r>
      <w:r w:rsidR="00C42AAA">
        <w:t>scientific</w:t>
      </w:r>
      <w:r>
        <w:t xml:space="preserve"> assessment of approximately 2,000 pages in length and </w:t>
      </w:r>
      <w:r w:rsidR="0080182D">
        <w:t xml:space="preserve">was </w:t>
      </w:r>
      <w:r>
        <w:t xml:space="preserve">consulted </w:t>
      </w:r>
      <w:r w:rsidR="0080182D">
        <w:t xml:space="preserve">in the first instance </w:t>
      </w:r>
      <w:r>
        <w:t>to aid in the compilation of a list of critical epidemiological studies. US EPA (2013) scientists integrate</w:t>
      </w:r>
      <w:r w:rsidR="00496143">
        <w:t>d</w:t>
      </w:r>
      <w:r>
        <w:t xml:space="preserve"> results from health studies with animal toxicological and mechanistic studies to make judgements of causality. In determination of causality, they consider</w:t>
      </w:r>
      <w:r w:rsidR="00496143">
        <w:t>ed</w:t>
      </w:r>
      <w:r>
        <w:t xml:space="preserve"> the strength, consistency, coherence, and biological plausibility of the available evidence. </w:t>
      </w:r>
      <w:r w:rsidR="0080182D">
        <w:t>The health effects</w:t>
      </w:r>
      <w:r>
        <w:t xml:space="preserve"> considered by US EPA (2013) to have a ‘causal’ or ‘likely causal’ relationship with </w:t>
      </w:r>
      <w:r w:rsidR="00BE2EAA">
        <w:t>l</w:t>
      </w:r>
      <w:r w:rsidR="00637B4C">
        <w:t>ead</w:t>
      </w:r>
      <w:r w:rsidR="00BE2EAA">
        <w:t xml:space="preserve"> </w:t>
      </w:r>
      <w:r>
        <w:t xml:space="preserve">exposure in adults </w:t>
      </w:r>
      <w:r w:rsidR="00A6640C">
        <w:t>are the focus of the odds</w:t>
      </w:r>
      <w:r w:rsidR="0080182D">
        <w:t xml:space="preserve"> ratio analyses in </w:t>
      </w:r>
      <w:r w:rsidR="00A818B0" w:rsidRPr="002F39D7">
        <w:t xml:space="preserve">Section </w:t>
      </w:r>
      <w:r w:rsidR="00DB05CC" w:rsidRPr="002F39D7">
        <w:t>4</w:t>
      </w:r>
      <w:r w:rsidR="00A818B0" w:rsidRPr="002F39D7">
        <w:t>.4</w:t>
      </w:r>
      <w:r w:rsidR="0080182D">
        <w:t xml:space="preserve"> </w:t>
      </w:r>
      <w:r>
        <w:t xml:space="preserve">of this report. These are effects on the nervous system (e.g. cognitive and psychopathological), cardiovascular system (e.g. hypertension, coronary heart disease), and the reproductive system (e.g. sperm quality). </w:t>
      </w:r>
    </w:p>
    <w:p w:rsidR="00311B54" w:rsidRDefault="00311B54" w:rsidP="00311B54"/>
    <w:p w:rsidR="00311B54" w:rsidRDefault="00311B54" w:rsidP="00311B54">
      <w:r>
        <w:t xml:space="preserve">Where evidence was only considered to be ‘suggestive’ or ‘inadequate’ by the US </w:t>
      </w:r>
      <w:r w:rsidR="00496143">
        <w:t>EPA (2013), it has been assumed the</w:t>
      </w:r>
      <w:r>
        <w:t xml:space="preserve"> studies are unlikely to provide sufficient information </w:t>
      </w:r>
      <w:r w:rsidR="00496143">
        <w:t xml:space="preserve">to support derivation of </w:t>
      </w:r>
      <w:r>
        <w:t xml:space="preserve">a WES for </w:t>
      </w:r>
      <w:r w:rsidR="00263767">
        <w:t>lead</w:t>
      </w:r>
      <w:r>
        <w:t xml:space="preserve">, therefore these health effects have not been discussed in detail in this report. </w:t>
      </w:r>
    </w:p>
    <w:p w:rsidR="00311B54" w:rsidRDefault="00311B54" w:rsidP="00311B54"/>
    <w:p w:rsidR="00311B54" w:rsidRDefault="00311B54" w:rsidP="00311B54">
      <w:r>
        <w:t>The US EPA (2013) document is based on literature review information through to September 2011. A search and review of the relevant literature published since September 2011 was conducted by ToxConsult to supplement the information in the US EPA (2013) review. The literature search strategy is summarised in Appendix B.</w:t>
      </w:r>
    </w:p>
    <w:p w:rsidR="00311B54" w:rsidRDefault="00311B54" w:rsidP="00311B54"/>
    <w:p w:rsidR="00311B54" w:rsidRDefault="00311B54" w:rsidP="00311B54">
      <w:r>
        <w:t>After compiling a list of critical epidemiological studies from US EPA (2013) and the literature search, these were compared with the reference lists of other agency and scientific</w:t>
      </w:r>
      <w:r w:rsidR="0080182D">
        <w:t xml:space="preserve"> reviews on the toxicity of </w:t>
      </w:r>
      <w:r w:rsidR="00BE2EAA">
        <w:t>l</w:t>
      </w:r>
      <w:r w:rsidR="00637B4C">
        <w:t>ead</w:t>
      </w:r>
      <w:r w:rsidR="00BE2EAA">
        <w:t xml:space="preserve"> </w:t>
      </w:r>
      <w:r>
        <w:t>to ensure relevant studies had been included (</w:t>
      </w:r>
      <w:r w:rsidRPr="00FF5DA8">
        <w:t>e.g. AIOH 2009, ATSDR 2007, NIWL 2005, US EPA 2006,</w:t>
      </w:r>
      <w:r>
        <w:t xml:space="preserve"> </w:t>
      </w:r>
      <w:r w:rsidR="00195C1B">
        <w:t>IARC 2006</w:t>
      </w:r>
      <w:r>
        <w:t xml:space="preserve">). </w:t>
      </w:r>
    </w:p>
    <w:p w:rsidR="00BB7109" w:rsidRDefault="00BB7109" w:rsidP="00311B54"/>
    <w:p w:rsidR="00BB7109" w:rsidRDefault="00BB7109" w:rsidP="00BB7109">
      <w:pPr>
        <w:tabs>
          <w:tab w:val="left" w:pos="8370"/>
        </w:tabs>
      </w:pPr>
      <w:r>
        <w:t>US EPA (2013) concluded lead had ca</w:t>
      </w:r>
      <w:r w:rsidR="00275F89">
        <w:t>u</w:t>
      </w:r>
      <w:r>
        <w:t xml:space="preserve">sal effects on the nervous, cardiovascular and male </w:t>
      </w:r>
      <w:r w:rsidR="00AB7AE2">
        <w:t>reproductive</w:t>
      </w:r>
      <w:r>
        <w:t xml:space="preserve"> systems.</w:t>
      </w:r>
    </w:p>
    <w:p w:rsidR="00BB7109" w:rsidRDefault="00BB7109" w:rsidP="00BB7109">
      <w:pPr>
        <w:tabs>
          <w:tab w:val="left" w:pos="8370"/>
        </w:tabs>
      </w:pPr>
    </w:p>
    <w:p w:rsidR="00BB7109" w:rsidRDefault="00BB7109" w:rsidP="00BB7109">
      <w:pPr>
        <w:tabs>
          <w:tab w:val="left" w:pos="8370"/>
        </w:tabs>
      </w:pPr>
      <w:r w:rsidRPr="008862E6">
        <w:rPr>
          <w:i/>
        </w:rPr>
        <w:t>Nervous system:</w:t>
      </w:r>
      <w:r>
        <w:t xml:space="preserve"> </w:t>
      </w:r>
    </w:p>
    <w:p w:rsidR="00BB7109" w:rsidRDefault="00BB7109" w:rsidP="008453B5">
      <w:pPr>
        <w:pStyle w:val="ListParagraph"/>
        <w:numPr>
          <w:ilvl w:val="0"/>
          <w:numId w:val="34"/>
        </w:numPr>
        <w:tabs>
          <w:tab w:val="left" w:pos="8370"/>
        </w:tabs>
      </w:pPr>
      <w:r>
        <w:t xml:space="preserve">Based on prospective community epidemiology studies the US EPA (2013) concluded there was a likely causal relationship between mean baseline PbB and cognitive decrements in adults. This was supported by a few occupational studies in which concurrent mean PbB was </w:t>
      </w:r>
      <w:r w:rsidRPr="00BB7109">
        <w:t xml:space="preserve">approximately </w:t>
      </w:r>
      <w:r>
        <w:t xml:space="preserve">30 </w:t>
      </w:r>
      <w:r w:rsidRPr="009875B5">
        <w:rPr>
          <w:rFonts w:cs="Arial"/>
        </w:rPr>
        <w:t>µ</w:t>
      </w:r>
      <w:r>
        <w:t xml:space="preserve">g/dL </w:t>
      </w:r>
      <w:r w:rsidRPr="00DD2765">
        <w:t>(Dorsey et al. 2006, Stewart et al. 2002).</w:t>
      </w:r>
      <w:r w:rsidR="00DD2765">
        <w:t xml:space="preserve"> </w:t>
      </w:r>
    </w:p>
    <w:p w:rsidR="00BB7109" w:rsidRDefault="00BB7109" w:rsidP="008453B5">
      <w:pPr>
        <w:pStyle w:val="ListParagraph"/>
        <w:numPr>
          <w:ilvl w:val="0"/>
          <w:numId w:val="34"/>
        </w:numPr>
        <w:tabs>
          <w:tab w:val="left" w:pos="8370"/>
        </w:tabs>
      </w:pPr>
      <w:r>
        <w:lastRenderedPageBreak/>
        <w:t xml:space="preserve">A likely </w:t>
      </w:r>
      <w:r w:rsidR="00AB7AE2">
        <w:t>causal</w:t>
      </w:r>
      <w:r>
        <w:t xml:space="preserve"> relationship based on a few high quality population based cross- sectional studies was also deduced by US EPA (2013) between psychopathological effects in a</w:t>
      </w:r>
      <w:r w:rsidRPr="00CA765D">
        <w:t>dults (e.g. symptoms of depression, anxiety, panic disorder)</w:t>
      </w:r>
      <w:r>
        <w:t xml:space="preserve"> and PbB (concurrent mean of just 6 µg/dL). There are no occupational studies supporting this finding.  In addition the symptoms </w:t>
      </w:r>
      <w:r w:rsidRPr="00465DE0">
        <w:t xml:space="preserve">of depression and anxiety </w:t>
      </w:r>
      <w:r>
        <w:t xml:space="preserve">were </w:t>
      </w:r>
      <w:r w:rsidR="00AB7AE2">
        <w:t>self-reported</w:t>
      </w:r>
      <w:r>
        <w:t xml:space="preserve"> and u</w:t>
      </w:r>
      <w:r w:rsidRPr="00465DE0">
        <w:t xml:space="preserve">ncertainties </w:t>
      </w:r>
      <w:r>
        <w:t>were noted</w:t>
      </w:r>
      <w:r w:rsidRPr="00465DE0">
        <w:t xml:space="preserve"> regarding the timing, frequency, duration and level of </w:t>
      </w:r>
      <w:r>
        <w:t>lead</w:t>
      </w:r>
      <w:r w:rsidRPr="00465DE0">
        <w:t xml:space="preserve"> exposures contributing to the observed associations and residual confounding by age.</w:t>
      </w:r>
      <w:r>
        <w:t xml:space="preserve">  </w:t>
      </w:r>
    </w:p>
    <w:p w:rsidR="00BB7109" w:rsidRDefault="00BB7109" w:rsidP="008453B5">
      <w:pPr>
        <w:pStyle w:val="ListParagraph"/>
        <w:numPr>
          <w:ilvl w:val="0"/>
          <w:numId w:val="34"/>
        </w:numPr>
        <w:tabs>
          <w:tab w:val="left" w:pos="8370"/>
        </w:tabs>
      </w:pPr>
      <w:r>
        <w:t>There is only limited evidence from population or occupational studies for auditory fun</w:t>
      </w:r>
      <w:r w:rsidR="00BE264C">
        <w:t>ction decrements with lead expos</w:t>
      </w:r>
      <w:r>
        <w:t xml:space="preserve">ures.  </w:t>
      </w:r>
    </w:p>
    <w:p w:rsidR="00BB7109" w:rsidRDefault="00BB7109" w:rsidP="008453B5">
      <w:pPr>
        <w:pStyle w:val="ListParagraph"/>
        <w:numPr>
          <w:ilvl w:val="0"/>
          <w:numId w:val="34"/>
        </w:numPr>
        <w:tabs>
          <w:tab w:val="left" w:pos="8370"/>
        </w:tabs>
      </w:pPr>
      <w:r>
        <w:t xml:space="preserve">For decrements in </w:t>
      </w:r>
      <w:r w:rsidR="00AB7AE2">
        <w:t>adults</w:t>
      </w:r>
      <w:r>
        <w:t xml:space="preserve"> of visual function the evidence is inadequate to infer </w:t>
      </w:r>
      <w:r w:rsidR="00AB7AE2">
        <w:t>causality</w:t>
      </w:r>
      <w:r>
        <w:t xml:space="preserve"> with lead exposure. </w:t>
      </w:r>
    </w:p>
    <w:p w:rsidR="00BB7109" w:rsidRDefault="00BB7109" w:rsidP="008453B5">
      <w:pPr>
        <w:pStyle w:val="ListParagraph"/>
        <w:numPr>
          <w:ilvl w:val="0"/>
          <w:numId w:val="34"/>
        </w:numPr>
        <w:tabs>
          <w:tab w:val="left" w:pos="8370"/>
        </w:tabs>
      </w:pPr>
      <w:r>
        <w:t xml:space="preserve">Similarly the </w:t>
      </w:r>
      <w:r w:rsidR="00AB7AE2">
        <w:t>evidence</w:t>
      </w:r>
      <w:r>
        <w:t xml:space="preserve"> is in adequate for an association with neurodegenerative diseases (e.g.  </w:t>
      </w:r>
      <w:r w:rsidRPr="009875B5">
        <w:t xml:space="preserve">Alzheimer’s disease, </w:t>
      </w:r>
      <w:r>
        <w:t>a</w:t>
      </w:r>
      <w:r w:rsidRPr="009875B5">
        <w:t>myotrophic lateral sclerosis</w:t>
      </w:r>
      <w:r>
        <w:t xml:space="preserve"> (motor neurone disease)</w:t>
      </w:r>
      <w:r w:rsidRPr="009875B5">
        <w:t>, Parkinson’s disease,</w:t>
      </w:r>
      <w:r>
        <w:t xml:space="preserve"> and</w:t>
      </w:r>
      <w:r w:rsidRPr="009875B5">
        <w:t xml:space="preserve"> Essential tremor</w:t>
      </w:r>
      <w:r>
        <w:t xml:space="preserve">).    </w:t>
      </w:r>
    </w:p>
    <w:p w:rsidR="00BB7109" w:rsidRDefault="00BB7109" w:rsidP="00BB7109">
      <w:pPr>
        <w:tabs>
          <w:tab w:val="left" w:pos="8370"/>
        </w:tabs>
      </w:pPr>
    </w:p>
    <w:p w:rsidR="00BB7109" w:rsidRDefault="00BB7109" w:rsidP="00BB7109">
      <w:pPr>
        <w:tabs>
          <w:tab w:val="left" w:pos="8370"/>
        </w:tabs>
      </w:pPr>
      <w:r>
        <w:rPr>
          <w:i/>
        </w:rPr>
        <w:t xml:space="preserve">Cardiovascular system: </w:t>
      </w:r>
    </w:p>
    <w:p w:rsidR="00BB7109" w:rsidRPr="00465DE0" w:rsidRDefault="00BB7109" w:rsidP="00BB7109">
      <w:pPr>
        <w:tabs>
          <w:tab w:val="left" w:pos="8370"/>
        </w:tabs>
      </w:pPr>
      <w:r>
        <w:t>According to US EPA (2013) p</w:t>
      </w:r>
      <w:r w:rsidRPr="00465DE0">
        <w:t>rospective epidemiologic studies consistently find associations of Pb</w:t>
      </w:r>
      <w:r>
        <w:t>B</w:t>
      </w:r>
      <w:r w:rsidRPr="00465DE0">
        <w:t xml:space="preserve"> with </w:t>
      </w:r>
      <w:r>
        <w:t xml:space="preserve">hypertension, </w:t>
      </w:r>
      <w:r w:rsidRPr="00465DE0">
        <w:t>cardiovascular mortality and morbidity</w:t>
      </w:r>
      <w:r>
        <w:t xml:space="preserve"> but not with cerebrovascular d</w:t>
      </w:r>
      <w:r w:rsidRPr="00465DE0">
        <w:t>isease</w:t>
      </w:r>
      <w:r>
        <w:t>. These are discussed further in Section 4.4.2.</w:t>
      </w:r>
    </w:p>
    <w:p w:rsidR="00BB7109" w:rsidRDefault="00BB7109" w:rsidP="00BB7109">
      <w:pPr>
        <w:tabs>
          <w:tab w:val="left" w:pos="8370"/>
        </w:tabs>
      </w:pPr>
    </w:p>
    <w:p w:rsidR="00BB7109" w:rsidRDefault="00BB7109" w:rsidP="00BB7109">
      <w:r>
        <w:rPr>
          <w:i/>
        </w:rPr>
        <w:t xml:space="preserve">Male reproduction: </w:t>
      </w:r>
      <w:r>
        <w:t>Even though r</w:t>
      </w:r>
      <w:r w:rsidRPr="00BF619D">
        <w:t>esults may have been confounded by other workplace exposures, which were not adjusted f</w:t>
      </w:r>
      <w:r>
        <w:t>or in the epidemiologic studies, US EPA (2013) concluded there is c</w:t>
      </w:r>
      <w:r w:rsidRPr="00BF619D">
        <w:t xml:space="preserve">onsistent evidence from studies of occupational cohorts with high </w:t>
      </w:r>
      <w:r>
        <w:t>PbB (</w:t>
      </w:r>
      <w:r>
        <w:rPr>
          <w:rFonts w:cs="Arial"/>
        </w:rPr>
        <w:t>≥</w:t>
      </w:r>
      <w:r>
        <w:t xml:space="preserve"> 25 </w:t>
      </w:r>
      <w:r>
        <w:rPr>
          <w:rFonts w:cs="Arial"/>
        </w:rPr>
        <w:t>µ</w:t>
      </w:r>
      <w:r>
        <w:t>g/dL) for causal effects of lead on sperm quality</w:t>
      </w:r>
      <w:r w:rsidRPr="00BF619D">
        <w:t xml:space="preserve">. </w:t>
      </w:r>
      <w:r>
        <w:t xml:space="preserve">There </w:t>
      </w:r>
      <w:r w:rsidR="00275F89">
        <w:t>are</w:t>
      </w:r>
      <w:r>
        <w:t xml:space="preserve"> less consistent results for PbB &lt;15 </w:t>
      </w:r>
      <w:r>
        <w:rPr>
          <w:rFonts w:cs="Arial"/>
        </w:rPr>
        <w:t>µ</w:t>
      </w:r>
      <w:r>
        <w:t>g/dL.</w:t>
      </w:r>
    </w:p>
    <w:p w:rsidR="001B68EB" w:rsidRDefault="00DB05CC" w:rsidP="00975C27">
      <w:pPr>
        <w:pStyle w:val="Heading3"/>
      </w:pPr>
      <w:bookmarkStart w:id="23" w:name="_Toc391288231"/>
      <w:r>
        <w:t>4</w:t>
      </w:r>
      <w:r w:rsidR="00A818B0">
        <w:t>.3</w:t>
      </w:r>
      <w:r w:rsidR="00975C27">
        <w:t xml:space="preserve">.1 </w:t>
      </w:r>
      <w:r w:rsidR="006E78BA">
        <w:t xml:space="preserve">Occupational exposure </w:t>
      </w:r>
      <w:r w:rsidR="001B68EB">
        <w:t>studies</w:t>
      </w:r>
      <w:bookmarkEnd w:id="23"/>
      <w:r w:rsidR="001F1D0C">
        <w:t xml:space="preserve"> </w:t>
      </w:r>
    </w:p>
    <w:p w:rsidR="00116727" w:rsidRDefault="00116727" w:rsidP="00116727">
      <w:pPr>
        <w:tabs>
          <w:tab w:val="left" w:pos="8370"/>
        </w:tabs>
      </w:pPr>
      <w:r>
        <w:t>T</w:t>
      </w:r>
      <w:r w:rsidRPr="000C33AE">
        <w:t xml:space="preserve">able </w:t>
      </w:r>
      <w:r w:rsidR="00DB05CC" w:rsidRPr="002F39D7">
        <w:t>4</w:t>
      </w:r>
      <w:r w:rsidRPr="002F39D7">
        <w:t>.1</w:t>
      </w:r>
      <w:r>
        <w:t xml:space="preserve"> provides a summary of the PbB levels associated with a range of </w:t>
      </w:r>
      <w:r w:rsidR="004766FD">
        <w:t>clinical or research</w:t>
      </w:r>
      <w:r w:rsidR="00727E1E">
        <w:t xml:space="preserve"> </w:t>
      </w:r>
      <w:r>
        <w:t xml:space="preserve">effects in adults from occupational epidemiological studies. The summary has been compiled from recent reviews by various international agencies, and is supplemented by information from the literature. </w:t>
      </w:r>
    </w:p>
    <w:p w:rsidR="0080182D" w:rsidRDefault="0080182D" w:rsidP="00116727">
      <w:pPr>
        <w:tabs>
          <w:tab w:val="left" w:pos="8370"/>
        </w:tabs>
      </w:pPr>
    </w:p>
    <w:p w:rsidR="00BA1245" w:rsidRDefault="0080182D" w:rsidP="00F767AA">
      <w:pPr>
        <w:tabs>
          <w:tab w:val="left" w:pos="8370"/>
        </w:tabs>
      </w:pPr>
      <w:r>
        <w:t xml:space="preserve">For effects or endpoints where there were </w:t>
      </w:r>
      <w:r w:rsidRPr="0080182D">
        <w:t>limited data, inconsistent results, and/or possible/probable confounding</w:t>
      </w:r>
      <w:r>
        <w:t>, these have been m</w:t>
      </w:r>
      <w:r w:rsidR="00F767AA">
        <w:t xml:space="preserve">arked with a question mark. </w:t>
      </w:r>
      <w:r w:rsidR="00723BD5">
        <w:t>Light grey</w:t>
      </w:r>
      <w:r w:rsidRPr="0080182D">
        <w:t xml:space="preserve"> shading</w:t>
      </w:r>
      <w:r>
        <w:t xml:space="preserve"> </w:t>
      </w:r>
      <w:r w:rsidR="00317581">
        <w:t xml:space="preserve">of cells </w:t>
      </w:r>
      <w:r>
        <w:t>in the table</w:t>
      </w:r>
      <w:r w:rsidRPr="0080182D">
        <w:t xml:space="preserve"> indicates health</w:t>
      </w:r>
      <w:r w:rsidR="00317581">
        <w:t>/research</w:t>
      </w:r>
      <w:r w:rsidRPr="0080182D">
        <w:t xml:space="preserve"> effects have been observed at or above this PbB conc</w:t>
      </w:r>
      <w:r w:rsidR="00B35CF7">
        <w:t xml:space="preserve">entration. Solid black shaded </w:t>
      </w:r>
      <w:r w:rsidR="00317581">
        <w:t>cells</w:t>
      </w:r>
      <w:r w:rsidRPr="0080182D">
        <w:t xml:space="preserve"> indicates the health</w:t>
      </w:r>
      <w:r w:rsidR="00317581">
        <w:t>/research</w:t>
      </w:r>
      <w:r w:rsidRPr="0080182D">
        <w:t xml:space="preserve"> effects considered by US EPA (2013) to have sufficient supporting evidence to indicate causality (‘cau</w:t>
      </w:r>
      <w:r>
        <w:t xml:space="preserve">sal’ or ‘likely causal’) by </w:t>
      </w:r>
      <w:r w:rsidR="00BE2EAA">
        <w:t>l</w:t>
      </w:r>
      <w:r w:rsidR="00637B4C">
        <w:t>ead</w:t>
      </w:r>
      <w:r w:rsidR="00BE2EAA">
        <w:t xml:space="preserve"> </w:t>
      </w:r>
      <w:r w:rsidRPr="0080182D">
        <w:t>exposure.</w:t>
      </w:r>
      <w:r w:rsidR="009875B5">
        <w:t xml:space="preserve"> </w:t>
      </w:r>
      <w:r w:rsidR="00D00370">
        <w:t xml:space="preserve">Blank cells </w:t>
      </w:r>
      <w:r w:rsidR="00185D5A">
        <w:t>indicate that there are</w:t>
      </w:r>
      <w:r w:rsidR="00D00370">
        <w:t xml:space="preserve"> either no data or no observed effect.</w:t>
      </w:r>
      <w:r w:rsidR="00BA1245">
        <w:br w:type="page"/>
      </w:r>
    </w:p>
    <w:p w:rsidR="00116727" w:rsidRDefault="00116727" w:rsidP="00116727"/>
    <w:p w:rsidR="00BB7109" w:rsidRDefault="00BB7109" w:rsidP="0023747D">
      <w:r>
        <w:t>From Table 4.1</w:t>
      </w:r>
      <w:r w:rsidR="00BE264C">
        <w:t xml:space="preserve"> </w:t>
      </w:r>
      <w:r>
        <w:t xml:space="preserve">it is apparent that </w:t>
      </w:r>
      <w:r w:rsidR="00BE264C">
        <w:t xml:space="preserve">for health endpoints for which causal associations between PbB and the effect are considered likely, the PbB concentration at which they start to appear is 20 – 30 </w:t>
      </w:r>
      <w:r w:rsidR="00BE264C">
        <w:rPr>
          <w:rFonts w:cs="Arial"/>
        </w:rPr>
        <w:t>µ</w:t>
      </w:r>
      <w:r w:rsidR="00BE264C">
        <w:t xml:space="preserve">g/dL. Studies that show clear associations with health effects in workers do so at PbB levels of </w:t>
      </w:r>
      <w:r w:rsidR="00BE264C">
        <w:rPr>
          <w:rFonts w:cs="Arial"/>
        </w:rPr>
        <w:t>≥</w:t>
      </w:r>
      <w:r w:rsidR="00876EE3">
        <w:rPr>
          <w:rFonts w:cs="Arial"/>
        </w:rPr>
        <w:t xml:space="preserve"> ~</w:t>
      </w:r>
      <w:r w:rsidR="00876EE3">
        <w:t>25</w:t>
      </w:r>
      <w:r w:rsidR="00BE264C">
        <w:t xml:space="preserve"> </w:t>
      </w:r>
      <w:r w:rsidR="00BE264C" w:rsidRPr="00BE264C">
        <w:t>µg/dL</w:t>
      </w:r>
      <w:r w:rsidR="00BE264C">
        <w:t xml:space="preserve"> </w:t>
      </w:r>
      <w:r w:rsidR="00BE264C">
        <w:rPr>
          <w:rStyle w:val="FootnoteReference"/>
        </w:rPr>
        <w:footnoteReference w:id="13"/>
      </w:r>
      <w:r w:rsidR="00BE264C">
        <w:t xml:space="preserve">. </w:t>
      </w:r>
      <w:r w:rsidR="00BE264C" w:rsidRPr="00BE264C">
        <w:t>At lower PbB concentrations, the associations are inconsistent or limited by potential confounding.</w:t>
      </w:r>
    </w:p>
    <w:p w:rsidR="00BB7109" w:rsidRDefault="00BB7109" w:rsidP="0023747D"/>
    <w:p w:rsidR="0023747D" w:rsidRDefault="0023747D" w:rsidP="0023747D">
      <w:r>
        <w:t xml:space="preserve"> </w:t>
      </w:r>
    </w:p>
    <w:p w:rsidR="0023747D" w:rsidRDefault="0023747D" w:rsidP="00116727"/>
    <w:p w:rsidR="00116727" w:rsidRDefault="00116727" w:rsidP="00AC6C67">
      <w:pPr>
        <w:tabs>
          <w:tab w:val="left" w:pos="8370"/>
        </w:tabs>
      </w:pPr>
    </w:p>
    <w:p w:rsidR="00AC6C67" w:rsidRDefault="00AC6C67" w:rsidP="00AC6C67">
      <w:pPr>
        <w:tabs>
          <w:tab w:val="left" w:pos="8370"/>
        </w:tabs>
        <w:sectPr w:rsidR="00AC6C67" w:rsidSect="00DC5F6A">
          <w:pgSz w:w="11906" w:h="16838"/>
          <w:pgMar w:top="1418" w:right="849" w:bottom="1440" w:left="1134" w:header="284" w:footer="697" w:gutter="0"/>
          <w:cols w:space="708"/>
          <w:docGrid w:linePitch="360"/>
        </w:sectPr>
      </w:pPr>
    </w:p>
    <w:p w:rsidR="00AC6C67" w:rsidRDefault="00AC6C67" w:rsidP="00AC6C67">
      <w:pPr>
        <w:tabs>
          <w:tab w:val="left" w:pos="8370"/>
        </w:tabs>
      </w:pPr>
    </w:p>
    <w:p w:rsidR="00AC6C67" w:rsidRPr="00DB1248" w:rsidRDefault="00AC6C67" w:rsidP="00AC6C67">
      <w:pPr>
        <w:pStyle w:val="BodyText"/>
        <w:rPr>
          <w:b/>
          <w:sz w:val="24"/>
          <w:szCs w:val="24"/>
          <w:vertAlign w:val="superscript"/>
        </w:rPr>
      </w:pPr>
      <w:r>
        <w:rPr>
          <w:b/>
          <w:sz w:val="24"/>
          <w:szCs w:val="24"/>
        </w:rPr>
        <w:t xml:space="preserve">Table </w:t>
      </w:r>
      <w:r w:rsidR="00216408">
        <w:rPr>
          <w:b/>
          <w:sz w:val="24"/>
          <w:szCs w:val="24"/>
        </w:rPr>
        <w:t>4</w:t>
      </w:r>
      <w:r>
        <w:rPr>
          <w:b/>
          <w:sz w:val="24"/>
          <w:szCs w:val="24"/>
        </w:rPr>
        <w:t xml:space="preserve">.1: </w:t>
      </w:r>
      <w:r w:rsidR="00C069D2">
        <w:rPr>
          <w:b/>
          <w:sz w:val="24"/>
          <w:szCs w:val="24"/>
        </w:rPr>
        <w:t xml:space="preserve">PbB </w:t>
      </w:r>
      <w:r w:rsidRPr="00DB1248">
        <w:rPr>
          <w:b/>
          <w:sz w:val="24"/>
          <w:szCs w:val="24"/>
        </w:rPr>
        <w:t>response</w:t>
      </w:r>
      <w:r>
        <w:rPr>
          <w:b/>
          <w:sz w:val="24"/>
          <w:szCs w:val="24"/>
        </w:rPr>
        <w:t xml:space="preserve"> in adults from occupational epidemiology studies</w:t>
      </w:r>
      <w:r w:rsidRPr="00DB1248">
        <w:rPr>
          <w:b/>
          <w:sz w:val="24"/>
          <w:szCs w:val="24"/>
        </w:rPr>
        <w:t xml:space="preserve"> </w:t>
      </w:r>
      <w:r w:rsidRPr="00DB1248">
        <w:rPr>
          <w:b/>
          <w:sz w:val="24"/>
          <w:szCs w:val="24"/>
          <w:vertAlign w:val="superscript"/>
        </w:rPr>
        <w:t>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76"/>
        <w:gridCol w:w="1467"/>
        <w:gridCol w:w="1134"/>
        <w:gridCol w:w="1560"/>
        <w:gridCol w:w="1275"/>
        <w:gridCol w:w="1276"/>
        <w:gridCol w:w="1276"/>
        <w:gridCol w:w="709"/>
        <w:gridCol w:w="992"/>
        <w:gridCol w:w="992"/>
        <w:gridCol w:w="709"/>
        <w:gridCol w:w="709"/>
        <w:gridCol w:w="425"/>
      </w:tblGrid>
      <w:tr w:rsidR="007B5465" w:rsidTr="00723BD5">
        <w:trPr>
          <w:cantSplit/>
          <w:trHeight w:val="1704"/>
          <w:tblHeader/>
        </w:trPr>
        <w:tc>
          <w:tcPr>
            <w:tcW w:w="1476" w:type="dxa"/>
            <w:tcBorders>
              <w:bottom w:val="single" w:sz="12" w:space="0" w:color="auto"/>
              <w:right w:val="double" w:sz="6" w:space="0" w:color="auto"/>
            </w:tcBorders>
            <w:vAlign w:val="center"/>
          </w:tcPr>
          <w:p w:rsidR="007B5465" w:rsidRPr="00D9710C" w:rsidRDefault="00C069D2" w:rsidP="00737428">
            <w:pPr>
              <w:pStyle w:val="Default"/>
              <w:jc w:val="center"/>
            </w:pPr>
            <w:r>
              <w:rPr>
                <w:b/>
                <w:bCs/>
              </w:rPr>
              <w:t xml:space="preserve">PbB </w:t>
            </w:r>
            <w:r w:rsidR="007B5465" w:rsidRPr="00D9710C">
              <w:rPr>
                <w:b/>
                <w:bCs/>
              </w:rPr>
              <w:t>(μg/dL)</w:t>
            </w:r>
          </w:p>
        </w:tc>
        <w:tc>
          <w:tcPr>
            <w:tcW w:w="1467" w:type="dxa"/>
            <w:tcBorders>
              <w:top w:val="double" w:sz="6" w:space="0" w:color="auto"/>
              <w:left w:val="double" w:sz="6" w:space="0" w:color="auto"/>
              <w:bottom w:val="double" w:sz="6" w:space="0" w:color="auto"/>
              <w:right w:val="double" w:sz="6" w:space="0" w:color="auto"/>
            </w:tcBorders>
            <w:shd w:val="clear" w:color="auto" w:fill="000000" w:themeFill="text1"/>
            <w:textDirection w:val="btLr"/>
            <w:vAlign w:val="center"/>
          </w:tcPr>
          <w:p w:rsidR="007B5465" w:rsidRPr="00C7642A" w:rsidRDefault="007B5465" w:rsidP="00737428">
            <w:pPr>
              <w:pStyle w:val="Default"/>
              <w:ind w:left="113" w:right="113"/>
              <w:jc w:val="center"/>
              <w:rPr>
                <w:b/>
                <w:sz w:val="22"/>
                <w:szCs w:val="22"/>
                <w:vertAlign w:val="superscript"/>
              </w:rPr>
            </w:pPr>
            <w:r w:rsidRPr="00723BD5">
              <w:rPr>
                <w:b/>
                <w:color w:val="FFFFFF" w:themeColor="background1"/>
                <w:sz w:val="22"/>
                <w:szCs w:val="22"/>
              </w:rPr>
              <w:t>Nervous System</w:t>
            </w:r>
            <w:r w:rsidR="00C7642A" w:rsidRPr="00723BD5">
              <w:rPr>
                <w:b/>
                <w:color w:val="FFFFFF" w:themeColor="background1"/>
                <w:sz w:val="22"/>
                <w:szCs w:val="22"/>
              </w:rPr>
              <w:t xml:space="preserve"> </w:t>
            </w:r>
            <w:r w:rsidR="00C7642A" w:rsidRPr="00723BD5">
              <w:rPr>
                <w:b/>
                <w:color w:val="FFFFFF" w:themeColor="background1"/>
                <w:sz w:val="22"/>
                <w:szCs w:val="22"/>
                <w:vertAlign w:val="superscript"/>
              </w:rPr>
              <w:t>^</w:t>
            </w:r>
          </w:p>
        </w:tc>
        <w:tc>
          <w:tcPr>
            <w:tcW w:w="1134" w:type="dxa"/>
            <w:tcBorders>
              <w:top w:val="double" w:sz="6" w:space="0" w:color="auto"/>
              <w:left w:val="double" w:sz="6" w:space="0" w:color="auto"/>
              <w:bottom w:val="double" w:sz="6" w:space="0" w:color="auto"/>
              <w:right w:val="double" w:sz="6" w:space="0" w:color="auto"/>
            </w:tcBorders>
            <w:shd w:val="clear" w:color="auto" w:fill="000000" w:themeFill="text1"/>
            <w:textDirection w:val="btLr"/>
            <w:vAlign w:val="center"/>
          </w:tcPr>
          <w:p w:rsidR="007B5465" w:rsidRPr="00723BD5" w:rsidRDefault="007B5465" w:rsidP="00737428">
            <w:pPr>
              <w:pStyle w:val="Default"/>
              <w:ind w:left="113" w:right="113"/>
              <w:jc w:val="center"/>
              <w:rPr>
                <w:b/>
                <w:color w:val="FFFFFF" w:themeColor="background1"/>
                <w:sz w:val="22"/>
                <w:szCs w:val="22"/>
                <w:vertAlign w:val="superscript"/>
              </w:rPr>
            </w:pPr>
            <w:r w:rsidRPr="00723BD5">
              <w:rPr>
                <w:b/>
                <w:color w:val="FFFFFF" w:themeColor="background1"/>
                <w:sz w:val="22"/>
                <w:szCs w:val="22"/>
              </w:rPr>
              <w:t>Cardio-vascular</w:t>
            </w:r>
            <w:r w:rsidR="00C7642A" w:rsidRPr="00723BD5">
              <w:rPr>
                <w:b/>
                <w:color w:val="FFFFFF" w:themeColor="background1"/>
                <w:sz w:val="22"/>
                <w:szCs w:val="22"/>
              </w:rPr>
              <w:t xml:space="preserve"> </w:t>
            </w:r>
            <w:r w:rsidR="00C7642A" w:rsidRPr="00723BD5">
              <w:rPr>
                <w:b/>
                <w:color w:val="FFFFFF" w:themeColor="background1"/>
                <w:sz w:val="22"/>
                <w:szCs w:val="22"/>
                <w:vertAlign w:val="superscript"/>
              </w:rPr>
              <w:t>^</w:t>
            </w:r>
          </w:p>
        </w:tc>
        <w:tc>
          <w:tcPr>
            <w:tcW w:w="1560" w:type="dxa"/>
            <w:tcBorders>
              <w:left w:val="double" w:sz="6" w:space="0" w:color="auto"/>
              <w:bottom w:val="single" w:sz="12" w:space="0" w:color="auto"/>
            </w:tcBorders>
            <w:textDirection w:val="btLr"/>
            <w:vAlign w:val="center"/>
          </w:tcPr>
          <w:p w:rsidR="007B5465" w:rsidRPr="003A7FA8" w:rsidRDefault="007B5465" w:rsidP="00737428">
            <w:pPr>
              <w:pStyle w:val="Default"/>
              <w:ind w:left="113" w:right="113"/>
              <w:jc w:val="center"/>
              <w:rPr>
                <w:b/>
                <w:sz w:val="22"/>
                <w:szCs w:val="22"/>
              </w:rPr>
            </w:pPr>
            <w:r w:rsidRPr="003A7FA8">
              <w:rPr>
                <w:b/>
                <w:sz w:val="22"/>
                <w:szCs w:val="22"/>
              </w:rPr>
              <w:t>Blood</w:t>
            </w:r>
            <w:r>
              <w:rPr>
                <w:b/>
                <w:sz w:val="22"/>
                <w:szCs w:val="22"/>
              </w:rPr>
              <w:t>?</w:t>
            </w:r>
          </w:p>
        </w:tc>
        <w:tc>
          <w:tcPr>
            <w:tcW w:w="1275" w:type="dxa"/>
            <w:tcBorders>
              <w:left w:val="single" w:sz="12" w:space="0" w:color="auto"/>
              <w:bottom w:val="single" w:sz="12" w:space="0" w:color="auto"/>
            </w:tcBorders>
            <w:textDirection w:val="btLr"/>
            <w:vAlign w:val="center"/>
          </w:tcPr>
          <w:p w:rsidR="007B5465" w:rsidRPr="003A7FA8" w:rsidRDefault="007B5465" w:rsidP="00737428">
            <w:pPr>
              <w:pStyle w:val="Default"/>
              <w:ind w:left="113" w:right="113"/>
              <w:jc w:val="center"/>
              <w:rPr>
                <w:b/>
                <w:sz w:val="22"/>
                <w:szCs w:val="22"/>
              </w:rPr>
            </w:pPr>
            <w:r w:rsidRPr="003A7FA8">
              <w:rPr>
                <w:b/>
                <w:sz w:val="22"/>
                <w:szCs w:val="22"/>
              </w:rPr>
              <w:t>Kidneys</w:t>
            </w:r>
            <w:r>
              <w:rPr>
                <w:b/>
                <w:sz w:val="22"/>
                <w:szCs w:val="22"/>
              </w:rPr>
              <w:t>?</w:t>
            </w:r>
          </w:p>
        </w:tc>
        <w:tc>
          <w:tcPr>
            <w:tcW w:w="1276" w:type="dxa"/>
            <w:tcBorders>
              <w:left w:val="single" w:sz="12" w:space="0" w:color="auto"/>
              <w:bottom w:val="single" w:sz="12" w:space="0" w:color="auto"/>
            </w:tcBorders>
            <w:textDirection w:val="btLr"/>
          </w:tcPr>
          <w:p w:rsidR="007B5465" w:rsidRPr="003A7FA8" w:rsidRDefault="007B5465" w:rsidP="00737428">
            <w:pPr>
              <w:pStyle w:val="Default"/>
              <w:ind w:left="113" w:right="113"/>
              <w:jc w:val="center"/>
              <w:rPr>
                <w:b/>
                <w:sz w:val="22"/>
                <w:szCs w:val="22"/>
              </w:rPr>
            </w:pPr>
            <w:r w:rsidRPr="003A7FA8">
              <w:rPr>
                <w:b/>
                <w:sz w:val="22"/>
                <w:szCs w:val="22"/>
              </w:rPr>
              <w:t>Endocrine system</w:t>
            </w:r>
            <w:r>
              <w:rPr>
                <w:b/>
                <w:sz w:val="22"/>
                <w:szCs w:val="22"/>
              </w:rPr>
              <w:t>?</w:t>
            </w:r>
          </w:p>
        </w:tc>
        <w:tc>
          <w:tcPr>
            <w:tcW w:w="1276" w:type="dxa"/>
            <w:tcBorders>
              <w:left w:val="single" w:sz="12" w:space="0" w:color="auto"/>
              <w:bottom w:val="single" w:sz="12" w:space="0" w:color="auto"/>
            </w:tcBorders>
            <w:textDirection w:val="btLr"/>
            <w:vAlign w:val="center"/>
          </w:tcPr>
          <w:p w:rsidR="007B5465" w:rsidRPr="003A7FA8" w:rsidRDefault="007B5465" w:rsidP="00A07512">
            <w:pPr>
              <w:pStyle w:val="Default"/>
              <w:ind w:left="113" w:right="113"/>
              <w:jc w:val="center"/>
              <w:rPr>
                <w:b/>
                <w:sz w:val="22"/>
                <w:szCs w:val="22"/>
              </w:rPr>
            </w:pPr>
            <w:r w:rsidRPr="003A7FA8">
              <w:rPr>
                <w:b/>
                <w:sz w:val="22"/>
                <w:szCs w:val="22"/>
              </w:rPr>
              <w:t>Immune system</w:t>
            </w:r>
            <w:r>
              <w:rPr>
                <w:b/>
                <w:sz w:val="22"/>
                <w:szCs w:val="22"/>
              </w:rPr>
              <w:t>?</w:t>
            </w:r>
          </w:p>
        </w:tc>
        <w:tc>
          <w:tcPr>
            <w:tcW w:w="709" w:type="dxa"/>
            <w:tcBorders>
              <w:left w:val="single" w:sz="12" w:space="0" w:color="auto"/>
              <w:bottom w:val="single" w:sz="12" w:space="0" w:color="auto"/>
              <w:right w:val="double" w:sz="6" w:space="0" w:color="auto"/>
            </w:tcBorders>
            <w:textDirection w:val="btLr"/>
            <w:vAlign w:val="center"/>
          </w:tcPr>
          <w:p w:rsidR="007B5465" w:rsidRPr="00C62D77" w:rsidRDefault="007B5465" w:rsidP="00A07512">
            <w:pPr>
              <w:pStyle w:val="Default"/>
              <w:ind w:left="113" w:right="113"/>
              <w:jc w:val="center"/>
              <w:rPr>
                <w:b/>
                <w:sz w:val="20"/>
                <w:szCs w:val="20"/>
                <w:vertAlign w:val="superscript"/>
              </w:rPr>
            </w:pPr>
            <w:r w:rsidRPr="00A07512">
              <w:rPr>
                <w:b/>
                <w:sz w:val="20"/>
                <w:szCs w:val="20"/>
              </w:rPr>
              <w:t>Female reproduction?</w:t>
            </w:r>
          </w:p>
        </w:tc>
        <w:tc>
          <w:tcPr>
            <w:tcW w:w="992" w:type="dxa"/>
            <w:tcBorders>
              <w:top w:val="double" w:sz="6" w:space="0" w:color="auto"/>
              <w:left w:val="double" w:sz="6" w:space="0" w:color="auto"/>
              <w:bottom w:val="double" w:sz="6" w:space="0" w:color="auto"/>
              <w:right w:val="double" w:sz="6" w:space="0" w:color="auto"/>
            </w:tcBorders>
            <w:shd w:val="clear" w:color="auto" w:fill="000000" w:themeFill="text1"/>
            <w:textDirection w:val="btLr"/>
          </w:tcPr>
          <w:p w:rsidR="007B5465" w:rsidRPr="00C7642A" w:rsidRDefault="007B5465" w:rsidP="00737428">
            <w:pPr>
              <w:pStyle w:val="Default"/>
              <w:ind w:left="113" w:right="113"/>
              <w:jc w:val="center"/>
              <w:rPr>
                <w:b/>
                <w:sz w:val="20"/>
                <w:szCs w:val="20"/>
                <w:vertAlign w:val="superscript"/>
              </w:rPr>
            </w:pPr>
            <w:r w:rsidRPr="00723BD5">
              <w:rPr>
                <w:b/>
                <w:color w:val="FFFFFF" w:themeColor="background1"/>
                <w:sz w:val="20"/>
                <w:szCs w:val="20"/>
              </w:rPr>
              <w:t>Male reproduction</w:t>
            </w:r>
            <w:r w:rsidR="00C7642A" w:rsidRPr="00723BD5">
              <w:rPr>
                <w:b/>
                <w:color w:val="FFFFFF" w:themeColor="background1"/>
                <w:sz w:val="20"/>
                <w:szCs w:val="20"/>
              </w:rPr>
              <w:t xml:space="preserve"> </w:t>
            </w:r>
            <w:r w:rsidR="00C7642A" w:rsidRPr="00723BD5">
              <w:rPr>
                <w:b/>
                <w:color w:val="FFFFFF" w:themeColor="background1"/>
                <w:sz w:val="20"/>
                <w:szCs w:val="20"/>
                <w:vertAlign w:val="superscript"/>
              </w:rPr>
              <w:t>^</w:t>
            </w:r>
          </w:p>
        </w:tc>
        <w:tc>
          <w:tcPr>
            <w:tcW w:w="992" w:type="dxa"/>
            <w:tcBorders>
              <w:left w:val="double" w:sz="6" w:space="0" w:color="auto"/>
              <w:bottom w:val="single" w:sz="12" w:space="0" w:color="auto"/>
            </w:tcBorders>
            <w:textDirection w:val="btLr"/>
            <w:vAlign w:val="center"/>
          </w:tcPr>
          <w:p w:rsidR="007B5465" w:rsidRPr="0081529E" w:rsidRDefault="007B5465" w:rsidP="007B5465">
            <w:pPr>
              <w:pStyle w:val="Default"/>
              <w:ind w:left="113" w:right="113"/>
              <w:jc w:val="center"/>
              <w:rPr>
                <w:b/>
                <w:sz w:val="20"/>
                <w:szCs w:val="20"/>
              </w:rPr>
            </w:pPr>
            <w:r w:rsidRPr="0081529E">
              <w:rPr>
                <w:b/>
                <w:sz w:val="20"/>
                <w:szCs w:val="20"/>
              </w:rPr>
              <w:t>Mutagenicity?</w:t>
            </w:r>
          </w:p>
        </w:tc>
        <w:tc>
          <w:tcPr>
            <w:tcW w:w="709" w:type="dxa"/>
            <w:tcBorders>
              <w:left w:val="single" w:sz="12" w:space="0" w:color="auto"/>
              <w:bottom w:val="single" w:sz="12" w:space="0" w:color="auto"/>
            </w:tcBorders>
            <w:textDirection w:val="btLr"/>
          </w:tcPr>
          <w:p w:rsidR="007B5465" w:rsidRPr="00AD02CD" w:rsidRDefault="007B5465" w:rsidP="00737428">
            <w:pPr>
              <w:pStyle w:val="Default"/>
              <w:ind w:left="113" w:right="113"/>
              <w:jc w:val="center"/>
              <w:rPr>
                <w:b/>
                <w:sz w:val="22"/>
                <w:szCs w:val="22"/>
                <w:vertAlign w:val="superscript"/>
              </w:rPr>
            </w:pPr>
            <w:r w:rsidRPr="003A7FA8">
              <w:rPr>
                <w:b/>
                <w:sz w:val="22"/>
                <w:szCs w:val="22"/>
              </w:rPr>
              <w:t>Cancer</w:t>
            </w:r>
            <w:r>
              <w:rPr>
                <w:b/>
                <w:sz w:val="22"/>
                <w:szCs w:val="22"/>
              </w:rPr>
              <w:t xml:space="preserve">? </w:t>
            </w:r>
            <w:r>
              <w:rPr>
                <w:b/>
                <w:sz w:val="22"/>
                <w:szCs w:val="22"/>
                <w:vertAlign w:val="superscript"/>
              </w:rPr>
              <w:t>k</w:t>
            </w:r>
          </w:p>
        </w:tc>
        <w:tc>
          <w:tcPr>
            <w:tcW w:w="709" w:type="dxa"/>
            <w:tcBorders>
              <w:left w:val="single" w:sz="12" w:space="0" w:color="auto"/>
              <w:bottom w:val="single" w:sz="12" w:space="0" w:color="auto"/>
            </w:tcBorders>
            <w:textDirection w:val="btLr"/>
          </w:tcPr>
          <w:p w:rsidR="007B5465" w:rsidRPr="003A7FA8" w:rsidRDefault="007B5465" w:rsidP="00737428">
            <w:pPr>
              <w:pStyle w:val="Default"/>
              <w:ind w:left="113" w:right="113"/>
              <w:jc w:val="center"/>
              <w:rPr>
                <w:b/>
                <w:sz w:val="18"/>
                <w:szCs w:val="18"/>
              </w:rPr>
            </w:pPr>
            <w:r w:rsidRPr="003A7FA8">
              <w:rPr>
                <w:b/>
                <w:sz w:val="18"/>
                <w:szCs w:val="18"/>
              </w:rPr>
              <w:t>Gastrointestinal</w:t>
            </w:r>
          </w:p>
        </w:tc>
        <w:tc>
          <w:tcPr>
            <w:tcW w:w="425" w:type="dxa"/>
            <w:tcBorders>
              <w:left w:val="single" w:sz="12" w:space="0" w:color="auto"/>
              <w:bottom w:val="single" w:sz="12" w:space="0" w:color="auto"/>
            </w:tcBorders>
            <w:textDirection w:val="btLr"/>
          </w:tcPr>
          <w:p w:rsidR="007B5465" w:rsidRPr="003A7FA8" w:rsidRDefault="007B5465" w:rsidP="00737428">
            <w:pPr>
              <w:pStyle w:val="Default"/>
              <w:ind w:left="113" w:right="113"/>
              <w:jc w:val="center"/>
              <w:rPr>
                <w:b/>
                <w:sz w:val="18"/>
                <w:szCs w:val="18"/>
              </w:rPr>
            </w:pPr>
            <w:r>
              <w:rPr>
                <w:b/>
                <w:sz w:val="18"/>
                <w:szCs w:val="18"/>
              </w:rPr>
              <w:t>Liver?</w:t>
            </w:r>
          </w:p>
        </w:tc>
      </w:tr>
      <w:tr w:rsidR="007B5465" w:rsidTr="00317581">
        <w:trPr>
          <w:trHeight w:val="581"/>
        </w:trPr>
        <w:tc>
          <w:tcPr>
            <w:tcW w:w="1476" w:type="dxa"/>
            <w:tcBorders>
              <w:top w:val="single" w:sz="12" w:space="0" w:color="auto"/>
              <w:right w:val="single" w:sz="12" w:space="0" w:color="auto"/>
            </w:tcBorders>
            <w:vAlign w:val="center"/>
          </w:tcPr>
          <w:p w:rsidR="007B5465" w:rsidRPr="00D9710C" w:rsidRDefault="007B5465" w:rsidP="00CA4E82">
            <w:pPr>
              <w:pStyle w:val="Default"/>
              <w:jc w:val="center"/>
              <w:rPr>
                <w:sz w:val="22"/>
                <w:szCs w:val="22"/>
              </w:rPr>
            </w:pPr>
            <w:r>
              <w:rPr>
                <w:sz w:val="22"/>
                <w:szCs w:val="22"/>
              </w:rPr>
              <w:t>&lt;5</w:t>
            </w:r>
          </w:p>
        </w:tc>
        <w:tc>
          <w:tcPr>
            <w:tcW w:w="1467" w:type="dxa"/>
            <w:tcBorders>
              <w:top w:val="double" w:sz="6" w:space="0" w:color="auto"/>
              <w:left w:val="single" w:sz="12" w:space="0" w:color="auto"/>
              <w:bottom w:val="dashed" w:sz="12" w:space="0" w:color="auto"/>
              <w:right w:val="single" w:sz="12" w:space="0" w:color="auto"/>
            </w:tcBorders>
            <w:vAlign w:val="center"/>
          </w:tcPr>
          <w:p w:rsidR="007B5465" w:rsidRPr="007C2BD0" w:rsidRDefault="007B5465" w:rsidP="00737428">
            <w:pPr>
              <w:pStyle w:val="Default"/>
              <w:rPr>
                <w:sz w:val="16"/>
                <w:szCs w:val="16"/>
              </w:rPr>
            </w:pPr>
          </w:p>
        </w:tc>
        <w:tc>
          <w:tcPr>
            <w:tcW w:w="1134" w:type="dxa"/>
            <w:tcBorders>
              <w:top w:val="double" w:sz="6" w:space="0" w:color="auto"/>
              <w:left w:val="single" w:sz="12" w:space="0" w:color="auto"/>
            </w:tcBorders>
            <w:vAlign w:val="center"/>
          </w:tcPr>
          <w:p w:rsidR="007B5465" w:rsidRPr="00723BD5" w:rsidRDefault="007B5465" w:rsidP="00737428">
            <w:pPr>
              <w:pStyle w:val="Default"/>
              <w:rPr>
                <w:color w:val="FFFFFF" w:themeColor="background1"/>
                <w:sz w:val="16"/>
                <w:szCs w:val="16"/>
              </w:rPr>
            </w:pPr>
          </w:p>
        </w:tc>
        <w:tc>
          <w:tcPr>
            <w:tcW w:w="1560" w:type="dxa"/>
            <w:tcBorders>
              <w:top w:val="single" w:sz="12" w:space="0" w:color="auto"/>
              <w:left w:val="single" w:sz="12" w:space="0" w:color="auto"/>
              <w:bottom w:val="dashed" w:sz="12" w:space="0" w:color="auto"/>
            </w:tcBorders>
          </w:tcPr>
          <w:p w:rsidR="007B5465" w:rsidRPr="00C47DB5" w:rsidRDefault="007B5465" w:rsidP="00737428">
            <w:pPr>
              <w:pStyle w:val="Default"/>
              <w:rPr>
                <w:sz w:val="16"/>
                <w:szCs w:val="16"/>
                <w:vertAlign w:val="superscript"/>
              </w:rPr>
            </w:pPr>
          </w:p>
        </w:tc>
        <w:tc>
          <w:tcPr>
            <w:tcW w:w="1275" w:type="dxa"/>
            <w:tcBorders>
              <w:top w:val="single" w:sz="12" w:space="0" w:color="auto"/>
              <w:left w:val="single" w:sz="12" w:space="0" w:color="auto"/>
            </w:tcBorders>
          </w:tcPr>
          <w:p w:rsidR="007B5465" w:rsidRPr="007C2BD0" w:rsidRDefault="007B5465" w:rsidP="00737428">
            <w:pPr>
              <w:pStyle w:val="Default"/>
              <w:rPr>
                <w:sz w:val="16"/>
                <w:szCs w:val="16"/>
              </w:rPr>
            </w:pPr>
          </w:p>
        </w:tc>
        <w:tc>
          <w:tcPr>
            <w:tcW w:w="1276" w:type="dxa"/>
            <w:tcBorders>
              <w:top w:val="single" w:sz="12" w:space="0" w:color="auto"/>
              <w:left w:val="single" w:sz="12" w:space="0" w:color="auto"/>
              <w:bottom w:val="dashed" w:sz="12" w:space="0" w:color="auto"/>
            </w:tcBorders>
          </w:tcPr>
          <w:p w:rsidR="007B5465" w:rsidRPr="007C2BD0" w:rsidRDefault="007B5465" w:rsidP="00737428">
            <w:pPr>
              <w:pStyle w:val="Default"/>
              <w:rPr>
                <w:sz w:val="16"/>
                <w:szCs w:val="16"/>
              </w:rPr>
            </w:pPr>
          </w:p>
        </w:tc>
        <w:tc>
          <w:tcPr>
            <w:tcW w:w="1276" w:type="dxa"/>
            <w:tcBorders>
              <w:top w:val="single" w:sz="12" w:space="0" w:color="auto"/>
              <w:left w:val="single" w:sz="12" w:space="0" w:color="auto"/>
            </w:tcBorders>
          </w:tcPr>
          <w:p w:rsidR="007B5465" w:rsidRPr="007C2BD0" w:rsidRDefault="007B5465" w:rsidP="00737428">
            <w:pPr>
              <w:pStyle w:val="Default"/>
              <w:rPr>
                <w:sz w:val="16"/>
                <w:szCs w:val="16"/>
              </w:rPr>
            </w:pPr>
          </w:p>
        </w:tc>
        <w:tc>
          <w:tcPr>
            <w:tcW w:w="709" w:type="dxa"/>
            <w:tcBorders>
              <w:top w:val="single" w:sz="12" w:space="0" w:color="auto"/>
              <w:left w:val="single" w:sz="12" w:space="0" w:color="auto"/>
              <w:right w:val="single" w:sz="12" w:space="0" w:color="auto"/>
            </w:tcBorders>
          </w:tcPr>
          <w:p w:rsidR="007B5465" w:rsidRPr="007C2BD0" w:rsidRDefault="007B5465" w:rsidP="00737428">
            <w:pPr>
              <w:pStyle w:val="Default"/>
              <w:rPr>
                <w:sz w:val="16"/>
                <w:szCs w:val="16"/>
              </w:rPr>
            </w:pPr>
          </w:p>
        </w:tc>
        <w:tc>
          <w:tcPr>
            <w:tcW w:w="992" w:type="dxa"/>
            <w:tcBorders>
              <w:top w:val="double" w:sz="6" w:space="0" w:color="auto"/>
              <w:left w:val="single" w:sz="12" w:space="0" w:color="auto"/>
              <w:right w:val="single" w:sz="12" w:space="0" w:color="auto"/>
            </w:tcBorders>
          </w:tcPr>
          <w:p w:rsidR="007B5465" w:rsidRPr="007C2BD0" w:rsidRDefault="007B5465" w:rsidP="00737428">
            <w:pPr>
              <w:pStyle w:val="Default"/>
              <w:rPr>
                <w:sz w:val="16"/>
                <w:szCs w:val="16"/>
              </w:rPr>
            </w:pPr>
          </w:p>
        </w:tc>
        <w:tc>
          <w:tcPr>
            <w:tcW w:w="992" w:type="dxa"/>
            <w:tcBorders>
              <w:top w:val="single" w:sz="12" w:space="0" w:color="auto"/>
              <w:left w:val="single" w:sz="12" w:space="0" w:color="auto"/>
            </w:tcBorders>
          </w:tcPr>
          <w:p w:rsidR="007B5465" w:rsidRPr="007C2BD0" w:rsidRDefault="007B5465" w:rsidP="00737428">
            <w:pPr>
              <w:pStyle w:val="Default"/>
              <w:rPr>
                <w:sz w:val="16"/>
                <w:szCs w:val="16"/>
              </w:rPr>
            </w:pPr>
          </w:p>
        </w:tc>
        <w:tc>
          <w:tcPr>
            <w:tcW w:w="709" w:type="dxa"/>
            <w:tcBorders>
              <w:top w:val="single" w:sz="12" w:space="0" w:color="auto"/>
              <w:left w:val="single" w:sz="12" w:space="0" w:color="auto"/>
            </w:tcBorders>
          </w:tcPr>
          <w:p w:rsidR="007B5465" w:rsidRPr="007C2BD0" w:rsidRDefault="007B5465" w:rsidP="00737428">
            <w:pPr>
              <w:pStyle w:val="Default"/>
              <w:rPr>
                <w:sz w:val="16"/>
                <w:szCs w:val="16"/>
              </w:rPr>
            </w:pPr>
          </w:p>
        </w:tc>
        <w:tc>
          <w:tcPr>
            <w:tcW w:w="709" w:type="dxa"/>
            <w:tcBorders>
              <w:top w:val="single" w:sz="12" w:space="0" w:color="auto"/>
              <w:left w:val="single" w:sz="12" w:space="0" w:color="auto"/>
            </w:tcBorders>
          </w:tcPr>
          <w:p w:rsidR="007B5465" w:rsidRPr="007C2BD0" w:rsidRDefault="007B5465" w:rsidP="00737428">
            <w:pPr>
              <w:pStyle w:val="Default"/>
              <w:rPr>
                <w:sz w:val="16"/>
                <w:szCs w:val="16"/>
              </w:rPr>
            </w:pPr>
          </w:p>
        </w:tc>
        <w:tc>
          <w:tcPr>
            <w:tcW w:w="425" w:type="dxa"/>
            <w:tcBorders>
              <w:top w:val="single" w:sz="12" w:space="0" w:color="auto"/>
              <w:left w:val="single" w:sz="12" w:space="0" w:color="auto"/>
            </w:tcBorders>
          </w:tcPr>
          <w:p w:rsidR="007B5465" w:rsidRPr="007C2BD0" w:rsidRDefault="007B5465" w:rsidP="00737428">
            <w:pPr>
              <w:pStyle w:val="Default"/>
              <w:rPr>
                <w:sz w:val="16"/>
                <w:szCs w:val="16"/>
              </w:rPr>
            </w:pPr>
          </w:p>
        </w:tc>
      </w:tr>
      <w:tr w:rsidR="004075D6" w:rsidTr="00723BD5">
        <w:trPr>
          <w:cantSplit/>
          <w:trHeight w:val="581"/>
        </w:trPr>
        <w:tc>
          <w:tcPr>
            <w:tcW w:w="1476" w:type="dxa"/>
            <w:tcBorders>
              <w:right w:val="dashed" w:sz="12" w:space="0" w:color="auto"/>
            </w:tcBorders>
            <w:vAlign w:val="center"/>
          </w:tcPr>
          <w:p w:rsidR="004075D6" w:rsidRPr="00D9710C" w:rsidRDefault="004075D6" w:rsidP="00737428">
            <w:pPr>
              <w:pStyle w:val="Default"/>
              <w:jc w:val="center"/>
              <w:rPr>
                <w:sz w:val="22"/>
                <w:szCs w:val="22"/>
              </w:rPr>
            </w:pPr>
            <w:r>
              <w:rPr>
                <w:sz w:val="22"/>
                <w:szCs w:val="22"/>
              </w:rPr>
              <w:t>5-10</w:t>
            </w:r>
          </w:p>
        </w:tc>
        <w:tc>
          <w:tcPr>
            <w:tcW w:w="1467" w:type="dxa"/>
            <w:vMerge w:val="restart"/>
            <w:tcBorders>
              <w:top w:val="dashed" w:sz="12" w:space="0" w:color="auto"/>
              <w:left w:val="dashed" w:sz="12" w:space="0" w:color="auto"/>
              <w:bottom w:val="dashed" w:sz="12" w:space="0" w:color="auto"/>
              <w:right w:val="dashed" w:sz="12" w:space="0" w:color="auto"/>
            </w:tcBorders>
            <w:shd w:val="clear" w:color="auto" w:fill="D9D9D9" w:themeFill="background1" w:themeFillShade="D9"/>
            <w:vAlign w:val="center"/>
          </w:tcPr>
          <w:p w:rsidR="004075D6" w:rsidRPr="007C2BD0" w:rsidRDefault="004075D6" w:rsidP="0015026D">
            <w:pPr>
              <w:pStyle w:val="Default"/>
              <w:rPr>
                <w:sz w:val="16"/>
                <w:szCs w:val="16"/>
              </w:rPr>
            </w:pPr>
            <w:r>
              <w:rPr>
                <w:sz w:val="16"/>
                <w:szCs w:val="16"/>
              </w:rPr>
              <w:t xml:space="preserve">Auditory function decrements? </w:t>
            </w:r>
            <w:r w:rsidR="0015026D">
              <w:rPr>
                <w:sz w:val="20"/>
                <w:szCs w:val="20"/>
                <w:vertAlign w:val="superscript"/>
              </w:rPr>
              <w:t>k</w:t>
            </w:r>
          </w:p>
        </w:tc>
        <w:tc>
          <w:tcPr>
            <w:tcW w:w="1134" w:type="dxa"/>
            <w:tcBorders>
              <w:left w:val="dashed" w:sz="12" w:space="0" w:color="auto"/>
              <w:right w:val="dashed" w:sz="12" w:space="0" w:color="auto"/>
            </w:tcBorders>
            <w:vAlign w:val="center"/>
          </w:tcPr>
          <w:p w:rsidR="004075D6" w:rsidRPr="007C2BD0" w:rsidRDefault="004075D6" w:rsidP="00737428">
            <w:pPr>
              <w:pStyle w:val="Default"/>
              <w:rPr>
                <w:sz w:val="16"/>
                <w:szCs w:val="16"/>
              </w:rPr>
            </w:pPr>
          </w:p>
        </w:tc>
        <w:tc>
          <w:tcPr>
            <w:tcW w:w="1560" w:type="dxa"/>
            <w:tcBorders>
              <w:top w:val="dashed" w:sz="12" w:space="0" w:color="auto"/>
              <w:left w:val="dashed" w:sz="12" w:space="0" w:color="auto"/>
              <w:bottom w:val="dashed" w:sz="12" w:space="0" w:color="auto"/>
              <w:right w:val="dashed" w:sz="12" w:space="0" w:color="auto"/>
            </w:tcBorders>
            <w:shd w:val="clear" w:color="auto" w:fill="D9D9D9" w:themeFill="background1" w:themeFillShade="D9"/>
          </w:tcPr>
          <w:p w:rsidR="004075D6" w:rsidRPr="002D1392" w:rsidRDefault="004075D6" w:rsidP="0015026D">
            <w:pPr>
              <w:pStyle w:val="Default"/>
              <w:rPr>
                <w:sz w:val="20"/>
                <w:szCs w:val="20"/>
                <w:vertAlign w:val="superscript"/>
              </w:rPr>
            </w:pPr>
            <w:r>
              <w:rPr>
                <w:rFonts w:ascii="Calibri" w:hAnsi="Calibri"/>
                <w:sz w:val="16"/>
                <w:szCs w:val="16"/>
              </w:rPr>
              <w:t>↓</w:t>
            </w:r>
            <w:r>
              <w:rPr>
                <w:sz w:val="16"/>
                <w:szCs w:val="16"/>
              </w:rPr>
              <w:t xml:space="preserve">haemoglobin, </w:t>
            </w:r>
            <w:r w:rsidRPr="00FD06B7">
              <w:rPr>
                <w:sz w:val="16"/>
                <w:szCs w:val="16"/>
              </w:rPr>
              <w:t>δ</w:t>
            </w:r>
            <w:r>
              <w:rPr>
                <w:sz w:val="16"/>
                <w:szCs w:val="16"/>
              </w:rPr>
              <w:t xml:space="preserve">-ALAD activity? </w:t>
            </w:r>
            <w:r w:rsidR="0015026D">
              <w:rPr>
                <w:sz w:val="20"/>
                <w:szCs w:val="20"/>
                <w:vertAlign w:val="superscript"/>
              </w:rPr>
              <w:t>l</w:t>
            </w:r>
          </w:p>
        </w:tc>
        <w:tc>
          <w:tcPr>
            <w:tcW w:w="1275" w:type="dxa"/>
            <w:tcBorders>
              <w:left w:val="dashed" w:sz="12" w:space="0" w:color="auto"/>
              <w:right w:val="dashed" w:sz="12" w:space="0" w:color="auto"/>
            </w:tcBorders>
          </w:tcPr>
          <w:p w:rsidR="004075D6" w:rsidRPr="007C2BD0" w:rsidRDefault="004075D6" w:rsidP="00737428">
            <w:pPr>
              <w:pStyle w:val="Default"/>
              <w:rPr>
                <w:sz w:val="16"/>
                <w:szCs w:val="16"/>
              </w:rPr>
            </w:pPr>
          </w:p>
        </w:tc>
        <w:tc>
          <w:tcPr>
            <w:tcW w:w="1276" w:type="dxa"/>
            <w:tcBorders>
              <w:top w:val="dashed" w:sz="12" w:space="0" w:color="auto"/>
              <w:left w:val="dashed" w:sz="12" w:space="0" w:color="auto"/>
              <w:bottom w:val="dashed" w:sz="12" w:space="0" w:color="auto"/>
              <w:right w:val="dashed" w:sz="12" w:space="0" w:color="auto"/>
            </w:tcBorders>
            <w:shd w:val="clear" w:color="auto" w:fill="D9D9D9" w:themeFill="background1" w:themeFillShade="D9"/>
          </w:tcPr>
          <w:p w:rsidR="004075D6" w:rsidRPr="004C12CF" w:rsidRDefault="004075D6" w:rsidP="0015026D">
            <w:pPr>
              <w:pStyle w:val="Default"/>
              <w:rPr>
                <w:sz w:val="20"/>
                <w:szCs w:val="20"/>
                <w:vertAlign w:val="superscript"/>
              </w:rPr>
            </w:pPr>
            <w:r>
              <w:rPr>
                <w:rFonts w:ascii="Calibri" w:hAnsi="Calibri"/>
                <w:sz w:val="16"/>
                <w:szCs w:val="16"/>
              </w:rPr>
              <w:t>↑</w:t>
            </w:r>
            <w:r>
              <w:rPr>
                <w:sz w:val="16"/>
                <w:szCs w:val="16"/>
              </w:rPr>
              <w:t xml:space="preserve"> hormone in response to stress? </w:t>
            </w:r>
            <w:r w:rsidR="0015026D">
              <w:rPr>
                <w:sz w:val="20"/>
                <w:szCs w:val="20"/>
                <w:vertAlign w:val="superscript"/>
              </w:rPr>
              <w:t>m</w:t>
            </w:r>
          </w:p>
        </w:tc>
        <w:tc>
          <w:tcPr>
            <w:tcW w:w="1276" w:type="dxa"/>
            <w:tcBorders>
              <w:left w:val="dashed" w:sz="12" w:space="0" w:color="auto"/>
            </w:tcBorders>
          </w:tcPr>
          <w:p w:rsidR="004075D6" w:rsidRPr="007C2BD0" w:rsidRDefault="004075D6" w:rsidP="00737428">
            <w:pPr>
              <w:pStyle w:val="Default"/>
              <w:rPr>
                <w:sz w:val="16"/>
                <w:szCs w:val="16"/>
              </w:rPr>
            </w:pPr>
          </w:p>
        </w:tc>
        <w:tc>
          <w:tcPr>
            <w:tcW w:w="709" w:type="dxa"/>
            <w:tcBorders>
              <w:left w:val="single" w:sz="12" w:space="0" w:color="auto"/>
              <w:right w:val="single" w:sz="12" w:space="0" w:color="auto"/>
            </w:tcBorders>
          </w:tcPr>
          <w:p w:rsidR="004075D6" w:rsidRPr="007C2BD0" w:rsidRDefault="004075D6" w:rsidP="00737428">
            <w:pPr>
              <w:pStyle w:val="Default"/>
              <w:rPr>
                <w:sz w:val="16"/>
                <w:szCs w:val="16"/>
              </w:rPr>
            </w:pPr>
          </w:p>
        </w:tc>
        <w:tc>
          <w:tcPr>
            <w:tcW w:w="992" w:type="dxa"/>
            <w:tcBorders>
              <w:left w:val="single" w:sz="12" w:space="0" w:color="auto"/>
              <w:right w:val="single" w:sz="12" w:space="0" w:color="auto"/>
            </w:tcBorders>
          </w:tcPr>
          <w:p w:rsidR="004075D6" w:rsidRPr="007C2BD0" w:rsidRDefault="004075D6" w:rsidP="00737428">
            <w:pPr>
              <w:pStyle w:val="Default"/>
              <w:rPr>
                <w:sz w:val="16"/>
                <w:szCs w:val="16"/>
              </w:rPr>
            </w:pPr>
          </w:p>
        </w:tc>
        <w:tc>
          <w:tcPr>
            <w:tcW w:w="992" w:type="dxa"/>
            <w:tcBorders>
              <w:left w:val="single" w:sz="12" w:space="0" w:color="auto"/>
            </w:tcBorders>
          </w:tcPr>
          <w:p w:rsidR="004075D6" w:rsidRPr="007C2BD0" w:rsidRDefault="004075D6" w:rsidP="00737428">
            <w:pPr>
              <w:pStyle w:val="Default"/>
              <w:rPr>
                <w:sz w:val="16"/>
                <w:szCs w:val="16"/>
              </w:rPr>
            </w:pPr>
          </w:p>
        </w:tc>
        <w:tc>
          <w:tcPr>
            <w:tcW w:w="709" w:type="dxa"/>
            <w:tcBorders>
              <w:left w:val="single" w:sz="12" w:space="0" w:color="auto"/>
            </w:tcBorders>
          </w:tcPr>
          <w:p w:rsidR="004075D6" w:rsidRPr="007C2BD0" w:rsidRDefault="004075D6" w:rsidP="00737428">
            <w:pPr>
              <w:pStyle w:val="Default"/>
              <w:rPr>
                <w:sz w:val="16"/>
                <w:szCs w:val="16"/>
              </w:rPr>
            </w:pPr>
          </w:p>
        </w:tc>
        <w:tc>
          <w:tcPr>
            <w:tcW w:w="709" w:type="dxa"/>
            <w:tcBorders>
              <w:left w:val="single" w:sz="12" w:space="0" w:color="auto"/>
            </w:tcBorders>
          </w:tcPr>
          <w:p w:rsidR="004075D6" w:rsidRPr="007C2BD0" w:rsidRDefault="004075D6" w:rsidP="00737428">
            <w:pPr>
              <w:pStyle w:val="Default"/>
              <w:rPr>
                <w:sz w:val="16"/>
                <w:szCs w:val="16"/>
              </w:rPr>
            </w:pPr>
          </w:p>
        </w:tc>
        <w:tc>
          <w:tcPr>
            <w:tcW w:w="425" w:type="dxa"/>
            <w:tcBorders>
              <w:left w:val="single" w:sz="12" w:space="0" w:color="auto"/>
            </w:tcBorders>
          </w:tcPr>
          <w:p w:rsidR="004075D6" w:rsidRPr="007C2BD0" w:rsidRDefault="004075D6" w:rsidP="00737428">
            <w:pPr>
              <w:pStyle w:val="Default"/>
              <w:rPr>
                <w:sz w:val="16"/>
                <w:szCs w:val="16"/>
              </w:rPr>
            </w:pPr>
          </w:p>
        </w:tc>
      </w:tr>
      <w:tr w:rsidR="004075D6" w:rsidTr="00723BD5">
        <w:trPr>
          <w:trHeight w:val="396"/>
        </w:trPr>
        <w:tc>
          <w:tcPr>
            <w:tcW w:w="1476" w:type="dxa"/>
            <w:tcBorders>
              <w:right w:val="dashed" w:sz="12" w:space="0" w:color="auto"/>
            </w:tcBorders>
            <w:vAlign w:val="center"/>
          </w:tcPr>
          <w:p w:rsidR="004075D6" w:rsidRPr="00D9710C" w:rsidRDefault="004075D6" w:rsidP="00737428">
            <w:pPr>
              <w:pStyle w:val="Default"/>
              <w:jc w:val="center"/>
              <w:rPr>
                <w:sz w:val="22"/>
                <w:szCs w:val="22"/>
              </w:rPr>
            </w:pPr>
            <w:r>
              <w:rPr>
                <w:sz w:val="22"/>
                <w:szCs w:val="22"/>
              </w:rPr>
              <w:t>10-15</w:t>
            </w:r>
          </w:p>
        </w:tc>
        <w:tc>
          <w:tcPr>
            <w:tcW w:w="1467" w:type="dxa"/>
            <w:vMerge/>
            <w:tcBorders>
              <w:left w:val="dashed" w:sz="12" w:space="0" w:color="auto"/>
              <w:bottom w:val="dashed" w:sz="12" w:space="0" w:color="auto"/>
              <w:right w:val="dashed" w:sz="12" w:space="0" w:color="auto"/>
            </w:tcBorders>
            <w:shd w:val="clear" w:color="auto" w:fill="D9D9D9" w:themeFill="background1" w:themeFillShade="D9"/>
            <w:vAlign w:val="center"/>
          </w:tcPr>
          <w:p w:rsidR="004075D6" w:rsidRPr="00A9538F" w:rsidRDefault="004075D6" w:rsidP="00737428">
            <w:pPr>
              <w:pStyle w:val="Default"/>
              <w:rPr>
                <w:sz w:val="16"/>
                <w:szCs w:val="16"/>
                <w:vertAlign w:val="superscript"/>
              </w:rPr>
            </w:pPr>
          </w:p>
        </w:tc>
        <w:tc>
          <w:tcPr>
            <w:tcW w:w="1134" w:type="dxa"/>
            <w:tcBorders>
              <w:left w:val="dashed" w:sz="12" w:space="0" w:color="auto"/>
            </w:tcBorders>
            <w:vAlign w:val="center"/>
          </w:tcPr>
          <w:p w:rsidR="004075D6" w:rsidRPr="007C2BD0" w:rsidRDefault="004075D6" w:rsidP="00737428">
            <w:pPr>
              <w:pStyle w:val="Default"/>
              <w:rPr>
                <w:sz w:val="16"/>
                <w:szCs w:val="16"/>
              </w:rPr>
            </w:pPr>
          </w:p>
        </w:tc>
        <w:tc>
          <w:tcPr>
            <w:tcW w:w="1560" w:type="dxa"/>
            <w:tcBorders>
              <w:top w:val="dashed" w:sz="12" w:space="0" w:color="auto"/>
              <w:left w:val="single" w:sz="12" w:space="0" w:color="auto"/>
            </w:tcBorders>
          </w:tcPr>
          <w:p w:rsidR="004075D6" w:rsidRPr="007C2BD0" w:rsidRDefault="004075D6" w:rsidP="00737428">
            <w:pPr>
              <w:pStyle w:val="Default"/>
              <w:rPr>
                <w:sz w:val="16"/>
                <w:szCs w:val="16"/>
              </w:rPr>
            </w:pPr>
          </w:p>
        </w:tc>
        <w:tc>
          <w:tcPr>
            <w:tcW w:w="1275" w:type="dxa"/>
            <w:tcBorders>
              <w:left w:val="single" w:sz="12" w:space="0" w:color="auto"/>
            </w:tcBorders>
          </w:tcPr>
          <w:p w:rsidR="004075D6" w:rsidRPr="007C2BD0" w:rsidRDefault="004075D6" w:rsidP="00737428">
            <w:pPr>
              <w:pStyle w:val="Default"/>
              <w:rPr>
                <w:sz w:val="16"/>
                <w:szCs w:val="16"/>
              </w:rPr>
            </w:pPr>
          </w:p>
        </w:tc>
        <w:tc>
          <w:tcPr>
            <w:tcW w:w="1276" w:type="dxa"/>
            <w:tcBorders>
              <w:top w:val="dashed" w:sz="12" w:space="0" w:color="auto"/>
              <w:left w:val="single" w:sz="12" w:space="0" w:color="auto"/>
            </w:tcBorders>
          </w:tcPr>
          <w:p w:rsidR="004075D6" w:rsidRPr="007C2BD0" w:rsidRDefault="004075D6" w:rsidP="00737428">
            <w:pPr>
              <w:pStyle w:val="Default"/>
              <w:rPr>
                <w:sz w:val="16"/>
                <w:szCs w:val="16"/>
              </w:rPr>
            </w:pPr>
          </w:p>
        </w:tc>
        <w:tc>
          <w:tcPr>
            <w:tcW w:w="1276" w:type="dxa"/>
            <w:tcBorders>
              <w:left w:val="single" w:sz="12" w:space="0" w:color="auto"/>
            </w:tcBorders>
          </w:tcPr>
          <w:p w:rsidR="004075D6" w:rsidRPr="007C2BD0" w:rsidRDefault="004075D6" w:rsidP="00737428">
            <w:pPr>
              <w:pStyle w:val="Default"/>
              <w:rPr>
                <w:sz w:val="16"/>
                <w:szCs w:val="16"/>
              </w:rPr>
            </w:pPr>
          </w:p>
        </w:tc>
        <w:tc>
          <w:tcPr>
            <w:tcW w:w="709" w:type="dxa"/>
            <w:tcBorders>
              <w:left w:val="single" w:sz="12" w:space="0" w:color="auto"/>
              <w:right w:val="single" w:sz="12" w:space="0" w:color="auto"/>
            </w:tcBorders>
          </w:tcPr>
          <w:p w:rsidR="004075D6" w:rsidRPr="007C2BD0" w:rsidRDefault="004075D6" w:rsidP="00737428">
            <w:pPr>
              <w:pStyle w:val="Default"/>
              <w:rPr>
                <w:sz w:val="16"/>
                <w:szCs w:val="16"/>
              </w:rPr>
            </w:pPr>
          </w:p>
        </w:tc>
        <w:tc>
          <w:tcPr>
            <w:tcW w:w="992" w:type="dxa"/>
            <w:tcBorders>
              <w:left w:val="single" w:sz="12" w:space="0" w:color="auto"/>
              <w:right w:val="single" w:sz="12" w:space="0" w:color="auto"/>
            </w:tcBorders>
          </w:tcPr>
          <w:p w:rsidR="004075D6" w:rsidRPr="007C2BD0" w:rsidRDefault="004075D6" w:rsidP="00737428">
            <w:pPr>
              <w:pStyle w:val="Default"/>
              <w:rPr>
                <w:sz w:val="16"/>
                <w:szCs w:val="16"/>
              </w:rPr>
            </w:pPr>
          </w:p>
        </w:tc>
        <w:tc>
          <w:tcPr>
            <w:tcW w:w="992" w:type="dxa"/>
            <w:tcBorders>
              <w:left w:val="single" w:sz="12" w:space="0" w:color="auto"/>
            </w:tcBorders>
          </w:tcPr>
          <w:p w:rsidR="004075D6" w:rsidRPr="007C2BD0" w:rsidRDefault="004075D6" w:rsidP="00737428">
            <w:pPr>
              <w:pStyle w:val="Default"/>
              <w:rPr>
                <w:sz w:val="16"/>
                <w:szCs w:val="16"/>
              </w:rPr>
            </w:pPr>
          </w:p>
        </w:tc>
        <w:tc>
          <w:tcPr>
            <w:tcW w:w="709" w:type="dxa"/>
            <w:tcBorders>
              <w:left w:val="single" w:sz="12" w:space="0" w:color="auto"/>
            </w:tcBorders>
          </w:tcPr>
          <w:p w:rsidR="004075D6" w:rsidRPr="007C2BD0" w:rsidRDefault="004075D6" w:rsidP="00737428">
            <w:pPr>
              <w:pStyle w:val="Default"/>
              <w:rPr>
                <w:sz w:val="16"/>
                <w:szCs w:val="16"/>
              </w:rPr>
            </w:pPr>
          </w:p>
        </w:tc>
        <w:tc>
          <w:tcPr>
            <w:tcW w:w="709" w:type="dxa"/>
            <w:tcBorders>
              <w:left w:val="single" w:sz="12" w:space="0" w:color="auto"/>
            </w:tcBorders>
          </w:tcPr>
          <w:p w:rsidR="004075D6" w:rsidRPr="007C2BD0" w:rsidRDefault="004075D6" w:rsidP="00737428">
            <w:pPr>
              <w:pStyle w:val="Default"/>
              <w:rPr>
                <w:sz w:val="16"/>
                <w:szCs w:val="16"/>
              </w:rPr>
            </w:pPr>
          </w:p>
        </w:tc>
        <w:tc>
          <w:tcPr>
            <w:tcW w:w="425" w:type="dxa"/>
            <w:tcBorders>
              <w:left w:val="single" w:sz="12" w:space="0" w:color="auto"/>
            </w:tcBorders>
          </w:tcPr>
          <w:p w:rsidR="004075D6" w:rsidRPr="007C2BD0" w:rsidRDefault="004075D6" w:rsidP="00737428">
            <w:pPr>
              <w:pStyle w:val="Default"/>
              <w:rPr>
                <w:sz w:val="16"/>
                <w:szCs w:val="16"/>
              </w:rPr>
            </w:pPr>
          </w:p>
        </w:tc>
      </w:tr>
      <w:tr w:rsidR="007B5465" w:rsidTr="00E73ED8">
        <w:trPr>
          <w:trHeight w:val="549"/>
        </w:trPr>
        <w:tc>
          <w:tcPr>
            <w:tcW w:w="1476" w:type="dxa"/>
            <w:tcBorders>
              <w:right w:val="single" w:sz="12" w:space="0" w:color="auto"/>
            </w:tcBorders>
            <w:vAlign w:val="center"/>
          </w:tcPr>
          <w:p w:rsidR="007B5465" w:rsidRPr="00D9710C" w:rsidRDefault="007B5465" w:rsidP="00737428">
            <w:pPr>
              <w:pStyle w:val="Default"/>
              <w:jc w:val="center"/>
              <w:rPr>
                <w:sz w:val="22"/>
                <w:szCs w:val="22"/>
              </w:rPr>
            </w:pPr>
            <w:r>
              <w:rPr>
                <w:sz w:val="22"/>
                <w:szCs w:val="22"/>
              </w:rPr>
              <w:t>15-20</w:t>
            </w:r>
          </w:p>
        </w:tc>
        <w:tc>
          <w:tcPr>
            <w:tcW w:w="1467" w:type="dxa"/>
            <w:tcBorders>
              <w:top w:val="dashed" w:sz="12" w:space="0" w:color="auto"/>
              <w:left w:val="single" w:sz="12" w:space="0" w:color="auto"/>
              <w:right w:val="single" w:sz="12" w:space="0" w:color="auto"/>
            </w:tcBorders>
            <w:vAlign w:val="center"/>
          </w:tcPr>
          <w:p w:rsidR="007B5465" w:rsidRPr="007C2BD0" w:rsidRDefault="007B5465" w:rsidP="00737428">
            <w:pPr>
              <w:pStyle w:val="Default"/>
              <w:rPr>
                <w:sz w:val="16"/>
                <w:szCs w:val="16"/>
              </w:rPr>
            </w:pPr>
          </w:p>
        </w:tc>
        <w:tc>
          <w:tcPr>
            <w:tcW w:w="1134" w:type="dxa"/>
            <w:tcBorders>
              <w:left w:val="single" w:sz="12" w:space="0" w:color="auto"/>
              <w:bottom w:val="dashed" w:sz="12" w:space="0" w:color="auto"/>
            </w:tcBorders>
            <w:vAlign w:val="center"/>
          </w:tcPr>
          <w:p w:rsidR="007B5465" w:rsidRPr="007C2BD0" w:rsidRDefault="007B5465" w:rsidP="00737428">
            <w:pPr>
              <w:pStyle w:val="Default"/>
              <w:rPr>
                <w:sz w:val="16"/>
                <w:szCs w:val="16"/>
              </w:rPr>
            </w:pPr>
          </w:p>
        </w:tc>
        <w:tc>
          <w:tcPr>
            <w:tcW w:w="1560" w:type="dxa"/>
            <w:tcBorders>
              <w:left w:val="single" w:sz="12" w:space="0" w:color="auto"/>
              <w:bottom w:val="dashed" w:sz="12" w:space="0" w:color="auto"/>
            </w:tcBorders>
          </w:tcPr>
          <w:p w:rsidR="007B5465" w:rsidRPr="007C2BD0" w:rsidRDefault="007B5465" w:rsidP="00737428">
            <w:pPr>
              <w:pStyle w:val="Default"/>
              <w:rPr>
                <w:sz w:val="16"/>
                <w:szCs w:val="16"/>
              </w:rPr>
            </w:pPr>
          </w:p>
        </w:tc>
        <w:tc>
          <w:tcPr>
            <w:tcW w:w="1275" w:type="dxa"/>
            <w:tcBorders>
              <w:left w:val="single" w:sz="12" w:space="0" w:color="auto"/>
            </w:tcBorders>
          </w:tcPr>
          <w:p w:rsidR="007B5465" w:rsidRPr="007C2BD0" w:rsidRDefault="007B5465" w:rsidP="00737428">
            <w:pPr>
              <w:pStyle w:val="Default"/>
              <w:rPr>
                <w:sz w:val="16"/>
                <w:szCs w:val="16"/>
              </w:rPr>
            </w:pPr>
          </w:p>
        </w:tc>
        <w:tc>
          <w:tcPr>
            <w:tcW w:w="1276" w:type="dxa"/>
            <w:tcBorders>
              <w:left w:val="single" w:sz="12" w:space="0" w:color="auto"/>
            </w:tcBorders>
          </w:tcPr>
          <w:p w:rsidR="007B5465" w:rsidRPr="007C2BD0" w:rsidRDefault="007B5465" w:rsidP="00737428">
            <w:pPr>
              <w:pStyle w:val="Default"/>
              <w:rPr>
                <w:sz w:val="16"/>
                <w:szCs w:val="16"/>
              </w:rPr>
            </w:pPr>
          </w:p>
        </w:tc>
        <w:tc>
          <w:tcPr>
            <w:tcW w:w="1276" w:type="dxa"/>
            <w:tcBorders>
              <w:left w:val="single" w:sz="12" w:space="0" w:color="auto"/>
              <w:bottom w:val="dashed" w:sz="12" w:space="0" w:color="auto"/>
            </w:tcBorders>
          </w:tcPr>
          <w:p w:rsidR="007B5465" w:rsidRPr="007C2BD0" w:rsidRDefault="007B5465" w:rsidP="00737428">
            <w:pPr>
              <w:pStyle w:val="Default"/>
              <w:rPr>
                <w:sz w:val="16"/>
                <w:szCs w:val="16"/>
              </w:rPr>
            </w:pPr>
          </w:p>
        </w:tc>
        <w:tc>
          <w:tcPr>
            <w:tcW w:w="709" w:type="dxa"/>
            <w:tcBorders>
              <w:left w:val="single" w:sz="12" w:space="0" w:color="auto"/>
              <w:right w:val="single" w:sz="12" w:space="0" w:color="auto"/>
            </w:tcBorders>
          </w:tcPr>
          <w:p w:rsidR="007B5465" w:rsidRPr="007C2BD0" w:rsidRDefault="007B5465" w:rsidP="00737428">
            <w:pPr>
              <w:pStyle w:val="Default"/>
              <w:rPr>
                <w:sz w:val="16"/>
                <w:szCs w:val="16"/>
              </w:rPr>
            </w:pPr>
          </w:p>
        </w:tc>
        <w:tc>
          <w:tcPr>
            <w:tcW w:w="992" w:type="dxa"/>
            <w:tcBorders>
              <w:left w:val="single" w:sz="12" w:space="0" w:color="auto"/>
              <w:bottom w:val="dashed" w:sz="12" w:space="0" w:color="auto"/>
              <w:right w:val="single" w:sz="12" w:space="0" w:color="auto"/>
            </w:tcBorders>
          </w:tcPr>
          <w:p w:rsidR="007B5465" w:rsidRPr="007C2BD0" w:rsidRDefault="007B5465" w:rsidP="00737428">
            <w:pPr>
              <w:pStyle w:val="Default"/>
              <w:rPr>
                <w:sz w:val="16"/>
                <w:szCs w:val="16"/>
              </w:rPr>
            </w:pPr>
          </w:p>
        </w:tc>
        <w:tc>
          <w:tcPr>
            <w:tcW w:w="992" w:type="dxa"/>
            <w:tcBorders>
              <w:left w:val="single" w:sz="12" w:space="0" w:color="auto"/>
              <w:bottom w:val="dashed" w:sz="12" w:space="0" w:color="auto"/>
            </w:tcBorders>
          </w:tcPr>
          <w:p w:rsidR="007B5465" w:rsidRPr="007C2BD0" w:rsidRDefault="007B5465" w:rsidP="00737428">
            <w:pPr>
              <w:pStyle w:val="Default"/>
              <w:rPr>
                <w:sz w:val="16"/>
                <w:szCs w:val="16"/>
              </w:rPr>
            </w:pPr>
          </w:p>
        </w:tc>
        <w:tc>
          <w:tcPr>
            <w:tcW w:w="709" w:type="dxa"/>
            <w:tcBorders>
              <w:left w:val="single" w:sz="12" w:space="0" w:color="auto"/>
            </w:tcBorders>
          </w:tcPr>
          <w:p w:rsidR="007B5465" w:rsidRPr="007C2BD0" w:rsidRDefault="007B5465" w:rsidP="00737428">
            <w:pPr>
              <w:pStyle w:val="Default"/>
              <w:rPr>
                <w:sz w:val="16"/>
                <w:szCs w:val="16"/>
              </w:rPr>
            </w:pPr>
          </w:p>
        </w:tc>
        <w:tc>
          <w:tcPr>
            <w:tcW w:w="709" w:type="dxa"/>
            <w:tcBorders>
              <w:left w:val="single" w:sz="12" w:space="0" w:color="auto"/>
            </w:tcBorders>
          </w:tcPr>
          <w:p w:rsidR="007B5465" w:rsidRPr="007C2BD0" w:rsidRDefault="007B5465" w:rsidP="00737428">
            <w:pPr>
              <w:pStyle w:val="Default"/>
              <w:rPr>
                <w:sz w:val="16"/>
                <w:szCs w:val="16"/>
              </w:rPr>
            </w:pPr>
          </w:p>
        </w:tc>
        <w:tc>
          <w:tcPr>
            <w:tcW w:w="425" w:type="dxa"/>
            <w:tcBorders>
              <w:left w:val="single" w:sz="12" w:space="0" w:color="auto"/>
            </w:tcBorders>
          </w:tcPr>
          <w:p w:rsidR="007B5465" w:rsidRPr="007C2BD0" w:rsidRDefault="007B5465" w:rsidP="00737428">
            <w:pPr>
              <w:pStyle w:val="Default"/>
              <w:rPr>
                <w:sz w:val="16"/>
                <w:szCs w:val="16"/>
              </w:rPr>
            </w:pPr>
          </w:p>
        </w:tc>
      </w:tr>
      <w:tr w:rsidR="007B5465" w:rsidTr="00723BD5">
        <w:trPr>
          <w:trHeight w:val="581"/>
        </w:trPr>
        <w:tc>
          <w:tcPr>
            <w:tcW w:w="1476" w:type="dxa"/>
            <w:tcBorders>
              <w:right w:val="single" w:sz="12" w:space="0" w:color="auto"/>
            </w:tcBorders>
            <w:vAlign w:val="center"/>
          </w:tcPr>
          <w:p w:rsidR="007B5465" w:rsidRPr="00D9710C" w:rsidRDefault="007B5465" w:rsidP="00737428">
            <w:pPr>
              <w:pStyle w:val="Default"/>
              <w:jc w:val="center"/>
              <w:rPr>
                <w:sz w:val="22"/>
                <w:szCs w:val="22"/>
              </w:rPr>
            </w:pPr>
            <w:r>
              <w:rPr>
                <w:sz w:val="22"/>
                <w:szCs w:val="22"/>
              </w:rPr>
              <w:t>20-30</w:t>
            </w:r>
          </w:p>
        </w:tc>
        <w:tc>
          <w:tcPr>
            <w:tcW w:w="1467" w:type="dxa"/>
            <w:tcBorders>
              <w:left w:val="single" w:sz="12" w:space="0" w:color="auto"/>
              <w:bottom w:val="dashed" w:sz="12" w:space="0" w:color="auto"/>
              <w:right w:val="dashed" w:sz="12" w:space="0" w:color="auto"/>
            </w:tcBorders>
            <w:vAlign w:val="center"/>
          </w:tcPr>
          <w:p w:rsidR="007B5465" w:rsidRPr="007C2BD0" w:rsidRDefault="007B5465" w:rsidP="00737428">
            <w:pPr>
              <w:pStyle w:val="Default"/>
              <w:rPr>
                <w:sz w:val="16"/>
                <w:szCs w:val="16"/>
              </w:rPr>
            </w:pPr>
          </w:p>
        </w:tc>
        <w:tc>
          <w:tcPr>
            <w:tcW w:w="1134" w:type="dxa"/>
            <w:tcBorders>
              <w:top w:val="dashed" w:sz="12" w:space="0" w:color="auto"/>
              <w:left w:val="dashed" w:sz="12" w:space="0" w:color="auto"/>
              <w:bottom w:val="single" w:sz="6" w:space="0" w:color="auto"/>
              <w:right w:val="dashed" w:sz="12" w:space="0" w:color="auto"/>
            </w:tcBorders>
            <w:shd w:val="clear" w:color="auto" w:fill="D9D9D9" w:themeFill="background1" w:themeFillShade="D9"/>
            <w:vAlign w:val="center"/>
          </w:tcPr>
          <w:p w:rsidR="007B5465" w:rsidRPr="007C2BD0" w:rsidRDefault="007B5465" w:rsidP="00737428">
            <w:pPr>
              <w:pStyle w:val="Default"/>
              <w:rPr>
                <w:sz w:val="16"/>
                <w:szCs w:val="16"/>
              </w:rPr>
            </w:pPr>
            <w:r>
              <w:rPr>
                <w:sz w:val="16"/>
                <w:szCs w:val="16"/>
              </w:rPr>
              <w:t xml:space="preserve">Increased blood pressure &amp; heart rate variability </w:t>
            </w:r>
            <w:r w:rsidRPr="00032E40">
              <w:rPr>
                <w:sz w:val="20"/>
                <w:szCs w:val="20"/>
                <w:vertAlign w:val="superscript"/>
              </w:rPr>
              <w:t>c</w:t>
            </w:r>
          </w:p>
        </w:tc>
        <w:tc>
          <w:tcPr>
            <w:tcW w:w="1560" w:type="dxa"/>
            <w:tcBorders>
              <w:top w:val="dashed" w:sz="12" w:space="0" w:color="auto"/>
              <w:left w:val="dashed" w:sz="12" w:space="0" w:color="auto"/>
              <w:bottom w:val="single" w:sz="6" w:space="0" w:color="auto"/>
              <w:right w:val="dashed" w:sz="12" w:space="0" w:color="auto"/>
            </w:tcBorders>
            <w:shd w:val="clear" w:color="auto" w:fill="D9D9D9" w:themeFill="background1" w:themeFillShade="D9"/>
            <w:vAlign w:val="center"/>
          </w:tcPr>
          <w:p w:rsidR="007B5465" w:rsidRPr="007C2BD0" w:rsidRDefault="00685FBE" w:rsidP="00DB2584">
            <w:pPr>
              <w:pStyle w:val="Default"/>
              <w:jc w:val="center"/>
              <w:rPr>
                <w:sz w:val="16"/>
                <w:szCs w:val="16"/>
              </w:rPr>
            </w:pPr>
            <w:r>
              <w:rPr>
                <w:noProof/>
                <w:sz w:val="16"/>
                <w:szCs w:val="16"/>
              </w:rPr>
              <mc:AlternateContent>
                <mc:Choice Requires="wps">
                  <w:drawing>
                    <wp:anchor distT="0" distB="0" distL="114298" distR="114298" simplePos="0" relativeHeight="251707392" behindDoc="0" locked="0" layoutInCell="1" allowOverlap="1" wp14:anchorId="1D322697" wp14:editId="27FF2B53">
                      <wp:simplePos x="0" y="0"/>
                      <wp:positionH relativeFrom="column">
                        <wp:posOffset>306704</wp:posOffset>
                      </wp:positionH>
                      <wp:positionV relativeFrom="paragraph">
                        <wp:posOffset>445770</wp:posOffset>
                      </wp:positionV>
                      <wp:extent cx="0" cy="1498600"/>
                      <wp:effectExtent l="95250" t="0" r="57150" b="63500"/>
                      <wp:wrapNone/>
                      <wp:docPr id="65" name="Straight Arrow Connector 65"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5" o:spid="_x0000_s1026" type="#_x0000_t32" alt="Title: Down arrow" style="position:absolute;margin-left:24.15pt;margin-top:35.1pt;width:0;height:118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" strokecolor="black [3213]">
                      <v:stroke endarrow="open"/>
                      <o:lock v:ext="edit" shapetype="f"/>
                    </v:shape>
                  </w:pict>
                </mc:Fallback>
              </mc:AlternateContent>
            </w:r>
            <w:r w:rsidR="007B5465">
              <w:rPr>
                <w:rFonts w:ascii="Calibri" w:hAnsi="Calibri"/>
                <w:sz w:val="16"/>
                <w:szCs w:val="16"/>
              </w:rPr>
              <w:t>↓</w:t>
            </w:r>
            <w:r w:rsidR="007B5465">
              <w:rPr>
                <w:sz w:val="16"/>
                <w:szCs w:val="16"/>
              </w:rPr>
              <w:t xml:space="preserve"> haemoglobin, </w:t>
            </w:r>
            <w:r w:rsidR="007B5465" w:rsidRPr="00FD06B7">
              <w:rPr>
                <w:sz w:val="16"/>
                <w:szCs w:val="16"/>
              </w:rPr>
              <w:t>δ</w:t>
            </w:r>
            <w:r w:rsidR="007B5465">
              <w:rPr>
                <w:sz w:val="16"/>
                <w:szCs w:val="16"/>
              </w:rPr>
              <w:t xml:space="preserve">-ALAD activity  </w:t>
            </w:r>
            <w:r w:rsidR="007B5465" w:rsidRPr="00D87451">
              <w:rPr>
                <w:sz w:val="20"/>
                <w:szCs w:val="20"/>
                <w:vertAlign w:val="superscript"/>
              </w:rPr>
              <w:t>d</w:t>
            </w:r>
          </w:p>
        </w:tc>
        <w:tc>
          <w:tcPr>
            <w:tcW w:w="1275" w:type="dxa"/>
            <w:tcBorders>
              <w:left w:val="dashed" w:sz="12" w:space="0" w:color="auto"/>
              <w:bottom w:val="dashed" w:sz="12" w:space="0" w:color="auto"/>
            </w:tcBorders>
          </w:tcPr>
          <w:p w:rsidR="007B5465" w:rsidRPr="007C2BD0" w:rsidRDefault="007B5465" w:rsidP="00737428">
            <w:pPr>
              <w:pStyle w:val="Default"/>
              <w:rPr>
                <w:sz w:val="16"/>
                <w:szCs w:val="16"/>
              </w:rPr>
            </w:pPr>
          </w:p>
        </w:tc>
        <w:tc>
          <w:tcPr>
            <w:tcW w:w="1276" w:type="dxa"/>
            <w:tcBorders>
              <w:left w:val="single" w:sz="12" w:space="0" w:color="auto"/>
              <w:bottom w:val="dashed" w:sz="12" w:space="0" w:color="auto"/>
              <w:right w:val="dashed" w:sz="12" w:space="0" w:color="auto"/>
            </w:tcBorders>
          </w:tcPr>
          <w:p w:rsidR="007B5465" w:rsidRPr="007C2BD0" w:rsidRDefault="007B5465" w:rsidP="00737428">
            <w:pPr>
              <w:pStyle w:val="Default"/>
              <w:rPr>
                <w:sz w:val="16"/>
                <w:szCs w:val="16"/>
              </w:rPr>
            </w:pPr>
          </w:p>
        </w:tc>
        <w:tc>
          <w:tcPr>
            <w:tcW w:w="1276" w:type="dxa"/>
            <w:tcBorders>
              <w:top w:val="dashed" w:sz="12" w:space="0" w:color="auto"/>
              <w:left w:val="dashed" w:sz="12" w:space="0" w:color="auto"/>
              <w:bottom w:val="single" w:sz="6" w:space="0" w:color="auto"/>
              <w:right w:val="dashed" w:sz="12" w:space="0" w:color="auto"/>
            </w:tcBorders>
            <w:shd w:val="clear" w:color="auto" w:fill="D9D9D9" w:themeFill="background1" w:themeFillShade="D9"/>
          </w:tcPr>
          <w:p w:rsidR="007B5465" w:rsidRPr="001F1DF0" w:rsidRDefault="00685FBE" w:rsidP="00737428">
            <w:pPr>
              <w:pStyle w:val="Default"/>
              <w:rPr>
                <w:sz w:val="16"/>
                <w:szCs w:val="16"/>
                <w:vertAlign w:val="superscript"/>
              </w:rPr>
            </w:pPr>
            <w:r>
              <w:rPr>
                <w:noProof/>
                <w:sz w:val="16"/>
                <w:szCs w:val="16"/>
              </w:rPr>
              <mc:AlternateContent>
                <mc:Choice Requires="wps">
                  <w:drawing>
                    <wp:anchor distT="0" distB="0" distL="114298" distR="114298" simplePos="0" relativeHeight="251701248" behindDoc="0" locked="0" layoutInCell="1" allowOverlap="1" wp14:anchorId="032DD909" wp14:editId="10EBE57F">
                      <wp:simplePos x="0" y="0"/>
                      <wp:positionH relativeFrom="column">
                        <wp:posOffset>287019</wp:posOffset>
                      </wp:positionH>
                      <wp:positionV relativeFrom="paragraph">
                        <wp:posOffset>542925</wp:posOffset>
                      </wp:positionV>
                      <wp:extent cx="0" cy="823595"/>
                      <wp:effectExtent l="95250" t="0" r="57150" b="52705"/>
                      <wp:wrapNone/>
                      <wp:docPr id="60" name="Straight Arrow Connector 60"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5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alt="Title: Down arrow" style="position:absolute;margin-left:22.6pt;margin-top:42.75pt;width:0;height:64.8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" strokecolor="black [3213]">
                      <v:stroke endarrow="open"/>
                      <o:lock v:ext="edit" shapetype="f"/>
                    </v:shape>
                  </w:pict>
                </mc:Fallback>
              </mc:AlternateContent>
            </w:r>
            <w:r w:rsidR="007B5465">
              <w:rPr>
                <w:sz w:val="16"/>
                <w:szCs w:val="16"/>
              </w:rPr>
              <w:t xml:space="preserve">Subtle changes in immune markers </w:t>
            </w:r>
            <w:r w:rsidR="007B5465" w:rsidRPr="001F1DF0">
              <w:rPr>
                <w:sz w:val="20"/>
                <w:szCs w:val="20"/>
                <w:vertAlign w:val="superscript"/>
              </w:rPr>
              <w:t>g</w:t>
            </w:r>
          </w:p>
        </w:tc>
        <w:tc>
          <w:tcPr>
            <w:tcW w:w="709" w:type="dxa"/>
            <w:tcBorders>
              <w:left w:val="dashed" w:sz="12" w:space="0" w:color="auto"/>
              <w:right w:val="dashed" w:sz="12" w:space="0" w:color="auto"/>
            </w:tcBorders>
          </w:tcPr>
          <w:p w:rsidR="007B5465" w:rsidRPr="007C2BD0" w:rsidRDefault="007B5465" w:rsidP="00737428">
            <w:pPr>
              <w:pStyle w:val="Default"/>
              <w:rPr>
                <w:sz w:val="16"/>
                <w:szCs w:val="16"/>
              </w:rPr>
            </w:pPr>
          </w:p>
        </w:tc>
        <w:tc>
          <w:tcPr>
            <w:tcW w:w="992" w:type="dxa"/>
            <w:tcBorders>
              <w:top w:val="dashed" w:sz="12"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15026D">
            <w:pPr>
              <w:pStyle w:val="Default"/>
              <w:rPr>
                <w:sz w:val="16"/>
                <w:szCs w:val="16"/>
              </w:rPr>
            </w:pPr>
            <w:r>
              <w:rPr>
                <w:sz w:val="16"/>
                <w:szCs w:val="16"/>
              </w:rPr>
              <w:t xml:space="preserve">Endocrine function, reduced sperm quality </w:t>
            </w:r>
            <w:r w:rsidR="0015026D">
              <w:rPr>
                <w:sz w:val="20"/>
                <w:szCs w:val="20"/>
                <w:vertAlign w:val="superscript"/>
              </w:rPr>
              <w:t>h</w:t>
            </w:r>
          </w:p>
        </w:tc>
        <w:tc>
          <w:tcPr>
            <w:tcW w:w="992" w:type="dxa"/>
            <w:tcBorders>
              <w:top w:val="dashed" w:sz="12"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685FBE" w:rsidP="0015026D">
            <w:pPr>
              <w:pStyle w:val="Default"/>
              <w:rPr>
                <w:sz w:val="16"/>
                <w:szCs w:val="16"/>
              </w:rPr>
            </w:pPr>
            <w:r>
              <w:rPr>
                <w:noProof/>
                <w:sz w:val="16"/>
                <w:szCs w:val="16"/>
              </w:rPr>
              <mc:AlternateContent>
                <mc:Choice Requires="wps">
                  <w:drawing>
                    <wp:anchor distT="0" distB="0" distL="114298" distR="114298" simplePos="0" relativeHeight="251704320" behindDoc="0" locked="0" layoutInCell="1" allowOverlap="1" wp14:anchorId="44CFE798" wp14:editId="76F4945F">
                      <wp:simplePos x="0" y="0"/>
                      <wp:positionH relativeFrom="column">
                        <wp:posOffset>233044</wp:posOffset>
                      </wp:positionH>
                      <wp:positionV relativeFrom="paragraph">
                        <wp:posOffset>606425</wp:posOffset>
                      </wp:positionV>
                      <wp:extent cx="0" cy="1833245"/>
                      <wp:effectExtent l="95250" t="0" r="57150" b="52705"/>
                      <wp:wrapNone/>
                      <wp:docPr id="62" name="Straight Arrow Connector 62"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332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alt="Title: Down arrow" style="position:absolute;margin-left:18.35pt;margin-top:47.75pt;width:0;height:144.3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" strokecolor="black [3213]">
                      <v:stroke endarrow="open"/>
                      <o:lock v:ext="edit" shapetype="f"/>
                    </v:shape>
                  </w:pict>
                </mc:Fallback>
              </mc:AlternateContent>
            </w:r>
            <w:r w:rsidR="007B5465">
              <w:rPr>
                <w:rFonts w:ascii="Calibri" w:hAnsi="Calibri"/>
                <w:sz w:val="16"/>
                <w:szCs w:val="16"/>
              </w:rPr>
              <w:t>↑</w:t>
            </w:r>
            <w:r w:rsidR="007B5465">
              <w:rPr>
                <w:sz w:val="16"/>
                <w:szCs w:val="16"/>
              </w:rPr>
              <w:t xml:space="preserve"> chrom aberration, </w:t>
            </w:r>
            <w:r w:rsidR="007B5465" w:rsidRPr="008B7F45">
              <w:rPr>
                <w:sz w:val="14"/>
                <w:szCs w:val="14"/>
              </w:rPr>
              <w:t>micronuclei</w:t>
            </w:r>
            <w:r w:rsidR="007B5465">
              <w:rPr>
                <w:sz w:val="16"/>
                <w:szCs w:val="16"/>
              </w:rPr>
              <w:t xml:space="preserve">, &amp; SCE </w:t>
            </w:r>
            <w:r w:rsidR="0015026D">
              <w:rPr>
                <w:sz w:val="20"/>
                <w:szCs w:val="20"/>
                <w:vertAlign w:val="superscript"/>
              </w:rPr>
              <w:t>i</w:t>
            </w:r>
          </w:p>
        </w:tc>
        <w:tc>
          <w:tcPr>
            <w:tcW w:w="709" w:type="dxa"/>
            <w:tcBorders>
              <w:left w:val="dashed" w:sz="12" w:space="0" w:color="auto"/>
            </w:tcBorders>
          </w:tcPr>
          <w:p w:rsidR="007B5465" w:rsidRPr="007C2BD0" w:rsidRDefault="007B5465" w:rsidP="00737428">
            <w:pPr>
              <w:pStyle w:val="Default"/>
              <w:rPr>
                <w:sz w:val="16"/>
                <w:szCs w:val="16"/>
              </w:rPr>
            </w:pPr>
          </w:p>
        </w:tc>
        <w:tc>
          <w:tcPr>
            <w:tcW w:w="709" w:type="dxa"/>
            <w:tcBorders>
              <w:left w:val="single" w:sz="12" w:space="0" w:color="auto"/>
            </w:tcBorders>
          </w:tcPr>
          <w:p w:rsidR="007B5465" w:rsidRPr="007C2BD0" w:rsidRDefault="007B5465" w:rsidP="00737428">
            <w:pPr>
              <w:pStyle w:val="Default"/>
              <w:rPr>
                <w:sz w:val="16"/>
                <w:szCs w:val="16"/>
              </w:rPr>
            </w:pPr>
          </w:p>
        </w:tc>
        <w:tc>
          <w:tcPr>
            <w:tcW w:w="425" w:type="dxa"/>
            <w:tcBorders>
              <w:left w:val="single" w:sz="12" w:space="0" w:color="auto"/>
              <w:bottom w:val="dashed" w:sz="12" w:space="0" w:color="auto"/>
            </w:tcBorders>
            <w:shd w:val="clear" w:color="auto" w:fill="FFFFFF" w:themeFill="background1"/>
          </w:tcPr>
          <w:p w:rsidR="007B5465" w:rsidRPr="007C2BD0" w:rsidRDefault="007B5465" w:rsidP="00737428">
            <w:pPr>
              <w:pStyle w:val="Default"/>
              <w:rPr>
                <w:sz w:val="16"/>
                <w:szCs w:val="16"/>
              </w:rPr>
            </w:pPr>
          </w:p>
        </w:tc>
      </w:tr>
      <w:tr w:rsidR="007B5465" w:rsidTr="00723BD5">
        <w:trPr>
          <w:trHeight w:val="550"/>
        </w:trPr>
        <w:tc>
          <w:tcPr>
            <w:tcW w:w="1476" w:type="dxa"/>
            <w:tcBorders>
              <w:right w:val="dashed" w:sz="12" w:space="0" w:color="auto"/>
            </w:tcBorders>
            <w:vAlign w:val="center"/>
          </w:tcPr>
          <w:p w:rsidR="007B5465" w:rsidRPr="00D9710C" w:rsidRDefault="007B5465" w:rsidP="00737428">
            <w:pPr>
              <w:pStyle w:val="Default"/>
              <w:jc w:val="center"/>
              <w:rPr>
                <w:sz w:val="22"/>
                <w:szCs w:val="22"/>
              </w:rPr>
            </w:pPr>
            <w:r>
              <w:rPr>
                <w:sz w:val="22"/>
                <w:szCs w:val="22"/>
              </w:rPr>
              <w:t>30-40</w:t>
            </w:r>
          </w:p>
        </w:tc>
        <w:tc>
          <w:tcPr>
            <w:tcW w:w="1467" w:type="dxa"/>
            <w:tcBorders>
              <w:top w:val="dashed" w:sz="12"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7C2BD0" w:rsidRDefault="007B5465" w:rsidP="00737428">
            <w:pPr>
              <w:pStyle w:val="Default"/>
              <w:rPr>
                <w:sz w:val="16"/>
                <w:szCs w:val="16"/>
                <w:vertAlign w:val="superscript"/>
              </w:rPr>
            </w:pPr>
            <w:r>
              <w:rPr>
                <w:sz w:val="16"/>
                <w:szCs w:val="16"/>
              </w:rPr>
              <w:t xml:space="preserve">Slight </w:t>
            </w:r>
            <w:r w:rsidR="00EE2C4F">
              <w:rPr>
                <w:sz w:val="16"/>
                <w:szCs w:val="16"/>
              </w:rPr>
              <w:t>neurobehavioral</w:t>
            </w:r>
            <w:r>
              <w:rPr>
                <w:sz w:val="16"/>
                <w:szCs w:val="16"/>
              </w:rPr>
              <w:t xml:space="preserve"> symptoms (cognitive deficits, peripheral neuropathy) </w:t>
            </w:r>
            <w:r w:rsidRPr="007C2BD0">
              <w:rPr>
                <w:sz w:val="20"/>
                <w:szCs w:val="20"/>
                <w:vertAlign w:val="superscript"/>
              </w:rPr>
              <w:t>b</w:t>
            </w:r>
          </w:p>
        </w:tc>
        <w:tc>
          <w:tcPr>
            <w:tcW w:w="1134"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032E40" w:rsidRDefault="00685FBE" w:rsidP="00737428">
            <w:pPr>
              <w:pStyle w:val="Default"/>
              <w:rPr>
                <w:sz w:val="16"/>
                <w:szCs w:val="16"/>
                <w:vertAlign w:val="superscript"/>
              </w:rPr>
            </w:pPr>
            <w:r>
              <w:rPr>
                <w:noProof/>
                <w:sz w:val="16"/>
                <w:szCs w:val="16"/>
              </w:rPr>
              <mc:AlternateContent>
                <mc:Choice Requires="wps">
                  <w:drawing>
                    <wp:anchor distT="0" distB="0" distL="114298" distR="114298" simplePos="0" relativeHeight="251699200" behindDoc="0" locked="0" layoutInCell="1" allowOverlap="1" wp14:anchorId="095D2BCE" wp14:editId="566630B6">
                      <wp:simplePos x="0" y="0"/>
                      <wp:positionH relativeFrom="column">
                        <wp:posOffset>290194</wp:posOffset>
                      </wp:positionH>
                      <wp:positionV relativeFrom="paragraph">
                        <wp:posOffset>163830</wp:posOffset>
                      </wp:positionV>
                      <wp:extent cx="0" cy="1689100"/>
                      <wp:effectExtent l="95250" t="0" r="57150" b="63500"/>
                      <wp:wrapNone/>
                      <wp:docPr id="57" name="Straight Arrow Connector 57"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8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alt="Title: Down arrow" style="position:absolute;margin-left:22.85pt;margin-top:12.9pt;width:0;height:133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" strokecolor="black [3213]">
                      <v:stroke endarrow="open"/>
                      <o:lock v:ext="edit" shapetype="f"/>
                    </v:shape>
                  </w:pict>
                </mc:Fallback>
              </mc:AlternateContent>
            </w:r>
          </w:p>
        </w:tc>
        <w:tc>
          <w:tcPr>
            <w:tcW w:w="1560"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5" w:type="dxa"/>
            <w:tcBorders>
              <w:top w:val="dashed" w:sz="12"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D50951" w:rsidRDefault="00685FBE" w:rsidP="00737428">
            <w:pPr>
              <w:pStyle w:val="Default"/>
              <w:rPr>
                <w:sz w:val="16"/>
                <w:szCs w:val="16"/>
                <w:vertAlign w:val="superscript"/>
              </w:rPr>
            </w:pPr>
            <w:r>
              <w:rPr>
                <w:noProof/>
                <w:sz w:val="16"/>
                <w:szCs w:val="16"/>
              </w:rPr>
              <mc:AlternateContent>
                <mc:Choice Requires="wps">
                  <w:drawing>
                    <wp:anchor distT="0" distB="0" distL="114298" distR="114298" simplePos="0" relativeHeight="251700224" behindDoc="0" locked="0" layoutInCell="1" allowOverlap="1" wp14:anchorId="29679CC5" wp14:editId="06F60591">
                      <wp:simplePos x="0" y="0"/>
                      <wp:positionH relativeFrom="column">
                        <wp:posOffset>360044</wp:posOffset>
                      </wp:positionH>
                      <wp:positionV relativeFrom="paragraph">
                        <wp:posOffset>307340</wp:posOffset>
                      </wp:positionV>
                      <wp:extent cx="0" cy="1511300"/>
                      <wp:effectExtent l="95250" t="0" r="76200" b="50800"/>
                      <wp:wrapNone/>
                      <wp:docPr id="59" name="Straight Arrow Connector 59"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1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alt="Title: Down arrow" style="position:absolute;margin-left:28.35pt;margin-top:24.2pt;width:0;height:119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" strokecolor="black [3213]">
                      <v:stroke endarrow="open"/>
                      <o:lock v:ext="edit" shapetype="f"/>
                    </v:shape>
                  </w:pict>
                </mc:Fallback>
              </mc:AlternateContent>
            </w:r>
            <w:r w:rsidR="007B5465">
              <w:rPr>
                <w:sz w:val="16"/>
                <w:szCs w:val="16"/>
              </w:rPr>
              <w:t xml:space="preserve">Kidney dysfunction </w:t>
            </w:r>
            <w:r w:rsidR="007B5465" w:rsidRPr="00D50951">
              <w:rPr>
                <w:sz w:val="20"/>
                <w:szCs w:val="20"/>
                <w:vertAlign w:val="superscript"/>
              </w:rPr>
              <w:t>e</w:t>
            </w:r>
          </w:p>
        </w:tc>
        <w:tc>
          <w:tcPr>
            <w:tcW w:w="1276" w:type="dxa"/>
            <w:tcBorders>
              <w:top w:val="dashed" w:sz="12"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Default="007B5465" w:rsidP="00737428">
            <w:pPr>
              <w:pStyle w:val="Default"/>
              <w:rPr>
                <w:sz w:val="16"/>
                <w:szCs w:val="16"/>
              </w:rPr>
            </w:pPr>
            <w:r>
              <w:rPr>
                <w:sz w:val="16"/>
                <w:szCs w:val="16"/>
              </w:rPr>
              <w:t>H</w:t>
            </w:r>
            <w:r w:rsidRPr="0081529E">
              <w:rPr>
                <w:sz w:val="16"/>
                <w:szCs w:val="16"/>
              </w:rPr>
              <w:t>ypothalamus-pituitary-thyroid/</w:t>
            </w:r>
          </w:p>
          <w:p w:rsidR="007B5465" w:rsidRPr="0081529E" w:rsidRDefault="007B5465" w:rsidP="00737428">
            <w:pPr>
              <w:pStyle w:val="Default"/>
              <w:rPr>
                <w:sz w:val="16"/>
                <w:szCs w:val="16"/>
                <w:vertAlign w:val="superscript"/>
              </w:rPr>
            </w:pPr>
            <w:r>
              <w:rPr>
                <w:sz w:val="16"/>
                <w:szCs w:val="16"/>
              </w:rPr>
              <w:t xml:space="preserve">adrenal axes </w:t>
            </w:r>
            <w:r w:rsidRPr="0081529E">
              <w:rPr>
                <w:sz w:val="20"/>
                <w:szCs w:val="20"/>
                <w:vertAlign w:val="superscript"/>
              </w:rPr>
              <w:t>f</w:t>
            </w:r>
          </w:p>
        </w:tc>
        <w:tc>
          <w:tcPr>
            <w:tcW w:w="1276"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left w:val="dashed" w:sz="12" w:space="0" w:color="auto"/>
              <w:right w:val="dashed" w:sz="12" w:space="0" w:color="auto"/>
            </w:tcBorders>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vAlign w:val="center"/>
          </w:tcPr>
          <w:p w:rsidR="007B5465" w:rsidRPr="00237AF3" w:rsidRDefault="00685FBE" w:rsidP="0015026D">
            <w:pPr>
              <w:pStyle w:val="Default"/>
              <w:jc w:val="center"/>
              <w:rPr>
                <w:sz w:val="20"/>
                <w:szCs w:val="20"/>
                <w:vertAlign w:val="superscript"/>
              </w:rPr>
            </w:pPr>
            <w:r>
              <w:rPr>
                <w:noProof/>
                <w:sz w:val="16"/>
                <w:szCs w:val="16"/>
              </w:rPr>
              <mc:AlternateContent>
                <mc:Choice Requires="wps">
                  <w:drawing>
                    <wp:anchor distT="0" distB="0" distL="114298" distR="114298" simplePos="0" relativeHeight="251706368" behindDoc="0" locked="0" layoutInCell="1" allowOverlap="1" wp14:anchorId="2740308B" wp14:editId="6493060E">
                      <wp:simplePos x="0" y="0"/>
                      <wp:positionH relativeFrom="column">
                        <wp:posOffset>233044</wp:posOffset>
                      </wp:positionH>
                      <wp:positionV relativeFrom="paragraph">
                        <wp:posOffset>744220</wp:posOffset>
                      </wp:positionV>
                      <wp:extent cx="0" cy="1073150"/>
                      <wp:effectExtent l="95250" t="0" r="76200" b="50800"/>
                      <wp:wrapNone/>
                      <wp:docPr id="64" name="Straight Arrow Connector 64"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alt="Title: Down arrow" style="position:absolute;margin-left:18.35pt;margin-top:58.6pt;width:0;height:84.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" strokecolor="black [3213]">
                      <v:stroke endarrow="open"/>
                      <o:lock v:ext="edit" shapetype="f"/>
                    </v:shape>
                  </w:pict>
                </mc:Fallback>
              </mc:AlternateContent>
            </w:r>
            <w:r w:rsidR="0013088D" w:rsidRPr="0013088D">
              <w:rPr>
                <w:sz w:val="16"/>
                <w:szCs w:val="16"/>
              </w:rPr>
              <w:t>Changes in levels of reprod</w:t>
            </w:r>
            <w:r w:rsidR="00EE2C4F">
              <w:rPr>
                <w:sz w:val="16"/>
                <w:szCs w:val="16"/>
              </w:rPr>
              <w:t>uctive</w:t>
            </w:r>
            <w:r w:rsidR="0013088D" w:rsidRPr="0013088D">
              <w:rPr>
                <w:sz w:val="16"/>
                <w:szCs w:val="16"/>
              </w:rPr>
              <w:t xml:space="preserve"> </w:t>
            </w:r>
            <w:r w:rsidR="0015026D" w:rsidRPr="0013088D">
              <w:rPr>
                <w:sz w:val="16"/>
                <w:szCs w:val="16"/>
              </w:rPr>
              <w:t>H</w:t>
            </w:r>
            <w:r w:rsidR="0013088D" w:rsidRPr="0013088D">
              <w:rPr>
                <w:sz w:val="16"/>
                <w:szCs w:val="16"/>
              </w:rPr>
              <w:t>ormones</w:t>
            </w:r>
            <w:r w:rsidR="0015026D">
              <w:rPr>
                <w:sz w:val="16"/>
                <w:szCs w:val="16"/>
              </w:rPr>
              <w:t xml:space="preserve"> </w:t>
            </w:r>
            <w:r w:rsidR="0015026D">
              <w:rPr>
                <w:sz w:val="20"/>
                <w:szCs w:val="20"/>
                <w:vertAlign w:val="superscript"/>
              </w:rPr>
              <w:t>q</w:t>
            </w: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463C46" w:rsidRDefault="007B5465" w:rsidP="00737428">
            <w:pPr>
              <w:pStyle w:val="Default"/>
              <w:rPr>
                <w:sz w:val="20"/>
                <w:szCs w:val="20"/>
                <w:vertAlign w:val="superscript"/>
              </w:rPr>
            </w:pPr>
          </w:p>
        </w:tc>
        <w:tc>
          <w:tcPr>
            <w:tcW w:w="709" w:type="dxa"/>
            <w:tcBorders>
              <w:left w:val="dashed" w:sz="12" w:space="0" w:color="auto"/>
            </w:tcBorders>
          </w:tcPr>
          <w:p w:rsidR="007B5465" w:rsidRPr="007C2BD0" w:rsidRDefault="007B5465" w:rsidP="00737428">
            <w:pPr>
              <w:pStyle w:val="Default"/>
              <w:rPr>
                <w:sz w:val="16"/>
                <w:szCs w:val="16"/>
              </w:rPr>
            </w:pPr>
          </w:p>
        </w:tc>
        <w:tc>
          <w:tcPr>
            <w:tcW w:w="709" w:type="dxa"/>
            <w:tcBorders>
              <w:left w:val="single" w:sz="12" w:space="0" w:color="auto"/>
              <w:right w:val="dashed" w:sz="12" w:space="0" w:color="auto"/>
            </w:tcBorders>
          </w:tcPr>
          <w:p w:rsidR="007B5465" w:rsidRPr="007C2BD0" w:rsidRDefault="007B5465" w:rsidP="00737428">
            <w:pPr>
              <w:pStyle w:val="Default"/>
              <w:rPr>
                <w:sz w:val="16"/>
                <w:szCs w:val="16"/>
              </w:rPr>
            </w:pPr>
          </w:p>
        </w:tc>
        <w:tc>
          <w:tcPr>
            <w:tcW w:w="425" w:type="dxa"/>
            <w:tcBorders>
              <w:top w:val="dashed" w:sz="12" w:space="0" w:color="auto"/>
              <w:left w:val="dashed" w:sz="12" w:space="0" w:color="auto"/>
              <w:bottom w:val="single" w:sz="6" w:space="0" w:color="auto"/>
              <w:right w:val="dashed" w:sz="12" w:space="0" w:color="auto"/>
            </w:tcBorders>
            <w:shd w:val="clear" w:color="auto" w:fill="D9D9D9" w:themeFill="background1" w:themeFillShade="D9"/>
          </w:tcPr>
          <w:p w:rsidR="007B5465" w:rsidRPr="007B5465" w:rsidRDefault="00685FBE" w:rsidP="0015026D">
            <w:pPr>
              <w:pStyle w:val="Default"/>
              <w:rPr>
                <w:sz w:val="20"/>
                <w:szCs w:val="20"/>
                <w:vertAlign w:val="superscript"/>
              </w:rPr>
            </w:pPr>
            <w:r>
              <w:rPr>
                <w:noProof/>
                <w:sz w:val="16"/>
                <w:szCs w:val="16"/>
              </w:rPr>
              <mc:AlternateContent>
                <mc:Choice Requires="wps">
                  <w:drawing>
                    <wp:anchor distT="0" distB="0" distL="114298" distR="114298" simplePos="0" relativeHeight="251709440" behindDoc="0" locked="0" layoutInCell="1" allowOverlap="1" wp14:anchorId="775C44D0" wp14:editId="29C8D7D3">
                      <wp:simplePos x="0" y="0"/>
                      <wp:positionH relativeFrom="column">
                        <wp:posOffset>60324</wp:posOffset>
                      </wp:positionH>
                      <wp:positionV relativeFrom="paragraph">
                        <wp:posOffset>439420</wp:posOffset>
                      </wp:positionV>
                      <wp:extent cx="0" cy="1416050"/>
                      <wp:effectExtent l="95250" t="0" r="76200" b="50800"/>
                      <wp:wrapNone/>
                      <wp:docPr id="55" name="Straight Arrow Connector 55"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16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alt="Title: Down arrow" style="position:absolute;margin-left:4.75pt;margin-top:34.6pt;width:0;height:111.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" strokecolor="black [3213]">
                      <v:stroke endarrow="open"/>
                      <o:lock v:ext="edit" shapetype="f"/>
                    </v:shape>
                  </w:pict>
                </mc:Fallback>
              </mc:AlternateContent>
            </w:r>
            <w:r w:rsidR="007B5465">
              <w:rPr>
                <w:sz w:val="16"/>
                <w:szCs w:val="16"/>
              </w:rPr>
              <w:t xml:space="preserve">? </w:t>
            </w:r>
            <w:r w:rsidR="0015026D">
              <w:rPr>
                <w:sz w:val="20"/>
                <w:szCs w:val="20"/>
                <w:vertAlign w:val="superscript"/>
              </w:rPr>
              <w:t>n</w:t>
            </w:r>
          </w:p>
        </w:tc>
      </w:tr>
      <w:tr w:rsidR="007B5465" w:rsidTr="00723BD5">
        <w:trPr>
          <w:trHeight w:val="398"/>
        </w:trPr>
        <w:tc>
          <w:tcPr>
            <w:tcW w:w="1476" w:type="dxa"/>
            <w:tcBorders>
              <w:right w:val="dashed" w:sz="12" w:space="0" w:color="auto"/>
            </w:tcBorders>
            <w:vAlign w:val="center"/>
          </w:tcPr>
          <w:p w:rsidR="007B5465" w:rsidRPr="00D9710C" w:rsidRDefault="007B5465" w:rsidP="00737428">
            <w:pPr>
              <w:pStyle w:val="Default"/>
              <w:jc w:val="center"/>
              <w:rPr>
                <w:sz w:val="22"/>
                <w:szCs w:val="22"/>
              </w:rPr>
            </w:pPr>
            <w:r>
              <w:rPr>
                <w:sz w:val="22"/>
                <w:szCs w:val="22"/>
              </w:rPr>
              <w:t>40-50</w:t>
            </w:r>
          </w:p>
        </w:tc>
        <w:tc>
          <w:tcPr>
            <w:tcW w:w="1467"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7C2BD0" w:rsidRDefault="00685FBE" w:rsidP="00737428">
            <w:pPr>
              <w:pStyle w:val="Default"/>
              <w:rPr>
                <w:sz w:val="16"/>
                <w:szCs w:val="16"/>
              </w:rPr>
            </w:pPr>
            <w:r>
              <w:rPr>
                <w:noProof/>
                <w:sz w:val="16"/>
                <w:szCs w:val="16"/>
              </w:rPr>
              <mc:AlternateContent>
                <mc:Choice Requires="wps">
                  <w:drawing>
                    <wp:anchor distT="0" distB="0" distL="114298" distR="114298" simplePos="0" relativeHeight="251698176" behindDoc="0" locked="0" layoutInCell="1" allowOverlap="1" wp14:anchorId="5D1B7424" wp14:editId="014368FE">
                      <wp:simplePos x="0" y="0"/>
                      <wp:positionH relativeFrom="column">
                        <wp:posOffset>307339</wp:posOffset>
                      </wp:positionH>
                      <wp:positionV relativeFrom="paragraph">
                        <wp:posOffset>19685</wp:posOffset>
                      </wp:positionV>
                      <wp:extent cx="0" cy="882650"/>
                      <wp:effectExtent l="95250" t="0" r="76200" b="50800"/>
                      <wp:wrapNone/>
                      <wp:docPr id="56" name="Straight Arrow Connector 56"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alt="Title: Down arrow" style="position:absolute;margin-left:24.2pt;margin-top:1.55pt;width:0;height:69.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" strokecolor="black [3213]">
                      <v:stroke endarrow="open"/>
                      <o:lock v:ext="edit" shapetype="f"/>
                    </v:shape>
                  </w:pict>
                </mc:Fallback>
              </mc:AlternateContent>
            </w:r>
          </w:p>
        </w:tc>
        <w:tc>
          <w:tcPr>
            <w:tcW w:w="1134"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7C2BD0" w:rsidRDefault="007B5465" w:rsidP="00737428">
            <w:pPr>
              <w:pStyle w:val="Default"/>
              <w:rPr>
                <w:sz w:val="16"/>
                <w:szCs w:val="16"/>
              </w:rPr>
            </w:pPr>
          </w:p>
        </w:tc>
        <w:tc>
          <w:tcPr>
            <w:tcW w:w="1560"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2F52EC" w:rsidRDefault="007B5465" w:rsidP="00737428">
            <w:pPr>
              <w:pStyle w:val="Default"/>
              <w:rPr>
                <w:sz w:val="20"/>
                <w:szCs w:val="20"/>
                <w:vertAlign w:val="superscript"/>
              </w:rPr>
            </w:pPr>
          </w:p>
        </w:tc>
        <w:tc>
          <w:tcPr>
            <w:tcW w:w="1275"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6"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50192C" w:rsidP="0015026D">
            <w:pPr>
              <w:pStyle w:val="Default"/>
              <w:rPr>
                <w:sz w:val="16"/>
                <w:szCs w:val="16"/>
              </w:rPr>
            </w:pPr>
            <w:r w:rsidRPr="00857100">
              <w:rPr>
                <w:sz w:val="16"/>
                <w:szCs w:val="16"/>
              </w:rPr>
              <w:t xml:space="preserve">Changes in thyroid hormone levels </w:t>
            </w:r>
            <w:r w:rsidR="0015026D">
              <w:rPr>
                <w:sz w:val="20"/>
                <w:szCs w:val="20"/>
                <w:vertAlign w:val="superscript"/>
              </w:rPr>
              <w:t>p</w:t>
            </w:r>
          </w:p>
        </w:tc>
        <w:tc>
          <w:tcPr>
            <w:tcW w:w="1276"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1D761E" w:rsidRDefault="007B5465" w:rsidP="00737428">
            <w:pPr>
              <w:pStyle w:val="Default"/>
              <w:rPr>
                <w:sz w:val="16"/>
                <w:szCs w:val="16"/>
                <w:vertAlign w:val="superscript"/>
              </w:rPr>
            </w:pPr>
            <w:r>
              <w:rPr>
                <w:sz w:val="16"/>
                <w:szCs w:val="16"/>
              </w:rPr>
              <w:t xml:space="preserve">Immuno-suppression </w:t>
            </w:r>
            <w:r w:rsidRPr="001F1DF0">
              <w:rPr>
                <w:sz w:val="20"/>
                <w:szCs w:val="20"/>
                <w:vertAlign w:val="superscript"/>
              </w:rPr>
              <w:t>g</w:t>
            </w:r>
          </w:p>
        </w:tc>
        <w:tc>
          <w:tcPr>
            <w:tcW w:w="709" w:type="dxa"/>
            <w:tcBorders>
              <w:left w:val="dashed" w:sz="12" w:space="0" w:color="auto"/>
              <w:right w:val="dashed" w:sz="12" w:space="0" w:color="auto"/>
            </w:tcBorders>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left w:val="dashed" w:sz="12" w:space="0" w:color="auto"/>
              <w:bottom w:val="dashed" w:sz="12" w:space="0" w:color="auto"/>
            </w:tcBorders>
            <w:shd w:val="clear" w:color="auto" w:fill="FFFFFF" w:themeFill="background1"/>
          </w:tcPr>
          <w:p w:rsidR="007B5465" w:rsidRPr="00AD02CD" w:rsidRDefault="007B5465" w:rsidP="00737428">
            <w:pPr>
              <w:pStyle w:val="Default"/>
              <w:rPr>
                <w:sz w:val="16"/>
                <w:szCs w:val="16"/>
                <w:vertAlign w:val="superscript"/>
              </w:rPr>
            </w:pPr>
          </w:p>
        </w:tc>
        <w:tc>
          <w:tcPr>
            <w:tcW w:w="709" w:type="dxa"/>
            <w:tcBorders>
              <w:left w:val="single" w:sz="12" w:space="0" w:color="auto"/>
              <w:right w:val="dashed" w:sz="12" w:space="0" w:color="auto"/>
            </w:tcBorders>
          </w:tcPr>
          <w:p w:rsidR="007B5465" w:rsidRPr="007C2BD0" w:rsidRDefault="007B5465" w:rsidP="00737428">
            <w:pPr>
              <w:pStyle w:val="Default"/>
              <w:rPr>
                <w:sz w:val="16"/>
                <w:szCs w:val="16"/>
              </w:rPr>
            </w:pPr>
          </w:p>
        </w:tc>
        <w:tc>
          <w:tcPr>
            <w:tcW w:w="425"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r>
      <w:tr w:rsidR="007B5465" w:rsidTr="00723BD5">
        <w:trPr>
          <w:trHeight w:val="398"/>
        </w:trPr>
        <w:tc>
          <w:tcPr>
            <w:tcW w:w="1476" w:type="dxa"/>
            <w:tcBorders>
              <w:right w:val="dashed" w:sz="12" w:space="0" w:color="auto"/>
            </w:tcBorders>
            <w:vAlign w:val="center"/>
          </w:tcPr>
          <w:p w:rsidR="007B5465" w:rsidRPr="00D9710C" w:rsidRDefault="007B5465" w:rsidP="00737428">
            <w:pPr>
              <w:pStyle w:val="Default"/>
              <w:jc w:val="center"/>
              <w:rPr>
                <w:sz w:val="22"/>
                <w:szCs w:val="22"/>
              </w:rPr>
            </w:pPr>
            <w:r>
              <w:rPr>
                <w:sz w:val="22"/>
                <w:szCs w:val="22"/>
              </w:rPr>
              <w:t>50-60</w:t>
            </w:r>
          </w:p>
        </w:tc>
        <w:tc>
          <w:tcPr>
            <w:tcW w:w="1467"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7C2BD0" w:rsidRDefault="007B5465" w:rsidP="00737428">
            <w:pPr>
              <w:pStyle w:val="Default"/>
              <w:rPr>
                <w:sz w:val="16"/>
                <w:szCs w:val="16"/>
              </w:rPr>
            </w:pPr>
          </w:p>
        </w:tc>
        <w:tc>
          <w:tcPr>
            <w:tcW w:w="1134"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7C2BD0" w:rsidRDefault="007B5465" w:rsidP="00737428">
            <w:pPr>
              <w:pStyle w:val="Default"/>
              <w:rPr>
                <w:sz w:val="16"/>
                <w:szCs w:val="16"/>
              </w:rPr>
            </w:pPr>
          </w:p>
        </w:tc>
        <w:tc>
          <w:tcPr>
            <w:tcW w:w="1560"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5"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6"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685FBE" w:rsidP="00737428">
            <w:pPr>
              <w:pStyle w:val="Default"/>
              <w:rPr>
                <w:sz w:val="16"/>
                <w:szCs w:val="16"/>
              </w:rPr>
            </w:pPr>
            <w:r>
              <w:rPr>
                <w:noProof/>
                <w:sz w:val="16"/>
                <w:szCs w:val="16"/>
              </w:rPr>
              <mc:AlternateContent>
                <mc:Choice Requires="wps">
                  <w:drawing>
                    <wp:anchor distT="0" distB="0" distL="114298" distR="114298" simplePos="0" relativeHeight="251702272" behindDoc="0" locked="0" layoutInCell="1" allowOverlap="1" wp14:anchorId="0DC74D0F" wp14:editId="31E3EC60">
                      <wp:simplePos x="0" y="0"/>
                      <wp:positionH relativeFrom="column">
                        <wp:posOffset>309879</wp:posOffset>
                      </wp:positionH>
                      <wp:positionV relativeFrom="paragraph">
                        <wp:posOffset>123825</wp:posOffset>
                      </wp:positionV>
                      <wp:extent cx="0" cy="673100"/>
                      <wp:effectExtent l="76200" t="0" r="95250" b="50800"/>
                      <wp:wrapNone/>
                      <wp:docPr id="58" name="Straight Arrow Connector 58"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alt="Title: Down arrow" style="position:absolute;margin-left:24.4pt;margin-top:9.75pt;width:0;height:53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" strokecolor="black [3213]">
                      <v:stroke endarrow="open"/>
                      <o:lock v:ext="edit" shapetype="f"/>
                    </v:shape>
                  </w:pict>
                </mc:Fallback>
              </mc:AlternateContent>
            </w:r>
          </w:p>
        </w:tc>
        <w:tc>
          <w:tcPr>
            <w:tcW w:w="1276"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685FBE" w:rsidP="00737428">
            <w:pPr>
              <w:pStyle w:val="Default"/>
              <w:rPr>
                <w:sz w:val="16"/>
                <w:szCs w:val="16"/>
              </w:rPr>
            </w:pPr>
            <w:r>
              <w:rPr>
                <w:noProof/>
                <w:sz w:val="16"/>
                <w:szCs w:val="16"/>
              </w:rPr>
              <mc:AlternateContent>
                <mc:Choice Requires="wps">
                  <w:drawing>
                    <wp:anchor distT="0" distB="0" distL="114298" distR="114298" simplePos="0" relativeHeight="251703296" behindDoc="0" locked="0" layoutInCell="1" allowOverlap="1" wp14:anchorId="0FEFF3FF" wp14:editId="03703E4E">
                      <wp:simplePos x="0" y="0"/>
                      <wp:positionH relativeFrom="column">
                        <wp:posOffset>306069</wp:posOffset>
                      </wp:positionH>
                      <wp:positionV relativeFrom="paragraph">
                        <wp:posOffset>54610</wp:posOffset>
                      </wp:positionV>
                      <wp:extent cx="0" cy="673100"/>
                      <wp:effectExtent l="76200" t="0" r="95250" b="50800"/>
                      <wp:wrapNone/>
                      <wp:docPr id="61" name="Straight Arrow Connector 61"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alt="Title: Down arrow" style="position:absolute;margin-left:24.1pt;margin-top:4.3pt;width:0;height:53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" strokecolor="black [3213]">
                      <v:stroke endarrow="open"/>
                      <o:lock v:ext="edit" shapetype="f"/>
                    </v:shape>
                  </w:pict>
                </mc:Fallback>
              </mc:AlternateContent>
            </w:r>
          </w:p>
        </w:tc>
        <w:tc>
          <w:tcPr>
            <w:tcW w:w="709" w:type="dxa"/>
            <w:tcBorders>
              <w:left w:val="dashed" w:sz="12" w:space="0" w:color="auto"/>
              <w:right w:val="dashed" w:sz="12" w:space="0" w:color="auto"/>
            </w:tcBorders>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top w:val="dashed" w:sz="12" w:space="0" w:color="auto"/>
              <w:left w:val="dashed" w:sz="12" w:space="0" w:color="auto"/>
              <w:bottom w:val="single" w:sz="6" w:space="0" w:color="auto"/>
              <w:right w:val="dashed" w:sz="12" w:space="0" w:color="auto"/>
            </w:tcBorders>
            <w:shd w:val="clear" w:color="auto" w:fill="D9D9D9" w:themeFill="background1" w:themeFillShade="D9"/>
          </w:tcPr>
          <w:p w:rsidR="007B5465" w:rsidRPr="00E143F5" w:rsidRDefault="00E143F5" w:rsidP="0015026D">
            <w:pPr>
              <w:pStyle w:val="Default"/>
              <w:rPr>
                <w:sz w:val="14"/>
                <w:szCs w:val="14"/>
              </w:rPr>
            </w:pPr>
            <w:r w:rsidRPr="00E143F5">
              <w:rPr>
                <w:sz w:val="14"/>
                <w:szCs w:val="14"/>
              </w:rPr>
              <w:t xml:space="preserve">Kidney lung? </w:t>
            </w:r>
            <w:r w:rsidR="0015026D" w:rsidRPr="00C069D2">
              <w:rPr>
                <w:sz w:val="16"/>
                <w:szCs w:val="16"/>
                <w:vertAlign w:val="superscript"/>
              </w:rPr>
              <w:t>j</w:t>
            </w:r>
          </w:p>
        </w:tc>
        <w:tc>
          <w:tcPr>
            <w:tcW w:w="709" w:type="dxa"/>
            <w:tcBorders>
              <w:left w:val="dashed" w:sz="12" w:space="0" w:color="auto"/>
              <w:right w:val="dashed" w:sz="12" w:space="0" w:color="auto"/>
            </w:tcBorders>
          </w:tcPr>
          <w:p w:rsidR="007B5465" w:rsidRPr="007C2BD0" w:rsidRDefault="007B5465" w:rsidP="00737428">
            <w:pPr>
              <w:pStyle w:val="Default"/>
              <w:rPr>
                <w:sz w:val="16"/>
                <w:szCs w:val="16"/>
              </w:rPr>
            </w:pPr>
          </w:p>
        </w:tc>
        <w:tc>
          <w:tcPr>
            <w:tcW w:w="425"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r>
      <w:tr w:rsidR="007B5465" w:rsidTr="00723BD5">
        <w:trPr>
          <w:trHeight w:val="467"/>
        </w:trPr>
        <w:tc>
          <w:tcPr>
            <w:tcW w:w="1476" w:type="dxa"/>
            <w:tcBorders>
              <w:right w:val="dashed" w:sz="12" w:space="0" w:color="auto"/>
            </w:tcBorders>
            <w:vAlign w:val="center"/>
          </w:tcPr>
          <w:p w:rsidR="007B5465" w:rsidRPr="00D9710C" w:rsidRDefault="007B5465" w:rsidP="00AD02CD">
            <w:pPr>
              <w:pStyle w:val="Default"/>
              <w:jc w:val="center"/>
              <w:rPr>
                <w:sz w:val="22"/>
                <w:szCs w:val="22"/>
              </w:rPr>
            </w:pPr>
            <w:r>
              <w:rPr>
                <w:sz w:val="22"/>
                <w:szCs w:val="22"/>
              </w:rPr>
              <w:t>60-80</w:t>
            </w:r>
          </w:p>
        </w:tc>
        <w:tc>
          <w:tcPr>
            <w:tcW w:w="1467"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7C2BD0" w:rsidRDefault="007B5465" w:rsidP="00737428">
            <w:pPr>
              <w:pStyle w:val="Default"/>
              <w:rPr>
                <w:sz w:val="16"/>
                <w:szCs w:val="16"/>
              </w:rPr>
            </w:pPr>
          </w:p>
        </w:tc>
        <w:tc>
          <w:tcPr>
            <w:tcW w:w="1134"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vAlign w:val="center"/>
          </w:tcPr>
          <w:p w:rsidR="007B5465" w:rsidRPr="007C2BD0" w:rsidRDefault="007B5465" w:rsidP="00737428">
            <w:pPr>
              <w:pStyle w:val="Default"/>
              <w:rPr>
                <w:sz w:val="16"/>
                <w:szCs w:val="16"/>
              </w:rPr>
            </w:pPr>
          </w:p>
        </w:tc>
        <w:tc>
          <w:tcPr>
            <w:tcW w:w="1560"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01725E" w:rsidRDefault="007B5465" w:rsidP="00737428">
            <w:pPr>
              <w:pStyle w:val="Default"/>
              <w:rPr>
                <w:sz w:val="16"/>
                <w:szCs w:val="16"/>
                <w:vertAlign w:val="superscript"/>
              </w:rPr>
            </w:pPr>
            <w:r>
              <w:rPr>
                <w:sz w:val="16"/>
                <w:szCs w:val="16"/>
              </w:rPr>
              <w:t xml:space="preserve">Anaemia </w:t>
            </w:r>
            <w:r w:rsidRPr="0001725E">
              <w:rPr>
                <w:sz w:val="20"/>
                <w:szCs w:val="20"/>
                <w:vertAlign w:val="superscript"/>
              </w:rPr>
              <w:t>d</w:t>
            </w:r>
          </w:p>
        </w:tc>
        <w:tc>
          <w:tcPr>
            <w:tcW w:w="1275"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6"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6" w:type="dxa"/>
            <w:tcBorders>
              <w:top w:val="single" w:sz="6" w:space="0" w:color="auto"/>
              <w:left w:val="dashed" w:sz="12" w:space="0" w:color="auto"/>
              <w:bottom w:val="single" w:sz="6"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left w:val="dashed" w:sz="12" w:space="0" w:color="auto"/>
              <w:right w:val="dashed" w:sz="12" w:space="0" w:color="auto"/>
            </w:tcBorders>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685FBE" w:rsidP="00737428">
            <w:pPr>
              <w:pStyle w:val="Default"/>
              <w:rPr>
                <w:sz w:val="16"/>
                <w:szCs w:val="16"/>
              </w:rPr>
            </w:pPr>
            <w:r>
              <w:rPr>
                <w:noProof/>
                <w:sz w:val="16"/>
                <w:szCs w:val="16"/>
              </w:rPr>
              <mc:AlternateContent>
                <mc:Choice Requires="wps">
                  <w:drawing>
                    <wp:anchor distT="0" distB="0" distL="114298" distR="114298" simplePos="0" relativeHeight="251705344" behindDoc="0" locked="0" layoutInCell="1" allowOverlap="1" wp14:anchorId="57CCCBDD" wp14:editId="66B5B21A">
                      <wp:simplePos x="0" y="0"/>
                      <wp:positionH relativeFrom="column">
                        <wp:posOffset>179704</wp:posOffset>
                      </wp:positionH>
                      <wp:positionV relativeFrom="paragraph">
                        <wp:posOffset>44450</wp:posOffset>
                      </wp:positionV>
                      <wp:extent cx="0" cy="571500"/>
                      <wp:effectExtent l="95250" t="0" r="57150" b="57150"/>
                      <wp:wrapNone/>
                      <wp:docPr id="63" name="Straight Arrow Connector 63"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alt="Title: Down arrow" style="position:absolute;margin-left:14.15pt;margin-top:3.5pt;width:0;height:4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" strokecolor="black [3213]">
                      <v:stroke endarrow="open"/>
                      <o:lock v:ext="edit" shapetype="f"/>
                    </v:shape>
                  </w:pict>
                </mc:Fallback>
              </mc:AlternateContent>
            </w:r>
          </w:p>
        </w:tc>
        <w:tc>
          <w:tcPr>
            <w:tcW w:w="709" w:type="dxa"/>
            <w:tcBorders>
              <w:left w:val="dashed" w:sz="12" w:space="0" w:color="auto"/>
              <w:bottom w:val="dashed" w:sz="12" w:space="0" w:color="auto"/>
              <w:right w:val="dashed" w:sz="12" w:space="0" w:color="auto"/>
            </w:tcBorders>
          </w:tcPr>
          <w:p w:rsidR="007B5465" w:rsidRPr="007C2BD0" w:rsidRDefault="007B5465" w:rsidP="00737428">
            <w:pPr>
              <w:pStyle w:val="Default"/>
              <w:rPr>
                <w:sz w:val="16"/>
                <w:szCs w:val="16"/>
              </w:rPr>
            </w:pPr>
          </w:p>
        </w:tc>
        <w:tc>
          <w:tcPr>
            <w:tcW w:w="425" w:type="dxa"/>
            <w:tcBorders>
              <w:top w:val="single" w:sz="6" w:space="0" w:color="auto"/>
              <w:left w:val="dashed" w:sz="12" w:space="0" w:color="auto"/>
              <w:bottom w:val="single" w:sz="6"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r>
      <w:tr w:rsidR="00E73ED8" w:rsidTr="00723BD5">
        <w:trPr>
          <w:trHeight w:val="619"/>
        </w:trPr>
        <w:tc>
          <w:tcPr>
            <w:tcW w:w="1476" w:type="dxa"/>
            <w:tcBorders>
              <w:right w:val="dashed" w:sz="12" w:space="0" w:color="auto"/>
            </w:tcBorders>
            <w:vAlign w:val="center"/>
          </w:tcPr>
          <w:p w:rsidR="007B5465" w:rsidRPr="00D9710C" w:rsidRDefault="007B5465" w:rsidP="00737428">
            <w:pPr>
              <w:pStyle w:val="Default"/>
              <w:jc w:val="center"/>
              <w:rPr>
                <w:sz w:val="22"/>
                <w:szCs w:val="22"/>
              </w:rPr>
            </w:pPr>
            <w:r>
              <w:rPr>
                <w:sz w:val="22"/>
                <w:szCs w:val="22"/>
              </w:rPr>
              <w:t>&gt;80</w:t>
            </w:r>
          </w:p>
        </w:tc>
        <w:tc>
          <w:tcPr>
            <w:tcW w:w="1467" w:type="dxa"/>
            <w:tcBorders>
              <w:top w:val="single" w:sz="6" w:space="0" w:color="auto"/>
              <w:left w:val="dashed" w:sz="12" w:space="0" w:color="auto"/>
              <w:bottom w:val="dashed" w:sz="12" w:space="0" w:color="auto"/>
              <w:right w:val="dashed" w:sz="12" w:space="0" w:color="auto"/>
              <w:tl2br w:val="nil"/>
              <w:tr2bl w:val="nil"/>
            </w:tcBorders>
            <w:shd w:val="clear" w:color="auto" w:fill="D9D9D9" w:themeFill="background1" w:themeFillShade="D9"/>
            <w:vAlign w:val="center"/>
          </w:tcPr>
          <w:p w:rsidR="007B5465" w:rsidRPr="0088030B" w:rsidRDefault="007B5465" w:rsidP="0015026D">
            <w:pPr>
              <w:pStyle w:val="Default"/>
              <w:rPr>
                <w:sz w:val="20"/>
                <w:szCs w:val="20"/>
                <w:vertAlign w:val="superscript"/>
              </w:rPr>
            </w:pPr>
            <w:r w:rsidRPr="007C2BD0">
              <w:rPr>
                <w:sz w:val="16"/>
                <w:szCs w:val="16"/>
              </w:rPr>
              <w:t>Encephalopathy</w:t>
            </w:r>
            <w:r w:rsidR="0088030B">
              <w:rPr>
                <w:sz w:val="16"/>
                <w:szCs w:val="16"/>
              </w:rPr>
              <w:t xml:space="preserve">, neuropathy </w:t>
            </w:r>
            <w:r w:rsidR="0015026D">
              <w:rPr>
                <w:sz w:val="20"/>
                <w:szCs w:val="20"/>
                <w:vertAlign w:val="superscript"/>
              </w:rPr>
              <w:t>o</w:t>
            </w:r>
          </w:p>
        </w:tc>
        <w:tc>
          <w:tcPr>
            <w:tcW w:w="1134" w:type="dxa"/>
            <w:tcBorders>
              <w:top w:val="single" w:sz="6" w:space="0" w:color="auto"/>
              <w:left w:val="dashed" w:sz="12" w:space="0" w:color="auto"/>
              <w:bottom w:val="dashed" w:sz="12" w:space="0" w:color="auto"/>
              <w:right w:val="dashed" w:sz="12" w:space="0" w:color="auto"/>
              <w:tl2br w:val="nil"/>
              <w:tr2bl w:val="nil"/>
            </w:tcBorders>
            <w:shd w:val="clear" w:color="auto" w:fill="D9D9D9" w:themeFill="background1" w:themeFillShade="D9"/>
            <w:vAlign w:val="center"/>
          </w:tcPr>
          <w:p w:rsidR="007B5465" w:rsidRPr="007C2BD0" w:rsidRDefault="007B5465" w:rsidP="00737428">
            <w:pPr>
              <w:pStyle w:val="Default"/>
              <w:rPr>
                <w:sz w:val="16"/>
                <w:szCs w:val="16"/>
              </w:rPr>
            </w:pPr>
          </w:p>
        </w:tc>
        <w:tc>
          <w:tcPr>
            <w:tcW w:w="1560" w:type="dxa"/>
            <w:tcBorders>
              <w:top w:val="single" w:sz="6" w:space="0" w:color="auto"/>
              <w:left w:val="dashed" w:sz="12" w:space="0" w:color="auto"/>
              <w:bottom w:val="dashed" w:sz="12"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5" w:type="dxa"/>
            <w:tcBorders>
              <w:top w:val="single" w:sz="6" w:space="0" w:color="auto"/>
              <w:left w:val="dashed" w:sz="12" w:space="0" w:color="auto"/>
              <w:bottom w:val="dashed" w:sz="12" w:space="0" w:color="auto"/>
              <w:right w:val="dashed" w:sz="12" w:space="0" w:color="auto"/>
              <w:tl2br w:val="nil"/>
              <w:tr2bl w:val="nil"/>
            </w:tcBorders>
            <w:shd w:val="clear" w:color="auto" w:fill="D9D9D9" w:themeFill="background1" w:themeFillShade="D9"/>
            <w:vAlign w:val="center"/>
          </w:tcPr>
          <w:p w:rsidR="007B5465" w:rsidRPr="007C2BD0" w:rsidRDefault="007B5465" w:rsidP="007F0508">
            <w:pPr>
              <w:pStyle w:val="Default"/>
              <w:rPr>
                <w:sz w:val="16"/>
                <w:szCs w:val="16"/>
              </w:rPr>
            </w:pPr>
            <w:r>
              <w:rPr>
                <w:sz w:val="16"/>
                <w:szCs w:val="16"/>
              </w:rPr>
              <w:t>Nephropathy</w:t>
            </w:r>
          </w:p>
        </w:tc>
        <w:tc>
          <w:tcPr>
            <w:tcW w:w="1276" w:type="dxa"/>
            <w:tcBorders>
              <w:top w:val="single" w:sz="6" w:space="0" w:color="auto"/>
              <w:left w:val="dashed" w:sz="12" w:space="0" w:color="auto"/>
              <w:bottom w:val="dashed" w:sz="12"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1276" w:type="dxa"/>
            <w:tcBorders>
              <w:top w:val="single" w:sz="6" w:space="0" w:color="auto"/>
              <w:left w:val="dashed" w:sz="12" w:space="0" w:color="auto"/>
              <w:bottom w:val="dashed" w:sz="12" w:space="0" w:color="auto"/>
              <w:right w:val="dashed" w:sz="12" w:space="0" w:color="auto"/>
              <w:tl2br w:val="nil"/>
              <w:tr2bl w:val="nil"/>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left w:val="dashed" w:sz="12" w:space="0" w:color="auto"/>
              <w:right w:val="dashed" w:sz="12" w:space="0" w:color="auto"/>
            </w:tcBorders>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dashed" w:sz="12"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992" w:type="dxa"/>
            <w:tcBorders>
              <w:top w:val="single" w:sz="6" w:space="0" w:color="auto"/>
              <w:left w:val="dashed" w:sz="12" w:space="0" w:color="auto"/>
              <w:bottom w:val="dashed" w:sz="12"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top w:val="single" w:sz="6" w:space="0" w:color="auto"/>
              <w:left w:val="dashed" w:sz="12" w:space="0" w:color="auto"/>
              <w:bottom w:val="dashed" w:sz="12" w:space="0" w:color="auto"/>
              <w:right w:val="dashed" w:sz="12" w:space="0" w:color="auto"/>
            </w:tcBorders>
            <w:shd w:val="clear" w:color="auto" w:fill="D9D9D9" w:themeFill="background1" w:themeFillShade="D9"/>
          </w:tcPr>
          <w:p w:rsidR="007B5465" w:rsidRPr="007C2BD0" w:rsidRDefault="007B5465" w:rsidP="00737428">
            <w:pPr>
              <w:pStyle w:val="Default"/>
              <w:rPr>
                <w:sz w:val="16"/>
                <w:szCs w:val="16"/>
              </w:rPr>
            </w:pPr>
          </w:p>
        </w:tc>
        <w:tc>
          <w:tcPr>
            <w:tcW w:w="709" w:type="dxa"/>
            <w:tcBorders>
              <w:top w:val="dashed" w:sz="12" w:space="0" w:color="auto"/>
              <w:left w:val="dashed" w:sz="12" w:space="0" w:color="auto"/>
              <w:bottom w:val="dashed" w:sz="12" w:space="0" w:color="auto"/>
              <w:right w:val="dashed" w:sz="12" w:space="0" w:color="auto"/>
            </w:tcBorders>
            <w:shd w:val="clear" w:color="auto" w:fill="D9D9D9" w:themeFill="background1" w:themeFillShade="D9"/>
          </w:tcPr>
          <w:p w:rsidR="007B5465" w:rsidRPr="007B5465" w:rsidRDefault="007B5465" w:rsidP="00737428">
            <w:pPr>
              <w:pStyle w:val="Default"/>
              <w:rPr>
                <w:sz w:val="14"/>
                <w:szCs w:val="14"/>
                <w:vertAlign w:val="superscript"/>
              </w:rPr>
            </w:pPr>
            <w:r>
              <w:rPr>
                <w:sz w:val="14"/>
                <w:szCs w:val="14"/>
              </w:rPr>
              <w:t>Abdom-</w:t>
            </w:r>
            <w:r w:rsidRPr="007B5465">
              <w:rPr>
                <w:sz w:val="14"/>
                <w:szCs w:val="14"/>
              </w:rPr>
              <w:t>inal cramps</w:t>
            </w:r>
          </w:p>
        </w:tc>
        <w:tc>
          <w:tcPr>
            <w:tcW w:w="425" w:type="dxa"/>
            <w:tcBorders>
              <w:top w:val="single" w:sz="6" w:space="0" w:color="auto"/>
              <w:left w:val="dashed" w:sz="12" w:space="0" w:color="auto"/>
              <w:bottom w:val="dashed" w:sz="12" w:space="0" w:color="auto"/>
              <w:right w:val="dashed" w:sz="12" w:space="0" w:color="auto"/>
            </w:tcBorders>
            <w:shd w:val="clear" w:color="auto" w:fill="D9D9D9" w:themeFill="background1" w:themeFillShade="D9"/>
          </w:tcPr>
          <w:p w:rsidR="007B5465" w:rsidRPr="007B5465" w:rsidRDefault="007B5465" w:rsidP="00737428">
            <w:pPr>
              <w:pStyle w:val="Default"/>
              <w:rPr>
                <w:sz w:val="14"/>
                <w:szCs w:val="14"/>
              </w:rPr>
            </w:pPr>
          </w:p>
        </w:tc>
      </w:tr>
    </w:tbl>
    <w:p w:rsidR="00317581" w:rsidRDefault="00317581" w:rsidP="001C5813">
      <w:pPr>
        <w:spacing w:line="240" w:lineRule="auto"/>
        <w:ind w:left="142" w:hanging="142"/>
        <w:rPr>
          <w:b/>
          <w:sz w:val="18"/>
          <w:szCs w:val="18"/>
        </w:rPr>
      </w:pPr>
      <w:r>
        <w:rPr>
          <w:b/>
          <w:sz w:val="18"/>
          <w:szCs w:val="18"/>
        </w:rPr>
        <w:lastRenderedPageBreak/>
        <w:t>Legend to Table 4.</w:t>
      </w:r>
      <w:r w:rsidR="001C5813">
        <w:rPr>
          <w:b/>
          <w:sz w:val="18"/>
          <w:szCs w:val="18"/>
        </w:rPr>
        <w:t xml:space="preserve">1: </w:t>
      </w:r>
    </w:p>
    <w:p w:rsidR="00317581" w:rsidRDefault="00317581" w:rsidP="00317581">
      <w:pPr>
        <w:spacing w:line="240" w:lineRule="auto"/>
        <w:ind w:left="142" w:hanging="142"/>
        <w:rPr>
          <w:sz w:val="18"/>
          <w:szCs w:val="18"/>
        </w:rPr>
      </w:pPr>
      <w:r>
        <w:rPr>
          <w:sz w:val="18"/>
          <w:szCs w:val="18"/>
        </w:rPr>
        <w:t xml:space="preserve">? = For these effects, there are limited data, inconsistent results, and/or possible/probable confounding; </w:t>
      </w:r>
    </w:p>
    <w:p w:rsidR="00317581" w:rsidRDefault="00317581" w:rsidP="00317581">
      <w:pPr>
        <w:spacing w:line="240" w:lineRule="auto"/>
        <w:ind w:left="142" w:hanging="142"/>
        <w:rPr>
          <w:sz w:val="18"/>
          <w:szCs w:val="18"/>
        </w:rPr>
      </w:pPr>
      <w:r>
        <w:rPr>
          <w:rFonts w:ascii="Calibri" w:hAnsi="Calibri"/>
          <w:sz w:val="18"/>
          <w:szCs w:val="18"/>
        </w:rPr>
        <w:t>↑</w:t>
      </w:r>
      <w:r>
        <w:rPr>
          <w:sz w:val="18"/>
          <w:szCs w:val="18"/>
        </w:rPr>
        <w:t xml:space="preserve"> = increase; </w:t>
      </w:r>
    </w:p>
    <w:p w:rsidR="00317581" w:rsidRDefault="00317581" w:rsidP="00317581">
      <w:pPr>
        <w:spacing w:line="240" w:lineRule="auto"/>
        <w:ind w:left="142" w:hanging="142"/>
        <w:rPr>
          <w:sz w:val="18"/>
          <w:szCs w:val="18"/>
        </w:rPr>
      </w:pPr>
      <w:r>
        <w:rPr>
          <w:rFonts w:ascii="Calibri" w:hAnsi="Calibri"/>
          <w:sz w:val="18"/>
          <w:szCs w:val="18"/>
        </w:rPr>
        <w:t>↓</w:t>
      </w:r>
      <w:r>
        <w:rPr>
          <w:sz w:val="18"/>
          <w:szCs w:val="18"/>
        </w:rPr>
        <w:t xml:space="preserve"> = decrease; </w:t>
      </w:r>
    </w:p>
    <w:p w:rsidR="00317581" w:rsidRDefault="00317581" w:rsidP="00317581">
      <w:pPr>
        <w:spacing w:line="240" w:lineRule="auto"/>
        <w:ind w:left="142" w:hanging="142"/>
        <w:rPr>
          <w:sz w:val="18"/>
          <w:szCs w:val="18"/>
        </w:rPr>
      </w:pPr>
      <w:r>
        <w:rPr>
          <w:sz w:val="18"/>
          <w:szCs w:val="18"/>
        </w:rPr>
        <w:t xml:space="preserve">long arrow = shows progression, i.e. worsening of effect with increasing PbB. </w:t>
      </w:r>
    </w:p>
    <w:p w:rsidR="00C7642A" w:rsidRDefault="00DC7862" w:rsidP="00317581">
      <w:pPr>
        <w:spacing w:line="240" w:lineRule="auto"/>
        <w:ind w:left="142" w:hanging="142"/>
        <w:rPr>
          <w:sz w:val="18"/>
          <w:szCs w:val="18"/>
        </w:rPr>
      </w:pPr>
      <w:r>
        <w:rPr>
          <w:sz w:val="18"/>
          <w:szCs w:val="18"/>
        </w:rPr>
        <w:t xml:space="preserve">Cells in light grey </w:t>
      </w:r>
      <w:r w:rsidR="00317581">
        <w:rPr>
          <w:sz w:val="18"/>
          <w:szCs w:val="18"/>
        </w:rPr>
        <w:t xml:space="preserve">= </w:t>
      </w:r>
      <w:r w:rsidR="00317581" w:rsidRPr="00317581">
        <w:rPr>
          <w:sz w:val="18"/>
          <w:szCs w:val="18"/>
        </w:rPr>
        <w:t>indicates health</w:t>
      </w:r>
      <w:r w:rsidR="00317581">
        <w:rPr>
          <w:sz w:val="18"/>
          <w:szCs w:val="18"/>
        </w:rPr>
        <w:t>/research</w:t>
      </w:r>
      <w:r w:rsidR="00317581" w:rsidRPr="00317581">
        <w:rPr>
          <w:sz w:val="18"/>
          <w:szCs w:val="18"/>
        </w:rPr>
        <w:t xml:space="preserve"> effects have been observed at or above this PbB concentration</w:t>
      </w:r>
      <w:r w:rsidR="00317581">
        <w:rPr>
          <w:sz w:val="18"/>
          <w:szCs w:val="18"/>
        </w:rPr>
        <w:t>.</w:t>
      </w:r>
    </w:p>
    <w:p w:rsidR="00317581" w:rsidRDefault="00C7642A" w:rsidP="00317581">
      <w:pPr>
        <w:spacing w:line="240" w:lineRule="auto"/>
        <w:ind w:left="142" w:hanging="142"/>
        <w:rPr>
          <w:sz w:val="18"/>
          <w:szCs w:val="18"/>
        </w:rPr>
      </w:pPr>
      <w:r>
        <w:rPr>
          <w:sz w:val="24"/>
          <w:szCs w:val="24"/>
          <w:vertAlign w:val="superscript"/>
        </w:rPr>
        <w:t>^</w:t>
      </w:r>
      <w:r>
        <w:rPr>
          <w:sz w:val="18"/>
          <w:szCs w:val="18"/>
        </w:rPr>
        <w:t xml:space="preserve"> Effects considered by US EPA (2013)</w:t>
      </w:r>
      <w:r w:rsidRPr="00C7642A">
        <w:t xml:space="preserve"> </w:t>
      </w:r>
      <w:r w:rsidRPr="00C7642A">
        <w:rPr>
          <w:sz w:val="18"/>
          <w:szCs w:val="18"/>
        </w:rPr>
        <w:t>to have sufficient supporting evidence to indicate causality (‘causal’ or ‘likely causal’) by lead exposure</w:t>
      </w:r>
      <w:r>
        <w:rPr>
          <w:sz w:val="18"/>
          <w:szCs w:val="18"/>
        </w:rPr>
        <w:t xml:space="preserve">.  </w:t>
      </w:r>
      <w:r w:rsidR="00317581">
        <w:rPr>
          <w:sz w:val="18"/>
          <w:szCs w:val="18"/>
        </w:rPr>
        <w:t xml:space="preserve"> </w:t>
      </w:r>
    </w:p>
    <w:p w:rsidR="00317581" w:rsidRPr="00317581" w:rsidRDefault="00317581" w:rsidP="00CA4E82">
      <w:pPr>
        <w:spacing w:line="240" w:lineRule="auto"/>
        <w:ind w:left="142" w:hanging="142"/>
        <w:rPr>
          <w:b/>
          <w:sz w:val="18"/>
          <w:szCs w:val="18"/>
        </w:rPr>
      </w:pPr>
    </w:p>
    <w:p w:rsidR="00317581" w:rsidRDefault="00317581" w:rsidP="00CA4E82">
      <w:pPr>
        <w:spacing w:line="240" w:lineRule="auto"/>
        <w:ind w:left="142" w:hanging="142"/>
        <w:rPr>
          <w:b/>
          <w:sz w:val="18"/>
          <w:szCs w:val="18"/>
        </w:rPr>
      </w:pPr>
    </w:p>
    <w:p w:rsidR="00C069D2" w:rsidRPr="001C5813" w:rsidRDefault="00C069D2" w:rsidP="001C5813">
      <w:pPr>
        <w:spacing w:line="240" w:lineRule="auto"/>
        <w:ind w:left="142" w:hanging="142"/>
        <w:rPr>
          <w:b/>
          <w:sz w:val="18"/>
          <w:szCs w:val="18"/>
        </w:rPr>
      </w:pPr>
      <w:r>
        <w:rPr>
          <w:b/>
          <w:sz w:val="18"/>
          <w:szCs w:val="18"/>
        </w:rPr>
        <w:t xml:space="preserve">Footnotes to Table 4.1: </w:t>
      </w:r>
    </w:p>
    <w:p w:rsidR="00AC6C67" w:rsidRPr="00AE3FD1" w:rsidRDefault="00AC6C67" w:rsidP="00CA4E82">
      <w:pPr>
        <w:spacing w:line="240" w:lineRule="auto"/>
        <w:ind w:left="142" w:hanging="142"/>
        <w:rPr>
          <w:sz w:val="18"/>
          <w:szCs w:val="18"/>
        </w:rPr>
      </w:pPr>
      <w:r>
        <w:rPr>
          <w:sz w:val="24"/>
          <w:szCs w:val="24"/>
          <w:vertAlign w:val="superscript"/>
        </w:rPr>
        <w:t>a</w:t>
      </w:r>
      <w:r>
        <w:rPr>
          <w:sz w:val="20"/>
        </w:rPr>
        <w:t xml:space="preserve"> </w:t>
      </w:r>
      <w:r w:rsidRPr="00CA4E82">
        <w:rPr>
          <w:sz w:val="18"/>
          <w:szCs w:val="18"/>
        </w:rPr>
        <w:t>Compiled from studies reviewed by NZ MfE (2011), ATSDR (2007), US EPA (2006, 2013), NTP (2012), NIWL (2005).</w:t>
      </w:r>
      <w:r w:rsidR="00CA4E82" w:rsidRPr="00CA4E82">
        <w:rPr>
          <w:sz w:val="18"/>
          <w:szCs w:val="18"/>
        </w:rPr>
        <w:t xml:space="preserve"> </w:t>
      </w:r>
      <w:r w:rsidR="00723BD5">
        <w:rPr>
          <w:sz w:val="18"/>
          <w:szCs w:val="18"/>
        </w:rPr>
        <w:t>Light grey</w:t>
      </w:r>
      <w:r w:rsidR="00AE3FD1">
        <w:rPr>
          <w:sz w:val="18"/>
          <w:szCs w:val="18"/>
        </w:rPr>
        <w:t xml:space="preserve"> s</w:t>
      </w:r>
      <w:r w:rsidR="00CA4E82" w:rsidRPr="00CA4E82">
        <w:rPr>
          <w:sz w:val="18"/>
          <w:szCs w:val="18"/>
        </w:rPr>
        <w:t>hading indicates health effects have been observed at or above this PbB concentration.</w:t>
      </w:r>
      <w:r w:rsidR="00CA4E82">
        <w:rPr>
          <w:sz w:val="20"/>
        </w:rPr>
        <w:t xml:space="preserve"> </w:t>
      </w:r>
      <w:r w:rsidR="00B35CF7">
        <w:rPr>
          <w:sz w:val="18"/>
          <w:szCs w:val="18"/>
        </w:rPr>
        <w:t>Solid b</w:t>
      </w:r>
      <w:r w:rsidR="00723BD5">
        <w:rPr>
          <w:sz w:val="18"/>
          <w:szCs w:val="18"/>
        </w:rPr>
        <w:t>lack</w:t>
      </w:r>
      <w:r w:rsidR="00BC0BC4">
        <w:rPr>
          <w:sz w:val="18"/>
          <w:szCs w:val="18"/>
        </w:rPr>
        <w:t xml:space="preserve"> shading indicates the health effects considered </w:t>
      </w:r>
      <w:r w:rsidR="00726483">
        <w:rPr>
          <w:sz w:val="18"/>
          <w:szCs w:val="18"/>
        </w:rPr>
        <w:t>by US EPA (2013) to have sufficient supporting evidence to indicate causality (‘causal’ or ‘likely causal’) by lead exposure.</w:t>
      </w:r>
      <w:r w:rsidR="001401E6" w:rsidRPr="001401E6">
        <w:t xml:space="preserve"> </w:t>
      </w:r>
      <w:r w:rsidR="001401E6" w:rsidRPr="001401E6">
        <w:rPr>
          <w:sz w:val="18"/>
          <w:szCs w:val="18"/>
        </w:rPr>
        <w:t>Bl</w:t>
      </w:r>
      <w:r w:rsidR="00185D5A">
        <w:rPr>
          <w:sz w:val="18"/>
          <w:szCs w:val="18"/>
        </w:rPr>
        <w:t>ank cells indicate that there are</w:t>
      </w:r>
      <w:r w:rsidR="001401E6" w:rsidRPr="001401E6">
        <w:rPr>
          <w:sz w:val="18"/>
          <w:szCs w:val="18"/>
        </w:rPr>
        <w:t xml:space="preserve"> either no data or no observed effect.</w:t>
      </w:r>
      <w:r w:rsidR="00726483">
        <w:rPr>
          <w:sz w:val="18"/>
          <w:szCs w:val="18"/>
        </w:rPr>
        <w:t xml:space="preserve"> </w:t>
      </w:r>
    </w:p>
    <w:p w:rsidR="000A6361" w:rsidRDefault="00AC6C67" w:rsidP="00AC6C67">
      <w:pPr>
        <w:spacing w:line="240" w:lineRule="auto"/>
        <w:rPr>
          <w:sz w:val="18"/>
          <w:szCs w:val="18"/>
        </w:rPr>
      </w:pPr>
      <w:r>
        <w:rPr>
          <w:sz w:val="24"/>
          <w:szCs w:val="24"/>
          <w:vertAlign w:val="superscript"/>
        </w:rPr>
        <w:t>b</w:t>
      </w:r>
      <w:r>
        <w:rPr>
          <w:sz w:val="18"/>
          <w:szCs w:val="18"/>
        </w:rPr>
        <w:t xml:space="preserve"> </w:t>
      </w:r>
      <w:r w:rsidR="00D50951">
        <w:rPr>
          <w:sz w:val="18"/>
          <w:szCs w:val="18"/>
        </w:rPr>
        <w:t xml:space="preserve">Barth et al. 2002, Bleecker et al. 1997, </w:t>
      </w:r>
      <w:r w:rsidR="00626F62">
        <w:rPr>
          <w:sz w:val="18"/>
          <w:szCs w:val="18"/>
        </w:rPr>
        <w:t xml:space="preserve">2007a, b; </w:t>
      </w:r>
      <w:r w:rsidR="00D50951">
        <w:rPr>
          <w:sz w:val="18"/>
          <w:szCs w:val="18"/>
        </w:rPr>
        <w:t xml:space="preserve">Chia et al. 1996a, b, 1997; Chuang et al. 2000, </w:t>
      </w:r>
      <w:r>
        <w:rPr>
          <w:sz w:val="18"/>
          <w:szCs w:val="18"/>
        </w:rPr>
        <w:t xml:space="preserve">Ehle and McKee 1990, </w:t>
      </w:r>
      <w:r w:rsidR="00D50951">
        <w:rPr>
          <w:sz w:val="18"/>
          <w:szCs w:val="18"/>
        </w:rPr>
        <w:t xml:space="preserve">Goodman et al. 2002, 2003; </w:t>
      </w:r>
      <w:r w:rsidR="00D50951" w:rsidRPr="00DA4F10">
        <w:rPr>
          <w:sz w:val="18"/>
          <w:szCs w:val="18"/>
        </w:rPr>
        <w:t>Hänninen</w:t>
      </w:r>
      <w:r w:rsidR="00D50951">
        <w:rPr>
          <w:sz w:val="18"/>
          <w:szCs w:val="18"/>
        </w:rPr>
        <w:t xml:space="preserve"> et al. 1998, </w:t>
      </w:r>
      <w:r w:rsidR="000A6361">
        <w:rPr>
          <w:sz w:val="18"/>
          <w:szCs w:val="18"/>
        </w:rPr>
        <w:t xml:space="preserve">   </w:t>
      </w:r>
    </w:p>
    <w:p w:rsidR="000A6361" w:rsidRDefault="000A6361" w:rsidP="00AC6C67">
      <w:pPr>
        <w:spacing w:line="240" w:lineRule="auto"/>
        <w:rPr>
          <w:sz w:val="18"/>
          <w:szCs w:val="18"/>
        </w:rPr>
      </w:pPr>
      <w:r>
        <w:rPr>
          <w:sz w:val="18"/>
          <w:szCs w:val="18"/>
        </w:rPr>
        <w:t xml:space="preserve">   </w:t>
      </w:r>
      <w:r w:rsidR="00D50951">
        <w:rPr>
          <w:sz w:val="18"/>
          <w:szCs w:val="18"/>
        </w:rPr>
        <w:t xml:space="preserve">Hirata and Kosaka 1993, Kovala et al. 1997, Lee et al. 2000, Lindgren et al. 1996, Maizlish et al. 1995, Meyer-Baron and Seeber 2000, Murata and Araki 1991, Murata et al. </w:t>
      </w:r>
      <w:r>
        <w:rPr>
          <w:sz w:val="18"/>
          <w:szCs w:val="18"/>
        </w:rPr>
        <w:t xml:space="preserve">  </w:t>
      </w:r>
    </w:p>
    <w:p w:rsidR="00032E40" w:rsidRDefault="000A6361" w:rsidP="00AC6C67">
      <w:pPr>
        <w:spacing w:line="240" w:lineRule="auto"/>
        <w:rPr>
          <w:sz w:val="18"/>
          <w:szCs w:val="18"/>
        </w:rPr>
      </w:pPr>
      <w:r>
        <w:rPr>
          <w:sz w:val="18"/>
          <w:szCs w:val="18"/>
        </w:rPr>
        <w:t xml:space="preserve">   </w:t>
      </w:r>
      <w:r w:rsidR="00D50951">
        <w:rPr>
          <w:sz w:val="18"/>
          <w:szCs w:val="18"/>
        </w:rPr>
        <w:t xml:space="preserve">1993, Pfister et al. 1999, Schwartz et al. 2001, Seeber et al. 2002, Solliway et al. 1994, </w:t>
      </w:r>
      <w:r w:rsidR="00CA4E82">
        <w:rPr>
          <w:sz w:val="18"/>
          <w:szCs w:val="18"/>
        </w:rPr>
        <w:t xml:space="preserve">Stollery et al. 1991, </w:t>
      </w:r>
      <w:r w:rsidR="00D50951">
        <w:rPr>
          <w:sz w:val="18"/>
          <w:szCs w:val="18"/>
        </w:rPr>
        <w:t>Yeh et al. 1995, Yokoyama et al. 1988, 1998;</w:t>
      </w:r>
    </w:p>
    <w:p w:rsidR="00C47DB5" w:rsidRDefault="00032E40" w:rsidP="0088030B">
      <w:pPr>
        <w:spacing w:line="240" w:lineRule="auto"/>
        <w:ind w:left="142" w:hanging="142"/>
        <w:rPr>
          <w:sz w:val="18"/>
          <w:szCs w:val="18"/>
        </w:rPr>
      </w:pPr>
      <w:r>
        <w:rPr>
          <w:sz w:val="24"/>
          <w:szCs w:val="24"/>
          <w:vertAlign w:val="superscript"/>
        </w:rPr>
        <w:t>c</w:t>
      </w:r>
      <w:r>
        <w:rPr>
          <w:sz w:val="18"/>
          <w:szCs w:val="18"/>
        </w:rPr>
        <w:t xml:space="preserve"> </w:t>
      </w:r>
      <w:r w:rsidR="000A6361">
        <w:rPr>
          <w:sz w:val="18"/>
          <w:szCs w:val="18"/>
        </w:rPr>
        <w:t>Chen et al. 2013, Dongre et al. 2013</w:t>
      </w:r>
      <w:r w:rsidR="00F41186">
        <w:rPr>
          <w:sz w:val="18"/>
          <w:szCs w:val="18"/>
        </w:rPr>
        <w:t xml:space="preserve"> (no PbB in abstract)</w:t>
      </w:r>
      <w:r w:rsidR="000A6361">
        <w:rPr>
          <w:sz w:val="18"/>
          <w:szCs w:val="18"/>
        </w:rPr>
        <w:t xml:space="preserve">, </w:t>
      </w:r>
      <w:r w:rsidR="00E0096D">
        <w:rPr>
          <w:sz w:val="18"/>
          <w:szCs w:val="18"/>
        </w:rPr>
        <w:t xml:space="preserve">Glenn et al. 2006, </w:t>
      </w:r>
      <w:r w:rsidR="0001725E">
        <w:rPr>
          <w:sz w:val="18"/>
          <w:szCs w:val="18"/>
        </w:rPr>
        <w:t xml:space="preserve">Khan et al. 2008, </w:t>
      </w:r>
      <w:r w:rsidR="00D50951">
        <w:rPr>
          <w:sz w:val="18"/>
          <w:szCs w:val="18"/>
        </w:rPr>
        <w:t xml:space="preserve">Murata and Araki 1991, Murata et al. 1993, 1995; </w:t>
      </w:r>
      <w:r w:rsidR="000E40B8">
        <w:rPr>
          <w:sz w:val="18"/>
          <w:szCs w:val="18"/>
        </w:rPr>
        <w:t xml:space="preserve">Nawrot et al. 2002, </w:t>
      </w:r>
      <w:r w:rsidR="00986B4E" w:rsidRPr="00986B4E">
        <w:rPr>
          <w:sz w:val="18"/>
          <w:szCs w:val="18"/>
        </w:rPr>
        <w:t xml:space="preserve">Poręba </w:t>
      </w:r>
      <w:r w:rsidR="00986B4E">
        <w:rPr>
          <w:sz w:val="18"/>
          <w:szCs w:val="18"/>
        </w:rPr>
        <w:t xml:space="preserve">et al </w:t>
      </w:r>
      <w:r w:rsidR="0088030B">
        <w:rPr>
          <w:sz w:val="18"/>
          <w:szCs w:val="18"/>
        </w:rPr>
        <w:t xml:space="preserve">2010, </w:t>
      </w:r>
      <w:r w:rsidR="00986B4E">
        <w:rPr>
          <w:sz w:val="18"/>
          <w:szCs w:val="18"/>
        </w:rPr>
        <w:t xml:space="preserve">2011a, b, 2013; </w:t>
      </w:r>
      <w:r w:rsidR="0088030B">
        <w:rPr>
          <w:sz w:val="18"/>
          <w:szCs w:val="18"/>
        </w:rPr>
        <w:t xml:space="preserve">Santos et al. 1994, </w:t>
      </w:r>
      <w:r w:rsidR="00D50951">
        <w:rPr>
          <w:sz w:val="18"/>
          <w:szCs w:val="18"/>
        </w:rPr>
        <w:t>Teruya et al. 1991</w:t>
      </w:r>
      <w:r w:rsidR="005E7746">
        <w:rPr>
          <w:sz w:val="18"/>
          <w:szCs w:val="18"/>
        </w:rPr>
        <w:t xml:space="preserve">, Zeqiri et al. 2012 (no PbB provided). </w:t>
      </w:r>
    </w:p>
    <w:p w:rsidR="00AC6C67" w:rsidRDefault="00C47DB5" w:rsidP="00123826">
      <w:pPr>
        <w:spacing w:line="240" w:lineRule="auto"/>
        <w:ind w:left="142" w:hanging="142"/>
        <w:rPr>
          <w:sz w:val="18"/>
          <w:szCs w:val="18"/>
        </w:rPr>
      </w:pPr>
      <w:r>
        <w:rPr>
          <w:sz w:val="24"/>
          <w:szCs w:val="24"/>
          <w:vertAlign w:val="superscript"/>
        </w:rPr>
        <w:t>d</w:t>
      </w:r>
      <w:r>
        <w:rPr>
          <w:sz w:val="18"/>
          <w:szCs w:val="18"/>
        </w:rPr>
        <w:t xml:space="preserve"> </w:t>
      </w:r>
      <w:r w:rsidR="0063483C" w:rsidRPr="0063483C">
        <w:rPr>
          <w:sz w:val="18"/>
          <w:szCs w:val="18"/>
        </w:rPr>
        <w:t xml:space="preserve">Ademuyiwa </w:t>
      </w:r>
      <w:r w:rsidR="0063483C">
        <w:rPr>
          <w:sz w:val="18"/>
          <w:szCs w:val="18"/>
        </w:rPr>
        <w:t xml:space="preserve">et al. 2005, </w:t>
      </w:r>
      <w:r w:rsidR="00FD06B7">
        <w:rPr>
          <w:sz w:val="18"/>
          <w:szCs w:val="18"/>
        </w:rPr>
        <w:t xml:space="preserve">Conterato et al. 2013, </w:t>
      </w:r>
      <w:r w:rsidR="00D87451">
        <w:rPr>
          <w:sz w:val="18"/>
          <w:szCs w:val="18"/>
        </w:rPr>
        <w:t>Costa et al. 1997</w:t>
      </w:r>
      <w:r w:rsidR="00D50951">
        <w:rPr>
          <w:sz w:val="18"/>
          <w:szCs w:val="18"/>
        </w:rPr>
        <w:t xml:space="preserve">, </w:t>
      </w:r>
      <w:r w:rsidR="00123826">
        <w:rPr>
          <w:sz w:val="18"/>
          <w:szCs w:val="18"/>
        </w:rPr>
        <w:t xml:space="preserve">Feksa et al. 2012, </w:t>
      </w:r>
      <w:r w:rsidR="001F1A21">
        <w:rPr>
          <w:sz w:val="18"/>
          <w:szCs w:val="18"/>
        </w:rPr>
        <w:t xml:space="preserve">Garcia-Leston et al. 2012b, </w:t>
      </w:r>
      <w:r w:rsidR="00D50951">
        <w:rPr>
          <w:sz w:val="18"/>
          <w:szCs w:val="18"/>
        </w:rPr>
        <w:t>Gennart et al. 1992</w:t>
      </w:r>
      <w:r w:rsidR="00532780">
        <w:rPr>
          <w:sz w:val="18"/>
          <w:szCs w:val="18"/>
        </w:rPr>
        <w:t xml:space="preserve"> (association not significant)</w:t>
      </w:r>
      <w:r w:rsidR="0001725E">
        <w:rPr>
          <w:sz w:val="18"/>
          <w:szCs w:val="18"/>
        </w:rPr>
        <w:t xml:space="preserve">, Karita et al. 2005, Khan et al. 2008, </w:t>
      </w:r>
      <w:r w:rsidR="00C70F68">
        <w:rPr>
          <w:sz w:val="18"/>
          <w:szCs w:val="18"/>
        </w:rPr>
        <w:t xml:space="preserve">Mohammed et al. 2008, </w:t>
      </w:r>
      <w:r w:rsidR="0001725E">
        <w:rPr>
          <w:sz w:val="18"/>
          <w:szCs w:val="18"/>
        </w:rPr>
        <w:t>Patil et al. 2006</w:t>
      </w:r>
      <w:r w:rsidR="00D87451">
        <w:rPr>
          <w:sz w:val="18"/>
          <w:szCs w:val="18"/>
        </w:rPr>
        <w:t>.</w:t>
      </w:r>
      <w:r w:rsidR="00283E5D">
        <w:rPr>
          <w:sz w:val="18"/>
          <w:szCs w:val="18"/>
        </w:rPr>
        <w:t xml:space="preserve"> </w:t>
      </w:r>
    </w:p>
    <w:p w:rsidR="00D50951" w:rsidRDefault="00D50951" w:rsidP="00AC6C67">
      <w:pPr>
        <w:spacing w:line="240" w:lineRule="auto"/>
        <w:rPr>
          <w:sz w:val="18"/>
          <w:szCs w:val="18"/>
        </w:rPr>
      </w:pPr>
      <w:r>
        <w:rPr>
          <w:sz w:val="24"/>
          <w:szCs w:val="24"/>
          <w:vertAlign w:val="superscript"/>
        </w:rPr>
        <w:t>e</w:t>
      </w:r>
      <w:r w:rsidR="007F0508">
        <w:rPr>
          <w:sz w:val="24"/>
          <w:szCs w:val="24"/>
          <w:vertAlign w:val="superscript"/>
        </w:rPr>
        <w:t xml:space="preserve"> </w:t>
      </w:r>
      <w:r>
        <w:rPr>
          <w:sz w:val="18"/>
          <w:szCs w:val="18"/>
        </w:rPr>
        <w:t xml:space="preserve">Chia et al. </w:t>
      </w:r>
      <w:r w:rsidR="007F0508">
        <w:rPr>
          <w:sz w:val="18"/>
          <w:szCs w:val="18"/>
        </w:rPr>
        <w:t xml:space="preserve">1994, </w:t>
      </w:r>
      <w:r>
        <w:rPr>
          <w:sz w:val="18"/>
          <w:szCs w:val="18"/>
        </w:rPr>
        <w:t>1995</w:t>
      </w:r>
      <w:r w:rsidR="007F0508">
        <w:rPr>
          <w:sz w:val="18"/>
          <w:szCs w:val="18"/>
        </w:rPr>
        <w:t>;</w:t>
      </w:r>
      <w:r>
        <w:rPr>
          <w:sz w:val="18"/>
          <w:szCs w:val="18"/>
        </w:rPr>
        <w:t xml:space="preserve"> </w:t>
      </w:r>
      <w:r w:rsidR="007F0508">
        <w:rPr>
          <w:sz w:val="18"/>
          <w:szCs w:val="18"/>
        </w:rPr>
        <w:t xml:space="preserve">Ehrlich et al. 1998, </w:t>
      </w:r>
      <w:r w:rsidR="007E143F">
        <w:rPr>
          <w:sz w:val="18"/>
          <w:szCs w:val="18"/>
        </w:rPr>
        <w:t>Kumar and Krish</w:t>
      </w:r>
      <w:r w:rsidR="007F0508">
        <w:rPr>
          <w:sz w:val="18"/>
          <w:szCs w:val="18"/>
        </w:rPr>
        <w:t>a</w:t>
      </w:r>
      <w:r w:rsidR="007E143F">
        <w:rPr>
          <w:sz w:val="18"/>
          <w:szCs w:val="18"/>
        </w:rPr>
        <w:t>naswam</w:t>
      </w:r>
      <w:r w:rsidR="007F0508">
        <w:rPr>
          <w:sz w:val="18"/>
          <w:szCs w:val="18"/>
        </w:rPr>
        <w:t xml:space="preserve">y 1995, </w:t>
      </w:r>
      <w:r>
        <w:rPr>
          <w:sz w:val="18"/>
          <w:szCs w:val="18"/>
        </w:rPr>
        <w:t xml:space="preserve">Santos et al. 1994, </w:t>
      </w:r>
      <w:r w:rsidR="007F0508">
        <w:rPr>
          <w:sz w:val="18"/>
          <w:szCs w:val="18"/>
        </w:rPr>
        <w:t>Tell et al. 1998, Weaver et al. 2002.</w:t>
      </w:r>
    </w:p>
    <w:p w:rsidR="0081529E" w:rsidRDefault="0081529E" w:rsidP="00A0576D">
      <w:pPr>
        <w:spacing w:line="240" w:lineRule="auto"/>
        <w:rPr>
          <w:sz w:val="18"/>
          <w:szCs w:val="18"/>
        </w:rPr>
      </w:pPr>
      <w:r>
        <w:rPr>
          <w:sz w:val="24"/>
          <w:szCs w:val="24"/>
          <w:vertAlign w:val="superscript"/>
        </w:rPr>
        <w:t>f</w:t>
      </w:r>
      <w:r>
        <w:rPr>
          <w:sz w:val="18"/>
          <w:szCs w:val="18"/>
        </w:rPr>
        <w:t xml:space="preserve"> Lucchini et al. 2000, Manzo et al. 1996.</w:t>
      </w:r>
      <w:r w:rsidR="00A0576D">
        <w:rPr>
          <w:sz w:val="18"/>
          <w:szCs w:val="18"/>
        </w:rPr>
        <w:t xml:space="preserve"> </w:t>
      </w:r>
      <w:r>
        <w:rPr>
          <w:sz w:val="18"/>
          <w:szCs w:val="18"/>
        </w:rPr>
        <w:t xml:space="preserve"> </w:t>
      </w:r>
    </w:p>
    <w:p w:rsidR="001D761E" w:rsidRDefault="001D761E" w:rsidP="00AC6C67">
      <w:pPr>
        <w:spacing w:line="240" w:lineRule="auto"/>
        <w:rPr>
          <w:sz w:val="18"/>
          <w:szCs w:val="18"/>
        </w:rPr>
      </w:pPr>
      <w:r>
        <w:rPr>
          <w:sz w:val="24"/>
          <w:szCs w:val="24"/>
          <w:vertAlign w:val="superscript"/>
        </w:rPr>
        <w:t>g</w:t>
      </w:r>
      <w:r>
        <w:rPr>
          <w:sz w:val="18"/>
          <w:szCs w:val="18"/>
        </w:rPr>
        <w:t xml:space="preserve"> </w:t>
      </w:r>
      <w:r w:rsidR="00CF605B">
        <w:rPr>
          <w:sz w:val="18"/>
          <w:szCs w:val="18"/>
        </w:rPr>
        <w:t xml:space="preserve">El-Fawal et al. 1999, Ewers et al. 1982, </w:t>
      </w:r>
      <w:r>
        <w:rPr>
          <w:sz w:val="18"/>
          <w:szCs w:val="18"/>
        </w:rPr>
        <w:t xml:space="preserve">Fischbein et al. 1993, </w:t>
      </w:r>
      <w:r w:rsidR="0082111A">
        <w:rPr>
          <w:sz w:val="18"/>
          <w:szCs w:val="18"/>
        </w:rPr>
        <w:t>Garcia-Leston et al. 2012</w:t>
      </w:r>
      <w:r w:rsidR="00123826">
        <w:rPr>
          <w:sz w:val="18"/>
          <w:szCs w:val="18"/>
        </w:rPr>
        <w:t>a</w:t>
      </w:r>
      <w:r w:rsidR="0082111A">
        <w:rPr>
          <w:sz w:val="18"/>
          <w:szCs w:val="18"/>
        </w:rPr>
        <w:t xml:space="preserve">, </w:t>
      </w:r>
      <w:r>
        <w:rPr>
          <w:sz w:val="18"/>
          <w:szCs w:val="18"/>
        </w:rPr>
        <w:t>Horiguchi et al. 1992, McCabe 1994.</w:t>
      </w:r>
    </w:p>
    <w:p w:rsidR="00A73A06" w:rsidRPr="00A73A06" w:rsidRDefault="0015026D" w:rsidP="00AB0C90">
      <w:pPr>
        <w:spacing w:line="240" w:lineRule="auto"/>
        <w:ind w:left="142" w:hanging="142"/>
        <w:rPr>
          <w:sz w:val="18"/>
          <w:szCs w:val="18"/>
        </w:rPr>
      </w:pPr>
      <w:r>
        <w:rPr>
          <w:sz w:val="24"/>
          <w:szCs w:val="24"/>
          <w:vertAlign w:val="superscript"/>
        </w:rPr>
        <w:t>h</w:t>
      </w:r>
      <w:r>
        <w:rPr>
          <w:sz w:val="18"/>
          <w:szCs w:val="18"/>
        </w:rPr>
        <w:t xml:space="preserve"> </w:t>
      </w:r>
      <w:r w:rsidR="00A73A06">
        <w:rPr>
          <w:sz w:val="18"/>
          <w:szCs w:val="18"/>
        </w:rPr>
        <w:t xml:space="preserve">Alexander et al. 1998, Bonde et al. 2002, Erfurth et al. 2001, </w:t>
      </w:r>
      <w:r w:rsidR="00AB0C90">
        <w:rPr>
          <w:sz w:val="18"/>
          <w:szCs w:val="18"/>
        </w:rPr>
        <w:t xml:space="preserve">Hosni et al. 2013, </w:t>
      </w:r>
      <w:r w:rsidR="0079327B">
        <w:rPr>
          <w:sz w:val="18"/>
          <w:szCs w:val="18"/>
        </w:rPr>
        <w:t xml:space="preserve">Hsu et al. 2009, </w:t>
      </w:r>
      <w:r w:rsidR="0075343F">
        <w:rPr>
          <w:sz w:val="18"/>
          <w:szCs w:val="18"/>
        </w:rPr>
        <w:t xml:space="preserve">Kasperczyk et al. 2008, </w:t>
      </w:r>
      <w:r w:rsidR="00A73A06">
        <w:rPr>
          <w:sz w:val="18"/>
          <w:szCs w:val="18"/>
        </w:rPr>
        <w:t xml:space="preserve">Lerda 1992, </w:t>
      </w:r>
      <w:r w:rsidR="0079327B">
        <w:rPr>
          <w:sz w:val="18"/>
          <w:szCs w:val="18"/>
        </w:rPr>
        <w:t xml:space="preserve">Naha and Chowdhury 2006, Naha and Manna 2007, </w:t>
      </w:r>
      <w:r w:rsidR="00AB0C90">
        <w:rPr>
          <w:sz w:val="18"/>
          <w:szCs w:val="18"/>
        </w:rPr>
        <w:t>Ng et</w:t>
      </w:r>
      <w:r w:rsidR="000A6361">
        <w:rPr>
          <w:sz w:val="18"/>
          <w:szCs w:val="18"/>
        </w:rPr>
        <w:t xml:space="preserve"> </w:t>
      </w:r>
      <w:r w:rsidR="00A73A06">
        <w:rPr>
          <w:sz w:val="18"/>
          <w:szCs w:val="18"/>
        </w:rPr>
        <w:t>al. 1991, Telisman et al. 2000.</w:t>
      </w:r>
    </w:p>
    <w:p w:rsidR="00463C46" w:rsidRDefault="0015026D" w:rsidP="00AC6C67">
      <w:pPr>
        <w:spacing w:line="240" w:lineRule="auto"/>
        <w:rPr>
          <w:sz w:val="18"/>
          <w:szCs w:val="18"/>
        </w:rPr>
      </w:pPr>
      <w:r>
        <w:rPr>
          <w:sz w:val="24"/>
          <w:szCs w:val="24"/>
          <w:vertAlign w:val="superscript"/>
        </w:rPr>
        <w:t>i</w:t>
      </w:r>
      <w:r>
        <w:rPr>
          <w:sz w:val="18"/>
          <w:szCs w:val="18"/>
        </w:rPr>
        <w:t xml:space="preserve"> </w:t>
      </w:r>
      <w:r w:rsidR="00463C46">
        <w:rPr>
          <w:sz w:val="18"/>
          <w:szCs w:val="18"/>
        </w:rPr>
        <w:t xml:space="preserve">Duydu et al. 2001, </w:t>
      </w:r>
      <w:r w:rsidR="001F1A21">
        <w:rPr>
          <w:sz w:val="18"/>
          <w:szCs w:val="18"/>
        </w:rPr>
        <w:t xml:space="preserve">Garcia-Leston et al. 2012b, </w:t>
      </w:r>
      <w:r w:rsidR="00CD7CC0">
        <w:rPr>
          <w:sz w:val="18"/>
          <w:szCs w:val="18"/>
        </w:rPr>
        <w:t>Kasuba et al. 2012, Singh et al. 2013</w:t>
      </w:r>
      <w:r w:rsidR="00A3346F">
        <w:rPr>
          <w:sz w:val="18"/>
          <w:szCs w:val="18"/>
        </w:rPr>
        <w:t xml:space="preserve"> (no PbB in abstract)</w:t>
      </w:r>
      <w:r w:rsidR="00CD7CC0">
        <w:rPr>
          <w:sz w:val="18"/>
          <w:szCs w:val="18"/>
        </w:rPr>
        <w:t xml:space="preserve">, </w:t>
      </w:r>
      <w:r w:rsidR="00463C46">
        <w:rPr>
          <w:sz w:val="18"/>
          <w:szCs w:val="18"/>
        </w:rPr>
        <w:t xml:space="preserve">Vagenlov et al. 1998, 2001; Wu et al. 2002. </w:t>
      </w:r>
    </w:p>
    <w:p w:rsidR="00A9538F" w:rsidRDefault="0015026D" w:rsidP="00AD02CD">
      <w:pPr>
        <w:spacing w:line="240" w:lineRule="auto"/>
        <w:ind w:left="142" w:hanging="142"/>
        <w:rPr>
          <w:sz w:val="18"/>
          <w:szCs w:val="18"/>
        </w:rPr>
      </w:pPr>
      <w:r>
        <w:rPr>
          <w:sz w:val="24"/>
          <w:szCs w:val="24"/>
          <w:vertAlign w:val="superscript"/>
        </w:rPr>
        <w:t>j</w:t>
      </w:r>
      <w:r>
        <w:rPr>
          <w:sz w:val="18"/>
          <w:szCs w:val="18"/>
        </w:rPr>
        <w:t xml:space="preserve"> </w:t>
      </w:r>
      <w:r w:rsidR="00790556">
        <w:rPr>
          <w:sz w:val="18"/>
          <w:szCs w:val="18"/>
        </w:rPr>
        <w:t xml:space="preserve">There is consistent evidence of </w:t>
      </w:r>
      <w:r w:rsidR="00E143F5">
        <w:rPr>
          <w:sz w:val="18"/>
          <w:szCs w:val="18"/>
        </w:rPr>
        <w:t xml:space="preserve">renal </w:t>
      </w:r>
      <w:r w:rsidR="00790556">
        <w:rPr>
          <w:sz w:val="18"/>
          <w:szCs w:val="18"/>
        </w:rPr>
        <w:t>tumour development across multiple toxicology experiments</w:t>
      </w:r>
      <w:r w:rsidR="00AD02CD">
        <w:rPr>
          <w:sz w:val="18"/>
          <w:szCs w:val="18"/>
        </w:rPr>
        <w:t xml:space="preserve"> in rodents </w:t>
      </w:r>
      <w:r w:rsidR="00790556">
        <w:rPr>
          <w:sz w:val="18"/>
          <w:szCs w:val="18"/>
        </w:rPr>
        <w:t>which were</w:t>
      </w:r>
      <w:r w:rsidR="00937D19">
        <w:rPr>
          <w:sz w:val="18"/>
          <w:szCs w:val="18"/>
        </w:rPr>
        <w:t xml:space="preserve"> fed diets or received drinking water containing </w:t>
      </w:r>
      <w:r w:rsidR="00BE2EAA">
        <w:rPr>
          <w:sz w:val="18"/>
          <w:szCs w:val="18"/>
        </w:rPr>
        <w:t>l</w:t>
      </w:r>
      <w:r w:rsidR="00637B4C">
        <w:rPr>
          <w:sz w:val="18"/>
          <w:szCs w:val="18"/>
        </w:rPr>
        <w:t>ead</w:t>
      </w:r>
      <w:r w:rsidR="00BE2EAA">
        <w:rPr>
          <w:sz w:val="18"/>
          <w:szCs w:val="18"/>
        </w:rPr>
        <w:t xml:space="preserve"> </w:t>
      </w:r>
      <w:r w:rsidR="00937D19">
        <w:rPr>
          <w:sz w:val="18"/>
          <w:szCs w:val="18"/>
        </w:rPr>
        <w:t>acetate.</w:t>
      </w:r>
      <w:r w:rsidR="00790556">
        <w:rPr>
          <w:sz w:val="18"/>
          <w:szCs w:val="18"/>
        </w:rPr>
        <w:t xml:space="preserve"> </w:t>
      </w:r>
      <w:r w:rsidR="00AD02CD">
        <w:rPr>
          <w:sz w:val="18"/>
          <w:szCs w:val="18"/>
        </w:rPr>
        <w:t xml:space="preserve">In a series of epidemiological studies, </w:t>
      </w:r>
      <w:r w:rsidR="00BE2EAA">
        <w:rPr>
          <w:sz w:val="18"/>
          <w:szCs w:val="18"/>
        </w:rPr>
        <w:t>l</w:t>
      </w:r>
      <w:r w:rsidR="00637B4C">
        <w:rPr>
          <w:sz w:val="18"/>
          <w:szCs w:val="18"/>
        </w:rPr>
        <w:t>ead</w:t>
      </w:r>
      <w:r w:rsidR="00BE2EAA">
        <w:rPr>
          <w:sz w:val="18"/>
          <w:szCs w:val="18"/>
        </w:rPr>
        <w:t xml:space="preserve"> </w:t>
      </w:r>
      <w:r w:rsidR="00AD02CD">
        <w:rPr>
          <w:sz w:val="18"/>
          <w:szCs w:val="18"/>
        </w:rPr>
        <w:t xml:space="preserve">workers had increased risks of total, kidney, lung or stomach cancers. In </w:t>
      </w:r>
      <w:r w:rsidR="00754780" w:rsidRPr="00F767AA">
        <w:rPr>
          <w:sz w:val="18"/>
          <w:szCs w:val="18"/>
        </w:rPr>
        <w:t>m</w:t>
      </w:r>
      <w:r w:rsidR="00C069D2" w:rsidRPr="00F767AA">
        <w:rPr>
          <w:sz w:val="18"/>
          <w:szCs w:val="18"/>
        </w:rPr>
        <w:t>any</w:t>
      </w:r>
      <w:r w:rsidR="00AD02CD">
        <w:rPr>
          <w:sz w:val="18"/>
          <w:szCs w:val="18"/>
        </w:rPr>
        <w:t xml:space="preserve"> of these studies the workers had high exposures (mean PbB &gt; </w:t>
      </w:r>
      <w:r w:rsidR="00E143F5">
        <w:rPr>
          <w:sz w:val="18"/>
          <w:szCs w:val="18"/>
        </w:rPr>
        <w:t>5</w:t>
      </w:r>
      <w:r w:rsidR="00AD02CD">
        <w:rPr>
          <w:sz w:val="18"/>
          <w:szCs w:val="18"/>
        </w:rPr>
        <w:t xml:space="preserve">0 </w:t>
      </w:r>
      <w:r w:rsidR="00AD02CD" w:rsidRPr="00AD02CD">
        <w:rPr>
          <w:rFonts w:cs="Arial"/>
          <w:sz w:val="18"/>
          <w:szCs w:val="18"/>
        </w:rPr>
        <w:t>µ</w:t>
      </w:r>
      <w:r w:rsidR="00AD02CD">
        <w:rPr>
          <w:sz w:val="18"/>
          <w:szCs w:val="18"/>
        </w:rPr>
        <w:t xml:space="preserve">g/dL). However, the pattern is not consistent and there are problems in terms of confounding (e.g. concomitant exposures to </w:t>
      </w:r>
      <w:r w:rsidR="000A6B2C">
        <w:rPr>
          <w:sz w:val="18"/>
          <w:szCs w:val="18"/>
        </w:rPr>
        <w:t>arsenic</w:t>
      </w:r>
      <w:r w:rsidR="00C069D2">
        <w:rPr>
          <w:sz w:val="18"/>
          <w:szCs w:val="18"/>
        </w:rPr>
        <w:t xml:space="preserve"> </w:t>
      </w:r>
      <w:r w:rsidR="00AD02CD">
        <w:rPr>
          <w:sz w:val="18"/>
          <w:szCs w:val="18"/>
        </w:rPr>
        <w:t xml:space="preserve">and </w:t>
      </w:r>
      <w:r w:rsidR="000A6B2C">
        <w:rPr>
          <w:sz w:val="18"/>
          <w:szCs w:val="18"/>
        </w:rPr>
        <w:t>cadmium</w:t>
      </w:r>
      <w:r w:rsidR="00AD02CD">
        <w:rPr>
          <w:sz w:val="18"/>
          <w:szCs w:val="18"/>
        </w:rPr>
        <w:t>, smoking, etc</w:t>
      </w:r>
      <w:r w:rsidR="00F00F3A">
        <w:rPr>
          <w:sz w:val="18"/>
          <w:szCs w:val="18"/>
        </w:rPr>
        <w:t>.</w:t>
      </w:r>
      <w:r w:rsidR="00AD02CD">
        <w:rPr>
          <w:sz w:val="18"/>
          <w:szCs w:val="18"/>
        </w:rPr>
        <w:t>) (NIWL 2005</w:t>
      </w:r>
      <w:r w:rsidR="00937D19">
        <w:rPr>
          <w:sz w:val="18"/>
          <w:szCs w:val="18"/>
        </w:rPr>
        <w:t>, US EPA 2013</w:t>
      </w:r>
      <w:r w:rsidR="00195C1B">
        <w:rPr>
          <w:sz w:val="18"/>
          <w:szCs w:val="18"/>
        </w:rPr>
        <w:t>, IARC 2006</w:t>
      </w:r>
      <w:r w:rsidR="00AD02CD">
        <w:rPr>
          <w:sz w:val="18"/>
          <w:szCs w:val="18"/>
        </w:rPr>
        <w:t>).</w:t>
      </w:r>
      <w:r w:rsidR="00195C1B">
        <w:rPr>
          <w:sz w:val="18"/>
          <w:szCs w:val="18"/>
        </w:rPr>
        <w:t xml:space="preserve"> In a comprehensive review of epidemiological and animal studies on cancer effects due to </w:t>
      </w:r>
      <w:r w:rsidR="00BE2EAA">
        <w:rPr>
          <w:sz w:val="18"/>
          <w:szCs w:val="18"/>
        </w:rPr>
        <w:t>l</w:t>
      </w:r>
      <w:r w:rsidR="00637B4C">
        <w:rPr>
          <w:sz w:val="18"/>
          <w:szCs w:val="18"/>
        </w:rPr>
        <w:t>ead</w:t>
      </w:r>
      <w:r w:rsidR="00BE2EAA">
        <w:rPr>
          <w:sz w:val="18"/>
          <w:szCs w:val="18"/>
        </w:rPr>
        <w:t xml:space="preserve"> </w:t>
      </w:r>
      <w:r w:rsidR="00195C1B">
        <w:rPr>
          <w:sz w:val="18"/>
          <w:szCs w:val="18"/>
        </w:rPr>
        <w:t xml:space="preserve">exposure, IARC (2006) concluded there is limited evidence in humans for the carcinogenicity of inorganic lead compounds. </w:t>
      </w:r>
    </w:p>
    <w:p w:rsidR="00167FF7" w:rsidRDefault="00167FF7" w:rsidP="00AD02CD">
      <w:pPr>
        <w:spacing w:line="240" w:lineRule="auto"/>
        <w:ind w:left="142" w:hanging="142"/>
        <w:rPr>
          <w:sz w:val="18"/>
          <w:szCs w:val="18"/>
        </w:rPr>
      </w:pPr>
      <w:r>
        <w:rPr>
          <w:sz w:val="18"/>
          <w:szCs w:val="18"/>
        </w:rPr>
        <w:t xml:space="preserve">   A recent study (Boffetta et al. 2011) found an increased risk of renal cell carcinoma in individuals occupationally exposed to </w:t>
      </w:r>
      <w:r w:rsidR="00BE2EAA">
        <w:rPr>
          <w:sz w:val="18"/>
          <w:szCs w:val="18"/>
        </w:rPr>
        <w:t>l</w:t>
      </w:r>
      <w:r w:rsidR="00637B4C">
        <w:rPr>
          <w:sz w:val="18"/>
          <w:szCs w:val="18"/>
        </w:rPr>
        <w:t>ead</w:t>
      </w:r>
      <w:r w:rsidR="00BE2EAA">
        <w:rPr>
          <w:sz w:val="18"/>
          <w:szCs w:val="18"/>
        </w:rPr>
        <w:t xml:space="preserve"> </w:t>
      </w:r>
      <w:r>
        <w:rPr>
          <w:sz w:val="18"/>
          <w:szCs w:val="18"/>
        </w:rPr>
        <w:t xml:space="preserve">(OR 1.55, 95% CI 1.09 – 2.21). Occupational exposure was estimated based on detailed occupational questionnaires; no PbB information was available. </w:t>
      </w:r>
      <w:r w:rsidR="00AB0C90">
        <w:rPr>
          <w:sz w:val="18"/>
          <w:szCs w:val="18"/>
        </w:rPr>
        <w:t xml:space="preserve">Another study (Ilychova and Zaridze 2012) found an increased risk of mortality from kidney (SMR 2.12, 95% CI 1.1-4.07) and pancreatic (SMR 2.32, 95% CI 1.46-3.68) cancer in an occupational cohort exposed to </w:t>
      </w:r>
      <w:r w:rsidR="00BE2EAA">
        <w:rPr>
          <w:sz w:val="18"/>
          <w:szCs w:val="18"/>
        </w:rPr>
        <w:t>l</w:t>
      </w:r>
      <w:r w:rsidR="00637B4C">
        <w:rPr>
          <w:sz w:val="18"/>
          <w:szCs w:val="18"/>
        </w:rPr>
        <w:t>ead</w:t>
      </w:r>
      <w:r w:rsidR="00BE2EAA">
        <w:rPr>
          <w:sz w:val="18"/>
          <w:szCs w:val="18"/>
        </w:rPr>
        <w:t xml:space="preserve"> </w:t>
      </w:r>
      <w:r w:rsidR="00AB0C90">
        <w:rPr>
          <w:sz w:val="18"/>
          <w:szCs w:val="18"/>
        </w:rPr>
        <w:t>in the printing industry</w:t>
      </w:r>
      <w:r w:rsidR="00A55636">
        <w:rPr>
          <w:sz w:val="18"/>
          <w:szCs w:val="18"/>
        </w:rPr>
        <w:t>, but again, no PbB information was available</w:t>
      </w:r>
      <w:r w:rsidR="00AB0C90">
        <w:rPr>
          <w:sz w:val="18"/>
          <w:szCs w:val="18"/>
        </w:rPr>
        <w:t xml:space="preserve">. </w:t>
      </w:r>
    </w:p>
    <w:p w:rsidR="002D1392" w:rsidRDefault="0015026D" w:rsidP="00AD02CD">
      <w:pPr>
        <w:spacing w:line="240" w:lineRule="auto"/>
        <w:ind w:left="142" w:hanging="142"/>
        <w:rPr>
          <w:sz w:val="18"/>
          <w:szCs w:val="18"/>
        </w:rPr>
      </w:pPr>
      <w:r>
        <w:rPr>
          <w:sz w:val="24"/>
          <w:szCs w:val="24"/>
          <w:vertAlign w:val="superscript"/>
        </w:rPr>
        <w:t xml:space="preserve">k </w:t>
      </w:r>
      <w:r w:rsidR="00A9538F">
        <w:rPr>
          <w:sz w:val="18"/>
          <w:szCs w:val="18"/>
        </w:rPr>
        <w:t>Chuang et al. 2007</w:t>
      </w:r>
      <w:r w:rsidR="004075D6">
        <w:rPr>
          <w:sz w:val="18"/>
          <w:szCs w:val="18"/>
        </w:rPr>
        <w:t>, Hwang et al 2009</w:t>
      </w:r>
      <w:r w:rsidR="00A9538F">
        <w:rPr>
          <w:sz w:val="18"/>
          <w:szCs w:val="18"/>
        </w:rPr>
        <w:t>.</w:t>
      </w:r>
      <w:r w:rsidR="001F1A21">
        <w:rPr>
          <w:sz w:val="18"/>
          <w:szCs w:val="18"/>
        </w:rPr>
        <w:t xml:space="preserve"> </w:t>
      </w:r>
    </w:p>
    <w:p w:rsidR="001F1A21" w:rsidRDefault="001F1A21" w:rsidP="00AD02CD">
      <w:pPr>
        <w:spacing w:line="240" w:lineRule="auto"/>
        <w:ind w:left="142" w:hanging="142"/>
        <w:rPr>
          <w:sz w:val="18"/>
          <w:szCs w:val="18"/>
        </w:rPr>
      </w:pPr>
      <w:r>
        <w:rPr>
          <w:sz w:val="18"/>
          <w:szCs w:val="18"/>
        </w:rPr>
        <w:t xml:space="preserve">  Other authors have found no association of PbB with auditory function at higher (40 </w:t>
      </w:r>
      <w:r w:rsidRPr="00AD02CD">
        <w:rPr>
          <w:rFonts w:cs="Arial"/>
          <w:sz w:val="18"/>
          <w:szCs w:val="18"/>
        </w:rPr>
        <w:t>µ</w:t>
      </w:r>
      <w:r>
        <w:rPr>
          <w:sz w:val="18"/>
          <w:szCs w:val="18"/>
        </w:rPr>
        <w:t xml:space="preserve">g/dL) PbB levels (Ghiasvand et al. 2012). </w:t>
      </w:r>
    </w:p>
    <w:p w:rsidR="00AD02CD" w:rsidRDefault="0015026D" w:rsidP="00AD02CD">
      <w:pPr>
        <w:spacing w:line="240" w:lineRule="auto"/>
        <w:ind w:left="142" w:hanging="142"/>
        <w:rPr>
          <w:sz w:val="18"/>
          <w:szCs w:val="18"/>
        </w:rPr>
      </w:pPr>
      <w:r>
        <w:rPr>
          <w:sz w:val="24"/>
          <w:szCs w:val="24"/>
          <w:vertAlign w:val="superscript"/>
        </w:rPr>
        <w:t>l</w:t>
      </w:r>
      <w:r>
        <w:rPr>
          <w:sz w:val="18"/>
          <w:szCs w:val="18"/>
        </w:rPr>
        <w:t xml:space="preserve"> </w:t>
      </w:r>
      <w:r w:rsidR="002D1392">
        <w:rPr>
          <w:sz w:val="18"/>
          <w:szCs w:val="18"/>
        </w:rPr>
        <w:t xml:space="preserve">Although </w:t>
      </w:r>
      <w:r w:rsidR="00C069D2">
        <w:rPr>
          <w:sz w:val="18"/>
          <w:szCs w:val="18"/>
        </w:rPr>
        <w:t>most</w:t>
      </w:r>
      <w:r w:rsidR="002D1392">
        <w:rPr>
          <w:sz w:val="18"/>
          <w:szCs w:val="18"/>
        </w:rPr>
        <w:t xml:space="preserve"> occupational studies found </w:t>
      </w:r>
      <w:r w:rsidR="00FD06B7">
        <w:rPr>
          <w:sz w:val="18"/>
          <w:szCs w:val="18"/>
        </w:rPr>
        <w:t xml:space="preserve">haematological effects </w:t>
      </w:r>
      <w:r w:rsidR="002D1392">
        <w:rPr>
          <w:sz w:val="18"/>
          <w:szCs w:val="18"/>
        </w:rPr>
        <w:t xml:space="preserve">in workers with PbB &gt;20 </w:t>
      </w:r>
      <w:r w:rsidR="002D1392" w:rsidRPr="00AD02CD">
        <w:rPr>
          <w:rFonts w:cs="Arial"/>
          <w:sz w:val="18"/>
          <w:szCs w:val="18"/>
        </w:rPr>
        <w:t>µ</w:t>
      </w:r>
      <w:r w:rsidR="002D1392">
        <w:rPr>
          <w:sz w:val="18"/>
          <w:szCs w:val="18"/>
        </w:rPr>
        <w:t xml:space="preserve">g/dL (see references in footnote ‘d’), one study (Ukaejiofo et al. 2009) found </w:t>
      </w:r>
      <w:r w:rsidR="00FD06B7">
        <w:rPr>
          <w:sz w:val="18"/>
          <w:szCs w:val="18"/>
        </w:rPr>
        <w:t xml:space="preserve">depressed haemoglobin </w:t>
      </w:r>
      <w:r w:rsidR="002D1392">
        <w:rPr>
          <w:sz w:val="18"/>
          <w:szCs w:val="18"/>
        </w:rPr>
        <w:t xml:space="preserve">in workers with much lower PbB concentrations, i.e. a mean PbB of 7 </w:t>
      </w:r>
      <w:r w:rsidR="002D1392" w:rsidRPr="00AD02CD">
        <w:rPr>
          <w:rFonts w:cs="Arial"/>
          <w:sz w:val="18"/>
          <w:szCs w:val="18"/>
        </w:rPr>
        <w:t>µ</w:t>
      </w:r>
      <w:r w:rsidR="002D1392">
        <w:rPr>
          <w:sz w:val="18"/>
          <w:szCs w:val="18"/>
        </w:rPr>
        <w:t xml:space="preserve">g/dL (range of 0-30 </w:t>
      </w:r>
      <w:r w:rsidR="002D1392" w:rsidRPr="00AD02CD">
        <w:rPr>
          <w:rFonts w:cs="Arial"/>
          <w:sz w:val="18"/>
          <w:szCs w:val="18"/>
        </w:rPr>
        <w:t>µ</w:t>
      </w:r>
      <w:r w:rsidR="002D1392">
        <w:rPr>
          <w:sz w:val="18"/>
          <w:szCs w:val="18"/>
        </w:rPr>
        <w:t xml:space="preserve">g/dL) compared to the non-exposed reference group (PbB 3 </w:t>
      </w:r>
      <w:r w:rsidR="002D1392" w:rsidRPr="00AD02CD">
        <w:rPr>
          <w:rFonts w:cs="Arial"/>
          <w:sz w:val="18"/>
          <w:szCs w:val="18"/>
        </w:rPr>
        <w:t>µ</w:t>
      </w:r>
      <w:r w:rsidR="002D1392">
        <w:rPr>
          <w:sz w:val="18"/>
          <w:szCs w:val="18"/>
        </w:rPr>
        <w:t xml:space="preserve">g/dL). </w:t>
      </w:r>
      <w:r w:rsidR="00FD06B7">
        <w:rPr>
          <w:sz w:val="18"/>
          <w:szCs w:val="18"/>
        </w:rPr>
        <w:t xml:space="preserve">Another study (Ergurhan-Ilhan et al. 2008) found a statistically significant increase in ALAD index in Pb-exposed apprentices (mean PbB of 7.9 </w:t>
      </w:r>
      <w:r w:rsidR="00FD06B7" w:rsidRPr="00AD02CD">
        <w:rPr>
          <w:rFonts w:cs="Arial"/>
          <w:sz w:val="18"/>
          <w:szCs w:val="18"/>
        </w:rPr>
        <w:t>µ</w:t>
      </w:r>
      <w:r w:rsidR="00FD06B7">
        <w:rPr>
          <w:sz w:val="18"/>
          <w:szCs w:val="18"/>
        </w:rPr>
        <w:t xml:space="preserve">g/dL) when </w:t>
      </w:r>
      <w:r w:rsidR="00FD06B7">
        <w:rPr>
          <w:sz w:val="18"/>
          <w:szCs w:val="18"/>
        </w:rPr>
        <w:lastRenderedPageBreak/>
        <w:t xml:space="preserve">compared to the controls (mean PbB 2.6 </w:t>
      </w:r>
      <w:r w:rsidR="00FD06B7" w:rsidRPr="00AD02CD">
        <w:rPr>
          <w:rFonts w:cs="Arial"/>
          <w:sz w:val="18"/>
          <w:szCs w:val="18"/>
        </w:rPr>
        <w:t>µ</w:t>
      </w:r>
      <w:r w:rsidR="00FD06B7">
        <w:rPr>
          <w:sz w:val="18"/>
          <w:szCs w:val="18"/>
        </w:rPr>
        <w:t xml:space="preserve">g/dL). </w:t>
      </w:r>
      <w:r w:rsidR="00167FF7">
        <w:rPr>
          <w:sz w:val="18"/>
          <w:szCs w:val="18"/>
        </w:rPr>
        <w:t xml:space="preserve">A third study found PbB was positively correlated with percentage of plasma reticulocytes in policemen </w:t>
      </w:r>
      <w:r w:rsidR="000A6361">
        <w:rPr>
          <w:sz w:val="18"/>
          <w:szCs w:val="18"/>
        </w:rPr>
        <w:t xml:space="preserve">with primarily outdoor-based activities (mean PbB 6 </w:t>
      </w:r>
      <w:r w:rsidR="000A6361" w:rsidRPr="00AD02CD">
        <w:rPr>
          <w:rFonts w:cs="Arial"/>
          <w:sz w:val="18"/>
          <w:szCs w:val="18"/>
        </w:rPr>
        <w:t>µ</w:t>
      </w:r>
      <w:r w:rsidR="000A6361">
        <w:rPr>
          <w:sz w:val="18"/>
          <w:szCs w:val="18"/>
        </w:rPr>
        <w:t xml:space="preserve">g/dL) (Caciari et al. 2013). </w:t>
      </w:r>
      <w:r w:rsidR="002D1392">
        <w:rPr>
          <w:sz w:val="18"/>
          <w:szCs w:val="18"/>
        </w:rPr>
        <w:t xml:space="preserve"> </w:t>
      </w:r>
      <w:r w:rsidR="00AD02CD">
        <w:rPr>
          <w:sz w:val="18"/>
          <w:szCs w:val="18"/>
        </w:rPr>
        <w:t xml:space="preserve"> </w:t>
      </w:r>
    </w:p>
    <w:p w:rsidR="004C12CF" w:rsidRDefault="0015026D" w:rsidP="00AD02CD">
      <w:pPr>
        <w:spacing w:line="240" w:lineRule="auto"/>
        <w:ind w:left="142" w:hanging="142"/>
        <w:rPr>
          <w:sz w:val="18"/>
          <w:szCs w:val="18"/>
        </w:rPr>
      </w:pPr>
      <w:r>
        <w:rPr>
          <w:sz w:val="24"/>
          <w:szCs w:val="24"/>
          <w:vertAlign w:val="superscript"/>
        </w:rPr>
        <w:t>m</w:t>
      </w:r>
      <w:r>
        <w:rPr>
          <w:sz w:val="18"/>
          <w:szCs w:val="18"/>
        </w:rPr>
        <w:t xml:space="preserve"> </w:t>
      </w:r>
      <w:r w:rsidR="004C12CF">
        <w:rPr>
          <w:sz w:val="18"/>
          <w:szCs w:val="18"/>
        </w:rPr>
        <w:t>Fortin et al. 2012.</w:t>
      </w:r>
    </w:p>
    <w:p w:rsidR="007B5465" w:rsidRDefault="0015026D" w:rsidP="00AD02CD">
      <w:pPr>
        <w:spacing w:line="240" w:lineRule="auto"/>
        <w:ind w:left="142" w:hanging="142"/>
        <w:rPr>
          <w:sz w:val="18"/>
          <w:szCs w:val="18"/>
        </w:rPr>
      </w:pPr>
      <w:r>
        <w:rPr>
          <w:sz w:val="24"/>
          <w:szCs w:val="24"/>
          <w:vertAlign w:val="superscript"/>
        </w:rPr>
        <w:t>n</w:t>
      </w:r>
      <w:r>
        <w:rPr>
          <w:sz w:val="18"/>
          <w:szCs w:val="18"/>
        </w:rPr>
        <w:t xml:space="preserve"> </w:t>
      </w:r>
      <w:r w:rsidR="007B5465">
        <w:rPr>
          <w:sz w:val="18"/>
          <w:szCs w:val="18"/>
        </w:rPr>
        <w:t xml:space="preserve">Liver enlargement and activation of inflammatory reactions characteristic of moderate cholestasis within the bile ducts has been found in workers with PbB &gt;35 </w:t>
      </w:r>
      <w:r w:rsidR="007B5465" w:rsidRPr="00AD02CD">
        <w:rPr>
          <w:rFonts w:cs="Arial"/>
          <w:sz w:val="18"/>
          <w:szCs w:val="18"/>
        </w:rPr>
        <w:t>µ</w:t>
      </w:r>
      <w:r w:rsidR="007B5465">
        <w:rPr>
          <w:sz w:val="18"/>
          <w:szCs w:val="18"/>
        </w:rPr>
        <w:t xml:space="preserve">g/dL (Kasperczyk et al. 2013). </w:t>
      </w:r>
    </w:p>
    <w:p w:rsidR="0088030B" w:rsidRDefault="0015026D" w:rsidP="00AD02CD">
      <w:pPr>
        <w:spacing w:line="240" w:lineRule="auto"/>
        <w:ind w:left="142" w:hanging="142"/>
        <w:rPr>
          <w:sz w:val="18"/>
          <w:szCs w:val="18"/>
        </w:rPr>
      </w:pPr>
      <w:r>
        <w:rPr>
          <w:sz w:val="24"/>
          <w:szCs w:val="24"/>
          <w:vertAlign w:val="superscript"/>
        </w:rPr>
        <w:t>o</w:t>
      </w:r>
      <w:r>
        <w:rPr>
          <w:sz w:val="18"/>
          <w:szCs w:val="18"/>
        </w:rPr>
        <w:t xml:space="preserve"> </w:t>
      </w:r>
      <w:r w:rsidR="0088030B">
        <w:rPr>
          <w:sz w:val="18"/>
          <w:szCs w:val="18"/>
        </w:rPr>
        <w:t xml:space="preserve">Studies </w:t>
      </w:r>
      <w:r w:rsidR="00A0576D">
        <w:rPr>
          <w:sz w:val="18"/>
          <w:szCs w:val="18"/>
        </w:rPr>
        <w:t xml:space="preserve">demonstrating these severe effects are </w:t>
      </w:r>
      <w:r w:rsidR="0088030B">
        <w:rPr>
          <w:sz w:val="18"/>
          <w:szCs w:val="18"/>
        </w:rPr>
        <w:t xml:space="preserve">summarised in past reviews conducted by various agencies (e.g. ATSDR 2007, US EPA 2006, NIWL 2005). An additional study </w:t>
      </w:r>
      <w:r w:rsidR="00A0576D">
        <w:rPr>
          <w:sz w:val="18"/>
          <w:szCs w:val="18"/>
        </w:rPr>
        <w:t xml:space="preserve">demonstrating these </w:t>
      </w:r>
      <w:r w:rsidR="0088030B">
        <w:rPr>
          <w:sz w:val="18"/>
          <w:szCs w:val="18"/>
        </w:rPr>
        <w:t>effects</w:t>
      </w:r>
      <w:r w:rsidR="00A0576D">
        <w:rPr>
          <w:sz w:val="18"/>
          <w:szCs w:val="18"/>
        </w:rPr>
        <w:t xml:space="preserve"> at high PbB (i.e. 100 </w:t>
      </w:r>
      <w:r w:rsidR="00A0576D" w:rsidRPr="00AD02CD">
        <w:rPr>
          <w:rFonts w:cs="Arial"/>
          <w:sz w:val="18"/>
          <w:szCs w:val="18"/>
        </w:rPr>
        <w:t>µ</w:t>
      </w:r>
      <w:r w:rsidR="00A0576D">
        <w:rPr>
          <w:sz w:val="18"/>
          <w:szCs w:val="18"/>
        </w:rPr>
        <w:t>g/dL)</w:t>
      </w:r>
      <w:r w:rsidR="0088030B">
        <w:rPr>
          <w:sz w:val="18"/>
          <w:szCs w:val="18"/>
        </w:rPr>
        <w:t xml:space="preserve"> was also identified in the literature search (Sadeghniiat-Haghighi et al. 2013). </w:t>
      </w:r>
    </w:p>
    <w:p w:rsidR="00237AF3" w:rsidRPr="00237AF3" w:rsidRDefault="0015026D" w:rsidP="00AD02CD">
      <w:pPr>
        <w:spacing w:line="240" w:lineRule="auto"/>
        <w:ind w:left="142" w:hanging="142"/>
        <w:rPr>
          <w:sz w:val="18"/>
          <w:szCs w:val="18"/>
        </w:rPr>
      </w:pPr>
      <w:r>
        <w:rPr>
          <w:sz w:val="24"/>
          <w:szCs w:val="24"/>
          <w:vertAlign w:val="superscript"/>
        </w:rPr>
        <w:t xml:space="preserve">p </w:t>
      </w:r>
      <w:r w:rsidR="008C2F8B">
        <w:rPr>
          <w:sz w:val="18"/>
          <w:szCs w:val="18"/>
        </w:rPr>
        <w:t>Cullen et al. 1984, Gustafson et al. 1989, Lopez et al. 2000, Robins et al. 1983, Singh et al. 2000.</w:t>
      </w:r>
    </w:p>
    <w:p w:rsidR="00AC6C67" w:rsidRDefault="0015026D" w:rsidP="0050192C">
      <w:pPr>
        <w:spacing w:line="240" w:lineRule="auto"/>
        <w:ind w:left="142" w:hanging="142"/>
      </w:pPr>
      <w:r>
        <w:rPr>
          <w:sz w:val="24"/>
          <w:szCs w:val="24"/>
          <w:vertAlign w:val="superscript"/>
        </w:rPr>
        <w:t xml:space="preserve">q </w:t>
      </w:r>
      <w:r w:rsidR="0013088D">
        <w:rPr>
          <w:sz w:val="18"/>
          <w:szCs w:val="18"/>
        </w:rPr>
        <w:t xml:space="preserve">Braunstein et al. 1978, Cullen et al. 1984, Gustafson et al. 1989, Ng et al. 1991, Rodamilans et al. 1988. </w:t>
      </w:r>
    </w:p>
    <w:p w:rsidR="00AC6C67" w:rsidRDefault="00AC6C67" w:rsidP="00B02222">
      <w:pPr>
        <w:sectPr w:rsidR="00AC6C67" w:rsidSect="00AC6C67">
          <w:pgSz w:w="16838" w:h="11906" w:orient="landscape"/>
          <w:pgMar w:top="1134" w:right="1418" w:bottom="849" w:left="1440" w:header="284" w:footer="697" w:gutter="0"/>
          <w:cols w:space="708"/>
          <w:docGrid w:linePitch="360"/>
        </w:sectPr>
      </w:pPr>
    </w:p>
    <w:p w:rsidR="006E78BA" w:rsidRDefault="00DB05CC" w:rsidP="0080182D">
      <w:pPr>
        <w:pStyle w:val="Heading3"/>
      </w:pPr>
      <w:bookmarkStart w:id="24" w:name="_Toc391288232"/>
      <w:r>
        <w:lastRenderedPageBreak/>
        <w:t>4</w:t>
      </w:r>
      <w:r w:rsidR="0080182D">
        <w:t>.</w:t>
      </w:r>
      <w:r w:rsidR="00A818B0">
        <w:t>3</w:t>
      </w:r>
      <w:r w:rsidR="0080182D">
        <w:t>.2</w:t>
      </w:r>
      <w:r w:rsidR="006E78BA">
        <w:t xml:space="preserve"> </w:t>
      </w:r>
      <w:r w:rsidR="0080182D">
        <w:t xml:space="preserve">Non-occupational </w:t>
      </w:r>
      <w:r w:rsidR="006E78BA">
        <w:t>exposure studies</w:t>
      </w:r>
      <w:bookmarkEnd w:id="24"/>
    </w:p>
    <w:p w:rsidR="00AC6C67" w:rsidRDefault="00AC6C67" w:rsidP="00AC6C67">
      <w:pPr>
        <w:tabs>
          <w:tab w:val="left" w:pos="8370"/>
        </w:tabs>
      </w:pPr>
      <w:r>
        <w:t>T</w:t>
      </w:r>
      <w:r w:rsidRPr="000C33AE">
        <w:t xml:space="preserve">able </w:t>
      </w:r>
      <w:r w:rsidR="00DB05CC" w:rsidRPr="002F39D7">
        <w:t>4</w:t>
      </w:r>
      <w:r w:rsidRPr="002F39D7">
        <w:t>.2</w:t>
      </w:r>
      <w:r>
        <w:t xml:space="preserve"> provides a summary of the PbB levels associated with a range of effects in adults in the general population (non-occupationally exposed). The summary has been compiled from recent reviews by various international agencies. </w:t>
      </w:r>
    </w:p>
    <w:p w:rsidR="006A4C16" w:rsidRDefault="006A4C16" w:rsidP="00AC6C67">
      <w:pPr>
        <w:tabs>
          <w:tab w:val="left" w:pos="8370"/>
        </w:tabs>
      </w:pPr>
    </w:p>
    <w:p w:rsidR="006A4C16" w:rsidRDefault="006A4C16" w:rsidP="00AC6C67">
      <w:pPr>
        <w:tabs>
          <w:tab w:val="left" w:pos="8370"/>
        </w:tabs>
      </w:pPr>
      <w:r>
        <w:t xml:space="preserve">It is evident from the Table that associations of PbB levels with health effects or endpoints in the general population have been made at much lower PbB levels than in worker populations, i.e. many at PbB as low as 5 </w:t>
      </w:r>
      <w:r w:rsidRPr="006A4C16">
        <w:rPr>
          <w:rFonts w:cs="Arial"/>
        </w:rPr>
        <w:t>µ</w:t>
      </w:r>
      <w:r>
        <w:t xml:space="preserve">g/dL. However, there also seems to be more uncertainty in many of these associations than in the occupational information primarily due to inconsistent findings at low PbB. </w:t>
      </w:r>
    </w:p>
    <w:p w:rsidR="006A4C16" w:rsidRDefault="006A4C16" w:rsidP="00AC6C67">
      <w:pPr>
        <w:tabs>
          <w:tab w:val="left" w:pos="8370"/>
        </w:tabs>
      </w:pPr>
    </w:p>
    <w:p w:rsidR="00B31F8E" w:rsidRDefault="006A4C16" w:rsidP="00B31F8E">
      <w:pPr>
        <w:tabs>
          <w:tab w:val="left" w:pos="8370"/>
        </w:tabs>
      </w:pPr>
      <w:r>
        <w:t xml:space="preserve">The association for which there is the </w:t>
      </w:r>
      <w:r w:rsidR="00F867E9">
        <w:t xml:space="preserve">greatest </w:t>
      </w:r>
      <w:r>
        <w:t xml:space="preserve">confidence in the adult general population is probably the effects on the cardiovascular system (e.g. </w:t>
      </w:r>
      <w:r w:rsidR="00B31F8E">
        <w:t>increased blood pressure</w:t>
      </w:r>
      <w:r>
        <w:t xml:space="preserve">). </w:t>
      </w:r>
      <w:r w:rsidR="00F767AA">
        <w:t>Small i</w:t>
      </w:r>
      <w:r>
        <w:t xml:space="preserve">ncreases in </w:t>
      </w:r>
      <w:r w:rsidR="00F767AA">
        <w:t xml:space="preserve">systolic and </w:t>
      </w:r>
      <w:r w:rsidR="00F767AA" w:rsidRPr="00F767AA">
        <w:t>diastolic</w:t>
      </w:r>
      <w:r w:rsidR="00F767AA">
        <w:t xml:space="preserve"> </w:t>
      </w:r>
      <w:r w:rsidR="00DB2584">
        <w:t xml:space="preserve">blood pressure </w:t>
      </w:r>
      <w:r>
        <w:t xml:space="preserve">have been </w:t>
      </w:r>
      <w:r w:rsidR="00AB7AE2">
        <w:t>consistently</w:t>
      </w:r>
      <w:r w:rsidR="00F767AA">
        <w:t xml:space="preserve"> </w:t>
      </w:r>
      <w:r w:rsidR="00DB2584">
        <w:t>noted</w:t>
      </w:r>
      <w:r>
        <w:t xml:space="preserve"> in populations </w:t>
      </w:r>
      <w:r w:rsidR="00B31F8E">
        <w:t xml:space="preserve">with mean PbB of 5-10 </w:t>
      </w:r>
      <w:r w:rsidR="00B31F8E" w:rsidRPr="006A4C16">
        <w:rPr>
          <w:rFonts w:cs="Arial"/>
        </w:rPr>
        <w:t>µ</w:t>
      </w:r>
      <w:r w:rsidR="00B31F8E">
        <w:t xml:space="preserve">g/dL. </w:t>
      </w:r>
    </w:p>
    <w:p w:rsidR="00B31F8E" w:rsidRDefault="00B31F8E" w:rsidP="00B31F8E">
      <w:pPr>
        <w:tabs>
          <w:tab w:val="left" w:pos="8370"/>
        </w:tabs>
      </w:pPr>
    </w:p>
    <w:p w:rsidR="00B31F8E" w:rsidRDefault="00B31F8E" w:rsidP="00B31F8E">
      <w:pPr>
        <w:tabs>
          <w:tab w:val="left" w:pos="8370"/>
        </w:tabs>
      </w:pPr>
      <w:r>
        <w:t>There is less confidence in the association between PbB and increased risk of mortality from coronary heart disease. Three studies (</w:t>
      </w:r>
      <w:r w:rsidRPr="00B31F8E">
        <w:t>Khalil et al. 2009b, Menke et al. 2006, Sc</w:t>
      </w:r>
      <w:r>
        <w:t>hober et al. 2006) have found such as association at mean PbB of</w:t>
      </w:r>
      <w:r w:rsidRPr="00B31F8E">
        <w:t xml:space="preserve"> around 4 µ</w:t>
      </w:r>
      <w:r>
        <w:t>g/dL, whereas</w:t>
      </w:r>
      <w:r w:rsidRPr="00B31F8E">
        <w:t xml:space="preserve"> </w:t>
      </w:r>
      <w:r>
        <w:t xml:space="preserve">Lustberg and Silbergeld (2002) only found a significant association in </w:t>
      </w:r>
      <w:r w:rsidRPr="00B31F8E">
        <w:t xml:space="preserve">individuals with PbB &gt; 20 µg/dL. </w:t>
      </w:r>
    </w:p>
    <w:p w:rsidR="00B31F8E" w:rsidRDefault="00B31F8E" w:rsidP="00B31F8E">
      <w:pPr>
        <w:tabs>
          <w:tab w:val="left" w:pos="8370"/>
        </w:tabs>
      </w:pPr>
    </w:p>
    <w:p w:rsidR="00B31F8E" w:rsidRDefault="00B31F8E" w:rsidP="00B31F8E">
      <w:pPr>
        <w:tabs>
          <w:tab w:val="left" w:pos="8370"/>
        </w:tabs>
      </w:pPr>
      <w:r>
        <w:t xml:space="preserve">It is unclear why the PbB concentrations in workers that have been associated with increases in blood pressure (i.e. </w:t>
      </w:r>
      <w:r w:rsidRPr="00B31F8E">
        <w:rPr>
          <w:u w:val="single"/>
        </w:rPr>
        <w:t>&gt;</w:t>
      </w:r>
      <w:r>
        <w:t xml:space="preserve">20 </w:t>
      </w:r>
      <w:r w:rsidRPr="00B31F8E">
        <w:t>µg/dL</w:t>
      </w:r>
      <w:r>
        <w:t xml:space="preserve">) are much higher when compared to the general population (5-10 </w:t>
      </w:r>
      <w:r w:rsidRPr="00B31F8E">
        <w:t>µg/dL</w:t>
      </w:r>
      <w:r>
        <w:t xml:space="preserve">). </w:t>
      </w:r>
    </w:p>
    <w:p w:rsidR="00195C1B" w:rsidRDefault="00195C1B" w:rsidP="00B31F8E">
      <w:pPr>
        <w:tabs>
          <w:tab w:val="left" w:pos="8370"/>
        </w:tabs>
      </w:pPr>
    </w:p>
    <w:p w:rsidR="00195C1B" w:rsidRDefault="00195C1B" w:rsidP="00B31F8E">
      <w:pPr>
        <w:tabs>
          <w:tab w:val="left" w:pos="8370"/>
        </w:tabs>
      </w:pPr>
      <w:r>
        <w:t xml:space="preserve">The discrepancy between the PbB levels which have been associated with adverse health effects in occupational exposure studies </w:t>
      </w:r>
      <w:r w:rsidR="00DB2584">
        <w:t xml:space="preserve">(Table </w:t>
      </w:r>
      <w:r w:rsidR="0015026D">
        <w:t>4</w:t>
      </w:r>
      <w:r w:rsidR="00DB2584">
        <w:t xml:space="preserve">.1) </w:t>
      </w:r>
      <w:r>
        <w:t xml:space="preserve">and the levels in the general population </w:t>
      </w:r>
      <w:r w:rsidR="00DB2584">
        <w:t xml:space="preserve">(Table </w:t>
      </w:r>
      <w:r w:rsidR="0015026D">
        <w:t>4</w:t>
      </w:r>
      <w:r w:rsidR="00DB2584">
        <w:t xml:space="preserve">.2) </w:t>
      </w:r>
      <w:r>
        <w:t>may be partially explained by a number of factors:</w:t>
      </w:r>
    </w:p>
    <w:p w:rsidR="00195C1B" w:rsidRDefault="00195C1B" w:rsidP="00242F1D">
      <w:pPr>
        <w:pStyle w:val="ListParagraph"/>
        <w:numPr>
          <w:ilvl w:val="0"/>
          <w:numId w:val="29"/>
        </w:numPr>
        <w:tabs>
          <w:tab w:val="left" w:pos="8370"/>
        </w:tabs>
      </w:pPr>
      <w:r>
        <w:t xml:space="preserve">The members of a healthy workforce may be less susceptible to the effects of </w:t>
      </w:r>
      <w:r w:rsidR="00BE2EAA">
        <w:t>l</w:t>
      </w:r>
      <w:r w:rsidR="00637B4C">
        <w:t>ead</w:t>
      </w:r>
      <w:r w:rsidR="00BE2EAA">
        <w:t xml:space="preserve"> </w:t>
      </w:r>
      <w:r w:rsidR="00D6761B">
        <w:t>than members of the general population, which includes children and the elderly</w:t>
      </w:r>
      <w:r w:rsidR="00282E02">
        <w:t>.  Persons in a workforce who had either a physiological disposition towards high PbB or heightened susceptibility for clinical effects at a given PbB would likely be removed (by management or voluntarily) from lead exposure jobs.</w:t>
      </w:r>
      <w:r w:rsidR="00D6761B">
        <w:t xml:space="preserve"> </w:t>
      </w:r>
      <w:r w:rsidR="00282E02">
        <w:t xml:space="preserve">See also </w:t>
      </w:r>
      <w:r w:rsidR="00F767AA">
        <w:t>Section 4.6.</w:t>
      </w:r>
      <w:r w:rsidR="00D6761B">
        <w:t xml:space="preserve"> </w:t>
      </w:r>
    </w:p>
    <w:p w:rsidR="00D6761B" w:rsidRDefault="00D6761B" w:rsidP="00242F1D">
      <w:pPr>
        <w:pStyle w:val="ListParagraph"/>
        <w:numPr>
          <w:ilvl w:val="0"/>
          <w:numId w:val="29"/>
        </w:numPr>
        <w:tabs>
          <w:tab w:val="left" w:pos="8370"/>
        </w:tabs>
      </w:pPr>
      <w:r>
        <w:t xml:space="preserve">There may be a difference between the intensity of the statistical investigations conducted for worker and population studies. The latter studies are </w:t>
      </w:r>
      <w:r w:rsidR="00DB2584">
        <w:t xml:space="preserve">often </w:t>
      </w:r>
      <w:r>
        <w:t xml:space="preserve">subject to complex statistical methods to enable detection of small changes in the parameters being investigated. </w:t>
      </w:r>
      <w:r w:rsidR="00282E02">
        <w:t>They also tend to have larger cohorts which improves statistical power for detecting an association between PbB and a biochemical or physiological effect of lead.</w:t>
      </w:r>
    </w:p>
    <w:p w:rsidR="00D6761B" w:rsidRDefault="00D6761B" w:rsidP="00242F1D">
      <w:pPr>
        <w:pStyle w:val="ListParagraph"/>
        <w:numPr>
          <w:ilvl w:val="0"/>
          <w:numId w:val="29"/>
        </w:numPr>
        <w:tabs>
          <w:tab w:val="left" w:pos="8370"/>
        </w:tabs>
      </w:pPr>
      <w:r>
        <w:lastRenderedPageBreak/>
        <w:t xml:space="preserve">Some of the more subtle effects investigated in the general population may not have been looked for in the occupational studies. Or if the effect was examined, the definition of the magnitude of a particular effect which constitutes adversity or biological significance may differ between studies. </w:t>
      </w:r>
    </w:p>
    <w:p w:rsidR="00772478" w:rsidRDefault="00772478" w:rsidP="00B31F8E">
      <w:pPr>
        <w:tabs>
          <w:tab w:val="left" w:pos="8370"/>
        </w:tabs>
      </w:pPr>
    </w:p>
    <w:p w:rsidR="00EC5923" w:rsidRDefault="0023747D" w:rsidP="00B31F8E">
      <w:pPr>
        <w:tabs>
          <w:tab w:val="left" w:pos="8370"/>
        </w:tabs>
      </w:pPr>
      <w:r>
        <w:t xml:space="preserve">It is reemphasised that low level exposure (&lt;5 </w:t>
      </w:r>
      <w:r w:rsidRPr="00B31F8E">
        <w:t>µg/dL</w:t>
      </w:r>
      <w:r>
        <w:t>) of the foetus may impair learning capacity and the neuropsychological development of the child (</w:t>
      </w:r>
      <w:r w:rsidRPr="002F39D7">
        <w:t xml:space="preserve">Section </w:t>
      </w:r>
      <w:r w:rsidR="00DB05CC" w:rsidRPr="002F39D7">
        <w:t>4</w:t>
      </w:r>
      <w:r w:rsidRPr="002F39D7">
        <w:t>.1</w:t>
      </w:r>
      <w:r>
        <w:t>) (WHO 1995, ATSDR 2007, NTP 2012).</w:t>
      </w:r>
      <w:r w:rsidR="007B1006">
        <w:t xml:space="preserve"> Recent studies have confirmed an association between </w:t>
      </w:r>
      <w:r w:rsidR="007B1006">
        <w:rPr>
          <w:i/>
        </w:rPr>
        <w:t>in utero</w:t>
      </w:r>
      <w:r w:rsidR="007B1006">
        <w:t xml:space="preserve"> </w:t>
      </w:r>
      <w:r w:rsidR="00BE2EAA">
        <w:t>l</w:t>
      </w:r>
      <w:r w:rsidR="00637B4C">
        <w:t>ead</w:t>
      </w:r>
      <w:r w:rsidR="00BE2EAA">
        <w:t xml:space="preserve"> </w:t>
      </w:r>
      <w:r w:rsidR="007B1006">
        <w:t>exposure and infant neurodevelopment (Kim et al. 2013, Lin et al. 2013b).</w:t>
      </w:r>
      <w:r>
        <w:t xml:space="preserve"> </w:t>
      </w:r>
      <w:r w:rsidR="00AD4427">
        <w:t>Due to</w:t>
      </w:r>
      <w:r>
        <w:t xml:space="preserve"> remobilisation of </w:t>
      </w:r>
      <w:r w:rsidR="00BE2EAA">
        <w:t>l</w:t>
      </w:r>
      <w:r w:rsidR="00637B4C">
        <w:t>ead</w:t>
      </w:r>
      <w:r w:rsidR="00BE2EAA">
        <w:t xml:space="preserve"> </w:t>
      </w:r>
      <w:r>
        <w:t xml:space="preserve">stores in bone during pregnancy, it is </w:t>
      </w:r>
      <w:r w:rsidR="00AD4427">
        <w:t xml:space="preserve"> recommended</w:t>
      </w:r>
      <w:r>
        <w:t xml:space="preserve"> exposures to </w:t>
      </w:r>
      <w:r w:rsidR="00BE2EAA">
        <w:t>l</w:t>
      </w:r>
      <w:r w:rsidR="00637B4C">
        <w:t>ead</w:t>
      </w:r>
      <w:r w:rsidR="00BE2EAA">
        <w:t xml:space="preserve"> </w:t>
      </w:r>
      <w:r>
        <w:t xml:space="preserve">in the workplace for females of reproductive capacity and pregnant females should be kept as low as possible to protect the health of the </w:t>
      </w:r>
      <w:r w:rsidR="00AD4427">
        <w:t xml:space="preserve">unconceived and </w:t>
      </w:r>
      <w:r>
        <w:t xml:space="preserve">unborn child. </w:t>
      </w:r>
      <w:r>
        <w:rPr>
          <w:i/>
        </w:rPr>
        <w:t>In utero</w:t>
      </w:r>
      <w:r>
        <w:t xml:space="preserve"> exposure risks to children are greatest if mothers have had significant past </w:t>
      </w:r>
      <w:r w:rsidR="00BE2EAA">
        <w:t>l</w:t>
      </w:r>
      <w:r w:rsidR="00637B4C">
        <w:t>ead</w:t>
      </w:r>
      <w:r w:rsidR="00BE2EAA">
        <w:t xml:space="preserve"> </w:t>
      </w:r>
      <w:r>
        <w:t xml:space="preserve">exposures (i.e. they have high accumulated bone </w:t>
      </w:r>
      <w:r w:rsidR="00BE2EAA">
        <w:t>l</w:t>
      </w:r>
      <w:r w:rsidR="00637B4C">
        <w:t>ead</w:t>
      </w:r>
      <w:r w:rsidR="00BE2EAA">
        <w:t xml:space="preserve"> </w:t>
      </w:r>
      <w:r>
        <w:t xml:space="preserve">stores) (NTP 2012). </w:t>
      </w:r>
      <w:r w:rsidR="00E50724">
        <w:t xml:space="preserve">Therefore it seems reasonable the exposures for these women in the workplace should be kept below the NHMRC (2009) target PbB of 10 </w:t>
      </w:r>
      <w:r w:rsidR="00E50724" w:rsidRPr="00B31F8E">
        <w:t>µg/dL</w:t>
      </w:r>
      <w:r w:rsidR="00E50724">
        <w:t xml:space="preserve">. </w:t>
      </w:r>
    </w:p>
    <w:p w:rsidR="00E50724" w:rsidRDefault="00E50724" w:rsidP="00B31F8E">
      <w:pPr>
        <w:tabs>
          <w:tab w:val="left" w:pos="8370"/>
        </w:tabs>
      </w:pPr>
    </w:p>
    <w:p w:rsidR="006A4C16" w:rsidRDefault="00AD4427" w:rsidP="00AC6C67">
      <w:pPr>
        <w:tabs>
          <w:tab w:val="left" w:pos="8370"/>
        </w:tabs>
      </w:pPr>
      <w:r>
        <w:t>F</w:t>
      </w:r>
      <w:r w:rsidR="00E50724">
        <w:t>emales who are breast feeding, by definition, are also of reproductive capacity</w:t>
      </w:r>
      <w:r w:rsidR="00DC4810">
        <w:rPr>
          <w:rStyle w:val="FootnoteReference"/>
        </w:rPr>
        <w:footnoteReference w:id="14"/>
      </w:r>
      <w:r w:rsidR="00E50724">
        <w:t xml:space="preserve">, so the same PbB target of 10 </w:t>
      </w:r>
      <w:r w:rsidR="00E50724" w:rsidRPr="00B31F8E">
        <w:t>µg/dL</w:t>
      </w:r>
      <w:r w:rsidR="00E50724">
        <w:t xml:space="preserve"> should apply to these women.  </w:t>
      </w:r>
    </w:p>
    <w:p w:rsidR="00AC6C67" w:rsidRDefault="00AC6C67" w:rsidP="00AC6C67">
      <w:pPr>
        <w:tabs>
          <w:tab w:val="left" w:pos="8370"/>
        </w:tabs>
        <w:sectPr w:rsidR="00AC6C67" w:rsidSect="00DC5F6A">
          <w:pgSz w:w="11906" w:h="16838"/>
          <w:pgMar w:top="1418" w:right="849" w:bottom="1440" w:left="1134" w:header="284" w:footer="697" w:gutter="0"/>
          <w:cols w:space="708"/>
          <w:docGrid w:linePitch="360"/>
        </w:sectPr>
      </w:pPr>
    </w:p>
    <w:p w:rsidR="00AC6C67" w:rsidRDefault="00AC6C67" w:rsidP="00AC6C67">
      <w:pPr>
        <w:tabs>
          <w:tab w:val="left" w:pos="8370"/>
        </w:tabs>
      </w:pPr>
    </w:p>
    <w:p w:rsidR="00B11133" w:rsidRDefault="00B11133" w:rsidP="00B11133"/>
    <w:p w:rsidR="00AC6C67" w:rsidRPr="00DB1248" w:rsidRDefault="00AC6C67" w:rsidP="00AC6C67">
      <w:pPr>
        <w:pStyle w:val="BodyText"/>
        <w:rPr>
          <w:b/>
          <w:sz w:val="24"/>
          <w:szCs w:val="24"/>
          <w:vertAlign w:val="superscript"/>
        </w:rPr>
      </w:pPr>
      <w:r>
        <w:rPr>
          <w:b/>
          <w:sz w:val="24"/>
          <w:szCs w:val="24"/>
        </w:rPr>
        <w:t xml:space="preserve">Table </w:t>
      </w:r>
      <w:r w:rsidR="00216408">
        <w:rPr>
          <w:b/>
          <w:sz w:val="24"/>
          <w:szCs w:val="24"/>
        </w:rPr>
        <w:t>4</w:t>
      </w:r>
      <w:r>
        <w:rPr>
          <w:b/>
          <w:sz w:val="24"/>
          <w:szCs w:val="24"/>
        </w:rPr>
        <w:t xml:space="preserve">.2: </w:t>
      </w:r>
      <w:r w:rsidR="00BE2EAA">
        <w:rPr>
          <w:b/>
          <w:sz w:val="24"/>
          <w:szCs w:val="24"/>
        </w:rPr>
        <w:t xml:space="preserve">PbB </w:t>
      </w:r>
      <w:r w:rsidRPr="00DB1248">
        <w:rPr>
          <w:b/>
          <w:sz w:val="24"/>
          <w:szCs w:val="24"/>
        </w:rPr>
        <w:t>response</w:t>
      </w:r>
      <w:r>
        <w:rPr>
          <w:b/>
          <w:sz w:val="24"/>
          <w:szCs w:val="24"/>
        </w:rPr>
        <w:t xml:space="preserve"> in adults from non-occupational epidemiology studies</w:t>
      </w:r>
      <w:r w:rsidRPr="00DB1248">
        <w:rPr>
          <w:b/>
          <w:sz w:val="24"/>
          <w:szCs w:val="24"/>
        </w:rPr>
        <w:t xml:space="preserve"> </w:t>
      </w:r>
      <w:r w:rsidRPr="00DB1248">
        <w:rPr>
          <w:b/>
          <w:sz w:val="24"/>
          <w:szCs w:val="24"/>
          <w:vertAlign w:val="superscript"/>
        </w:rPr>
        <w:t>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76"/>
        <w:gridCol w:w="1467"/>
        <w:gridCol w:w="1418"/>
        <w:gridCol w:w="1559"/>
        <w:gridCol w:w="1559"/>
        <w:gridCol w:w="993"/>
        <w:gridCol w:w="850"/>
        <w:gridCol w:w="1559"/>
        <w:gridCol w:w="993"/>
        <w:gridCol w:w="708"/>
        <w:gridCol w:w="709"/>
        <w:gridCol w:w="709"/>
      </w:tblGrid>
      <w:tr w:rsidR="00CD3546" w:rsidTr="00723BD5">
        <w:trPr>
          <w:cantSplit/>
          <w:trHeight w:val="1704"/>
          <w:tblHeader/>
        </w:trPr>
        <w:tc>
          <w:tcPr>
            <w:tcW w:w="1476" w:type="dxa"/>
            <w:tcBorders>
              <w:bottom w:val="single" w:sz="12" w:space="0" w:color="auto"/>
              <w:right w:val="double" w:sz="4" w:space="0" w:color="auto"/>
            </w:tcBorders>
            <w:vAlign w:val="center"/>
          </w:tcPr>
          <w:p w:rsidR="00BE2EAA" w:rsidRDefault="00BE2EAA" w:rsidP="00737428">
            <w:pPr>
              <w:pStyle w:val="Default"/>
              <w:jc w:val="center"/>
              <w:rPr>
                <w:b/>
                <w:bCs/>
              </w:rPr>
            </w:pPr>
            <w:r>
              <w:rPr>
                <w:b/>
                <w:bCs/>
              </w:rPr>
              <w:t>PbB</w:t>
            </w:r>
          </w:p>
          <w:p w:rsidR="00AC6C67" w:rsidRPr="00D9710C" w:rsidRDefault="00AC6C67" w:rsidP="00737428">
            <w:pPr>
              <w:pStyle w:val="Default"/>
              <w:jc w:val="center"/>
            </w:pPr>
            <w:r w:rsidRPr="00D9710C">
              <w:rPr>
                <w:b/>
                <w:bCs/>
              </w:rPr>
              <w:t>(μg/dL)</w:t>
            </w:r>
          </w:p>
        </w:tc>
        <w:tc>
          <w:tcPr>
            <w:tcW w:w="1467" w:type="dxa"/>
            <w:tcBorders>
              <w:top w:val="double" w:sz="4" w:space="0" w:color="auto"/>
              <w:left w:val="double" w:sz="4" w:space="0" w:color="auto"/>
              <w:bottom w:val="double" w:sz="4" w:space="0" w:color="auto"/>
              <w:right w:val="double" w:sz="4" w:space="0" w:color="auto"/>
            </w:tcBorders>
            <w:shd w:val="clear" w:color="auto" w:fill="000000" w:themeFill="text1"/>
            <w:textDirection w:val="btLr"/>
            <w:vAlign w:val="center"/>
          </w:tcPr>
          <w:p w:rsidR="00AC6C67" w:rsidRPr="001C5813" w:rsidRDefault="00AC6C67" w:rsidP="00737428">
            <w:pPr>
              <w:pStyle w:val="Default"/>
              <w:ind w:left="113" w:right="113"/>
              <w:jc w:val="center"/>
              <w:rPr>
                <w:b/>
                <w:sz w:val="22"/>
                <w:szCs w:val="22"/>
                <w:vertAlign w:val="superscript"/>
              </w:rPr>
            </w:pPr>
            <w:r w:rsidRPr="00723BD5">
              <w:rPr>
                <w:b/>
                <w:color w:val="FFFFFF" w:themeColor="background1"/>
                <w:sz w:val="22"/>
                <w:szCs w:val="22"/>
              </w:rPr>
              <w:t>Nervous System</w:t>
            </w:r>
            <w:r w:rsidR="001C5813" w:rsidRPr="00723BD5">
              <w:rPr>
                <w:b/>
                <w:color w:val="FFFFFF" w:themeColor="background1"/>
                <w:sz w:val="22"/>
                <w:szCs w:val="22"/>
              </w:rPr>
              <w:t xml:space="preserve"> </w:t>
            </w:r>
            <w:r w:rsidR="001C5813" w:rsidRPr="00723BD5">
              <w:rPr>
                <w:b/>
                <w:color w:val="FFFFFF" w:themeColor="background1"/>
                <w:sz w:val="22"/>
                <w:szCs w:val="22"/>
                <w:vertAlign w:val="superscript"/>
              </w:rPr>
              <w:t>^</w:t>
            </w:r>
          </w:p>
        </w:tc>
        <w:tc>
          <w:tcPr>
            <w:tcW w:w="1418" w:type="dxa"/>
            <w:tcBorders>
              <w:top w:val="double" w:sz="4" w:space="0" w:color="auto"/>
              <w:left w:val="double" w:sz="4" w:space="0" w:color="auto"/>
              <w:bottom w:val="double" w:sz="4" w:space="0" w:color="auto"/>
              <w:right w:val="double" w:sz="4" w:space="0" w:color="auto"/>
            </w:tcBorders>
            <w:shd w:val="clear" w:color="auto" w:fill="000000" w:themeFill="text1"/>
            <w:textDirection w:val="btLr"/>
            <w:vAlign w:val="center"/>
          </w:tcPr>
          <w:p w:rsidR="00AC6C67" w:rsidRPr="001C5813" w:rsidRDefault="00AC6C67" w:rsidP="00737428">
            <w:pPr>
              <w:pStyle w:val="Default"/>
              <w:ind w:left="113" w:right="113"/>
              <w:jc w:val="center"/>
              <w:rPr>
                <w:b/>
                <w:sz w:val="22"/>
                <w:szCs w:val="22"/>
                <w:vertAlign w:val="superscript"/>
              </w:rPr>
            </w:pPr>
            <w:r w:rsidRPr="00723BD5">
              <w:rPr>
                <w:b/>
                <w:color w:val="FFFFFF" w:themeColor="background1"/>
                <w:sz w:val="22"/>
                <w:szCs w:val="22"/>
              </w:rPr>
              <w:t>Cardio-vascular</w:t>
            </w:r>
            <w:r w:rsidR="001C5813" w:rsidRPr="00723BD5">
              <w:rPr>
                <w:b/>
                <w:color w:val="FFFFFF" w:themeColor="background1"/>
                <w:sz w:val="22"/>
                <w:szCs w:val="22"/>
              </w:rPr>
              <w:t xml:space="preserve"> </w:t>
            </w:r>
            <w:r w:rsidR="001C5813" w:rsidRPr="00723BD5">
              <w:rPr>
                <w:b/>
                <w:color w:val="FFFFFF" w:themeColor="background1"/>
                <w:sz w:val="22"/>
                <w:szCs w:val="22"/>
                <w:vertAlign w:val="superscript"/>
              </w:rPr>
              <w:t>^</w:t>
            </w:r>
          </w:p>
        </w:tc>
        <w:tc>
          <w:tcPr>
            <w:tcW w:w="1559" w:type="dxa"/>
            <w:tcBorders>
              <w:left w:val="double" w:sz="4" w:space="0" w:color="auto"/>
              <w:bottom w:val="single" w:sz="12" w:space="0" w:color="auto"/>
            </w:tcBorders>
            <w:textDirection w:val="btLr"/>
            <w:vAlign w:val="center"/>
          </w:tcPr>
          <w:p w:rsidR="00AC6C67" w:rsidRPr="003A7FA8" w:rsidRDefault="00AC6C67" w:rsidP="0081529E">
            <w:pPr>
              <w:pStyle w:val="Default"/>
              <w:ind w:left="113" w:right="113"/>
              <w:jc w:val="center"/>
              <w:rPr>
                <w:b/>
                <w:sz w:val="22"/>
                <w:szCs w:val="22"/>
              </w:rPr>
            </w:pPr>
            <w:r w:rsidRPr="003A7FA8">
              <w:rPr>
                <w:b/>
                <w:sz w:val="22"/>
                <w:szCs w:val="22"/>
              </w:rPr>
              <w:t>Blood</w:t>
            </w:r>
            <w:r w:rsidR="0081529E">
              <w:rPr>
                <w:b/>
                <w:sz w:val="22"/>
                <w:szCs w:val="22"/>
              </w:rPr>
              <w:t>?</w:t>
            </w:r>
          </w:p>
        </w:tc>
        <w:tc>
          <w:tcPr>
            <w:tcW w:w="1559" w:type="dxa"/>
            <w:tcBorders>
              <w:left w:val="single" w:sz="12" w:space="0" w:color="auto"/>
              <w:bottom w:val="single" w:sz="12" w:space="0" w:color="auto"/>
            </w:tcBorders>
            <w:textDirection w:val="btLr"/>
            <w:vAlign w:val="center"/>
          </w:tcPr>
          <w:p w:rsidR="00AC6C67" w:rsidRPr="003A7FA8" w:rsidRDefault="00AC6C67" w:rsidP="002F64F2">
            <w:pPr>
              <w:pStyle w:val="Default"/>
              <w:ind w:left="113" w:right="113"/>
              <w:jc w:val="center"/>
              <w:rPr>
                <w:b/>
                <w:sz w:val="22"/>
                <w:szCs w:val="22"/>
              </w:rPr>
            </w:pPr>
            <w:r w:rsidRPr="003A7FA8">
              <w:rPr>
                <w:b/>
                <w:sz w:val="22"/>
                <w:szCs w:val="22"/>
              </w:rPr>
              <w:t>Kidneys</w:t>
            </w:r>
            <w:r w:rsidR="0081529E">
              <w:rPr>
                <w:b/>
                <w:sz w:val="22"/>
                <w:szCs w:val="22"/>
              </w:rPr>
              <w:t>?</w:t>
            </w:r>
          </w:p>
        </w:tc>
        <w:tc>
          <w:tcPr>
            <w:tcW w:w="993" w:type="dxa"/>
            <w:tcBorders>
              <w:left w:val="single" w:sz="12" w:space="0" w:color="auto"/>
              <w:bottom w:val="single" w:sz="12" w:space="0" w:color="auto"/>
            </w:tcBorders>
            <w:textDirection w:val="btLr"/>
            <w:vAlign w:val="center"/>
          </w:tcPr>
          <w:p w:rsidR="00AC6C67" w:rsidRPr="003A7FA8" w:rsidRDefault="00AC6C67" w:rsidP="0081529E">
            <w:pPr>
              <w:pStyle w:val="Default"/>
              <w:ind w:left="113" w:right="113"/>
              <w:jc w:val="center"/>
              <w:rPr>
                <w:b/>
                <w:sz w:val="22"/>
                <w:szCs w:val="22"/>
              </w:rPr>
            </w:pPr>
            <w:r w:rsidRPr="003A7FA8">
              <w:rPr>
                <w:b/>
                <w:sz w:val="22"/>
                <w:szCs w:val="22"/>
              </w:rPr>
              <w:t>Endocrine system</w:t>
            </w:r>
            <w:r w:rsidR="0081529E">
              <w:rPr>
                <w:b/>
                <w:sz w:val="22"/>
                <w:szCs w:val="22"/>
              </w:rPr>
              <w:t>?</w:t>
            </w:r>
          </w:p>
        </w:tc>
        <w:tc>
          <w:tcPr>
            <w:tcW w:w="850" w:type="dxa"/>
            <w:tcBorders>
              <w:left w:val="single" w:sz="12" w:space="0" w:color="auto"/>
              <w:bottom w:val="single" w:sz="12" w:space="0" w:color="auto"/>
            </w:tcBorders>
            <w:textDirection w:val="btLr"/>
            <w:vAlign w:val="center"/>
          </w:tcPr>
          <w:p w:rsidR="00AC6C67" w:rsidRPr="003A7FA8" w:rsidRDefault="00AC6C67" w:rsidP="00A07512">
            <w:pPr>
              <w:pStyle w:val="Default"/>
              <w:ind w:left="113" w:right="113"/>
              <w:jc w:val="center"/>
              <w:rPr>
                <w:b/>
                <w:sz w:val="22"/>
                <w:szCs w:val="22"/>
              </w:rPr>
            </w:pPr>
            <w:r w:rsidRPr="003A7FA8">
              <w:rPr>
                <w:b/>
                <w:sz w:val="22"/>
                <w:szCs w:val="22"/>
              </w:rPr>
              <w:t>Immune system</w:t>
            </w:r>
            <w:r w:rsidR="0081529E">
              <w:rPr>
                <w:b/>
                <w:sz w:val="22"/>
                <w:szCs w:val="22"/>
              </w:rPr>
              <w:t>?</w:t>
            </w:r>
          </w:p>
        </w:tc>
        <w:tc>
          <w:tcPr>
            <w:tcW w:w="1559" w:type="dxa"/>
            <w:tcBorders>
              <w:left w:val="single" w:sz="12" w:space="0" w:color="auto"/>
              <w:bottom w:val="single" w:sz="12" w:space="0" w:color="auto"/>
              <w:right w:val="double" w:sz="4" w:space="0" w:color="auto"/>
            </w:tcBorders>
            <w:textDirection w:val="btLr"/>
            <w:vAlign w:val="center"/>
          </w:tcPr>
          <w:p w:rsidR="00AC6C67" w:rsidRPr="00A07512" w:rsidRDefault="00AC6C67" w:rsidP="00A07512">
            <w:pPr>
              <w:pStyle w:val="Default"/>
              <w:ind w:left="113" w:right="113"/>
              <w:jc w:val="center"/>
              <w:rPr>
                <w:b/>
                <w:sz w:val="20"/>
                <w:szCs w:val="20"/>
              </w:rPr>
            </w:pPr>
            <w:r w:rsidRPr="00A07512">
              <w:rPr>
                <w:b/>
                <w:sz w:val="20"/>
                <w:szCs w:val="20"/>
              </w:rPr>
              <w:t>Female reproduction</w:t>
            </w:r>
            <w:r w:rsidR="00A07512" w:rsidRPr="00A07512">
              <w:rPr>
                <w:b/>
                <w:sz w:val="20"/>
                <w:szCs w:val="20"/>
              </w:rPr>
              <w:t>?</w:t>
            </w:r>
          </w:p>
        </w:tc>
        <w:tc>
          <w:tcPr>
            <w:tcW w:w="993" w:type="dxa"/>
            <w:tcBorders>
              <w:top w:val="double" w:sz="4" w:space="0" w:color="auto"/>
              <w:left w:val="double" w:sz="4" w:space="0" w:color="auto"/>
              <w:bottom w:val="double" w:sz="4" w:space="0" w:color="auto"/>
              <w:right w:val="double" w:sz="4" w:space="0" w:color="auto"/>
            </w:tcBorders>
            <w:shd w:val="clear" w:color="auto" w:fill="000000" w:themeFill="text1"/>
            <w:textDirection w:val="btLr"/>
          </w:tcPr>
          <w:p w:rsidR="00AC6C67" w:rsidRPr="005E6B04" w:rsidRDefault="00AC6C67" w:rsidP="00737428">
            <w:pPr>
              <w:pStyle w:val="Default"/>
              <w:ind w:left="113" w:right="113"/>
              <w:jc w:val="center"/>
              <w:rPr>
                <w:b/>
                <w:sz w:val="20"/>
                <w:szCs w:val="20"/>
              </w:rPr>
            </w:pPr>
            <w:r w:rsidRPr="00723BD5">
              <w:rPr>
                <w:b/>
                <w:color w:val="FFFFFF" w:themeColor="background1"/>
                <w:sz w:val="20"/>
                <w:szCs w:val="20"/>
              </w:rPr>
              <w:t>Male reproduction</w:t>
            </w:r>
            <w:r w:rsidR="005E6B04" w:rsidRPr="00723BD5">
              <w:rPr>
                <w:b/>
                <w:color w:val="FFFFFF" w:themeColor="background1"/>
                <w:sz w:val="20"/>
                <w:szCs w:val="20"/>
              </w:rPr>
              <w:t>?</w:t>
            </w:r>
          </w:p>
        </w:tc>
        <w:tc>
          <w:tcPr>
            <w:tcW w:w="708" w:type="dxa"/>
            <w:tcBorders>
              <w:left w:val="double" w:sz="4" w:space="0" w:color="auto"/>
              <w:bottom w:val="single" w:sz="12" w:space="0" w:color="auto"/>
            </w:tcBorders>
            <w:textDirection w:val="btLr"/>
          </w:tcPr>
          <w:p w:rsidR="00AC6C67" w:rsidRPr="0081529E" w:rsidRDefault="00AC6C67" w:rsidP="00737428">
            <w:pPr>
              <w:pStyle w:val="Default"/>
              <w:ind w:left="113" w:right="113"/>
              <w:jc w:val="center"/>
              <w:rPr>
                <w:b/>
                <w:sz w:val="20"/>
                <w:szCs w:val="20"/>
              </w:rPr>
            </w:pPr>
            <w:r w:rsidRPr="0081529E">
              <w:rPr>
                <w:b/>
                <w:sz w:val="20"/>
                <w:szCs w:val="20"/>
              </w:rPr>
              <w:t>Mutagenicity</w:t>
            </w:r>
            <w:r w:rsidR="0081529E" w:rsidRPr="0081529E">
              <w:rPr>
                <w:b/>
                <w:sz w:val="20"/>
                <w:szCs w:val="20"/>
              </w:rPr>
              <w:t>?</w:t>
            </w:r>
          </w:p>
        </w:tc>
        <w:tc>
          <w:tcPr>
            <w:tcW w:w="709" w:type="dxa"/>
            <w:tcBorders>
              <w:left w:val="single" w:sz="12" w:space="0" w:color="auto"/>
              <w:bottom w:val="single" w:sz="12" w:space="0" w:color="auto"/>
            </w:tcBorders>
            <w:textDirection w:val="btLr"/>
          </w:tcPr>
          <w:p w:rsidR="00AC6C67" w:rsidRPr="003A7FA8" w:rsidRDefault="00AC6C67" w:rsidP="00737428">
            <w:pPr>
              <w:pStyle w:val="Default"/>
              <w:ind w:left="113" w:right="113"/>
              <w:jc w:val="center"/>
              <w:rPr>
                <w:b/>
                <w:sz w:val="22"/>
                <w:szCs w:val="22"/>
              </w:rPr>
            </w:pPr>
            <w:r w:rsidRPr="003A7FA8">
              <w:rPr>
                <w:b/>
                <w:sz w:val="22"/>
                <w:szCs w:val="22"/>
              </w:rPr>
              <w:t>Cancer</w:t>
            </w:r>
            <w:r w:rsidR="0081529E">
              <w:rPr>
                <w:b/>
                <w:sz w:val="22"/>
                <w:szCs w:val="22"/>
              </w:rPr>
              <w:t>?</w:t>
            </w:r>
          </w:p>
        </w:tc>
        <w:tc>
          <w:tcPr>
            <w:tcW w:w="709" w:type="dxa"/>
            <w:tcBorders>
              <w:left w:val="single" w:sz="12" w:space="0" w:color="auto"/>
              <w:bottom w:val="single" w:sz="12" w:space="0" w:color="auto"/>
            </w:tcBorders>
            <w:textDirection w:val="btLr"/>
          </w:tcPr>
          <w:p w:rsidR="00AC6C67" w:rsidRPr="003A7FA8" w:rsidRDefault="00AC6C67" w:rsidP="00737428">
            <w:pPr>
              <w:pStyle w:val="Default"/>
              <w:ind w:left="113" w:right="113"/>
              <w:jc w:val="center"/>
              <w:rPr>
                <w:b/>
                <w:sz w:val="18"/>
                <w:szCs w:val="18"/>
              </w:rPr>
            </w:pPr>
            <w:r w:rsidRPr="003A7FA8">
              <w:rPr>
                <w:b/>
                <w:sz w:val="18"/>
                <w:szCs w:val="18"/>
              </w:rPr>
              <w:t>Gastrointestinal</w:t>
            </w:r>
          </w:p>
        </w:tc>
      </w:tr>
      <w:tr w:rsidR="00116CCE" w:rsidTr="00723BD5">
        <w:trPr>
          <w:trHeight w:val="581"/>
        </w:trPr>
        <w:tc>
          <w:tcPr>
            <w:tcW w:w="1476" w:type="dxa"/>
            <w:tcBorders>
              <w:top w:val="single" w:sz="12" w:space="0" w:color="auto"/>
              <w:right w:val="dashed" w:sz="12" w:space="0" w:color="auto"/>
            </w:tcBorders>
            <w:vAlign w:val="center"/>
          </w:tcPr>
          <w:p w:rsidR="00AC6C67" w:rsidRPr="00D9710C" w:rsidRDefault="00AC6C67" w:rsidP="00737428">
            <w:pPr>
              <w:pStyle w:val="Default"/>
              <w:jc w:val="center"/>
              <w:rPr>
                <w:sz w:val="22"/>
                <w:szCs w:val="22"/>
              </w:rPr>
            </w:pPr>
            <w:r>
              <w:rPr>
                <w:sz w:val="22"/>
                <w:szCs w:val="22"/>
              </w:rPr>
              <w:t>&lt;5</w:t>
            </w:r>
          </w:p>
        </w:tc>
        <w:tc>
          <w:tcPr>
            <w:tcW w:w="1467" w:type="dxa"/>
            <w:tcBorders>
              <w:top w:val="double" w:sz="4" w:space="0" w:color="auto"/>
              <w:left w:val="dashed" w:sz="12" w:space="0" w:color="auto"/>
              <w:bottom w:val="dashed" w:sz="12" w:space="0" w:color="auto"/>
              <w:right w:val="dashed" w:sz="12" w:space="0" w:color="auto"/>
            </w:tcBorders>
            <w:shd w:val="clear" w:color="auto" w:fill="D9D9D9" w:themeFill="background1" w:themeFillShade="D9"/>
            <w:vAlign w:val="center"/>
          </w:tcPr>
          <w:p w:rsidR="00AC6C67" w:rsidRPr="00713228" w:rsidRDefault="00713228" w:rsidP="005E7746">
            <w:pPr>
              <w:pStyle w:val="Default"/>
              <w:rPr>
                <w:sz w:val="22"/>
                <w:szCs w:val="22"/>
                <w:vertAlign w:val="superscript"/>
              </w:rPr>
            </w:pPr>
            <w:r>
              <w:rPr>
                <w:sz w:val="16"/>
                <w:szCs w:val="16"/>
              </w:rPr>
              <w:t>Slight cognitive deficits</w:t>
            </w:r>
            <w:r w:rsidR="005E7746">
              <w:rPr>
                <w:sz w:val="16"/>
                <w:szCs w:val="16"/>
              </w:rPr>
              <w:t>?</w:t>
            </w:r>
            <w:r w:rsidR="005E7746" w:rsidRPr="00713228">
              <w:rPr>
                <w:sz w:val="20"/>
                <w:szCs w:val="20"/>
                <w:vertAlign w:val="superscript"/>
              </w:rPr>
              <w:t xml:space="preserve"> b</w:t>
            </w:r>
            <w:r w:rsidR="00772478">
              <w:rPr>
                <w:sz w:val="16"/>
                <w:szCs w:val="16"/>
              </w:rPr>
              <w:t xml:space="preserve"> A</w:t>
            </w:r>
            <w:r w:rsidR="005E7746">
              <w:rPr>
                <w:sz w:val="16"/>
                <w:szCs w:val="16"/>
              </w:rPr>
              <w:t>uditory function decrements</w:t>
            </w:r>
            <w:r w:rsidR="00BA3AFF">
              <w:rPr>
                <w:sz w:val="16"/>
                <w:szCs w:val="16"/>
              </w:rPr>
              <w:t>?</w:t>
            </w:r>
            <w:r w:rsidR="005E7746">
              <w:rPr>
                <w:sz w:val="16"/>
                <w:szCs w:val="16"/>
              </w:rPr>
              <w:t xml:space="preserve"> </w:t>
            </w:r>
            <w:r w:rsidR="005E7746">
              <w:rPr>
                <w:sz w:val="20"/>
                <w:szCs w:val="20"/>
                <w:vertAlign w:val="superscript"/>
              </w:rPr>
              <w:t>k</w:t>
            </w:r>
            <w:r>
              <w:rPr>
                <w:sz w:val="16"/>
                <w:szCs w:val="16"/>
              </w:rPr>
              <w:t xml:space="preserve"> </w:t>
            </w:r>
          </w:p>
        </w:tc>
        <w:tc>
          <w:tcPr>
            <w:tcW w:w="1418" w:type="dxa"/>
            <w:tcBorders>
              <w:top w:val="double" w:sz="4" w:space="0" w:color="auto"/>
              <w:left w:val="dashed" w:sz="12" w:space="0" w:color="auto"/>
              <w:bottom w:val="dashed" w:sz="12" w:space="0" w:color="auto"/>
            </w:tcBorders>
            <w:shd w:val="clear" w:color="auto" w:fill="FFFFFF" w:themeFill="background1"/>
            <w:vAlign w:val="center"/>
          </w:tcPr>
          <w:p w:rsidR="00AC6C67" w:rsidRPr="003A7FA8" w:rsidRDefault="00AC6C67" w:rsidP="009E3296">
            <w:pPr>
              <w:pStyle w:val="Default"/>
              <w:rPr>
                <w:sz w:val="22"/>
                <w:szCs w:val="22"/>
              </w:rPr>
            </w:pPr>
          </w:p>
        </w:tc>
        <w:tc>
          <w:tcPr>
            <w:tcW w:w="1559" w:type="dxa"/>
            <w:tcBorders>
              <w:top w:val="single" w:sz="12" w:space="0" w:color="auto"/>
              <w:left w:val="single" w:sz="12" w:space="0" w:color="auto"/>
              <w:bottom w:val="dashed" w:sz="12" w:space="0" w:color="auto"/>
            </w:tcBorders>
          </w:tcPr>
          <w:p w:rsidR="00AC6C67" w:rsidRPr="003A7FA8" w:rsidRDefault="00AC6C67" w:rsidP="00737428">
            <w:pPr>
              <w:pStyle w:val="Default"/>
              <w:rPr>
                <w:sz w:val="22"/>
                <w:szCs w:val="22"/>
              </w:rPr>
            </w:pPr>
          </w:p>
        </w:tc>
        <w:tc>
          <w:tcPr>
            <w:tcW w:w="1559" w:type="dxa"/>
            <w:tcBorders>
              <w:top w:val="single" w:sz="12" w:space="0" w:color="auto"/>
              <w:left w:val="single" w:sz="12" w:space="0" w:color="auto"/>
              <w:bottom w:val="dashed" w:sz="12" w:space="0" w:color="auto"/>
            </w:tcBorders>
          </w:tcPr>
          <w:p w:rsidR="00AC6C67" w:rsidRPr="003A7FA8" w:rsidRDefault="00AC6C67" w:rsidP="00737428">
            <w:pPr>
              <w:pStyle w:val="Default"/>
              <w:rPr>
                <w:sz w:val="22"/>
                <w:szCs w:val="22"/>
              </w:rPr>
            </w:pPr>
          </w:p>
        </w:tc>
        <w:tc>
          <w:tcPr>
            <w:tcW w:w="993" w:type="dxa"/>
            <w:tcBorders>
              <w:top w:val="single" w:sz="12" w:space="0" w:color="auto"/>
              <w:left w:val="single" w:sz="12" w:space="0" w:color="auto"/>
            </w:tcBorders>
          </w:tcPr>
          <w:p w:rsidR="00AC6C67" w:rsidRPr="003A7FA8" w:rsidRDefault="00AC6C67" w:rsidP="00737428">
            <w:pPr>
              <w:pStyle w:val="Default"/>
              <w:rPr>
                <w:sz w:val="22"/>
                <w:szCs w:val="22"/>
              </w:rPr>
            </w:pPr>
          </w:p>
        </w:tc>
        <w:tc>
          <w:tcPr>
            <w:tcW w:w="850" w:type="dxa"/>
            <w:tcBorders>
              <w:top w:val="single" w:sz="12" w:space="0" w:color="auto"/>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top w:val="single" w:sz="12" w:space="0" w:color="auto"/>
              <w:left w:val="dashed" w:sz="12" w:space="0" w:color="auto"/>
              <w:bottom w:val="dashed" w:sz="12" w:space="0" w:color="auto"/>
              <w:right w:val="dashed" w:sz="12" w:space="0" w:color="auto"/>
            </w:tcBorders>
            <w:shd w:val="clear" w:color="auto" w:fill="D9D9D9" w:themeFill="background1" w:themeFillShade="D9"/>
          </w:tcPr>
          <w:p w:rsidR="00AC6C67" w:rsidRDefault="008B7F45" w:rsidP="00737428">
            <w:pPr>
              <w:pStyle w:val="Default"/>
              <w:rPr>
                <w:sz w:val="20"/>
                <w:szCs w:val="20"/>
                <w:vertAlign w:val="superscript"/>
              </w:rPr>
            </w:pPr>
            <w:r>
              <w:rPr>
                <w:sz w:val="16"/>
                <w:szCs w:val="16"/>
              </w:rPr>
              <w:t xml:space="preserve">Changes in levels of reproductive hormones? </w:t>
            </w:r>
            <w:r>
              <w:rPr>
                <w:sz w:val="20"/>
                <w:szCs w:val="20"/>
                <w:vertAlign w:val="superscript"/>
              </w:rPr>
              <w:t>j</w:t>
            </w:r>
          </w:p>
          <w:p w:rsidR="00772478" w:rsidRPr="00772478" w:rsidRDefault="00772478" w:rsidP="00737428">
            <w:pPr>
              <w:pStyle w:val="Default"/>
              <w:rPr>
                <w:sz w:val="16"/>
                <w:szCs w:val="16"/>
              </w:rPr>
            </w:pPr>
          </w:p>
        </w:tc>
        <w:tc>
          <w:tcPr>
            <w:tcW w:w="993" w:type="dxa"/>
            <w:tcBorders>
              <w:top w:val="double" w:sz="4" w:space="0" w:color="auto"/>
              <w:left w:val="dashed" w:sz="12" w:space="0" w:color="auto"/>
              <w:bottom w:val="dashed" w:sz="12" w:space="0" w:color="auto"/>
              <w:right w:val="single" w:sz="12" w:space="0" w:color="auto"/>
            </w:tcBorders>
          </w:tcPr>
          <w:p w:rsidR="00AC6C67" w:rsidRPr="003A7FA8" w:rsidRDefault="00AC6C67" w:rsidP="00737428">
            <w:pPr>
              <w:pStyle w:val="Default"/>
              <w:rPr>
                <w:sz w:val="22"/>
                <w:szCs w:val="22"/>
              </w:rPr>
            </w:pPr>
          </w:p>
        </w:tc>
        <w:tc>
          <w:tcPr>
            <w:tcW w:w="708" w:type="dxa"/>
            <w:tcBorders>
              <w:top w:val="single" w:sz="12" w:space="0" w:color="auto"/>
              <w:left w:val="single" w:sz="12" w:space="0" w:color="auto"/>
            </w:tcBorders>
          </w:tcPr>
          <w:p w:rsidR="00AC6C67" w:rsidRPr="003A7FA8" w:rsidRDefault="00AC6C67" w:rsidP="00737428">
            <w:pPr>
              <w:pStyle w:val="Default"/>
              <w:rPr>
                <w:sz w:val="22"/>
                <w:szCs w:val="22"/>
              </w:rPr>
            </w:pPr>
          </w:p>
        </w:tc>
        <w:tc>
          <w:tcPr>
            <w:tcW w:w="709" w:type="dxa"/>
            <w:tcBorders>
              <w:top w:val="single" w:sz="12" w:space="0" w:color="auto"/>
              <w:left w:val="single" w:sz="12" w:space="0" w:color="auto"/>
              <w:bottom w:val="dashed" w:sz="12" w:space="0" w:color="auto"/>
            </w:tcBorders>
          </w:tcPr>
          <w:p w:rsidR="00AC6C67" w:rsidRPr="003A7FA8" w:rsidRDefault="00AC6C67" w:rsidP="00737428">
            <w:pPr>
              <w:pStyle w:val="Default"/>
              <w:rPr>
                <w:sz w:val="22"/>
                <w:szCs w:val="22"/>
              </w:rPr>
            </w:pPr>
          </w:p>
        </w:tc>
        <w:tc>
          <w:tcPr>
            <w:tcW w:w="709" w:type="dxa"/>
            <w:tcBorders>
              <w:top w:val="single" w:sz="12" w:space="0" w:color="auto"/>
              <w:left w:val="single" w:sz="12" w:space="0" w:color="auto"/>
            </w:tcBorders>
          </w:tcPr>
          <w:p w:rsidR="00AC6C67" w:rsidRPr="003A7FA8" w:rsidRDefault="00AC6C67" w:rsidP="00737428">
            <w:pPr>
              <w:pStyle w:val="Default"/>
              <w:rPr>
                <w:sz w:val="22"/>
                <w:szCs w:val="22"/>
              </w:rPr>
            </w:pPr>
          </w:p>
        </w:tc>
      </w:tr>
      <w:tr w:rsidR="00F767AA" w:rsidTr="00723BD5">
        <w:trPr>
          <w:cantSplit/>
          <w:trHeight w:val="581"/>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5-10</w:t>
            </w:r>
          </w:p>
        </w:tc>
        <w:tc>
          <w:tcPr>
            <w:tcW w:w="1467" w:type="dxa"/>
            <w:tcBorders>
              <w:top w:val="dashed" w:sz="12" w:space="0" w:color="auto"/>
              <w:left w:val="dashed" w:sz="12" w:space="0" w:color="auto"/>
              <w:right w:val="dashed" w:sz="12" w:space="0" w:color="auto"/>
            </w:tcBorders>
            <w:shd w:val="clear" w:color="auto" w:fill="D9D9D9" w:themeFill="background1" w:themeFillShade="D9"/>
            <w:vAlign w:val="center"/>
          </w:tcPr>
          <w:p w:rsidR="00AC6C67" w:rsidRPr="00AE3FD1" w:rsidRDefault="00AE3FD1" w:rsidP="00737428">
            <w:pPr>
              <w:pStyle w:val="Default"/>
              <w:rPr>
                <w:sz w:val="20"/>
                <w:szCs w:val="20"/>
                <w:vertAlign w:val="superscript"/>
              </w:rPr>
            </w:pPr>
            <w:r>
              <w:rPr>
                <w:sz w:val="16"/>
                <w:szCs w:val="16"/>
              </w:rPr>
              <w:t xml:space="preserve">Psycho-pathological effects (e.g. depression, anxiety)? </w:t>
            </w:r>
            <w:r>
              <w:rPr>
                <w:sz w:val="20"/>
                <w:szCs w:val="20"/>
                <w:vertAlign w:val="superscript"/>
              </w:rPr>
              <w:t>c</w:t>
            </w:r>
          </w:p>
        </w:tc>
        <w:tc>
          <w:tcPr>
            <w:tcW w:w="1418" w:type="dxa"/>
            <w:tcBorders>
              <w:top w:val="dashed" w:sz="12" w:space="0" w:color="auto"/>
              <w:left w:val="dashed" w:sz="12" w:space="0" w:color="auto"/>
              <w:right w:val="dashed" w:sz="12" w:space="0" w:color="auto"/>
            </w:tcBorders>
            <w:shd w:val="clear" w:color="auto" w:fill="D9D9D9" w:themeFill="background1" w:themeFillShade="D9"/>
            <w:vAlign w:val="center"/>
          </w:tcPr>
          <w:p w:rsidR="00AC6C67" w:rsidRDefault="00116CCE" w:rsidP="00115330">
            <w:pPr>
              <w:pStyle w:val="Default"/>
              <w:rPr>
                <w:sz w:val="20"/>
                <w:szCs w:val="20"/>
                <w:vertAlign w:val="superscript"/>
              </w:rPr>
            </w:pPr>
            <w:r>
              <w:rPr>
                <w:rFonts w:ascii="Calibri" w:hAnsi="Calibri"/>
                <w:sz w:val="16"/>
                <w:szCs w:val="16"/>
              </w:rPr>
              <w:t>↑</w:t>
            </w:r>
            <w:r>
              <w:rPr>
                <w:sz w:val="16"/>
                <w:szCs w:val="16"/>
              </w:rPr>
              <w:t xml:space="preserve"> </w:t>
            </w:r>
            <w:r w:rsidR="000E40B8">
              <w:rPr>
                <w:sz w:val="16"/>
                <w:szCs w:val="16"/>
              </w:rPr>
              <w:t>blood pressure</w:t>
            </w:r>
            <w:r w:rsidR="00986B4E">
              <w:rPr>
                <w:sz w:val="16"/>
                <w:szCs w:val="16"/>
              </w:rPr>
              <w:t xml:space="preserve"> </w:t>
            </w:r>
            <w:r w:rsidR="009E3296">
              <w:rPr>
                <w:sz w:val="20"/>
                <w:szCs w:val="20"/>
                <w:vertAlign w:val="superscript"/>
              </w:rPr>
              <w:t>e</w:t>
            </w:r>
          </w:p>
          <w:p w:rsidR="00116CCE" w:rsidRDefault="00116CCE" w:rsidP="00115330">
            <w:pPr>
              <w:pStyle w:val="Default"/>
              <w:rPr>
                <w:sz w:val="20"/>
                <w:szCs w:val="20"/>
                <w:vertAlign w:val="superscript"/>
              </w:rPr>
            </w:pPr>
          </w:p>
          <w:p w:rsidR="00116CCE" w:rsidRPr="009E3296" w:rsidRDefault="00116CCE" w:rsidP="00115330">
            <w:pPr>
              <w:pStyle w:val="Default"/>
              <w:rPr>
                <w:sz w:val="20"/>
                <w:szCs w:val="20"/>
                <w:vertAlign w:val="superscript"/>
              </w:rPr>
            </w:pPr>
            <w:r>
              <w:rPr>
                <w:rFonts w:ascii="Calibri" w:hAnsi="Calibri"/>
                <w:sz w:val="16"/>
                <w:szCs w:val="16"/>
              </w:rPr>
              <w:t>↑</w:t>
            </w:r>
            <w:r>
              <w:rPr>
                <w:sz w:val="16"/>
                <w:szCs w:val="16"/>
              </w:rPr>
              <w:t xml:space="preserve"> risk of death from coronary heart disease </w:t>
            </w:r>
            <w:r>
              <w:rPr>
                <w:sz w:val="20"/>
                <w:szCs w:val="20"/>
                <w:vertAlign w:val="superscript"/>
              </w:rPr>
              <w:t>d</w:t>
            </w:r>
          </w:p>
        </w:tc>
        <w:tc>
          <w:tcPr>
            <w:tcW w:w="1559" w:type="dxa"/>
            <w:tcBorders>
              <w:top w:val="dashed" w:sz="12" w:space="0" w:color="auto"/>
              <w:left w:val="dashed" w:sz="12" w:space="0" w:color="auto"/>
              <w:right w:val="dashed" w:sz="12" w:space="0" w:color="auto"/>
            </w:tcBorders>
            <w:shd w:val="clear" w:color="auto" w:fill="D9D9D9" w:themeFill="background1" w:themeFillShade="D9"/>
            <w:vAlign w:val="center"/>
          </w:tcPr>
          <w:p w:rsidR="00AC6C67" w:rsidRPr="003A7FA8" w:rsidRDefault="00CD3546" w:rsidP="00CD3546">
            <w:pPr>
              <w:pStyle w:val="Default"/>
              <w:rPr>
                <w:sz w:val="22"/>
                <w:szCs w:val="22"/>
              </w:rPr>
            </w:pPr>
            <w:r>
              <w:rPr>
                <w:rFonts w:ascii="Calibri" w:hAnsi="Calibri"/>
                <w:sz w:val="16"/>
                <w:szCs w:val="16"/>
              </w:rPr>
              <w:t>↓</w:t>
            </w:r>
            <w:r>
              <w:rPr>
                <w:sz w:val="16"/>
                <w:szCs w:val="16"/>
              </w:rPr>
              <w:t xml:space="preserve"> haemoglobin, </w:t>
            </w:r>
            <w:r w:rsidRPr="00FD06B7">
              <w:rPr>
                <w:sz w:val="16"/>
                <w:szCs w:val="16"/>
              </w:rPr>
              <w:t>δ</w:t>
            </w:r>
            <w:r>
              <w:rPr>
                <w:sz w:val="16"/>
                <w:szCs w:val="16"/>
              </w:rPr>
              <w:t xml:space="preserve">-ALAD activity </w:t>
            </w:r>
            <w:r>
              <w:rPr>
                <w:sz w:val="20"/>
                <w:szCs w:val="20"/>
                <w:vertAlign w:val="superscript"/>
              </w:rPr>
              <w:t>h</w:t>
            </w:r>
            <w:r>
              <w:rPr>
                <w:sz w:val="16"/>
                <w:szCs w:val="16"/>
              </w:rPr>
              <w:t xml:space="preserve"> </w:t>
            </w:r>
          </w:p>
        </w:tc>
        <w:tc>
          <w:tcPr>
            <w:tcW w:w="1559" w:type="dxa"/>
            <w:tcBorders>
              <w:top w:val="dashed" w:sz="12" w:space="0" w:color="auto"/>
              <w:left w:val="dashed" w:sz="12" w:space="0" w:color="auto"/>
              <w:right w:val="dashed" w:sz="12" w:space="0" w:color="auto"/>
            </w:tcBorders>
            <w:shd w:val="clear" w:color="auto" w:fill="D9D9D9" w:themeFill="background1" w:themeFillShade="D9"/>
            <w:vAlign w:val="center"/>
          </w:tcPr>
          <w:p w:rsidR="00AC6C67" w:rsidRPr="003A7FA8" w:rsidRDefault="002F64F2" w:rsidP="00C66228">
            <w:pPr>
              <w:pStyle w:val="Default"/>
              <w:rPr>
                <w:sz w:val="22"/>
                <w:szCs w:val="22"/>
              </w:rPr>
            </w:pPr>
            <w:r>
              <w:rPr>
                <w:sz w:val="16"/>
                <w:szCs w:val="16"/>
              </w:rPr>
              <w:t>Kidney dysfunction (e.g. creatinine clearance)</w:t>
            </w:r>
            <w:r w:rsidR="00BA3AFF">
              <w:rPr>
                <w:sz w:val="16"/>
                <w:szCs w:val="16"/>
              </w:rPr>
              <w:t>?</w:t>
            </w:r>
            <w:r>
              <w:rPr>
                <w:sz w:val="16"/>
                <w:szCs w:val="16"/>
              </w:rPr>
              <w:t xml:space="preserve"> </w:t>
            </w:r>
            <w:r w:rsidR="00A9538F">
              <w:rPr>
                <w:sz w:val="20"/>
                <w:szCs w:val="20"/>
                <w:vertAlign w:val="superscript"/>
              </w:rPr>
              <w:t>f</w:t>
            </w: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top w:val="dashed" w:sz="12" w:space="0" w:color="auto"/>
              <w:left w:val="dashed" w:sz="12" w:space="0" w:color="auto"/>
              <w:right w:val="dashed" w:sz="12" w:space="0" w:color="auto"/>
            </w:tcBorders>
            <w:shd w:val="clear" w:color="auto" w:fill="D9D9D9" w:themeFill="background1" w:themeFillShade="D9"/>
            <w:vAlign w:val="center"/>
          </w:tcPr>
          <w:p w:rsidR="00AC6C67" w:rsidRPr="00A07512" w:rsidRDefault="00A07512" w:rsidP="00C66228">
            <w:pPr>
              <w:pStyle w:val="Default"/>
              <w:rPr>
                <w:sz w:val="20"/>
                <w:szCs w:val="20"/>
                <w:vertAlign w:val="superscript"/>
              </w:rPr>
            </w:pPr>
            <w:r>
              <w:rPr>
                <w:sz w:val="16"/>
                <w:szCs w:val="16"/>
              </w:rPr>
              <w:t>Spontaneous abortion</w:t>
            </w:r>
            <w:r w:rsidR="004A6DC1">
              <w:rPr>
                <w:sz w:val="16"/>
                <w:szCs w:val="16"/>
              </w:rPr>
              <w:t>, postnatal development delay</w:t>
            </w:r>
            <w:r w:rsidR="00747D87">
              <w:rPr>
                <w:sz w:val="16"/>
                <w:szCs w:val="16"/>
              </w:rPr>
              <w:t xml:space="preserve">, </w:t>
            </w:r>
            <w:r w:rsidR="00747D87">
              <w:rPr>
                <w:rFonts w:ascii="Calibri" w:hAnsi="Calibri"/>
                <w:sz w:val="16"/>
                <w:szCs w:val="16"/>
              </w:rPr>
              <w:t>↑</w:t>
            </w:r>
            <w:r w:rsidR="00747D87">
              <w:rPr>
                <w:sz w:val="16"/>
                <w:szCs w:val="16"/>
              </w:rPr>
              <w:t xml:space="preserve"> risk of preterm birth</w:t>
            </w:r>
            <w:r w:rsidR="0079327B">
              <w:rPr>
                <w:sz w:val="16"/>
                <w:szCs w:val="16"/>
              </w:rPr>
              <w:t xml:space="preserve">, </w:t>
            </w:r>
            <w:r w:rsidR="0079327B">
              <w:rPr>
                <w:rFonts w:ascii="Calibri" w:hAnsi="Calibri"/>
                <w:sz w:val="16"/>
                <w:szCs w:val="16"/>
              </w:rPr>
              <w:t>↓</w:t>
            </w:r>
            <w:r w:rsidR="0079327B">
              <w:rPr>
                <w:sz w:val="16"/>
                <w:szCs w:val="16"/>
              </w:rPr>
              <w:t xml:space="preserve"> birth weight</w:t>
            </w:r>
            <w:r w:rsidR="00BA3AFF">
              <w:rPr>
                <w:sz w:val="16"/>
                <w:szCs w:val="16"/>
              </w:rPr>
              <w:t>?</w:t>
            </w:r>
            <w:r>
              <w:rPr>
                <w:sz w:val="16"/>
                <w:szCs w:val="16"/>
              </w:rPr>
              <w:t xml:space="preserve"> </w:t>
            </w:r>
            <w:r w:rsidR="00A9538F">
              <w:rPr>
                <w:sz w:val="20"/>
                <w:szCs w:val="20"/>
                <w:vertAlign w:val="superscript"/>
              </w:rPr>
              <w:t>g</w:t>
            </w:r>
          </w:p>
        </w:tc>
        <w:tc>
          <w:tcPr>
            <w:tcW w:w="993" w:type="dxa"/>
            <w:tcBorders>
              <w:top w:val="dashed" w:sz="12" w:space="0" w:color="auto"/>
              <w:left w:val="dashed" w:sz="12" w:space="0" w:color="auto"/>
              <w:right w:val="dashed" w:sz="12" w:space="0" w:color="auto"/>
            </w:tcBorders>
            <w:shd w:val="clear" w:color="auto" w:fill="D9D9D9" w:themeFill="background1" w:themeFillShade="D9"/>
          </w:tcPr>
          <w:p w:rsidR="00AC6C67" w:rsidRPr="0075343F" w:rsidRDefault="00685FBE" w:rsidP="00737428">
            <w:pPr>
              <w:pStyle w:val="Default"/>
              <w:rPr>
                <w:sz w:val="20"/>
                <w:szCs w:val="20"/>
                <w:vertAlign w:val="superscript"/>
              </w:rPr>
            </w:pPr>
            <w:r>
              <w:rPr>
                <w:noProof/>
                <w:sz w:val="16"/>
                <w:szCs w:val="16"/>
              </w:rPr>
              <mc:AlternateContent>
                <mc:Choice Requires="wps">
                  <w:drawing>
                    <wp:anchor distT="0" distB="0" distL="114298" distR="114298" simplePos="0" relativeHeight="251696128" behindDoc="0" locked="0" layoutInCell="1" allowOverlap="1" wp14:anchorId="3098A2C8" wp14:editId="6AA99710">
                      <wp:simplePos x="0" y="0"/>
                      <wp:positionH relativeFrom="column">
                        <wp:posOffset>227964</wp:posOffset>
                      </wp:positionH>
                      <wp:positionV relativeFrom="paragraph">
                        <wp:posOffset>610235</wp:posOffset>
                      </wp:positionV>
                      <wp:extent cx="0" cy="2444750"/>
                      <wp:effectExtent l="95250" t="0" r="76200" b="50800"/>
                      <wp:wrapNone/>
                      <wp:docPr id="71" name="Straight Arrow Connector 71"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alt="Title: Down arrow" style="position:absolute;margin-left:17.95pt;margin-top:48.05pt;width:0;height:1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" strokecolor="black [3213]">
                      <v:stroke endarrow="open"/>
                      <o:lock v:ext="edit" shapetype="f"/>
                    </v:shape>
                  </w:pict>
                </mc:Fallback>
              </mc:AlternateContent>
            </w:r>
            <w:r w:rsidR="0075343F">
              <w:rPr>
                <w:sz w:val="16"/>
                <w:szCs w:val="16"/>
              </w:rPr>
              <w:t>Reduced sperm quality</w:t>
            </w:r>
            <w:r w:rsidR="00726483">
              <w:rPr>
                <w:sz w:val="16"/>
                <w:szCs w:val="16"/>
              </w:rPr>
              <w:t>?</w:t>
            </w:r>
            <w:r w:rsidR="0075343F">
              <w:rPr>
                <w:sz w:val="16"/>
                <w:szCs w:val="16"/>
              </w:rPr>
              <w:t xml:space="preserve"> </w:t>
            </w:r>
            <w:r w:rsidR="0075343F">
              <w:rPr>
                <w:sz w:val="20"/>
                <w:szCs w:val="20"/>
                <w:vertAlign w:val="superscript"/>
              </w:rPr>
              <w:t>i</w:t>
            </w: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top w:val="dashed" w:sz="12" w:space="0" w:color="auto"/>
              <w:left w:val="dashed" w:sz="12" w:space="0" w:color="auto"/>
              <w:right w:val="dashed" w:sz="12" w:space="0" w:color="auto"/>
            </w:tcBorders>
            <w:shd w:val="clear" w:color="auto" w:fill="D9D9D9" w:themeFill="background1" w:themeFillShade="D9"/>
          </w:tcPr>
          <w:p w:rsidR="00AC6C67" w:rsidRPr="0013088D" w:rsidRDefault="00685FBE" w:rsidP="00737428">
            <w:pPr>
              <w:pStyle w:val="Default"/>
              <w:rPr>
                <w:sz w:val="16"/>
                <w:szCs w:val="22"/>
                <w:vertAlign w:val="superscript"/>
              </w:rPr>
            </w:pPr>
            <w:r>
              <w:rPr>
                <w:noProof/>
                <w:sz w:val="16"/>
                <w:szCs w:val="16"/>
              </w:rPr>
              <mc:AlternateContent>
                <mc:Choice Requires="wps">
                  <w:drawing>
                    <wp:anchor distT="0" distB="0" distL="114298" distR="114298" simplePos="0" relativeHeight="251711488" behindDoc="0" locked="0" layoutInCell="1" allowOverlap="1" wp14:anchorId="07153ACD" wp14:editId="547D72DC">
                      <wp:simplePos x="0" y="0"/>
                      <wp:positionH relativeFrom="column">
                        <wp:posOffset>157479</wp:posOffset>
                      </wp:positionH>
                      <wp:positionV relativeFrom="paragraph">
                        <wp:posOffset>610235</wp:posOffset>
                      </wp:positionV>
                      <wp:extent cx="0" cy="2444750"/>
                      <wp:effectExtent l="95250" t="0" r="76200" b="50800"/>
                      <wp:wrapNone/>
                      <wp:docPr id="76" name="Straight Arrow Connector 76"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alt="Title: Down arrow" style="position:absolute;margin-left:12.4pt;margin-top:48.05pt;width:0;height:192.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" strokecolor="black [3213]">
                      <v:stroke endarrow="open"/>
                      <o:lock v:ext="edit" shapetype="f"/>
                    </v:shape>
                  </w:pict>
                </mc:Fallback>
              </mc:AlternateContent>
            </w:r>
            <w:r w:rsidR="0013088D">
              <w:rPr>
                <w:sz w:val="16"/>
                <w:szCs w:val="22"/>
              </w:rPr>
              <w:t>?</w:t>
            </w:r>
            <w:r w:rsidR="0013088D">
              <w:rPr>
                <w:noProof/>
                <w:sz w:val="16"/>
                <w:szCs w:val="16"/>
              </w:rPr>
              <w:t xml:space="preserve"> </w:t>
            </w:r>
            <w:r w:rsidR="0013088D" w:rsidRPr="0013088D">
              <w:rPr>
                <w:noProof/>
                <w:sz w:val="20"/>
                <w:szCs w:val="16"/>
                <w:vertAlign w:val="superscript"/>
              </w:rPr>
              <w:t>l</w:t>
            </w: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396"/>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10-15</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A9538F" w:rsidRDefault="00685FBE" w:rsidP="00737428">
            <w:pPr>
              <w:pStyle w:val="Default"/>
              <w:rPr>
                <w:sz w:val="20"/>
                <w:szCs w:val="20"/>
                <w:vertAlign w:val="superscript"/>
              </w:rPr>
            </w:pPr>
            <w:r>
              <w:rPr>
                <w:noProof/>
                <w:sz w:val="16"/>
                <w:szCs w:val="16"/>
              </w:rPr>
              <mc:AlternateContent>
                <mc:Choice Requires="wps">
                  <w:drawing>
                    <wp:anchor distT="0" distB="0" distL="114298" distR="114298" simplePos="0" relativeHeight="251687936" behindDoc="0" locked="0" layoutInCell="1" allowOverlap="1" wp14:anchorId="0E158075" wp14:editId="69EDCDCF">
                      <wp:simplePos x="0" y="0"/>
                      <wp:positionH relativeFrom="column">
                        <wp:posOffset>385444</wp:posOffset>
                      </wp:positionH>
                      <wp:positionV relativeFrom="paragraph">
                        <wp:posOffset>102870</wp:posOffset>
                      </wp:positionV>
                      <wp:extent cx="0" cy="1943100"/>
                      <wp:effectExtent l="95250" t="0" r="57150" b="57150"/>
                      <wp:wrapNone/>
                      <wp:docPr id="67" name="Straight Arrow Connector 67"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alt="Title: Down arrow" style="position:absolute;margin-left:30.35pt;margin-top:8.1pt;width:0;height:153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" strokecolor="black [3213]">
                      <v:stroke endarrow="open"/>
                      <o:lock v:ext="edit" shapetype="f"/>
                    </v:shape>
                  </w:pict>
                </mc:Fallback>
              </mc:AlternateContent>
            </w: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685FBE" w:rsidP="00737428">
            <w:pPr>
              <w:pStyle w:val="Default"/>
              <w:rPr>
                <w:sz w:val="22"/>
                <w:szCs w:val="22"/>
              </w:rPr>
            </w:pPr>
            <w:r>
              <w:rPr>
                <w:noProof/>
                <w:sz w:val="16"/>
                <w:szCs w:val="16"/>
              </w:rPr>
              <mc:AlternateContent>
                <mc:Choice Requires="wps">
                  <w:drawing>
                    <wp:anchor distT="0" distB="0" distL="114298" distR="114298" simplePos="0" relativeHeight="251685888" behindDoc="0" locked="0" layoutInCell="1" allowOverlap="1" wp14:anchorId="62FD7F13" wp14:editId="3200E5ED">
                      <wp:simplePos x="0" y="0"/>
                      <wp:positionH relativeFrom="column">
                        <wp:posOffset>386079</wp:posOffset>
                      </wp:positionH>
                      <wp:positionV relativeFrom="paragraph">
                        <wp:posOffset>158115</wp:posOffset>
                      </wp:positionV>
                      <wp:extent cx="0" cy="1809750"/>
                      <wp:effectExtent l="95250" t="0" r="57150" b="57150"/>
                      <wp:wrapNone/>
                      <wp:docPr id="66" name="Straight Arrow Connector 66"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alt="Title: Down arrow" style="position:absolute;margin-left:30.4pt;margin-top:12.45pt;width:0;height:142.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" strokecolor="black [3213]">
                      <v:stroke endarrow="open"/>
                      <o:lock v:ext="edit" shapetype="f"/>
                    </v:shape>
                  </w:pict>
                </mc:Fallback>
              </mc:AlternateContent>
            </w: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685FBE" w:rsidP="00737428">
            <w:pPr>
              <w:pStyle w:val="Default"/>
              <w:rPr>
                <w:sz w:val="22"/>
                <w:szCs w:val="22"/>
              </w:rPr>
            </w:pPr>
            <w:r>
              <w:rPr>
                <w:noProof/>
                <w:sz w:val="16"/>
                <w:szCs w:val="16"/>
              </w:rPr>
              <mc:AlternateContent>
                <mc:Choice Requires="wps">
                  <w:drawing>
                    <wp:anchor distT="0" distB="0" distL="114298" distR="114298" simplePos="0" relativeHeight="251689984" behindDoc="0" locked="0" layoutInCell="1" allowOverlap="1" wp14:anchorId="67818FC2" wp14:editId="7074FD6F">
                      <wp:simplePos x="0" y="0"/>
                      <wp:positionH relativeFrom="column">
                        <wp:posOffset>374014</wp:posOffset>
                      </wp:positionH>
                      <wp:positionV relativeFrom="paragraph">
                        <wp:posOffset>100965</wp:posOffset>
                      </wp:positionV>
                      <wp:extent cx="0" cy="1689100"/>
                      <wp:effectExtent l="95250" t="0" r="57150" b="63500"/>
                      <wp:wrapNone/>
                      <wp:docPr id="68" name="Straight Arrow Connector 68"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8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alt="Title: Down arrow" style="position:absolute;margin-left:29.45pt;margin-top:7.95pt;width:0;height:133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" strokecolor="black [3213]">
                      <v:stroke endarrow="open"/>
                      <o:lock v:ext="edit" shapetype="f"/>
                    </v:shape>
                  </w:pict>
                </mc:Fallback>
              </mc:AlternateContent>
            </w: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685FBE" w:rsidP="00737428">
            <w:pPr>
              <w:pStyle w:val="Default"/>
              <w:rPr>
                <w:sz w:val="22"/>
                <w:szCs w:val="22"/>
              </w:rPr>
            </w:pPr>
            <w:r>
              <w:rPr>
                <w:noProof/>
                <w:sz w:val="16"/>
                <w:szCs w:val="16"/>
              </w:rPr>
              <mc:AlternateContent>
                <mc:Choice Requires="wps">
                  <w:drawing>
                    <wp:anchor distT="0" distB="0" distL="114298" distR="114298" simplePos="0" relativeHeight="251692032" behindDoc="0" locked="0" layoutInCell="1" allowOverlap="1" wp14:anchorId="532B841C" wp14:editId="4777F885">
                      <wp:simplePos x="0" y="0"/>
                      <wp:positionH relativeFrom="column">
                        <wp:posOffset>393699</wp:posOffset>
                      </wp:positionH>
                      <wp:positionV relativeFrom="paragraph">
                        <wp:posOffset>102870</wp:posOffset>
                      </wp:positionV>
                      <wp:extent cx="0" cy="2216150"/>
                      <wp:effectExtent l="95250" t="0" r="114300" b="50800"/>
                      <wp:wrapNone/>
                      <wp:docPr id="69" name="Straight Arrow Connector 69"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16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alt="Title: Down arrow" style="position:absolute;margin-left:31pt;margin-top:8.1pt;width:0;height:174.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" strokecolor="black [3213]">
                      <v:stroke endarrow="open"/>
                      <o:lock v:ext="edit" shapetype="f"/>
                    </v:shape>
                  </w:pict>
                </mc:Fallback>
              </mc:AlternateContent>
            </w: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747D87" w:rsidRDefault="00685FBE" w:rsidP="00737428">
            <w:pPr>
              <w:pStyle w:val="Default"/>
              <w:rPr>
                <w:sz w:val="20"/>
                <w:szCs w:val="20"/>
                <w:vertAlign w:val="superscript"/>
              </w:rPr>
            </w:pPr>
            <w:r>
              <w:rPr>
                <w:noProof/>
                <w:sz w:val="16"/>
                <w:szCs w:val="16"/>
              </w:rPr>
              <mc:AlternateContent>
                <mc:Choice Requires="wps">
                  <w:drawing>
                    <wp:anchor distT="0" distB="0" distL="114298" distR="114298" simplePos="0" relativeHeight="251694080" behindDoc="0" locked="0" layoutInCell="1" allowOverlap="1" wp14:anchorId="6085D1B1" wp14:editId="08CA692B">
                      <wp:simplePos x="0" y="0"/>
                      <wp:positionH relativeFrom="column">
                        <wp:posOffset>410209</wp:posOffset>
                      </wp:positionH>
                      <wp:positionV relativeFrom="paragraph">
                        <wp:posOffset>102870</wp:posOffset>
                      </wp:positionV>
                      <wp:extent cx="0" cy="2216150"/>
                      <wp:effectExtent l="95250" t="0" r="114300" b="50800"/>
                      <wp:wrapNone/>
                      <wp:docPr id="70" name="Straight Arrow Connector 70" title="Down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16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alt="Title: Down arrow" style="position:absolute;margin-left:32.3pt;margin-top:8.1pt;width:0;height:174.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" strokecolor="black [3213]">
                      <v:stroke endarrow="open"/>
                      <o:lock v:ext="edit" shapetype="f"/>
                    </v:shape>
                  </w:pict>
                </mc:Fallback>
              </mc:AlternateContent>
            </w: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549"/>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15-20</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581"/>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20-30</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550"/>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30-40</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398"/>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40-50</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398"/>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50-60</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467"/>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60-80</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vAlign w:val="center"/>
          </w:tcPr>
          <w:p w:rsidR="00AC6C67" w:rsidRPr="003A7FA8" w:rsidRDefault="0063137E" w:rsidP="00CD3546">
            <w:pPr>
              <w:pStyle w:val="Default"/>
              <w:rPr>
                <w:sz w:val="22"/>
                <w:szCs w:val="22"/>
              </w:rPr>
            </w:pPr>
            <w:r>
              <w:rPr>
                <w:sz w:val="16"/>
                <w:szCs w:val="16"/>
              </w:rPr>
              <w:t>Anaemia</w:t>
            </w: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r w:rsidR="00C66228" w:rsidTr="00723BD5">
        <w:trPr>
          <w:trHeight w:val="619"/>
        </w:trPr>
        <w:tc>
          <w:tcPr>
            <w:tcW w:w="1476" w:type="dxa"/>
            <w:tcBorders>
              <w:right w:val="dashed" w:sz="12" w:space="0" w:color="auto"/>
            </w:tcBorders>
            <w:vAlign w:val="center"/>
          </w:tcPr>
          <w:p w:rsidR="00AC6C67" w:rsidRPr="00D9710C" w:rsidRDefault="00AC6C67" w:rsidP="00737428">
            <w:pPr>
              <w:pStyle w:val="Default"/>
              <w:jc w:val="center"/>
              <w:rPr>
                <w:sz w:val="22"/>
                <w:szCs w:val="22"/>
              </w:rPr>
            </w:pPr>
            <w:r>
              <w:rPr>
                <w:sz w:val="22"/>
                <w:szCs w:val="22"/>
              </w:rPr>
              <w:t>&gt;80</w:t>
            </w:r>
          </w:p>
        </w:tc>
        <w:tc>
          <w:tcPr>
            <w:tcW w:w="1467"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r w:rsidRPr="007C2BD0">
              <w:rPr>
                <w:sz w:val="16"/>
                <w:szCs w:val="16"/>
              </w:rPr>
              <w:t>Encephalopathy</w:t>
            </w:r>
          </w:p>
        </w:tc>
        <w:tc>
          <w:tcPr>
            <w:tcW w:w="1418" w:type="dxa"/>
            <w:tcBorders>
              <w:left w:val="dashed" w:sz="12" w:space="0" w:color="auto"/>
              <w:right w:val="dashed" w:sz="12" w:space="0" w:color="auto"/>
            </w:tcBorders>
            <w:shd w:val="clear" w:color="auto" w:fill="D9D9D9" w:themeFill="background1" w:themeFillShade="D9"/>
            <w:vAlign w:val="center"/>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tcBorders>
          </w:tcPr>
          <w:p w:rsidR="00AC6C67" w:rsidRPr="003A7FA8" w:rsidRDefault="00AC6C67" w:rsidP="00737428">
            <w:pPr>
              <w:pStyle w:val="Default"/>
              <w:rPr>
                <w:sz w:val="22"/>
                <w:szCs w:val="22"/>
              </w:rPr>
            </w:pPr>
          </w:p>
        </w:tc>
        <w:tc>
          <w:tcPr>
            <w:tcW w:w="850" w:type="dxa"/>
            <w:tcBorders>
              <w:left w:val="single" w:sz="12" w:space="0" w:color="auto"/>
              <w:right w:val="dashed" w:sz="12" w:space="0" w:color="auto"/>
            </w:tcBorders>
          </w:tcPr>
          <w:p w:rsidR="00AC6C67" w:rsidRPr="003A7FA8" w:rsidRDefault="00AC6C67" w:rsidP="00737428">
            <w:pPr>
              <w:pStyle w:val="Default"/>
              <w:rPr>
                <w:sz w:val="22"/>
                <w:szCs w:val="22"/>
              </w:rPr>
            </w:pPr>
          </w:p>
        </w:tc>
        <w:tc>
          <w:tcPr>
            <w:tcW w:w="155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993"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8" w:type="dxa"/>
            <w:tcBorders>
              <w:left w:val="dashed" w:sz="12" w:space="0" w:color="auto"/>
              <w:right w:val="dashed" w:sz="12" w:space="0" w:color="auto"/>
            </w:tcBorders>
          </w:tcPr>
          <w:p w:rsidR="00AC6C67" w:rsidRPr="003A7FA8" w:rsidRDefault="00AC6C67" w:rsidP="00737428">
            <w:pPr>
              <w:pStyle w:val="Default"/>
              <w:rPr>
                <w:sz w:val="22"/>
                <w:szCs w:val="22"/>
              </w:rPr>
            </w:pPr>
          </w:p>
        </w:tc>
        <w:tc>
          <w:tcPr>
            <w:tcW w:w="709" w:type="dxa"/>
            <w:tcBorders>
              <w:left w:val="dashed" w:sz="12" w:space="0" w:color="auto"/>
              <w:right w:val="dashed" w:sz="12" w:space="0" w:color="auto"/>
            </w:tcBorders>
            <w:shd w:val="clear" w:color="auto" w:fill="D9D9D9" w:themeFill="background1" w:themeFillShade="D9"/>
          </w:tcPr>
          <w:p w:rsidR="00AC6C67" w:rsidRPr="003A7FA8" w:rsidRDefault="00AC6C67" w:rsidP="00737428">
            <w:pPr>
              <w:pStyle w:val="Default"/>
              <w:rPr>
                <w:sz w:val="22"/>
                <w:szCs w:val="22"/>
              </w:rPr>
            </w:pPr>
          </w:p>
        </w:tc>
        <w:tc>
          <w:tcPr>
            <w:tcW w:w="709" w:type="dxa"/>
            <w:tcBorders>
              <w:left w:val="dashed" w:sz="12" w:space="0" w:color="auto"/>
            </w:tcBorders>
          </w:tcPr>
          <w:p w:rsidR="00AC6C67" w:rsidRPr="003A7FA8" w:rsidRDefault="00AC6C67" w:rsidP="00737428">
            <w:pPr>
              <w:pStyle w:val="Default"/>
              <w:rPr>
                <w:sz w:val="22"/>
                <w:szCs w:val="22"/>
              </w:rPr>
            </w:pPr>
          </w:p>
        </w:tc>
      </w:tr>
    </w:tbl>
    <w:p w:rsidR="001C5813" w:rsidRDefault="001C5813" w:rsidP="001C5813">
      <w:pPr>
        <w:spacing w:line="240" w:lineRule="auto"/>
        <w:ind w:left="142" w:hanging="142"/>
        <w:rPr>
          <w:b/>
          <w:sz w:val="18"/>
          <w:szCs w:val="18"/>
        </w:rPr>
      </w:pPr>
    </w:p>
    <w:p w:rsidR="001C5813" w:rsidRDefault="001C5813" w:rsidP="001C5813">
      <w:pPr>
        <w:spacing w:line="240" w:lineRule="auto"/>
        <w:ind w:left="142" w:hanging="142"/>
        <w:rPr>
          <w:b/>
          <w:sz w:val="18"/>
          <w:szCs w:val="18"/>
        </w:rPr>
      </w:pPr>
    </w:p>
    <w:p w:rsidR="001C5813" w:rsidRDefault="001C5813" w:rsidP="001C5813">
      <w:pPr>
        <w:spacing w:line="240" w:lineRule="auto"/>
        <w:ind w:left="142" w:hanging="142"/>
        <w:rPr>
          <w:b/>
          <w:sz w:val="18"/>
          <w:szCs w:val="18"/>
        </w:rPr>
      </w:pPr>
      <w:r>
        <w:rPr>
          <w:b/>
          <w:sz w:val="18"/>
          <w:szCs w:val="18"/>
        </w:rPr>
        <w:lastRenderedPageBreak/>
        <w:t xml:space="preserve">Legend to Table 4.2: </w:t>
      </w:r>
    </w:p>
    <w:p w:rsidR="001C5813" w:rsidRDefault="001C5813" w:rsidP="001C5813">
      <w:pPr>
        <w:spacing w:line="240" w:lineRule="auto"/>
        <w:ind w:left="142" w:hanging="142"/>
        <w:rPr>
          <w:sz w:val="18"/>
          <w:szCs w:val="18"/>
        </w:rPr>
      </w:pPr>
      <w:r>
        <w:rPr>
          <w:sz w:val="18"/>
          <w:szCs w:val="18"/>
        </w:rPr>
        <w:t xml:space="preserve">? = For these effects, there are limited data, inconsistent results, and/or possible/probable confounding; </w:t>
      </w:r>
    </w:p>
    <w:p w:rsidR="001C5813" w:rsidRDefault="001C5813" w:rsidP="001C5813">
      <w:pPr>
        <w:spacing w:line="240" w:lineRule="auto"/>
        <w:ind w:left="142" w:hanging="142"/>
        <w:rPr>
          <w:sz w:val="18"/>
          <w:szCs w:val="18"/>
        </w:rPr>
      </w:pPr>
      <w:r>
        <w:rPr>
          <w:rFonts w:ascii="Calibri" w:hAnsi="Calibri"/>
          <w:sz w:val="18"/>
          <w:szCs w:val="18"/>
        </w:rPr>
        <w:t>↑</w:t>
      </w:r>
      <w:r>
        <w:rPr>
          <w:sz w:val="18"/>
          <w:szCs w:val="18"/>
        </w:rPr>
        <w:t xml:space="preserve"> = increase; </w:t>
      </w:r>
    </w:p>
    <w:p w:rsidR="001C5813" w:rsidRDefault="001C5813" w:rsidP="001C5813">
      <w:pPr>
        <w:spacing w:line="240" w:lineRule="auto"/>
        <w:ind w:left="142" w:hanging="142"/>
        <w:rPr>
          <w:sz w:val="18"/>
          <w:szCs w:val="18"/>
        </w:rPr>
      </w:pPr>
      <w:r>
        <w:rPr>
          <w:rFonts w:ascii="Calibri" w:hAnsi="Calibri"/>
          <w:sz w:val="18"/>
          <w:szCs w:val="18"/>
        </w:rPr>
        <w:t>↓</w:t>
      </w:r>
      <w:r>
        <w:rPr>
          <w:sz w:val="18"/>
          <w:szCs w:val="18"/>
        </w:rPr>
        <w:t xml:space="preserve"> = decrease; </w:t>
      </w:r>
    </w:p>
    <w:p w:rsidR="001C5813" w:rsidRDefault="001C5813" w:rsidP="001C5813">
      <w:pPr>
        <w:spacing w:line="240" w:lineRule="auto"/>
        <w:ind w:left="142" w:hanging="142"/>
        <w:rPr>
          <w:sz w:val="18"/>
          <w:szCs w:val="18"/>
        </w:rPr>
      </w:pPr>
      <w:r>
        <w:rPr>
          <w:sz w:val="18"/>
          <w:szCs w:val="18"/>
        </w:rPr>
        <w:t xml:space="preserve">long arrow = shows progression, i.e. worsening of effect with increasing PbB. </w:t>
      </w:r>
    </w:p>
    <w:p w:rsidR="001C5813" w:rsidRDefault="00DC7862" w:rsidP="001C5813">
      <w:pPr>
        <w:spacing w:line="240" w:lineRule="auto"/>
        <w:ind w:left="142" w:hanging="142"/>
        <w:rPr>
          <w:sz w:val="18"/>
          <w:szCs w:val="18"/>
        </w:rPr>
      </w:pPr>
      <w:r>
        <w:rPr>
          <w:sz w:val="18"/>
          <w:szCs w:val="18"/>
        </w:rPr>
        <w:t xml:space="preserve">Cells in light grey </w:t>
      </w:r>
      <w:r w:rsidR="001C5813">
        <w:rPr>
          <w:sz w:val="18"/>
          <w:szCs w:val="18"/>
        </w:rPr>
        <w:t xml:space="preserve">= </w:t>
      </w:r>
      <w:r w:rsidR="001C5813" w:rsidRPr="00317581">
        <w:rPr>
          <w:sz w:val="18"/>
          <w:szCs w:val="18"/>
        </w:rPr>
        <w:t>indicates health</w:t>
      </w:r>
      <w:r w:rsidR="001C5813">
        <w:rPr>
          <w:sz w:val="18"/>
          <w:szCs w:val="18"/>
        </w:rPr>
        <w:t>/research</w:t>
      </w:r>
      <w:r w:rsidR="001C5813" w:rsidRPr="00317581">
        <w:rPr>
          <w:sz w:val="18"/>
          <w:szCs w:val="18"/>
        </w:rPr>
        <w:t xml:space="preserve"> effects have been observed at or above this PbB concentration</w:t>
      </w:r>
      <w:r w:rsidR="001C5813">
        <w:rPr>
          <w:sz w:val="18"/>
          <w:szCs w:val="18"/>
        </w:rPr>
        <w:t>.</w:t>
      </w:r>
    </w:p>
    <w:p w:rsidR="001C5813" w:rsidRDefault="001C5813" w:rsidP="001C5813">
      <w:pPr>
        <w:spacing w:line="240" w:lineRule="auto"/>
        <w:ind w:left="142" w:hanging="142"/>
        <w:rPr>
          <w:sz w:val="18"/>
          <w:szCs w:val="18"/>
        </w:rPr>
      </w:pPr>
      <w:r>
        <w:rPr>
          <w:sz w:val="24"/>
          <w:szCs w:val="24"/>
          <w:vertAlign w:val="superscript"/>
        </w:rPr>
        <w:t>^</w:t>
      </w:r>
      <w:r>
        <w:rPr>
          <w:sz w:val="18"/>
          <w:szCs w:val="18"/>
        </w:rPr>
        <w:t xml:space="preserve"> Effects considered by US EPA (2013)</w:t>
      </w:r>
      <w:r w:rsidRPr="00C7642A">
        <w:t xml:space="preserve"> </w:t>
      </w:r>
      <w:r w:rsidRPr="00C7642A">
        <w:rPr>
          <w:sz w:val="18"/>
          <w:szCs w:val="18"/>
        </w:rPr>
        <w:t>to have sufficient supporting evidence to indicate causality (‘causal’ or ‘likely causal’) by lead exposure</w:t>
      </w:r>
      <w:r>
        <w:rPr>
          <w:sz w:val="18"/>
          <w:szCs w:val="18"/>
        </w:rPr>
        <w:t xml:space="preserve">.   </w:t>
      </w:r>
    </w:p>
    <w:p w:rsidR="001C5813" w:rsidRDefault="001C5813" w:rsidP="00726483">
      <w:pPr>
        <w:spacing w:line="240" w:lineRule="auto"/>
        <w:ind w:left="142" w:hanging="142"/>
        <w:rPr>
          <w:sz w:val="24"/>
          <w:szCs w:val="24"/>
          <w:vertAlign w:val="superscript"/>
        </w:rPr>
      </w:pPr>
    </w:p>
    <w:p w:rsidR="001C5813" w:rsidRPr="001C5813" w:rsidRDefault="001C5813" w:rsidP="001C5813">
      <w:pPr>
        <w:spacing w:line="240" w:lineRule="auto"/>
        <w:ind w:left="142" w:hanging="142"/>
        <w:rPr>
          <w:b/>
          <w:sz w:val="18"/>
          <w:szCs w:val="18"/>
        </w:rPr>
      </w:pPr>
      <w:r>
        <w:rPr>
          <w:b/>
          <w:sz w:val="18"/>
          <w:szCs w:val="18"/>
        </w:rPr>
        <w:t xml:space="preserve">Footnotes to Table 4.2: </w:t>
      </w:r>
    </w:p>
    <w:p w:rsidR="00AC6C67" w:rsidRDefault="00AC6C67" w:rsidP="00726483">
      <w:pPr>
        <w:spacing w:line="240" w:lineRule="auto"/>
        <w:ind w:left="142" w:hanging="142"/>
        <w:rPr>
          <w:sz w:val="18"/>
          <w:szCs w:val="18"/>
        </w:rPr>
      </w:pPr>
      <w:r>
        <w:rPr>
          <w:sz w:val="24"/>
          <w:szCs w:val="24"/>
          <w:vertAlign w:val="superscript"/>
        </w:rPr>
        <w:t>a</w:t>
      </w:r>
      <w:r>
        <w:rPr>
          <w:sz w:val="20"/>
        </w:rPr>
        <w:t xml:space="preserve"> </w:t>
      </w:r>
      <w:r w:rsidR="00A07512" w:rsidRPr="00CA4E82">
        <w:rPr>
          <w:sz w:val="18"/>
          <w:szCs w:val="18"/>
        </w:rPr>
        <w:t xml:space="preserve">Compiled from studies reviewed by NZ MfE (2011), ATSDR (2007), US EPA (2006, 2013), NTP (2012), NIWL (2005). </w:t>
      </w:r>
      <w:r w:rsidR="00723BD5">
        <w:rPr>
          <w:sz w:val="18"/>
          <w:szCs w:val="18"/>
        </w:rPr>
        <w:t>Light grey</w:t>
      </w:r>
      <w:r w:rsidR="00726483">
        <w:rPr>
          <w:sz w:val="18"/>
          <w:szCs w:val="18"/>
        </w:rPr>
        <w:t xml:space="preserve"> s</w:t>
      </w:r>
      <w:r w:rsidR="00726483" w:rsidRPr="00CA4E82">
        <w:rPr>
          <w:sz w:val="18"/>
          <w:szCs w:val="18"/>
        </w:rPr>
        <w:t>hading indicates health effects have been observed at or above this PbB concentration.</w:t>
      </w:r>
      <w:r w:rsidR="00726483">
        <w:rPr>
          <w:sz w:val="20"/>
        </w:rPr>
        <w:t xml:space="preserve"> </w:t>
      </w:r>
      <w:r w:rsidR="00B35CF7">
        <w:rPr>
          <w:sz w:val="18"/>
          <w:szCs w:val="18"/>
        </w:rPr>
        <w:t>Solid black</w:t>
      </w:r>
      <w:r w:rsidR="00726483">
        <w:rPr>
          <w:sz w:val="18"/>
          <w:szCs w:val="18"/>
        </w:rPr>
        <w:t xml:space="preserve"> shading indicates the health effects considered by US EPA (2013) to have sufficient supporting evidence to indicate causality (‘causal’ or ‘likely causal’) by lead exposure.</w:t>
      </w:r>
      <w:r w:rsidR="00D00370" w:rsidRPr="00D00370">
        <w:t xml:space="preserve"> </w:t>
      </w:r>
      <w:r w:rsidR="00D00370" w:rsidRPr="00D00370">
        <w:rPr>
          <w:sz w:val="18"/>
          <w:szCs w:val="18"/>
        </w:rPr>
        <w:t>Bl</w:t>
      </w:r>
      <w:r w:rsidR="00185D5A">
        <w:rPr>
          <w:sz w:val="18"/>
          <w:szCs w:val="18"/>
        </w:rPr>
        <w:t>ank cells indicate that there are</w:t>
      </w:r>
      <w:r w:rsidR="00D00370" w:rsidRPr="00D00370">
        <w:rPr>
          <w:sz w:val="18"/>
          <w:szCs w:val="18"/>
        </w:rPr>
        <w:t xml:space="preserve"> either no data or no observed effect.</w:t>
      </w:r>
    </w:p>
    <w:p w:rsidR="00BA3AFF" w:rsidRDefault="00115330" w:rsidP="00C50644">
      <w:pPr>
        <w:spacing w:line="240" w:lineRule="auto"/>
        <w:rPr>
          <w:sz w:val="18"/>
          <w:szCs w:val="18"/>
        </w:rPr>
      </w:pPr>
      <w:r>
        <w:rPr>
          <w:sz w:val="24"/>
          <w:szCs w:val="24"/>
          <w:vertAlign w:val="superscript"/>
        </w:rPr>
        <w:t>b</w:t>
      </w:r>
      <w:r w:rsidR="00BA3AFF">
        <w:rPr>
          <w:sz w:val="24"/>
          <w:szCs w:val="24"/>
          <w:vertAlign w:val="superscript"/>
        </w:rPr>
        <w:t xml:space="preserve"> </w:t>
      </w:r>
      <w:r w:rsidR="00BA3AFF">
        <w:rPr>
          <w:sz w:val="18"/>
          <w:szCs w:val="18"/>
        </w:rPr>
        <w:t>Krieg et al. 2009, 2010; Krieg and Butler 2009</w:t>
      </w:r>
      <w:r w:rsidR="00242F86">
        <w:rPr>
          <w:sz w:val="18"/>
          <w:szCs w:val="18"/>
        </w:rPr>
        <w:t>, Min et al. 2012</w:t>
      </w:r>
      <w:r w:rsidR="00BA3AFF">
        <w:rPr>
          <w:sz w:val="18"/>
          <w:szCs w:val="18"/>
        </w:rPr>
        <w:t xml:space="preserve">. </w:t>
      </w:r>
    </w:p>
    <w:p w:rsidR="00115330" w:rsidRDefault="005E7746" w:rsidP="00BA3AFF">
      <w:pPr>
        <w:spacing w:line="240" w:lineRule="auto"/>
        <w:ind w:left="142" w:hanging="142"/>
        <w:rPr>
          <w:sz w:val="18"/>
          <w:szCs w:val="18"/>
        </w:rPr>
      </w:pPr>
      <w:r>
        <w:rPr>
          <w:sz w:val="18"/>
          <w:szCs w:val="18"/>
        </w:rPr>
        <w:t xml:space="preserve">   </w:t>
      </w:r>
      <w:r w:rsidR="00BA3AFF">
        <w:rPr>
          <w:sz w:val="18"/>
          <w:szCs w:val="18"/>
        </w:rPr>
        <w:t xml:space="preserve">Other studies have found cognitive function decrements in </w:t>
      </w:r>
      <w:r w:rsidR="00BE7F30">
        <w:rPr>
          <w:sz w:val="18"/>
          <w:szCs w:val="18"/>
        </w:rPr>
        <w:t xml:space="preserve">older adults </w:t>
      </w:r>
      <w:r w:rsidR="00BA3AFF">
        <w:rPr>
          <w:sz w:val="18"/>
          <w:szCs w:val="18"/>
        </w:rPr>
        <w:t xml:space="preserve">in association with bone </w:t>
      </w:r>
      <w:r w:rsidR="00BE2EAA">
        <w:rPr>
          <w:sz w:val="18"/>
          <w:szCs w:val="18"/>
        </w:rPr>
        <w:t>l</w:t>
      </w:r>
      <w:r w:rsidR="00637B4C">
        <w:rPr>
          <w:sz w:val="18"/>
          <w:szCs w:val="18"/>
        </w:rPr>
        <w:t>ead</w:t>
      </w:r>
      <w:r w:rsidR="00BE2EAA">
        <w:rPr>
          <w:sz w:val="18"/>
          <w:szCs w:val="18"/>
        </w:rPr>
        <w:t xml:space="preserve"> </w:t>
      </w:r>
      <w:r w:rsidR="00BA3AFF">
        <w:rPr>
          <w:sz w:val="18"/>
          <w:szCs w:val="18"/>
        </w:rPr>
        <w:t>levels (~20</w:t>
      </w:r>
      <w:r w:rsidR="00BA3AFF" w:rsidRPr="00BA3AFF">
        <w:rPr>
          <w:rFonts w:cs="Arial"/>
          <w:sz w:val="18"/>
          <w:szCs w:val="18"/>
        </w:rPr>
        <w:t xml:space="preserve"> µg</w:t>
      </w:r>
      <w:r w:rsidR="00BA3AFF">
        <w:rPr>
          <w:sz w:val="18"/>
          <w:szCs w:val="18"/>
        </w:rPr>
        <w:t xml:space="preserve">/g tibia, 25 </w:t>
      </w:r>
      <w:r w:rsidR="00BA3AFF" w:rsidRPr="00BA3AFF">
        <w:rPr>
          <w:rFonts w:cs="Arial"/>
          <w:sz w:val="18"/>
          <w:szCs w:val="18"/>
        </w:rPr>
        <w:t>µg</w:t>
      </w:r>
      <w:r w:rsidR="00BA3AFF">
        <w:rPr>
          <w:sz w:val="18"/>
          <w:szCs w:val="18"/>
        </w:rPr>
        <w:t>/g patella) (Bandeen-Roche et al. 2009,</w:t>
      </w:r>
      <w:r w:rsidR="00242F86">
        <w:rPr>
          <w:sz w:val="18"/>
          <w:szCs w:val="18"/>
        </w:rPr>
        <w:t xml:space="preserve"> Grashow et al. 2013a, b;</w:t>
      </w:r>
      <w:r w:rsidR="00BA3AFF">
        <w:rPr>
          <w:sz w:val="18"/>
          <w:szCs w:val="18"/>
        </w:rPr>
        <w:t xml:space="preserve"> Weisskopf et al. 2007</w:t>
      </w:r>
      <w:r w:rsidR="00242F86">
        <w:rPr>
          <w:sz w:val="18"/>
          <w:szCs w:val="18"/>
        </w:rPr>
        <w:t>, 2013</w:t>
      </w:r>
      <w:r w:rsidR="00BA3AFF">
        <w:rPr>
          <w:sz w:val="18"/>
          <w:szCs w:val="18"/>
        </w:rPr>
        <w:t>).</w:t>
      </w:r>
      <w:r w:rsidR="00626F62">
        <w:rPr>
          <w:sz w:val="18"/>
          <w:szCs w:val="18"/>
        </w:rPr>
        <w:t xml:space="preserve"> PbB effects in the latter studies were not examined. </w:t>
      </w:r>
    </w:p>
    <w:p w:rsidR="00A9538F" w:rsidRPr="00AE3FD1" w:rsidRDefault="00AE3FD1" w:rsidP="00A9538F">
      <w:pPr>
        <w:spacing w:line="240" w:lineRule="auto"/>
        <w:ind w:left="142" w:hanging="142"/>
        <w:rPr>
          <w:sz w:val="18"/>
          <w:szCs w:val="18"/>
        </w:rPr>
      </w:pPr>
      <w:r>
        <w:rPr>
          <w:sz w:val="24"/>
          <w:szCs w:val="24"/>
          <w:vertAlign w:val="superscript"/>
        </w:rPr>
        <w:t>c</w:t>
      </w:r>
      <w:r>
        <w:rPr>
          <w:sz w:val="18"/>
          <w:szCs w:val="18"/>
        </w:rPr>
        <w:t xml:space="preserve"> </w:t>
      </w:r>
      <w:r w:rsidR="00F6487E">
        <w:rPr>
          <w:sz w:val="18"/>
          <w:szCs w:val="18"/>
        </w:rPr>
        <w:t>Bouchard et al. 2009, Rhodes et al. 2003</w:t>
      </w:r>
      <w:r w:rsidR="002F4198">
        <w:rPr>
          <w:sz w:val="18"/>
          <w:szCs w:val="18"/>
        </w:rPr>
        <w:t>.</w:t>
      </w:r>
    </w:p>
    <w:p w:rsidR="009E3296" w:rsidRDefault="009E3296" w:rsidP="009E3296">
      <w:pPr>
        <w:spacing w:line="240" w:lineRule="auto"/>
        <w:ind w:left="142" w:hanging="142"/>
        <w:rPr>
          <w:sz w:val="18"/>
          <w:szCs w:val="18"/>
        </w:rPr>
      </w:pPr>
      <w:r>
        <w:rPr>
          <w:sz w:val="24"/>
          <w:szCs w:val="24"/>
          <w:vertAlign w:val="superscript"/>
        </w:rPr>
        <w:t>d</w:t>
      </w:r>
      <w:r>
        <w:rPr>
          <w:sz w:val="18"/>
          <w:szCs w:val="18"/>
        </w:rPr>
        <w:t xml:space="preserve"> Khalil et al. 2009b, Menke et al. 2006, Schober et al. 2006. In the latter studies, mean PbB was around 4 </w:t>
      </w:r>
      <w:r w:rsidRPr="009E3296">
        <w:rPr>
          <w:rFonts w:cs="Arial"/>
          <w:sz w:val="18"/>
          <w:szCs w:val="18"/>
        </w:rPr>
        <w:t>µ</w:t>
      </w:r>
      <w:r>
        <w:rPr>
          <w:sz w:val="18"/>
          <w:szCs w:val="18"/>
        </w:rPr>
        <w:t xml:space="preserve">g/dL. </w:t>
      </w:r>
    </w:p>
    <w:p w:rsidR="009E3296" w:rsidRDefault="009E3296" w:rsidP="009E3296">
      <w:pPr>
        <w:spacing w:line="240" w:lineRule="auto"/>
        <w:ind w:left="142" w:hanging="142"/>
        <w:rPr>
          <w:sz w:val="18"/>
          <w:szCs w:val="18"/>
        </w:rPr>
      </w:pPr>
      <w:r>
        <w:rPr>
          <w:sz w:val="18"/>
          <w:szCs w:val="18"/>
        </w:rPr>
        <w:t xml:space="preserve">   In Lustberg and Silbergeld (2002), the association was only significant for individuals with PbB &gt; 20</w:t>
      </w:r>
      <w:r w:rsidRPr="009E3296">
        <w:rPr>
          <w:rFonts w:cs="Arial"/>
          <w:sz w:val="18"/>
          <w:szCs w:val="18"/>
        </w:rPr>
        <w:t xml:space="preserve"> µ</w:t>
      </w:r>
      <w:r>
        <w:rPr>
          <w:sz w:val="18"/>
          <w:szCs w:val="18"/>
        </w:rPr>
        <w:t>g/dL</w:t>
      </w:r>
      <w:r w:rsidR="00116CCE">
        <w:rPr>
          <w:sz w:val="18"/>
          <w:szCs w:val="18"/>
        </w:rPr>
        <w:t xml:space="preserve">. </w:t>
      </w:r>
    </w:p>
    <w:p w:rsidR="00BC6044" w:rsidRDefault="00BC6044" w:rsidP="009E3296">
      <w:pPr>
        <w:spacing w:line="240" w:lineRule="auto"/>
        <w:ind w:left="142" w:hanging="142"/>
        <w:rPr>
          <w:sz w:val="18"/>
          <w:szCs w:val="18"/>
        </w:rPr>
      </w:pPr>
      <w:r>
        <w:rPr>
          <w:sz w:val="18"/>
          <w:szCs w:val="18"/>
        </w:rPr>
        <w:tab/>
        <w:t xml:space="preserve">In Schober et al. (2006), relative risks (RR) of mortality from cardiovascular disease were significantly elevated for people with PbB of 5-9 </w:t>
      </w:r>
      <w:r w:rsidRPr="0013088D">
        <w:rPr>
          <w:sz w:val="18"/>
          <w:szCs w:val="18"/>
        </w:rPr>
        <w:t xml:space="preserve">µg/dL or </w:t>
      </w:r>
      <w:r w:rsidRPr="0013088D">
        <w:rPr>
          <w:sz w:val="18"/>
          <w:szCs w:val="18"/>
          <w:u w:val="single"/>
        </w:rPr>
        <w:t>&gt;</w:t>
      </w:r>
      <w:r w:rsidRPr="0013088D">
        <w:rPr>
          <w:sz w:val="18"/>
          <w:szCs w:val="18"/>
        </w:rPr>
        <w:t xml:space="preserve"> 10 µg/dL</w:t>
      </w:r>
      <w:r>
        <w:rPr>
          <w:sz w:val="18"/>
          <w:szCs w:val="18"/>
        </w:rPr>
        <w:t>, when compared to people with PbB &lt;5</w:t>
      </w:r>
      <w:r w:rsidRPr="00BC6044">
        <w:rPr>
          <w:sz w:val="18"/>
          <w:szCs w:val="18"/>
        </w:rPr>
        <w:t xml:space="preserve"> </w:t>
      </w:r>
      <w:r w:rsidRPr="0013088D">
        <w:rPr>
          <w:sz w:val="18"/>
          <w:szCs w:val="18"/>
        </w:rPr>
        <w:t>µg/dL</w:t>
      </w:r>
      <w:r>
        <w:rPr>
          <w:sz w:val="18"/>
          <w:szCs w:val="18"/>
        </w:rPr>
        <w:t xml:space="preserve">.  </w:t>
      </w:r>
    </w:p>
    <w:p w:rsidR="00986B4E" w:rsidRDefault="009E3296" w:rsidP="00986B4E">
      <w:pPr>
        <w:spacing w:line="240" w:lineRule="auto"/>
        <w:ind w:left="142" w:hanging="142"/>
        <w:rPr>
          <w:rFonts w:cs="Arial"/>
          <w:sz w:val="18"/>
          <w:szCs w:val="18"/>
        </w:rPr>
      </w:pPr>
      <w:r>
        <w:rPr>
          <w:sz w:val="24"/>
          <w:szCs w:val="24"/>
          <w:vertAlign w:val="superscript"/>
        </w:rPr>
        <w:t>e</w:t>
      </w:r>
      <w:r w:rsidR="00A9538F">
        <w:rPr>
          <w:sz w:val="24"/>
          <w:szCs w:val="24"/>
          <w:vertAlign w:val="superscript"/>
        </w:rPr>
        <w:t xml:space="preserve"> </w:t>
      </w:r>
      <w:r w:rsidR="00986B4E">
        <w:rPr>
          <w:rFonts w:cs="Arial"/>
          <w:sz w:val="18"/>
          <w:szCs w:val="18"/>
        </w:rPr>
        <w:t xml:space="preserve">Hense et al. 1993, Martin et al. 2006, Micciolo et al. 1994, </w:t>
      </w:r>
      <w:r w:rsidR="00986B4E">
        <w:rPr>
          <w:sz w:val="18"/>
          <w:szCs w:val="18"/>
        </w:rPr>
        <w:t>M</w:t>
      </w:r>
      <w:r w:rsidR="00986B4E" w:rsidRPr="00BF6E11">
        <w:rPr>
          <w:rFonts w:cs="Arial"/>
          <w:sz w:val="18"/>
          <w:szCs w:val="18"/>
        </w:rPr>
        <w:t>ø</w:t>
      </w:r>
      <w:r w:rsidR="00986B4E">
        <w:rPr>
          <w:rFonts w:cs="Arial"/>
          <w:sz w:val="18"/>
          <w:szCs w:val="18"/>
        </w:rPr>
        <w:t>ller and Kristensen 1992, Nash et al. 2003, Navas-Acien et al. 2007, Nawrot et al. 2002, Peters et al. 2007, Proctor et al. 1996, Rothernberg et al. 1999a, 2002; Schwartz 1995, Scinicariello et al. 2010, Telisman et al. 2001, Wolf et al. 1995</w:t>
      </w:r>
      <w:r w:rsidR="002427AF">
        <w:rPr>
          <w:rFonts w:cs="Arial"/>
          <w:sz w:val="18"/>
          <w:szCs w:val="18"/>
        </w:rPr>
        <w:t>, Zota et al. 2013</w:t>
      </w:r>
      <w:r w:rsidR="00986B4E">
        <w:rPr>
          <w:rFonts w:cs="Arial"/>
          <w:sz w:val="18"/>
          <w:szCs w:val="18"/>
        </w:rPr>
        <w:t>.</w:t>
      </w:r>
    </w:p>
    <w:p w:rsidR="00A07512" w:rsidRDefault="00A9538F" w:rsidP="00C50644">
      <w:pPr>
        <w:spacing w:line="240" w:lineRule="auto"/>
        <w:ind w:left="142" w:hanging="142"/>
        <w:rPr>
          <w:rFonts w:cs="Arial"/>
          <w:sz w:val="18"/>
          <w:szCs w:val="18"/>
        </w:rPr>
      </w:pPr>
      <w:r>
        <w:rPr>
          <w:rFonts w:cs="Arial"/>
          <w:sz w:val="24"/>
          <w:szCs w:val="24"/>
          <w:vertAlign w:val="superscript"/>
        </w:rPr>
        <w:t>f</w:t>
      </w:r>
      <w:r w:rsidR="002F64F2">
        <w:rPr>
          <w:rFonts w:cs="Arial"/>
          <w:sz w:val="18"/>
          <w:szCs w:val="18"/>
        </w:rPr>
        <w:t xml:space="preserve"> Kim et al. 1996, </w:t>
      </w:r>
      <w:r w:rsidR="00772478">
        <w:rPr>
          <w:rFonts w:cs="Arial"/>
          <w:sz w:val="18"/>
          <w:szCs w:val="18"/>
        </w:rPr>
        <w:t xml:space="preserve">Kim and Lee 2012, </w:t>
      </w:r>
      <w:r w:rsidR="002F64F2">
        <w:rPr>
          <w:rFonts w:cs="Arial"/>
          <w:sz w:val="18"/>
          <w:szCs w:val="18"/>
        </w:rPr>
        <w:t>Lin et al. 1993, 2003; Muntner e</w:t>
      </w:r>
      <w:r w:rsidR="00C66228">
        <w:rPr>
          <w:rFonts w:cs="Arial"/>
          <w:sz w:val="18"/>
          <w:szCs w:val="18"/>
        </w:rPr>
        <w:t xml:space="preserve">t al. 2003, </w:t>
      </w:r>
      <w:r w:rsidR="00D408F7">
        <w:rPr>
          <w:rFonts w:cs="Arial"/>
          <w:sz w:val="18"/>
          <w:szCs w:val="18"/>
        </w:rPr>
        <w:t xml:space="preserve">Navas-Acien et al. 2009, </w:t>
      </w:r>
      <w:r w:rsidR="00C66228">
        <w:rPr>
          <w:rFonts w:cs="Arial"/>
          <w:sz w:val="18"/>
          <w:szCs w:val="18"/>
        </w:rPr>
        <w:t>Payton et al. 1994,</w:t>
      </w:r>
      <w:r w:rsidR="00D408F7">
        <w:rPr>
          <w:rFonts w:cs="Arial"/>
          <w:sz w:val="18"/>
          <w:szCs w:val="18"/>
        </w:rPr>
        <w:t xml:space="preserve"> Staessen et al. 1992,</w:t>
      </w:r>
      <w:r w:rsidR="00C66228">
        <w:rPr>
          <w:rFonts w:cs="Arial"/>
          <w:sz w:val="18"/>
          <w:szCs w:val="18"/>
        </w:rPr>
        <w:t xml:space="preserve"> Tsaih et al. 2004, Yu et al. 2004. </w:t>
      </w:r>
    </w:p>
    <w:p w:rsidR="00115330" w:rsidRPr="00747D87" w:rsidRDefault="00A9538F" w:rsidP="00747D87">
      <w:pPr>
        <w:spacing w:line="240" w:lineRule="auto"/>
        <w:ind w:left="142" w:hanging="142"/>
        <w:rPr>
          <w:sz w:val="18"/>
          <w:szCs w:val="18"/>
        </w:rPr>
      </w:pPr>
      <w:r>
        <w:rPr>
          <w:rFonts w:cs="Arial"/>
          <w:sz w:val="24"/>
          <w:szCs w:val="24"/>
          <w:vertAlign w:val="superscript"/>
        </w:rPr>
        <w:t>g</w:t>
      </w:r>
      <w:r w:rsidR="00A07512">
        <w:rPr>
          <w:rFonts w:cs="Arial"/>
          <w:sz w:val="18"/>
          <w:szCs w:val="18"/>
        </w:rPr>
        <w:t xml:space="preserve"> Borja-Aburto et al. 1999</w:t>
      </w:r>
      <w:r w:rsidR="004A6DC1">
        <w:rPr>
          <w:rFonts w:cs="Arial"/>
          <w:sz w:val="18"/>
          <w:szCs w:val="18"/>
        </w:rPr>
        <w:t xml:space="preserve">, </w:t>
      </w:r>
      <w:r w:rsidR="0079327B">
        <w:rPr>
          <w:rFonts w:cs="Arial"/>
          <w:sz w:val="18"/>
          <w:szCs w:val="18"/>
        </w:rPr>
        <w:t xml:space="preserve">Chen et al. 2006, </w:t>
      </w:r>
      <w:r w:rsidR="004A6DC1">
        <w:rPr>
          <w:rFonts w:cs="Arial"/>
          <w:sz w:val="18"/>
          <w:szCs w:val="18"/>
        </w:rPr>
        <w:t xml:space="preserve">Gonzalez-Cossio et al. 1997, </w:t>
      </w:r>
      <w:r w:rsidR="0079327B">
        <w:rPr>
          <w:rFonts w:cs="Arial"/>
          <w:sz w:val="18"/>
          <w:szCs w:val="18"/>
        </w:rPr>
        <w:t xml:space="preserve">Gundacker et al. 2010, </w:t>
      </w:r>
      <w:r w:rsidR="004A6DC1">
        <w:rPr>
          <w:rFonts w:cs="Arial"/>
          <w:sz w:val="18"/>
          <w:szCs w:val="18"/>
        </w:rPr>
        <w:t xml:space="preserve">Hernandez-Avila et al. 2002, </w:t>
      </w:r>
      <w:r w:rsidR="00747D87">
        <w:rPr>
          <w:sz w:val="18"/>
          <w:szCs w:val="18"/>
        </w:rPr>
        <w:t xml:space="preserve">Jelliffe-Pawlowski et al. 2006, </w:t>
      </w:r>
      <w:r w:rsidR="004A6DC1">
        <w:rPr>
          <w:rFonts w:cs="Arial"/>
          <w:sz w:val="18"/>
          <w:szCs w:val="18"/>
        </w:rPr>
        <w:t>Osman et al. 2002, Rothernberg et al. 1999b,</w:t>
      </w:r>
      <w:r w:rsidR="00C50644">
        <w:rPr>
          <w:rFonts w:cs="Arial"/>
          <w:sz w:val="18"/>
          <w:szCs w:val="18"/>
        </w:rPr>
        <w:t xml:space="preserve"> </w:t>
      </w:r>
      <w:r w:rsidR="004A6DC1">
        <w:rPr>
          <w:rFonts w:cs="Arial"/>
          <w:sz w:val="18"/>
          <w:szCs w:val="18"/>
        </w:rPr>
        <w:t>Sa</w:t>
      </w:r>
      <w:r w:rsidR="005E6B04">
        <w:rPr>
          <w:rFonts w:cs="Arial"/>
          <w:sz w:val="18"/>
          <w:szCs w:val="18"/>
        </w:rPr>
        <w:t>nin et al. 2001</w:t>
      </w:r>
      <w:r w:rsidR="00747D87">
        <w:rPr>
          <w:rFonts w:cs="Arial"/>
          <w:sz w:val="18"/>
          <w:szCs w:val="18"/>
        </w:rPr>
        <w:t>, Vigeh et al. 2011, Zhu et al. 2010</w:t>
      </w:r>
      <w:r w:rsidR="004A6DC1">
        <w:rPr>
          <w:rFonts w:cs="Arial"/>
          <w:sz w:val="18"/>
          <w:szCs w:val="18"/>
        </w:rPr>
        <w:t>.</w:t>
      </w:r>
      <w:r w:rsidR="00C50644">
        <w:rPr>
          <w:rFonts w:cs="Arial"/>
          <w:sz w:val="18"/>
          <w:szCs w:val="18"/>
        </w:rPr>
        <w:t xml:space="preserve"> </w:t>
      </w:r>
    </w:p>
    <w:p w:rsidR="00CD3546" w:rsidRPr="00CD3546" w:rsidRDefault="00CD3546" w:rsidP="00747D87">
      <w:pPr>
        <w:spacing w:line="240" w:lineRule="auto"/>
        <w:ind w:left="142" w:hanging="142"/>
        <w:rPr>
          <w:sz w:val="18"/>
          <w:szCs w:val="18"/>
        </w:rPr>
      </w:pPr>
      <w:r>
        <w:rPr>
          <w:rFonts w:cs="Arial"/>
          <w:sz w:val="24"/>
          <w:szCs w:val="24"/>
          <w:vertAlign w:val="superscript"/>
        </w:rPr>
        <w:t>h</w:t>
      </w:r>
      <w:r>
        <w:rPr>
          <w:rFonts w:cs="Arial"/>
          <w:sz w:val="18"/>
          <w:szCs w:val="18"/>
        </w:rPr>
        <w:t xml:space="preserve"> Wang et al. 2010.</w:t>
      </w:r>
    </w:p>
    <w:p w:rsidR="00747D87" w:rsidRDefault="00747D87" w:rsidP="00747D87">
      <w:pPr>
        <w:spacing w:line="240" w:lineRule="auto"/>
        <w:rPr>
          <w:sz w:val="18"/>
          <w:szCs w:val="18"/>
        </w:rPr>
      </w:pPr>
      <w:r>
        <w:rPr>
          <w:sz w:val="24"/>
          <w:szCs w:val="24"/>
          <w:vertAlign w:val="superscript"/>
        </w:rPr>
        <w:t xml:space="preserve">i </w:t>
      </w:r>
      <w:r w:rsidR="0075343F">
        <w:rPr>
          <w:sz w:val="18"/>
          <w:szCs w:val="18"/>
        </w:rPr>
        <w:t xml:space="preserve">Telisman et al. 2007. </w:t>
      </w:r>
    </w:p>
    <w:p w:rsidR="002427AF" w:rsidRDefault="002427AF" w:rsidP="002427AF">
      <w:pPr>
        <w:spacing w:line="240" w:lineRule="auto"/>
        <w:ind w:left="142" w:hanging="142"/>
        <w:rPr>
          <w:sz w:val="18"/>
          <w:szCs w:val="18"/>
        </w:rPr>
      </w:pPr>
      <w:r>
        <w:rPr>
          <w:sz w:val="18"/>
          <w:szCs w:val="18"/>
        </w:rPr>
        <w:t xml:space="preserve"> Wu et al. (2012b) found an inverse association between semen </w:t>
      </w:r>
      <w:r w:rsidR="00BE2EAA">
        <w:rPr>
          <w:sz w:val="18"/>
          <w:szCs w:val="18"/>
        </w:rPr>
        <w:t>l</w:t>
      </w:r>
      <w:r w:rsidR="00637B4C">
        <w:rPr>
          <w:sz w:val="18"/>
          <w:szCs w:val="18"/>
        </w:rPr>
        <w:t>ead</w:t>
      </w:r>
      <w:r w:rsidR="00BE2EAA">
        <w:rPr>
          <w:sz w:val="18"/>
          <w:szCs w:val="18"/>
        </w:rPr>
        <w:t xml:space="preserve"> </w:t>
      </w:r>
      <w:r>
        <w:rPr>
          <w:sz w:val="18"/>
          <w:szCs w:val="18"/>
        </w:rPr>
        <w:t xml:space="preserve">concentrations and sperm count. PbB was not reported. </w:t>
      </w:r>
    </w:p>
    <w:p w:rsidR="008B7F45" w:rsidRDefault="008B7F45" w:rsidP="00747D87">
      <w:pPr>
        <w:spacing w:line="240" w:lineRule="auto"/>
        <w:rPr>
          <w:sz w:val="18"/>
          <w:szCs w:val="18"/>
        </w:rPr>
      </w:pPr>
      <w:r>
        <w:rPr>
          <w:sz w:val="24"/>
          <w:szCs w:val="24"/>
          <w:vertAlign w:val="superscript"/>
        </w:rPr>
        <w:t>j</w:t>
      </w:r>
      <w:r w:rsidR="00975C27">
        <w:rPr>
          <w:sz w:val="18"/>
          <w:szCs w:val="18"/>
        </w:rPr>
        <w:t xml:space="preserve"> Chang et al. 2006, Krieg 2007, Pollack et al. 2011.</w:t>
      </w:r>
    </w:p>
    <w:p w:rsidR="005E7746" w:rsidRDefault="005E7746" w:rsidP="00747D87">
      <w:pPr>
        <w:spacing w:line="240" w:lineRule="auto"/>
        <w:rPr>
          <w:sz w:val="18"/>
          <w:szCs w:val="18"/>
        </w:rPr>
      </w:pPr>
      <w:r>
        <w:rPr>
          <w:sz w:val="24"/>
          <w:szCs w:val="24"/>
          <w:vertAlign w:val="superscript"/>
        </w:rPr>
        <w:t>k</w:t>
      </w:r>
      <w:r>
        <w:rPr>
          <w:sz w:val="18"/>
          <w:szCs w:val="18"/>
        </w:rPr>
        <w:t xml:space="preserve"> Choi et al. 2012. </w:t>
      </w:r>
    </w:p>
    <w:p w:rsidR="0013088D" w:rsidRPr="0013088D" w:rsidRDefault="0013088D" w:rsidP="00747D87">
      <w:pPr>
        <w:spacing w:line="240" w:lineRule="auto"/>
        <w:rPr>
          <w:sz w:val="18"/>
          <w:szCs w:val="18"/>
        </w:rPr>
        <w:sectPr w:rsidR="0013088D" w:rsidRPr="0013088D" w:rsidSect="00AC6C67">
          <w:pgSz w:w="16838" w:h="11906" w:orient="landscape"/>
          <w:pgMar w:top="1134" w:right="1418" w:bottom="849" w:left="1440" w:header="284" w:footer="697" w:gutter="0"/>
          <w:cols w:space="708"/>
          <w:docGrid w:linePitch="360"/>
        </w:sectPr>
      </w:pPr>
      <w:r>
        <w:rPr>
          <w:sz w:val="24"/>
          <w:szCs w:val="24"/>
          <w:vertAlign w:val="superscript"/>
        </w:rPr>
        <w:t>l</w:t>
      </w:r>
      <w:r>
        <w:rPr>
          <w:sz w:val="18"/>
          <w:szCs w:val="18"/>
        </w:rPr>
        <w:t xml:space="preserve"> Schober et al. (2006)</w:t>
      </w:r>
      <w:r w:rsidRPr="0013088D">
        <w:t xml:space="preserve"> </w:t>
      </w:r>
      <w:r>
        <w:rPr>
          <w:sz w:val="18"/>
          <w:szCs w:val="18"/>
        </w:rPr>
        <w:t>used</w:t>
      </w:r>
      <w:r w:rsidRPr="0013088D">
        <w:rPr>
          <w:sz w:val="18"/>
          <w:szCs w:val="18"/>
        </w:rPr>
        <w:t xml:space="preserve"> the NHANES II data and determined the </w:t>
      </w:r>
      <w:r w:rsidR="000A6B2C">
        <w:rPr>
          <w:sz w:val="18"/>
          <w:szCs w:val="18"/>
        </w:rPr>
        <w:t>relative risk (</w:t>
      </w:r>
      <w:r w:rsidR="00BC6044">
        <w:rPr>
          <w:sz w:val="18"/>
          <w:szCs w:val="18"/>
        </w:rPr>
        <w:t>RR</w:t>
      </w:r>
      <w:r w:rsidR="000A6B2C">
        <w:rPr>
          <w:sz w:val="18"/>
          <w:szCs w:val="18"/>
        </w:rPr>
        <w:t>)</w:t>
      </w:r>
      <w:r w:rsidR="00BC6044">
        <w:rPr>
          <w:sz w:val="18"/>
          <w:szCs w:val="18"/>
        </w:rPr>
        <w:t xml:space="preserve"> </w:t>
      </w:r>
      <w:r w:rsidRPr="0013088D">
        <w:rPr>
          <w:sz w:val="18"/>
          <w:szCs w:val="18"/>
        </w:rPr>
        <w:t xml:space="preserve">of mortality for stratified PbB categories by comparing the risks in people with PbB &lt;5 µg/dL (referent group) to those with PbB of 5-9 µg/dL or </w:t>
      </w:r>
      <w:r w:rsidRPr="0013088D">
        <w:rPr>
          <w:sz w:val="18"/>
          <w:szCs w:val="18"/>
          <w:u w:val="single"/>
        </w:rPr>
        <w:t>&gt;</w:t>
      </w:r>
      <w:r w:rsidRPr="0013088D">
        <w:rPr>
          <w:sz w:val="18"/>
          <w:szCs w:val="18"/>
        </w:rPr>
        <w:t xml:space="preserve"> 10 µg/dL. The </w:t>
      </w:r>
      <w:r>
        <w:rPr>
          <w:sz w:val="18"/>
          <w:szCs w:val="18"/>
        </w:rPr>
        <w:t>RR</w:t>
      </w:r>
      <w:r w:rsidRPr="0013088D">
        <w:rPr>
          <w:sz w:val="18"/>
          <w:szCs w:val="18"/>
        </w:rPr>
        <w:t xml:space="preserve"> for mortality from all causes, cardiovascular disease and cancer were all significantly elevated with RRs rang</w:t>
      </w:r>
      <w:r w:rsidR="00BC6044">
        <w:rPr>
          <w:sz w:val="18"/>
          <w:szCs w:val="18"/>
        </w:rPr>
        <w:t>i</w:t>
      </w:r>
      <w:r w:rsidRPr="0013088D">
        <w:rPr>
          <w:sz w:val="18"/>
          <w:szCs w:val="18"/>
        </w:rPr>
        <w:t xml:space="preserve">ng from 1.2-1.69 (Schober et al. 2006). </w:t>
      </w:r>
      <w:r w:rsidR="00BC6044">
        <w:rPr>
          <w:sz w:val="18"/>
          <w:szCs w:val="18"/>
        </w:rPr>
        <w:t>As this analysis is</w:t>
      </w:r>
      <w:r w:rsidRPr="0013088D">
        <w:rPr>
          <w:sz w:val="18"/>
          <w:szCs w:val="18"/>
        </w:rPr>
        <w:t xml:space="preserve"> based on PbB measurements at only one period in time, exposure misclassification is always a potential issue. In addition, there may be a risk of residual confounding from smoking, occupational exposure, or socioeconomic status</w:t>
      </w:r>
      <w:r w:rsidR="00BC6044">
        <w:rPr>
          <w:sz w:val="18"/>
          <w:szCs w:val="18"/>
        </w:rPr>
        <w:t xml:space="preserve"> (see </w:t>
      </w:r>
      <w:r w:rsidR="00DB05CC" w:rsidRPr="002F39D7">
        <w:rPr>
          <w:sz w:val="18"/>
          <w:szCs w:val="18"/>
        </w:rPr>
        <w:t>Section 4</w:t>
      </w:r>
      <w:r w:rsidR="00BC6044" w:rsidRPr="002F39D7">
        <w:rPr>
          <w:sz w:val="18"/>
          <w:szCs w:val="18"/>
        </w:rPr>
        <w:t>.4.4</w:t>
      </w:r>
      <w:r w:rsidR="00BC6044">
        <w:rPr>
          <w:sz w:val="18"/>
          <w:szCs w:val="18"/>
        </w:rPr>
        <w:t>)</w:t>
      </w:r>
      <w:r w:rsidRPr="0013088D">
        <w:rPr>
          <w:sz w:val="18"/>
          <w:szCs w:val="18"/>
        </w:rPr>
        <w:t>.</w:t>
      </w:r>
    </w:p>
    <w:p w:rsidR="00790556" w:rsidRDefault="00DB05CC" w:rsidP="00790556">
      <w:pPr>
        <w:pStyle w:val="Heading2"/>
      </w:pPr>
      <w:bookmarkStart w:id="25" w:name="_Toc391288233"/>
      <w:r>
        <w:lastRenderedPageBreak/>
        <w:t>4</w:t>
      </w:r>
      <w:r w:rsidR="00790556">
        <w:t>.</w:t>
      </w:r>
      <w:r w:rsidR="00A818B0">
        <w:t>4</w:t>
      </w:r>
      <w:r w:rsidR="00937D19">
        <w:t xml:space="preserve"> </w:t>
      </w:r>
      <w:r w:rsidR="00150F76">
        <w:t>Data for quantitation of benefits for reduced BLRL</w:t>
      </w:r>
      <w:bookmarkEnd w:id="25"/>
      <w:r w:rsidR="00150F76">
        <w:t xml:space="preserve"> </w:t>
      </w:r>
    </w:p>
    <w:p w:rsidR="00F17FA1" w:rsidRDefault="002427AF" w:rsidP="002427AF">
      <w:r>
        <w:t xml:space="preserve">To assist with regulatory decision making, this Section contains a compilation of </w:t>
      </w:r>
      <w:r w:rsidR="00A6640C">
        <w:t xml:space="preserve">odds </w:t>
      </w:r>
      <w:r>
        <w:t xml:space="preserve">ratios </w:t>
      </w:r>
      <w:r w:rsidR="00A6640C">
        <w:t>(ORs)</w:t>
      </w:r>
      <w:r w:rsidR="009F3116">
        <w:rPr>
          <w:rStyle w:val="FootnoteReference"/>
        </w:rPr>
        <w:footnoteReference w:id="15"/>
      </w:r>
      <w:r w:rsidR="00A6640C">
        <w:t xml:space="preserve"> </w:t>
      </w:r>
      <w:r>
        <w:t xml:space="preserve">for selected health endpoints. </w:t>
      </w:r>
      <w:r w:rsidRPr="00BC5CED">
        <w:t xml:space="preserve">The endpoints are those for which the US EPA (2013) </w:t>
      </w:r>
      <w:r w:rsidR="00F17FA1" w:rsidRPr="00BC5CED">
        <w:t>consider</w:t>
      </w:r>
      <w:r w:rsidRPr="00BC5CED">
        <w:t xml:space="preserve"> there to be sufficient evidence of a ‘causal’ or ‘likely causal’ relationship with </w:t>
      </w:r>
      <w:r w:rsidR="00BE2EAA">
        <w:t>l</w:t>
      </w:r>
      <w:r w:rsidR="00637B4C">
        <w:t>ead</w:t>
      </w:r>
      <w:r w:rsidR="00BE2EAA">
        <w:t xml:space="preserve"> </w:t>
      </w:r>
      <w:r w:rsidRPr="00BC5CED">
        <w:t>exposure in adults</w:t>
      </w:r>
      <w:r w:rsidR="00F17FA1" w:rsidRPr="00BC5CED">
        <w:t>. These are effects on the nervous system (e.g. cognitive and psychopathological), cardiovascular system (e.g. hypertension, coronary heart disease), and the reproductive system (e.g. sperm quality).</w:t>
      </w:r>
      <w:r w:rsidR="00802F96">
        <w:t xml:space="preserve"> In addition, a discussion </w:t>
      </w:r>
      <w:r w:rsidR="00DA29A5">
        <w:t xml:space="preserve">on the carcinogenicity of </w:t>
      </w:r>
      <w:r w:rsidR="00BE2EAA">
        <w:t>l</w:t>
      </w:r>
      <w:r w:rsidR="00637B4C">
        <w:t>ead</w:t>
      </w:r>
      <w:r w:rsidR="00BE2EAA">
        <w:t xml:space="preserve"> </w:t>
      </w:r>
      <w:r w:rsidR="00DA29A5">
        <w:t xml:space="preserve">has been included </w:t>
      </w:r>
      <w:r w:rsidR="00DA29A5" w:rsidRPr="002F39D7">
        <w:t xml:space="preserve">in </w:t>
      </w:r>
      <w:r w:rsidR="00DB05CC" w:rsidRPr="002F39D7">
        <w:t>Section 4</w:t>
      </w:r>
      <w:r w:rsidR="00DA29A5" w:rsidRPr="002F39D7">
        <w:t>.4.4</w:t>
      </w:r>
      <w:r w:rsidR="00BC5CED" w:rsidRPr="002F39D7">
        <w:t>.</w:t>
      </w:r>
      <w:r w:rsidR="00BC5CED">
        <w:t xml:space="preserve"> </w:t>
      </w:r>
    </w:p>
    <w:p w:rsidR="008334BC" w:rsidRDefault="008334BC" w:rsidP="002427AF"/>
    <w:p w:rsidR="008334BC" w:rsidRDefault="008334BC" w:rsidP="002427AF">
      <w:r>
        <w:t xml:space="preserve">The intent of this section is to provide information to allow a quantitation of health benefits which could potentially </w:t>
      </w:r>
      <w:r w:rsidR="00665FA6">
        <w:t xml:space="preserve">be realised </w:t>
      </w:r>
      <w:r>
        <w:t xml:space="preserve">if the PbB target for occupational exposure was lowered from the current level to </w:t>
      </w:r>
      <w:r w:rsidR="00665FA6">
        <w:t>those</w:t>
      </w:r>
      <w:r>
        <w:t xml:space="preserve"> suggested in Section </w:t>
      </w:r>
      <w:r w:rsidR="00DB05CC">
        <w:t>4</w:t>
      </w:r>
      <w:r>
        <w:t>.</w:t>
      </w:r>
      <w:r w:rsidR="00185D5A">
        <w:t>5</w:t>
      </w:r>
      <w:r>
        <w:t xml:space="preserve">. </w:t>
      </w:r>
      <w:r w:rsidR="004A4846">
        <w:t xml:space="preserve">The information has been used to quantify the </w:t>
      </w:r>
      <w:r>
        <w:t>potential health benefits for:</w:t>
      </w:r>
    </w:p>
    <w:p w:rsidR="008334BC" w:rsidRDefault="00B1318A" w:rsidP="00242F1D">
      <w:pPr>
        <w:pStyle w:val="ListParagraph"/>
        <w:numPr>
          <w:ilvl w:val="0"/>
          <w:numId w:val="26"/>
        </w:numPr>
      </w:pPr>
      <w:r>
        <w:t>F</w:t>
      </w:r>
      <w:r w:rsidR="008334BC">
        <w:t xml:space="preserve">emales </w:t>
      </w:r>
      <w:r w:rsidR="004A4846">
        <w:t xml:space="preserve">not </w:t>
      </w:r>
      <w:r w:rsidR="008334BC">
        <w:t xml:space="preserve">of reproductive capacity </w:t>
      </w:r>
      <w:r>
        <w:t xml:space="preserve">and males </w:t>
      </w:r>
      <w:r w:rsidR="008334BC">
        <w:t xml:space="preserve">if PbB was lowered from 50 </w:t>
      </w:r>
      <w:r w:rsidR="008334BC" w:rsidRPr="005B7728">
        <w:rPr>
          <w:rFonts w:cs="Arial"/>
        </w:rPr>
        <w:t>µ</w:t>
      </w:r>
      <w:r w:rsidR="008334BC">
        <w:t xml:space="preserve">g/dL to 30 </w:t>
      </w:r>
      <w:r w:rsidR="008334BC" w:rsidRPr="002F39D7">
        <w:t>or 20</w:t>
      </w:r>
      <w:r w:rsidR="008334BC">
        <w:t xml:space="preserve"> </w:t>
      </w:r>
      <w:r w:rsidR="008334BC" w:rsidRPr="005B7728">
        <w:rPr>
          <w:rFonts w:cs="Arial"/>
        </w:rPr>
        <w:t>µ</w:t>
      </w:r>
      <w:r w:rsidR="008334BC">
        <w:t>g/dL.</w:t>
      </w:r>
    </w:p>
    <w:p w:rsidR="004A4846" w:rsidRDefault="004A4846" w:rsidP="00242F1D">
      <w:pPr>
        <w:pStyle w:val="ListParagraph"/>
        <w:numPr>
          <w:ilvl w:val="0"/>
          <w:numId w:val="26"/>
        </w:numPr>
      </w:pPr>
      <w:r>
        <w:t xml:space="preserve">Females of reproductive capacity if PbB was lowered from 20 </w:t>
      </w:r>
      <w:r w:rsidRPr="005B7728">
        <w:rPr>
          <w:rFonts w:cs="Arial"/>
        </w:rPr>
        <w:t>µ</w:t>
      </w:r>
      <w:r>
        <w:t>g/dL to 10</w:t>
      </w:r>
      <w:r w:rsidRPr="004A4846">
        <w:rPr>
          <w:rFonts w:cs="Arial"/>
        </w:rPr>
        <w:t xml:space="preserve"> </w:t>
      </w:r>
      <w:r w:rsidRPr="005B7728">
        <w:rPr>
          <w:rFonts w:cs="Arial"/>
        </w:rPr>
        <w:t>µ</w:t>
      </w:r>
      <w:r>
        <w:t xml:space="preserve">g/dL.  </w:t>
      </w:r>
    </w:p>
    <w:p w:rsidR="008334BC" w:rsidRDefault="004A4846" w:rsidP="00242F1D">
      <w:pPr>
        <w:pStyle w:val="ListParagraph"/>
        <w:numPr>
          <w:ilvl w:val="0"/>
          <w:numId w:val="26"/>
        </w:numPr>
      </w:pPr>
      <w:r>
        <w:t xml:space="preserve">Females who are pregnant or breastfeeding if PbB was lowered from 15 </w:t>
      </w:r>
      <w:r w:rsidRPr="005B7728">
        <w:rPr>
          <w:rFonts w:cs="Arial"/>
        </w:rPr>
        <w:t>µ</w:t>
      </w:r>
      <w:r>
        <w:t xml:space="preserve">g/dL to 10 </w:t>
      </w:r>
      <w:r w:rsidRPr="005B7728">
        <w:rPr>
          <w:rFonts w:cs="Arial"/>
        </w:rPr>
        <w:t>µ</w:t>
      </w:r>
      <w:r>
        <w:t xml:space="preserve">g/dL. </w:t>
      </w:r>
    </w:p>
    <w:p w:rsidR="00F17FA1" w:rsidRPr="002427AF" w:rsidRDefault="00F17FA1" w:rsidP="002427AF"/>
    <w:p w:rsidR="0080182D" w:rsidRDefault="00DB05CC" w:rsidP="0080182D">
      <w:pPr>
        <w:pStyle w:val="Heading3"/>
      </w:pPr>
      <w:bookmarkStart w:id="26" w:name="_Toc391288234"/>
      <w:r>
        <w:t>4</w:t>
      </w:r>
      <w:r w:rsidR="00A818B0">
        <w:t>.4</w:t>
      </w:r>
      <w:r w:rsidR="0080182D">
        <w:t>.1 Nervous system effects</w:t>
      </w:r>
      <w:bookmarkEnd w:id="26"/>
    </w:p>
    <w:p w:rsidR="0080182D" w:rsidRDefault="0080182D" w:rsidP="0080182D">
      <w:r>
        <w:t xml:space="preserve">The health effects at higher PbB levels (i.e. &gt;30 </w:t>
      </w:r>
      <w:r w:rsidRPr="005B7728">
        <w:rPr>
          <w:rFonts w:cs="Arial"/>
        </w:rPr>
        <w:t>µ</w:t>
      </w:r>
      <w:r>
        <w:t xml:space="preserve">g/dL) have been well characterised. </w:t>
      </w:r>
      <w:r w:rsidR="00533727">
        <w:t>S</w:t>
      </w:r>
      <w:r>
        <w:t xml:space="preserve">evere </w:t>
      </w:r>
      <w:r w:rsidR="00BE2EAA">
        <w:t>l</w:t>
      </w:r>
      <w:r w:rsidR="00637B4C">
        <w:t>ead</w:t>
      </w:r>
      <w:r w:rsidR="00BE2EAA">
        <w:t xml:space="preserve"> </w:t>
      </w:r>
      <w:r>
        <w:t xml:space="preserve">toxicity, with clinical encephalopathy, may occur in adults at PbB of &gt;80 </w:t>
      </w:r>
      <w:r w:rsidRPr="005B7728">
        <w:rPr>
          <w:rFonts w:cs="Arial"/>
        </w:rPr>
        <w:t>µ</w:t>
      </w:r>
      <w:r>
        <w:t xml:space="preserve">g/dL. </w:t>
      </w:r>
      <w:r w:rsidR="00F17FA1">
        <w:t xml:space="preserve">The </w:t>
      </w:r>
      <w:r w:rsidR="00754780" w:rsidRPr="001C5813">
        <w:t>most</w:t>
      </w:r>
      <w:r w:rsidR="00F17FA1">
        <w:t xml:space="preserve"> sensitive effects </w:t>
      </w:r>
      <w:r>
        <w:t xml:space="preserve">on the central nervous system </w:t>
      </w:r>
      <w:r w:rsidR="00F17FA1">
        <w:t xml:space="preserve">for which </w:t>
      </w:r>
      <w:r w:rsidR="00E16185">
        <w:t>there is consistent evidence are</w:t>
      </w:r>
      <w:r w:rsidR="00F17FA1">
        <w:t xml:space="preserve"> </w:t>
      </w:r>
      <w:r>
        <w:t>cognitive def</w:t>
      </w:r>
      <w:r w:rsidR="00F17FA1">
        <w:t>icits in neurobehavioural tests and</w:t>
      </w:r>
      <w:r>
        <w:t xml:space="preserve"> have been reported in workers with mean PbB of </w:t>
      </w:r>
      <w:r w:rsidRPr="00AC6C67">
        <w:rPr>
          <w:u w:val="single"/>
        </w:rPr>
        <w:t>&gt;</w:t>
      </w:r>
      <w:r w:rsidR="002427AF">
        <w:t>3</w:t>
      </w:r>
      <w:r>
        <w:t xml:space="preserve">0 </w:t>
      </w:r>
      <w:r w:rsidRPr="005B7728">
        <w:rPr>
          <w:rFonts w:cs="Arial"/>
        </w:rPr>
        <w:t>µ</w:t>
      </w:r>
      <w:r w:rsidR="002427AF">
        <w:t xml:space="preserve">g/dL (see </w:t>
      </w:r>
      <w:r w:rsidR="002427AF" w:rsidRPr="002F39D7">
        <w:t xml:space="preserve">Table </w:t>
      </w:r>
      <w:r w:rsidR="00DB05CC" w:rsidRPr="002F39D7">
        <w:t>4</w:t>
      </w:r>
      <w:r w:rsidR="002427AF" w:rsidRPr="002F39D7">
        <w:t>.1</w:t>
      </w:r>
      <w:r>
        <w:t xml:space="preserve">). </w:t>
      </w:r>
      <w:r w:rsidR="00F17FA1">
        <w:t xml:space="preserve">In the general population, these effects have been observed at lower PbB concentrations (&lt;5 </w:t>
      </w:r>
      <w:r w:rsidR="00F17FA1" w:rsidRPr="005B7728">
        <w:rPr>
          <w:rFonts w:cs="Arial"/>
        </w:rPr>
        <w:t>µ</w:t>
      </w:r>
      <w:r w:rsidR="00F17FA1">
        <w:t xml:space="preserve">g/dL), but there is more uncertainty with the associations at these exposures. </w:t>
      </w:r>
    </w:p>
    <w:p w:rsidR="00A02BEE" w:rsidRDefault="00A02BEE" w:rsidP="0080182D"/>
    <w:p w:rsidR="00A02BEE" w:rsidRDefault="00A02BEE" w:rsidP="0080182D">
      <w:r>
        <w:t xml:space="preserve">A summary table of the ORs for nervous system effects in occupational and non-occupational studies </w:t>
      </w:r>
      <w:r w:rsidR="00DB05CC">
        <w:t>is provided in Section 4</w:t>
      </w:r>
      <w:r>
        <w:t xml:space="preserve">.4.1.3. The studies have been briefly described in subsequent sections. </w:t>
      </w:r>
    </w:p>
    <w:p w:rsidR="00DA29A5" w:rsidRDefault="00DA29A5" w:rsidP="0080182D"/>
    <w:p w:rsidR="00DA29A5" w:rsidRDefault="00DB05CC" w:rsidP="00DA29A5">
      <w:pPr>
        <w:pStyle w:val="Heading4"/>
      </w:pPr>
      <w:r>
        <w:t>4</w:t>
      </w:r>
      <w:r w:rsidR="00DA29A5">
        <w:t>.4.1.1 Occupational studies</w:t>
      </w:r>
    </w:p>
    <w:p w:rsidR="00DA29A5" w:rsidRDefault="00DA29A5" w:rsidP="00DA29A5">
      <w:r>
        <w:t xml:space="preserve">Few occupational studies provide ORs for cognitive deficits or other ‘slight’ neurological symptoms; the usefulness of these studies for quantifying a health benefit </w:t>
      </w:r>
      <w:r w:rsidR="008C00A3">
        <w:t xml:space="preserve">associated with lowering the </w:t>
      </w:r>
      <w:r w:rsidR="00314205">
        <w:t>BLRL</w:t>
      </w:r>
      <w:r w:rsidR="008C00A3">
        <w:t xml:space="preserve"> </w:t>
      </w:r>
      <w:r>
        <w:t xml:space="preserve">is hampered by insufficient consideration of confounders in some instances (e.g. </w:t>
      </w:r>
      <w:r w:rsidR="00533727">
        <w:rPr>
          <w:rStyle w:val="st1"/>
          <w:rFonts w:cs="Arial"/>
          <w:color w:val="444444"/>
        </w:rPr>
        <w:t>manganese</w:t>
      </w:r>
      <w:r w:rsidR="00F26161">
        <w:rPr>
          <w:rStyle w:val="st1"/>
          <w:rFonts w:cs="Arial"/>
          <w:color w:val="444444"/>
        </w:rPr>
        <w:t xml:space="preserve"> </w:t>
      </w:r>
      <w:r>
        <w:t xml:space="preserve">exposure), </w:t>
      </w:r>
      <w:r>
        <w:lastRenderedPageBreak/>
        <w:t xml:space="preserve">or not quantifying the exposure metric (i.e. PbB). In addition, </w:t>
      </w:r>
      <w:r w:rsidR="00AA2CFF">
        <w:t xml:space="preserve">in a number of studies </w:t>
      </w:r>
      <w:r>
        <w:t xml:space="preserve">ORs are not provided </w:t>
      </w:r>
      <w:r w:rsidR="00AA2CFF">
        <w:t>in a manner conducive to quantita</w:t>
      </w:r>
      <w:r w:rsidR="001C5813">
        <w:t>t</w:t>
      </w:r>
      <w:r w:rsidR="00AA2CFF">
        <w:t xml:space="preserve">ion of health </w:t>
      </w:r>
      <w:r w:rsidR="00AB7AE2">
        <w:t>benefits</w:t>
      </w:r>
      <w:r w:rsidR="00AA2CFF">
        <w:t xml:space="preserve"> </w:t>
      </w:r>
      <w:r>
        <w:t xml:space="preserve">as a per unit </w:t>
      </w:r>
      <w:r w:rsidR="008C00A3">
        <w:t>change</w:t>
      </w:r>
      <w:r>
        <w:t xml:space="preserve"> in PbB</w:t>
      </w:r>
      <w:r w:rsidR="002F39D7">
        <w:t xml:space="preserve">. </w:t>
      </w:r>
      <w:r>
        <w:t>These studies are:</w:t>
      </w:r>
    </w:p>
    <w:p w:rsidR="00DA29A5" w:rsidRDefault="00DA29A5" w:rsidP="00DA29A5"/>
    <w:p w:rsidR="00DA29A5" w:rsidRDefault="00DA29A5" w:rsidP="00242F1D">
      <w:pPr>
        <w:pStyle w:val="ListParagraph"/>
        <w:numPr>
          <w:ilvl w:val="0"/>
          <w:numId w:val="25"/>
        </w:numPr>
      </w:pPr>
      <w:r>
        <w:t>Bleecker et al. (2007b):</w:t>
      </w:r>
    </w:p>
    <w:p w:rsidR="00DA29A5" w:rsidRDefault="00DA29A5" w:rsidP="00DA29A5">
      <w:pPr>
        <w:pStyle w:val="ListParagraph"/>
        <w:ind w:left="780"/>
      </w:pPr>
      <w:r>
        <w:t xml:space="preserve">Previous studies (Bleecker et al. 1997; Schwartz et al. 2001, 2005) had found </w:t>
      </w:r>
      <w:r w:rsidR="00BE2EAA">
        <w:t>l</w:t>
      </w:r>
      <w:r w:rsidR="00637B4C">
        <w:t>ead</w:t>
      </w:r>
      <w:r w:rsidR="00BE2EAA">
        <w:t xml:space="preserve"> </w:t>
      </w:r>
      <w:r>
        <w:t xml:space="preserve">exposure (as PbB or working lifetime weighted average PbB, i.e. TWA) and cerebral white matter changes (WMC) to be independently predictive of poorer performance on tasks of psychomotor speed and dexterity. Bleecker et al. (2007b) determined whether </w:t>
      </w:r>
      <w:r w:rsidR="00BE2EAA">
        <w:t>l</w:t>
      </w:r>
      <w:r w:rsidR="00637B4C">
        <w:t>ead</w:t>
      </w:r>
      <w:r w:rsidR="00BE2EAA">
        <w:t xml:space="preserve"> </w:t>
      </w:r>
      <w:r>
        <w:t xml:space="preserve">exposure was associated with WMC </w:t>
      </w:r>
      <w:r w:rsidR="00C21A12">
        <w:t>(estimated with m</w:t>
      </w:r>
      <w:r w:rsidR="00C21A12" w:rsidRPr="00C21A12">
        <w:t>agnetic resonance imaging</w:t>
      </w:r>
      <w:r w:rsidR="00C21A12">
        <w:t>)</w:t>
      </w:r>
      <w:r w:rsidR="00C21A12" w:rsidRPr="00C21A12">
        <w:t xml:space="preserve"> </w:t>
      </w:r>
      <w:r>
        <w:t xml:space="preserve">and whether WMC mediates the relation between </w:t>
      </w:r>
      <w:r w:rsidR="00BE2EAA">
        <w:t>l</w:t>
      </w:r>
      <w:r w:rsidR="00637B4C">
        <w:t>ead</w:t>
      </w:r>
      <w:r w:rsidR="00BE2EAA">
        <w:t xml:space="preserve"> </w:t>
      </w:r>
      <w:r>
        <w:t xml:space="preserve">and psychomotor slowing as measured by Grooved Pegboard (GP) test. They included 61 </w:t>
      </w:r>
      <w:r w:rsidR="00BE2EAA">
        <w:t>l</w:t>
      </w:r>
      <w:r w:rsidR="00637B4C">
        <w:t>ead</w:t>
      </w:r>
      <w:r w:rsidR="00BE2EAA">
        <w:t xml:space="preserve"> </w:t>
      </w:r>
      <w:r>
        <w:t>smelter workers age 50 and under in the study population with mean (range) current PbB of 29 (16-42</w:t>
      </w:r>
      <w:r w:rsidRPr="00627483">
        <w:rPr>
          <w:rFonts w:cs="Arial"/>
        </w:rPr>
        <w:t>) µg</w:t>
      </w:r>
      <w:r>
        <w:t xml:space="preserve">/dL, working lifetime weighted integrated PbB (IBL) of 826 (65-1451) </w:t>
      </w:r>
      <w:r w:rsidRPr="00627483">
        <w:rPr>
          <w:rFonts w:cs="Arial"/>
        </w:rPr>
        <w:t>µg</w:t>
      </w:r>
      <w:r>
        <w:t xml:space="preserve"> year/dL, TWA of 42 (17-59) </w:t>
      </w:r>
      <w:r w:rsidRPr="00627483">
        <w:rPr>
          <w:rFonts w:cs="Arial"/>
        </w:rPr>
        <w:t>µg</w:t>
      </w:r>
      <w:r>
        <w:t xml:space="preserve">/dL, and bone </w:t>
      </w:r>
      <w:r w:rsidR="00BE2EAA">
        <w:t>l</w:t>
      </w:r>
      <w:r w:rsidR="00637B4C">
        <w:t>ead</w:t>
      </w:r>
      <w:r w:rsidR="00BE2EAA">
        <w:t xml:space="preserve"> </w:t>
      </w:r>
      <w:r>
        <w:t>of 39 (</w:t>
      </w:r>
      <w:r w:rsidR="00780CE8">
        <w:t>0</w:t>
      </w:r>
      <w:r>
        <w:t xml:space="preserve">-90) </w:t>
      </w:r>
      <w:r w:rsidRPr="00627483">
        <w:rPr>
          <w:rFonts w:cs="Arial"/>
        </w:rPr>
        <w:t>µg</w:t>
      </w:r>
      <w:r>
        <w:t xml:space="preserve"> Pb/g bone mineral. WMC were graded, and </w:t>
      </w:r>
      <w:r w:rsidR="00BE2EAA">
        <w:t>l</w:t>
      </w:r>
      <w:r w:rsidR="00637B4C">
        <w:t>ead</w:t>
      </w:r>
      <w:r w:rsidR="00BE2EAA">
        <w:t xml:space="preserve"> </w:t>
      </w:r>
      <w:r>
        <w:t xml:space="preserve">variables entered in a logistic regression after controlling for age and cerebrovascular risk factors (e.g. smoking). Logistic regression of WMC </w:t>
      </w:r>
      <w:r w:rsidR="00B675C3">
        <w:t xml:space="preserve">loss </w:t>
      </w:r>
      <w:r>
        <w:t xml:space="preserve">on </w:t>
      </w:r>
      <w:r w:rsidR="00BE2EAA">
        <w:t>l</w:t>
      </w:r>
      <w:r w:rsidR="00637B4C">
        <w:t>ead</w:t>
      </w:r>
      <w:r w:rsidR="00BE2EAA">
        <w:t xml:space="preserve"> </w:t>
      </w:r>
      <w:r>
        <w:t>exposure metrics</w:t>
      </w:r>
      <w:r w:rsidR="00B675C3">
        <w:t>,</w:t>
      </w:r>
      <w:r>
        <w:t xml:space="preserve"> </w:t>
      </w:r>
      <w:r w:rsidR="00B675C3">
        <w:t xml:space="preserve">and </w:t>
      </w:r>
      <w:r w:rsidR="00B675C3" w:rsidRPr="00B675C3">
        <w:t>after adjustment for the covariates</w:t>
      </w:r>
      <w:r w:rsidR="00B675C3">
        <w:t>,</w:t>
      </w:r>
      <w:r w:rsidR="00B675C3" w:rsidRPr="00B675C3">
        <w:t xml:space="preserve"> </w:t>
      </w:r>
      <w:r>
        <w:t>resulted in odds ratios for IBL (OR</w:t>
      </w:r>
      <w:r w:rsidR="00C93BBE">
        <w:rPr>
          <w:rStyle w:val="FootnoteReference"/>
        </w:rPr>
        <w:footnoteReference w:id="16"/>
      </w:r>
      <w:r>
        <w:t xml:space="preserve"> 1</w:t>
      </w:r>
      <w:r w:rsidR="00C21A12">
        <w:t>.00</w:t>
      </w:r>
      <w:r>
        <w:t xml:space="preserve">, 90% CI 1.001-1.007), TWA (OR 1.12, 1.024-1.232), and bone </w:t>
      </w:r>
      <w:r w:rsidR="00BE2EAA">
        <w:t>l</w:t>
      </w:r>
      <w:r w:rsidR="00637B4C">
        <w:t>ead</w:t>
      </w:r>
      <w:r w:rsidR="00BE2EAA">
        <w:t xml:space="preserve"> </w:t>
      </w:r>
      <w:r>
        <w:t>(OR 1.04, 1.009 – 1.067)</w:t>
      </w:r>
      <w:r w:rsidR="00C21A12">
        <w:t>, which</w:t>
      </w:r>
      <w:r>
        <w:t xml:space="preserve"> </w:t>
      </w:r>
      <w:r w:rsidR="00C21A12">
        <w:t xml:space="preserve">the authors indicated were </w:t>
      </w:r>
      <w:r w:rsidR="00B675C3">
        <w:t xml:space="preserve">statistically </w:t>
      </w:r>
      <w:r w:rsidR="00C21A12">
        <w:t>significant</w:t>
      </w:r>
      <w:r>
        <w:t>. The OR for PbB was not statistically significant</w:t>
      </w:r>
      <w:r w:rsidR="006A2D0C">
        <w:t xml:space="preserve">, this is not unexpected; loss of </w:t>
      </w:r>
      <w:r w:rsidR="00AB7AE2">
        <w:t>cerebral</w:t>
      </w:r>
      <w:r w:rsidR="006A2D0C">
        <w:t xml:space="preserve"> white matter is progressive over a long period and PbB reflects relatively recent (months) exposure to lead</w:t>
      </w:r>
      <w:r>
        <w:t xml:space="preserve">. Although </w:t>
      </w:r>
      <w:r w:rsidR="0056675B">
        <w:t xml:space="preserve">decreased </w:t>
      </w:r>
      <w:r>
        <w:t>performance by GP was significantly associated with WMC, OR for decreased performance by GP were not provided for PbB. Therefore this study does not relate a measurable neurological effect directly to the PbB concentration, which limits its usefulness for determination of a health benefit</w:t>
      </w:r>
      <w:r w:rsidR="006A2D0C">
        <w:t xml:space="preserve"> in the context of considering a BLRL</w:t>
      </w:r>
      <w:r>
        <w:t xml:space="preserve">. </w:t>
      </w:r>
      <w:r w:rsidR="0056675B">
        <w:t>Furthermore the OR are small</w:t>
      </w:r>
      <w:r w:rsidR="006A2D0C">
        <w:t>,</w:t>
      </w:r>
      <w:r w:rsidR="0056675B">
        <w:t xml:space="preserve"> and it is debata</w:t>
      </w:r>
      <w:r w:rsidR="006A2D0C">
        <w:t>ble whethe</w:t>
      </w:r>
      <w:r w:rsidR="0056675B">
        <w:t xml:space="preserve">r the effects, </w:t>
      </w:r>
      <w:r w:rsidR="006A2D0C">
        <w:t>although statistically significant for long term exposure metrics (i.e. PbBn)</w:t>
      </w:r>
      <w:r w:rsidR="0056675B">
        <w:t xml:space="preserve">, are </w:t>
      </w:r>
      <w:r w:rsidR="00AB7AE2">
        <w:t>biologically</w:t>
      </w:r>
      <w:r w:rsidR="0056675B">
        <w:t xml:space="preserve"> significant</w:t>
      </w:r>
      <w:r w:rsidR="006A2D0C">
        <w:t xml:space="preserve"> and </w:t>
      </w:r>
      <w:r w:rsidR="00AB7AE2">
        <w:t>reproducible</w:t>
      </w:r>
      <w:r w:rsidR="006A2D0C">
        <w:t xml:space="preserve">. </w:t>
      </w:r>
    </w:p>
    <w:p w:rsidR="00DA29A5" w:rsidRDefault="00DA29A5" w:rsidP="00DA29A5">
      <w:pPr>
        <w:pStyle w:val="ListParagraph"/>
      </w:pPr>
    </w:p>
    <w:p w:rsidR="00DA29A5" w:rsidRDefault="00DA29A5" w:rsidP="00242F1D">
      <w:pPr>
        <w:pStyle w:val="ListParagraph"/>
        <w:numPr>
          <w:ilvl w:val="0"/>
          <w:numId w:val="24"/>
        </w:numPr>
      </w:pPr>
      <w:r>
        <w:t xml:space="preserve">Hwang et al. (2009): </w:t>
      </w:r>
    </w:p>
    <w:p w:rsidR="00DA29A5" w:rsidRDefault="00DA29A5" w:rsidP="00DA29A5">
      <w:pPr>
        <w:pStyle w:val="ListParagraph"/>
      </w:pPr>
      <w:r>
        <w:t xml:space="preserve">Examined the effect of low-level </w:t>
      </w:r>
      <w:r w:rsidR="00BE2EAA">
        <w:t>l</w:t>
      </w:r>
      <w:r w:rsidR="00637B4C">
        <w:t>ead</w:t>
      </w:r>
      <w:r w:rsidR="00BE2EAA">
        <w:t xml:space="preserve"> </w:t>
      </w:r>
      <w:r>
        <w:t xml:space="preserve">exposure on noise-induced hearing loss in 412 steel plant workers. All subjects took part in a questionnaire, an audiometric examination, and blood test. Lead was found to be significantly correlated with noise-induced hearing loss for </w:t>
      </w:r>
      <w:r w:rsidR="00754780" w:rsidRPr="001C5813">
        <w:t>most</w:t>
      </w:r>
      <w:r w:rsidR="0056675B">
        <w:t xml:space="preserve"> of </w:t>
      </w:r>
      <w:r w:rsidR="00AB7AE2">
        <w:t>the tested</w:t>
      </w:r>
      <w:r>
        <w:t xml:space="preserve"> sound frequencies (p&lt;0.05 to p&lt;0.0001). After adjustment for age and noise level, </w:t>
      </w:r>
      <w:r w:rsidR="0056675B">
        <w:t xml:space="preserve">a </w:t>
      </w:r>
      <w:r>
        <w:lastRenderedPageBreak/>
        <w:t xml:space="preserve">logistic regression model analysis indicated PbB </w:t>
      </w:r>
      <w:r w:rsidR="008C00A3">
        <w:t>concentrations greater than</w:t>
      </w:r>
      <w:r>
        <w:t xml:space="preserve"> 7 </w:t>
      </w:r>
      <w:r w:rsidRPr="005B7728">
        <w:rPr>
          <w:rFonts w:cs="Arial"/>
        </w:rPr>
        <w:t>µ</w:t>
      </w:r>
      <w:r>
        <w:t>g/dL</w:t>
      </w:r>
      <w:r w:rsidR="002F39D7">
        <w:t xml:space="preserve"> </w:t>
      </w:r>
      <w:r w:rsidR="008C00A3">
        <w:t>were</w:t>
      </w:r>
      <w:r>
        <w:t xml:space="preserve"> significantly associated with hearing loss at the sound frequencies of 3000 to 8000 </w:t>
      </w:r>
      <w:r w:rsidR="000A6B2C">
        <w:t xml:space="preserve">Hertz </w:t>
      </w:r>
      <w:r>
        <w:t xml:space="preserve">with ORs ranging from 3.06 (95% CI 1.27-7.39) to 6.26 (2.35-16.6). This study used data for an inbuilt reference group with PbB &lt;4 </w:t>
      </w:r>
      <w:r w:rsidRPr="005B7728">
        <w:rPr>
          <w:rFonts w:cs="Arial"/>
        </w:rPr>
        <w:t>µ</w:t>
      </w:r>
      <w:r>
        <w:t xml:space="preserve">g/dL (n=96) to compare to the exposed group with PbB &gt;7 </w:t>
      </w:r>
      <w:r w:rsidRPr="005B7728">
        <w:rPr>
          <w:rFonts w:cs="Arial"/>
        </w:rPr>
        <w:t>µ</w:t>
      </w:r>
      <w:r>
        <w:t xml:space="preserve">g/dL (n=58). A </w:t>
      </w:r>
      <w:r w:rsidR="008C00A3">
        <w:t>concern with</w:t>
      </w:r>
      <w:r>
        <w:t xml:space="preserve"> this study is that it had limited consideration of potential confounding (only age and noise level were adjusted for). This may result in overestimation of the ORs. </w:t>
      </w:r>
    </w:p>
    <w:p w:rsidR="00DA29A5" w:rsidRDefault="00DA29A5" w:rsidP="00DA29A5">
      <w:pPr>
        <w:pStyle w:val="ListParagraph"/>
      </w:pPr>
      <w:r>
        <w:t xml:space="preserve">  </w:t>
      </w:r>
    </w:p>
    <w:p w:rsidR="00DA29A5" w:rsidRDefault="00DA29A5" w:rsidP="00242F1D">
      <w:pPr>
        <w:pStyle w:val="ListParagraph"/>
        <w:numPr>
          <w:ilvl w:val="0"/>
          <w:numId w:val="24"/>
        </w:numPr>
      </w:pPr>
      <w:r>
        <w:t xml:space="preserve">Kamel et al. (2002): </w:t>
      </w:r>
    </w:p>
    <w:p w:rsidR="006E630E" w:rsidRDefault="00DA29A5" w:rsidP="00DA29A5">
      <w:pPr>
        <w:pStyle w:val="ListParagraph"/>
      </w:pPr>
      <w:r>
        <w:t>Conducted a case-control study of individuals with amyotrophic lateral sclerosis</w:t>
      </w:r>
      <w:r w:rsidR="006E630E">
        <w:t xml:space="preserve"> </w:t>
      </w:r>
      <w:r w:rsidR="006E630E">
        <w:rPr>
          <w:rStyle w:val="FootnoteReference"/>
        </w:rPr>
        <w:footnoteReference w:id="17"/>
      </w:r>
      <w:r>
        <w:t xml:space="preserve"> (ALS) to determine the relationship </w:t>
      </w:r>
      <w:r w:rsidR="006E630E">
        <w:t xml:space="preserve">with </w:t>
      </w:r>
      <w:r w:rsidR="00BE2EAA">
        <w:t>l</w:t>
      </w:r>
      <w:r w:rsidR="00637B4C">
        <w:t>ead</w:t>
      </w:r>
      <w:r w:rsidR="00BE2EAA">
        <w:t xml:space="preserve"> </w:t>
      </w:r>
      <w:r>
        <w:t xml:space="preserve">exposure. The study consisted of 109 cases and 256 population controls matched by age, sex and geographical location. Risk of ALS was associated with self-reported occupational exposure to </w:t>
      </w:r>
      <w:r w:rsidR="00BE2EAA">
        <w:t>l</w:t>
      </w:r>
      <w:r w:rsidR="00637B4C">
        <w:t>ead</w:t>
      </w:r>
      <w:r w:rsidR="00BE2EAA">
        <w:t xml:space="preserve"> </w:t>
      </w:r>
      <w:r>
        <w:t xml:space="preserve">(OR 1.9, 95% CI 1.1-3.3), with a dose response for lifetime days of </w:t>
      </w:r>
      <w:r w:rsidR="00BE2EAA">
        <w:t>l</w:t>
      </w:r>
      <w:r w:rsidR="00637B4C">
        <w:t>ead</w:t>
      </w:r>
      <w:r w:rsidR="00BE2EAA">
        <w:t xml:space="preserve"> </w:t>
      </w:r>
      <w:r>
        <w:t xml:space="preserve">exposure. PbB was measured in </w:t>
      </w:r>
      <w:r w:rsidR="006E630E">
        <w:t xml:space="preserve">the majority of </w:t>
      </w:r>
      <w:r>
        <w:t xml:space="preserve">cases (n=107) and a subset of controls (n=41). PbB in controls was &lt;1-2 </w:t>
      </w:r>
      <w:r w:rsidRPr="005B7728">
        <w:rPr>
          <w:rFonts w:cs="Arial"/>
        </w:rPr>
        <w:t>µ</w:t>
      </w:r>
      <w:r>
        <w:t xml:space="preserve">g/dL, and in cases ranged from 3-14 </w:t>
      </w:r>
      <w:r w:rsidRPr="005B7728">
        <w:rPr>
          <w:rFonts w:cs="Arial"/>
        </w:rPr>
        <w:t>µ</w:t>
      </w:r>
      <w:r>
        <w:t xml:space="preserve">g/dL. Risk of ALS was associated with PbB; the OR for every </w:t>
      </w:r>
      <w:r w:rsidRPr="005B7728">
        <w:rPr>
          <w:rFonts w:cs="Arial"/>
        </w:rPr>
        <w:t>µ</w:t>
      </w:r>
      <w:r>
        <w:t xml:space="preserve">g/dL increase in PbB was 1.9 (95% CI 1.4-2.6). A limitation of this study is that it did not consider potential confounding by </w:t>
      </w:r>
      <w:r w:rsidR="00AB7AE2">
        <w:rPr>
          <w:rStyle w:val="st1"/>
          <w:rFonts w:cs="Arial"/>
          <w:color w:val="444444"/>
        </w:rPr>
        <w:t>manganese</w:t>
      </w:r>
      <w:r w:rsidR="00AB7AE2">
        <w:t xml:space="preserve"> exposure</w:t>
      </w:r>
      <w:r>
        <w:t xml:space="preserve">. </w:t>
      </w:r>
    </w:p>
    <w:p w:rsidR="00DA29A5" w:rsidRDefault="00B675C3" w:rsidP="00B675C3">
      <w:pPr>
        <w:pStyle w:val="ListParagraph"/>
      </w:pPr>
      <w:r>
        <w:t xml:space="preserve"> </w:t>
      </w:r>
    </w:p>
    <w:p w:rsidR="00DA29A5" w:rsidRDefault="00DA29A5" w:rsidP="00242F1D">
      <w:pPr>
        <w:pStyle w:val="ListParagraph"/>
        <w:numPr>
          <w:ilvl w:val="0"/>
          <w:numId w:val="24"/>
        </w:numPr>
      </w:pPr>
      <w:r>
        <w:t xml:space="preserve">Lee et al. (2000): </w:t>
      </w:r>
    </w:p>
    <w:p w:rsidR="00DA29A5" w:rsidRDefault="00DA29A5" w:rsidP="00DA29A5">
      <w:pPr>
        <w:pStyle w:val="ListParagraph"/>
      </w:pPr>
      <w:r>
        <w:t xml:space="preserve">Evaluated whether PbB was a predictor of </w:t>
      </w:r>
      <w:r w:rsidR="006E630E">
        <w:t xml:space="preserve">fifteen </w:t>
      </w:r>
      <w:r>
        <w:t xml:space="preserve">Pb-related symptoms, assessed by self-administered questionnaire in male </w:t>
      </w:r>
      <w:r w:rsidR="00AB7AE2">
        <w:t>lead workers</w:t>
      </w:r>
      <w:r>
        <w:t xml:space="preserve">. </w:t>
      </w:r>
      <w:r w:rsidR="00637B4C">
        <w:t>Lead</w:t>
      </w:r>
      <w:r w:rsidR="006E630E">
        <w:t xml:space="preserve"> </w:t>
      </w:r>
      <w:r>
        <w:t xml:space="preserve">workers (n=95) had mean PbB of 44.6 </w:t>
      </w:r>
      <w:r w:rsidRPr="005B7728">
        <w:rPr>
          <w:rFonts w:cs="Arial"/>
        </w:rPr>
        <w:t>µ</w:t>
      </w:r>
      <w:r>
        <w:t xml:space="preserve">g/dL (21-78 </w:t>
      </w:r>
      <w:r w:rsidRPr="005B7728">
        <w:rPr>
          <w:rFonts w:cs="Arial"/>
        </w:rPr>
        <w:t>µ</w:t>
      </w:r>
      <w:r>
        <w:t xml:space="preserve">g/dL), and non-exposed controls (n=13) had mean PbB of 5.9 </w:t>
      </w:r>
      <w:r w:rsidRPr="005B7728">
        <w:rPr>
          <w:rFonts w:cs="Arial"/>
        </w:rPr>
        <w:t>µ</w:t>
      </w:r>
      <w:r>
        <w:t xml:space="preserve">g/dL (4 – 7.2 </w:t>
      </w:r>
      <w:r w:rsidRPr="005B7728">
        <w:rPr>
          <w:rFonts w:cs="Arial"/>
        </w:rPr>
        <w:t>µ</w:t>
      </w:r>
      <w:r>
        <w:t>g/dL). ORs for the relationship with PbB, adjusted for age, tobacco and alcohol consumption, were not significant for any of the symptoms investigated (GI, neuromuscular, and general).</w:t>
      </w:r>
    </w:p>
    <w:p w:rsidR="00DA29A5" w:rsidRDefault="00DA29A5" w:rsidP="00DA29A5">
      <w:pPr>
        <w:pStyle w:val="ListParagraph"/>
      </w:pPr>
      <w:r>
        <w:t xml:space="preserve"> </w:t>
      </w:r>
    </w:p>
    <w:p w:rsidR="00DA29A5" w:rsidRDefault="00DA29A5" w:rsidP="00242F1D">
      <w:pPr>
        <w:pStyle w:val="ListParagraph"/>
        <w:numPr>
          <w:ilvl w:val="0"/>
          <w:numId w:val="24"/>
        </w:numPr>
      </w:pPr>
      <w:r>
        <w:t xml:space="preserve">Maizlish et al. (1995): </w:t>
      </w:r>
    </w:p>
    <w:p w:rsidR="00DA29A5" w:rsidRDefault="00DA29A5" w:rsidP="00DA29A5">
      <w:pPr>
        <w:pStyle w:val="ListParagraph"/>
      </w:pPr>
      <w:r>
        <w:t xml:space="preserve">Conducted a cross-sectional study which included workers from a </w:t>
      </w:r>
      <w:r w:rsidR="00BE2EAA">
        <w:t>l</w:t>
      </w:r>
      <w:r w:rsidR="00637B4C">
        <w:t>ead</w:t>
      </w:r>
      <w:r w:rsidR="00BE2EAA">
        <w:t xml:space="preserve"> </w:t>
      </w:r>
      <w:r>
        <w:t xml:space="preserve">smelter (exposed group, n=43) and a nearby glass factory (non-exposed, n=45). Smelter workers were employed on average for four years, and had a mean PbB of 42 </w:t>
      </w:r>
      <w:r w:rsidRPr="005B7728">
        <w:rPr>
          <w:rFonts w:cs="Arial"/>
        </w:rPr>
        <w:t>µ</w:t>
      </w:r>
      <w:r>
        <w:t xml:space="preserve">g/dL, whereas glass factory workers had a mean of 15 </w:t>
      </w:r>
      <w:r w:rsidRPr="005B7728">
        <w:rPr>
          <w:rFonts w:cs="Arial"/>
        </w:rPr>
        <w:t>µ</w:t>
      </w:r>
      <w:r>
        <w:t xml:space="preserve">g/dL. Neurobehaviour was assessed with the World Health Organisation neurobehavioural core test battery (NCTB), which comprises a questionnaire and seven tests measuring simple reaction time, short term memory, mood, eye-hand coordination, and perceptual speed. Multivariate models were adjusted for age, education, alcohol consumption, medical conditions possibly affecting performance, and previous job involving </w:t>
      </w:r>
      <w:r>
        <w:lastRenderedPageBreak/>
        <w:t>solvent exposure. Prevalence ratios were derived by Maizlish et al. (1995) for the analysis of symptoms which occurred in the year before testing. Overall, in 10 out of 14 neurobehavioural tests, the exposed group had poorer performance than the non-exposed, but none of the observed differences were statistically significant. The frequency of symptoms suggestive of nervous system problems was consistently higher among the exposed group. Significantly increased relative risks were found for difficulties in concentration (</w:t>
      </w:r>
      <w:r w:rsidR="000A6B2C">
        <w:t>relative risk (</w:t>
      </w:r>
      <w:r>
        <w:t>RR</w:t>
      </w:r>
      <w:r w:rsidR="000A6B2C">
        <w:t>)</w:t>
      </w:r>
      <w:r w:rsidR="00D416CB">
        <w:rPr>
          <w:rStyle w:val="FootnoteReference"/>
        </w:rPr>
        <w:footnoteReference w:id="18"/>
      </w:r>
      <w:r>
        <w:t xml:space="preserve"> = 1.8, 95% CI 1.0 – 3.1) and often being angry or upset without reason (RR = 2.2, 1.2 – 4.1). This study did not consider potential confounding by </w:t>
      </w:r>
      <w:r w:rsidR="00AB7AE2">
        <w:rPr>
          <w:rStyle w:val="st1"/>
          <w:rFonts w:cs="Arial"/>
          <w:color w:val="444444"/>
        </w:rPr>
        <w:t>manganese</w:t>
      </w:r>
      <w:r w:rsidR="00AB7AE2">
        <w:t xml:space="preserve"> exposure</w:t>
      </w:r>
      <w:r>
        <w:t xml:space="preserve">.  </w:t>
      </w:r>
    </w:p>
    <w:p w:rsidR="00DA29A5" w:rsidRDefault="00DA29A5" w:rsidP="00DA29A5">
      <w:pPr>
        <w:pStyle w:val="ListParagraph"/>
      </w:pPr>
    </w:p>
    <w:p w:rsidR="00DA29A5" w:rsidRDefault="00DA29A5" w:rsidP="00242F1D">
      <w:pPr>
        <w:pStyle w:val="ListParagraph"/>
        <w:numPr>
          <w:ilvl w:val="0"/>
          <w:numId w:val="24"/>
        </w:numPr>
      </w:pPr>
      <w:r>
        <w:t xml:space="preserve">Parkinson et al. (1986): </w:t>
      </w:r>
    </w:p>
    <w:p w:rsidR="00DA29A5" w:rsidRDefault="00DA29A5" w:rsidP="00DA29A5">
      <w:pPr>
        <w:pStyle w:val="ListParagraph"/>
      </w:pPr>
      <w:r>
        <w:t xml:space="preserve">Evaluated the association between occupational </w:t>
      </w:r>
      <w:r w:rsidR="00BE2EAA">
        <w:t>l</w:t>
      </w:r>
      <w:r w:rsidR="00637B4C">
        <w:t>ead</w:t>
      </w:r>
      <w:r w:rsidR="00BE2EAA">
        <w:t xml:space="preserve"> </w:t>
      </w:r>
      <w:r>
        <w:t xml:space="preserve">exposure with neuropsychiatric function using data for 288 Pb-exposed workers and 181 non-exposed subjects. Data was collected via interview and nine neuropsychologic tests measuring general intelligence, psychomotor integration, manual dexterity, and visuoperceptual ability. PbB were also determined. Mean PbB in exposed workers was 40 </w:t>
      </w:r>
      <w:r w:rsidRPr="005B7728">
        <w:rPr>
          <w:rFonts w:cs="Arial"/>
        </w:rPr>
        <w:t>µ</w:t>
      </w:r>
      <w:r>
        <w:t xml:space="preserve">g/dL; mean PbB in non-exposed controls is not provided but the text indicates they were all less than 35 </w:t>
      </w:r>
      <w:r w:rsidRPr="005B7728">
        <w:rPr>
          <w:rFonts w:cs="Arial"/>
        </w:rPr>
        <w:t>µ</w:t>
      </w:r>
      <w:r>
        <w:t xml:space="preserve">g/dL. The authors rank-ordered the subjects on each variable, divided workers into the 25% with poorer functioning vs. the remaining 75%, and calculated the relative risks for exposed vs. non-exposed workers, adjusting for age, education and income. Relative risks for anger at work (RR = 1.4, 95% CI 1.1-1.8), number of accidents (RR = 1.7, 95% CI 1.3-2.2), and grooved pegboard performance (RR = 1.3, 1.0-1.7) were elevated. This study did not consider potential confounding by </w:t>
      </w:r>
      <w:r w:rsidR="00AB7AE2">
        <w:rPr>
          <w:rStyle w:val="st1"/>
          <w:rFonts w:cs="Arial"/>
          <w:color w:val="444444"/>
        </w:rPr>
        <w:t>manganese</w:t>
      </w:r>
      <w:r w:rsidR="00AB7AE2">
        <w:t xml:space="preserve"> exposure</w:t>
      </w:r>
      <w:r>
        <w:t xml:space="preserve">.    </w:t>
      </w:r>
    </w:p>
    <w:p w:rsidR="00DA29A5" w:rsidRDefault="00DA29A5" w:rsidP="00DA29A5"/>
    <w:p w:rsidR="00DA29A5" w:rsidRDefault="00DA29A5" w:rsidP="00242F1D">
      <w:pPr>
        <w:pStyle w:val="ListParagraph"/>
        <w:numPr>
          <w:ilvl w:val="0"/>
          <w:numId w:val="24"/>
        </w:numPr>
      </w:pPr>
      <w:r>
        <w:t xml:space="preserve">Chancellor et al. (1993): </w:t>
      </w:r>
    </w:p>
    <w:p w:rsidR="00DA29A5" w:rsidRDefault="00DA29A5" w:rsidP="00DA29A5">
      <w:pPr>
        <w:pStyle w:val="ListParagraph"/>
      </w:pPr>
      <w:r>
        <w:t xml:space="preserve">When investigating risk factors for development of motor neuron disease by questionnaire given to 103 patients, Chancellor et al. (1993) found the OR for occupational exposure to </w:t>
      </w:r>
      <w:r w:rsidR="00BE2EAA">
        <w:t>l</w:t>
      </w:r>
      <w:r w:rsidR="00637B4C">
        <w:t>ead</w:t>
      </w:r>
      <w:r w:rsidR="00BE2EAA">
        <w:t xml:space="preserve"> </w:t>
      </w:r>
      <w:r>
        <w:t xml:space="preserve">significantly elevated (OR 5.7, 95% CI 1.6-30), but PbB and other exposure indices were not measured or estimated. </w:t>
      </w:r>
    </w:p>
    <w:p w:rsidR="00DA29A5" w:rsidRDefault="00DA29A5" w:rsidP="00DA29A5">
      <w:pPr>
        <w:pStyle w:val="ListParagraph"/>
      </w:pPr>
    </w:p>
    <w:p w:rsidR="00DA29A5" w:rsidRDefault="00DA29A5" w:rsidP="00242F1D">
      <w:pPr>
        <w:pStyle w:val="ListParagraph"/>
        <w:numPr>
          <w:ilvl w:val="0"/>
          <w:numId w:val="24"/>
        </w:numPr>
      </w:pPr>
      <w:r>
        <w:t xml:space="preserve">Gorell et al. (1997): </w:t>
      </w:r>
    </w:p>
    <w:p w:rsidR="00DA29A5" w:rsidRDefault="00DA29A5" w:rsidP="00DA29A5">
      <w:pPr>
        <w:pStyle w:val="ListParagraph"/>
      </w:pPr>
      <w:r>
        <w:t xml:space="preserve">Investigated the potential role of occupational exposure to </w:t>
      </w:r>
      <w:r w:rsidR="00533727">
        <w:t>iron</w:t>
      </w:r>
      <w:r>
        <w:t xml:space="preserve">, </w:t>
      </w:r>
      <w:r w:rsidR="00533727">
        <w:t>copper</w:t>
      </w:r>
      <w:r>
        <w:t xml:space="preserve">, </w:t>
      </w:r>
      <w:r w:rsidR="00533727">
        <w:rPr>
          <w:rStyle w:val="st1"/>
          <w:rFonts w:cs="Arial"/>
          <w:color w:val="444444"/>
        </w:rPr>
        <w:t>manganese</w:t>
      </w:r>
      <w:r>
        <w:t xml:space="preserve">, </w:t>
      </w:r>
      <w:r w:rsidR="005227EC">
        <w:t>mercury</w:t>
      </w:r>
      <w:r>
        <w:t xml:space="preserve">, </w:t>
      </w:r>
      <w:r w:rsidR="00780CE8">
        <w:t>z</w:t>
      </w:r>
      <w:r w:rsidR="00533727">
        <w:t xml:space="preserve">inc </w:t>
      </w:r>
      <w:r>
        <w:t xml:space="preserve">and </w:t>
      </w:r>
      <w:r w:rsidR="00BE2EAA">
        <w:t>l</w:t>
      </w:r>
      <w:r w:rsidR="00637B4C">
        <w:t>ead</w:t>
      </w:r>
      <w:r w:rsidR="00BE2EAA">
        <w:t xml:space="preserve"> </w:t>
      </w:r>
      <w:r>
        <w:t xml:space="preserve">as risk factors for Parkinson’s disease. When adjusted for sex, race, age, and smoking status, they found a significantly increased association with Parkinson’s disease in patients with more than 20 years’ exposure to combinations of </w:t>
      </w:r>
      <w:r w:rsidR="005227EC">
        <w:t>lead</w:t>
      </w:r>
      <w:r>
        <w:t>-</w:t>
      </w:r>
      <w:r w:rsidR="005227EC">
        <w:t xml:space="preserve">copper </w:t>
      </w:r>
      <w:r>
        <w:t xml:space="preserve">(OR 5.24, 95% CI 1.59-17.21) and </w:t>
      </w:r>
      <w:r w:rsidR="005227EC">
        <w:t>lead</w:t>
      </w:r>
      <w:r>
        <w:t>-</w:t>
      </w:r>
      <w:r w:rsidR="005227EC">
        <w:t xml:space="preserve">iron </w:t>
      </w:r>
      <w:r>
        <w:t xml:space="preserve">(OR 2.83, 1.07-7.5). The adjusted OR for </w:t>
      </w:r>
      <w:r w:rsidR="00BE2EAA">
        <w:t>l</w:t>
      </w:r>
      <w:r w:rsidR="00637B4C">
        <w:t>ead</w:t>
      </w:r>
      <w:r w:rsidR="00BE2EAA">
        <w:t xml:space="preserve"> </w:t>
      </w:r>
      <w:r>
        <w:t xml:space="preserve">exposure alone was not significant (OR 1.41, 0.83-2.39). PbB and other exposure indices were not reported. </w:t>
      </w:r>
    </w:p>
    <w:p w:rsidR="00DA29A5" w:rsidRDefault="00DB05CC" w:rsidP="00DA29A5">
      <w:pPr>
        <w:pStyle w:val="Heading4"/>
      </w:pPr>
      <w:r>
        <w:lastRenderedPageBreak/>
        <w:t>4</w:t>
      </w:r>
      <w:r w:rsidR="00DA29A5">
        <w:t>.4.1.2 Non</w:t>
      </w:r>
      <w:r w:rsidR="00DA29A5" w:rsidRPr="00230802">
        <w:t>-occupational studies</w:t>
      </w:r>
    </w:p>
    <w:p w:rsidR="00DA29A5" w:rsidRDefault="00DA29A5" w:rsidP="00DA29A5"/>
    <w:p w:rsidR="00DA29A5" w:rsidRDefault="00DA29A5" w:rsidP="00DA29A5">
      <w:r>
        <w:t>Several non-occupational studies have reported ORs for effects on the nervous system</w:t>
      </w:r>
      <w:r w:rsidRPr="004A7CF7">
        <w:t>. Only a few of these have expressed OR</w:t>
      </w:r>
      <w:r>
        <w:t>s</w:t>
      </w:r>
      <w:r w:rsidRPr="004A7CF7">
        <w:t xml:space="preserve"> in</w:t>
      </w:r>
      <w:r>
        <w:t xml:space="preserve"> terms of increased risk per unit of PbB. These studies are:</w:t>
      </w:r>
    </w:p>
    <w:p w:rsidR="00DA29A5" w:rsidRDefault="00DA29A5" w:rsidP="00DA29A5"/>
    <w:p w:rsidR="00DA29A5" w:rsidRDefault="00DA29A5" w:rsidP="00242F1D">
      <w:pPr>
        <w:pStyle w:val="ListParagraph"/>
        <w:numPr>
          <w:ilvl w:val="0"/>
          <w:numId w:val="24"/>
        </w:numPr>
      </w:pPr>
      <w:r>
        <w:t xml:space="preserve">Wright et al. (2003): </w:t>
      </w:r>
    </w:p>
    <w:p w:rsidR="00DA29A5" w:rsidRDefault="00DA29A5" w:rsidP="00DA29A5">
      <w:pPr>
        <w:pStyle w:val="ListParagraph"/>
      </w:pPr>
      <w:r>
        <w:t xml:space="preserve">Analysed the association between cognitive deficits and PbB in 736 men (mean age 68 years) with mean PbB of 5 </w:t>
      </w:r>
      <w:r w:rsidRPr="00230802">
        <w:rPr>
          <w:rFonts w:cs="Arial"/>
        </w:rPr>
        <w:t>µ</w:t>
      </w:r>
      <w:r>
        <w:t xml:space="preserve">g/dL from the Normative Aging Study. Cognitive function was examined using the Mini-Metal-State Examination (MMSE), a screening tool for cognitive impairment, which contains tests on orientation to time and place, registration, and recall of words, attention, language and visual construction. A total possible score of 30 may be gained, and healthy individuals typically receive a score of 24 or higher. The test is particularly sensitive to age and education. To adjust for potential confounding, age, education and alcohol intake were included as covariates in all regression models of MMSE scores. Relation of MMSE scores &lt;24 (n=41) and PbB by logistic regression estimated the OR of 1.21 (95% CI: 1.07, 1.36). Risk of MMSE scores &lt;24 when comparing the lowest (mean PbB 2.5 </w:t>
      </w:r>
      <w:r w:rsidRPr="00230802">
        <w:rPr>
          <w:rFonts w:cs="Arial"/>
        </w:rPr>
        <w:t>µ</w:t>
      </w:r>
      <w:r>
        <w:t xml:space="preserve">g/dL) and highest (mean PbB 8.9 </w:t>
      </w:r>
      <w:r w:rsidRPr="00230802">
        <w:rPr>
          <w:rFonts w:cs="Arial"/>
        </w:rPr>
        <w:t>µ</w:t>
      </w:r>
      <w:r>
        <w:t xml:space="preserve">g/dL) quartiles was 3.4 (95% CI: 1.6, 7.2) per </w:t>
      </w:r>
      <w:r w:rsidRPr="00230802">
        <w:rPr>
          <w:rFonts w:cs="Arial"/>
        </w:rPr>
        <w:t>µ</w:t>
      </w:r>
      <w:r>
        <w:t xml:space="preserve">g/dL of PbB. </w:t>
      </w:r>
    </w:p>
    <w:p w:rsidR="00DA29A5" w:rsidRDefault="00DA29A5" w:rsidP="00DA29A5">
      <w:pPr>
        <w:pStyle w:val="ListParagraph"/>
      </w:pPr>
    </w:p>
    <w:p w:rsidR="00DA29A5" w:rsidRDefault="00DA29A5" w:rsidP="00DA29A5">
      <w:pPr>
        <w:pStyle w:val="ListParagraph"/>
      </w:pPr>
      <w:r>
        <w:t xml:space="preserve">In contrast, another study (Weisskopf et al. 2004) investigating the same endpoint in 466 men from the Normative Aging Study (mean age 67.4 yrs) found no significant change in MMSE scores per interquartile increment of PbB (i.e. 2 </w:t>
      </w:r>
      <w:r w:rsidRPr="00230802">
        <w:rPr>
          <w:rFonts w:cs="Arial"/>
        </w:rPr>
        <w:t>µ</w:t>
      </w:r>
      <w:r>
        <w:t xml:space="preserve">g/dL) (estimated difference in MMSE score = -0.01, 95% CI -0.13 – 0.11). The models were adjusted for age, education, smoking, alcohol intake, and time between MMSE tests.  </w:t>
      </w:r>
    </w:p>
    <w:p w:rsidR="00DA29A5" w:rsidRDefault="00DA29A5" w:rsidP="00DA29A5"/>
    <w:p w:rsidR="00DA29A5" w:rsidRDefault="00DA29A5" w:rsidP="00242F1D">
      <w:pPr>
        <w:pStyle w:val="ListParagraph"/>
        <w:numPr>
          <w:ilvl w:val="0"/>
          <w:numId w:val="24"/>
        </w:numPr>
      </w:pPr>
      <w:r>
        <w:t>Rhodes et al. (2003):</w:t>
      </w:r>
    </w:p>
    <w:p w:rsidR="00DA29A5" w:rsidRPr="001D0D80" w:rsidRDefault="00DA29A5" w:rsidP="00DA29A5">
      <w:pPr>
        <w:pStyle w:val="ListParagraph"/>
      </w:pPr>
      <w:r>
        <w:t xml:space="preserve">Investigated the association between PbB and bone </w:t>
      </w:r>
      <w:r w:rsidR="00BE2EAA">
        <w:t>l</w:t>
      </w:r>
      <w:r w:rsidR="00637B4C">
        <w:t>ead</w:t>
      </w:r>
      <w:r w:rsidR="00BE2EAA">
        <w:t xml:space="preserve"> </w:t>
      </w:r>
      <w:r>
        <w:t xml:space="preserve">and psychiatric symptoms among middle-aged to elderly men from the Normative Aging Study in the US. Symptoms were assessed using the Brief Symptom Inventory (BSI) and analysed as individual outcomes as well as a measure that combined anxiety, depression and phobic anxiety. PbB averaged 6.3 </w:t>
      </w:r>
      <w:r w:rsidRPr="00230802">
        <w:rPr>
          <w:rFonts w:cs="Arial"/>
        </w:rPr>
        <w:t>µ</w:t>
      </w:r>
      <w:r>
        <w:t>g/dL. Logistic regression models were adjusted for age, age</w:t>
      </w:r>
      <w:r>
        <w:rPr>
          <w:vertAlign w:val="superscript"/>
        </w:rPr>
        <w:t>2</w:t>
      </w:r>
      <w:r>
        <w:t>, alcohol, education, and employment variables. The age</w:t>
      </w:r>
      <w:r>
        <w:rPr>
          <w:vertAlign w:val="superscript"/>
        </w:rPr>
        <w:t>2</w:t>
      </w:r>
      <w:r>
        <w:t xml:space="preserve"> term was used to adjust for the likely nonlinear relationship of psychiatric symptoms and age. ORs for those results in the logistic regression models with p values &lt;0.05 were estimated. An increase in 8.9 </w:t>
      </w:r>
      <w:r w:rsidRPr="00230802">
        <w:rPr>
          <w:rFonts w:cs="Arial"/>
        </w:rPr>
        <w:t>µ</w:t>
      </w:r>
      <w:r>
        <w:t xml:space="preserve">g/dL of PbB (i.e. from the midpoint of the lowest to the highest quintile) was associated with an OR of 2.91 (95% CI 1.39-6.09) for the combined measure of outcomes.   </w:t>
      </w:r>
    </w:p>
    <w:p w:rsidR="00DA29A5" w:rsidRDefault="00DA29A5" w:rsidP="00DA29A5"/>
    <w:p w:rsidR="006F10BD" w:rsidRDefault="006F10BD" w:rsidP="00DA29A5"/>
    <w:p w:rsidR="00DA29A5" w:rsidRDefault="00DA29A5" w:rsidP="00242F1D">
      <w:pPr>
        <w:pStyle w:val="ListParagraph"/>
        <w:numPr>
          <w:ilvl w:val="0"/>
          <w:numId w:val="24"/>
        </w:numPr>
      </w:pPr>
      <w:r>
        <w:lastRenderedPageBreak/>
        <w:t>Choi et al. (2012):</w:t>
      </w:r>
    </w:p>
    <w:p w:rsidR="00DA29A5" w:rsidRDefault="00DA29A5" w:rsidP="00DA29A5">
      <w:pPr>
        <w:pStyle w:val="ListParagraph"/>
      </w:pPr>
      <w:r>
        <w:t xml:space="preserve">Investigated the association between blood </w:t>
      </w:r>
      <w:r w:rsidR="000A6B2C">
        <w:t xml:space="preserve">cadmium </w:t>
      </w:r>
      <w:r>
        <w:t xml:space="preserve">and </w:t>
      </w:r>
      <w:r w:rsidR="00BE2EAA">
        <w:t>l</w:t>
      </w:r>
      <w:r w:rsidR="00637B4C">
        <w:t>ead</w:t>
      </w:r>
      <w:r w:rsidR="00BE2EAA">
        <w:t xml:space="preserve"> </w:t>
      </w:r>
      <w:r>
        <w:t xml:space="preserve">concentrations and hearing loss in adults from the 1999-2004 NHANES in the US. Hearing loss was defined as a pure-tone average (PTA) &gt;25 dB in either ear. The weighted geometric mean PbB was 1.54 </w:t>
      </w:r>
      <w:r w:rsidRPr="00230802">
        <w:rPr>
          <w:rFonts w:cs="Arial"/>
        </w:rPr>
        <w:t>µ</w:t>
      </w:r>
      <w:r>
        <w:t xml:space="preserve">g/dL. After adjusting for sociodemographic and clinical risk factors and exposure to occupational and non-occupational noise, the highest (2.8-54 </w:t>
      </w:r>
      <w:r w:rsidRPr="00230802">
        <w:rPr>
          <w:rFonts w:cs="Arial"/>
        </w:rPr>
        <w:t>µ</w:t>
      </w:r>
      <w:r>
        <w:t xml:space="preserve">g/dL) (vs. lowest, 0.2-0.8 </w:t>
      </w:r>
      <w:r w:rsidRPr="00230802">
        <w:rPr>
          <w:rFonts w:cs="Arial"/>
        </w:rPr>
        <w:t>µ</w:t>
      </w:r>
      <w:r>
        <w:t xml:space="preserve">g/dL) quintile of PbB was associated with an 18.6% (95% CI 7.4-31.1%) increase in PTA. The increase per doubling of PbB was 5.4% (95% CI 2.12-8.81%).  </w:t>
      </w:r>
    </w:p>
    <w:p w:rsidR="00DA29A5" w:rsidRDefault="00DA29A5" w:rsidP="00DA29A5"/>
    <w:p w:rsidR="00DA29A5" w:rsidRDefault="00DA29A5" w:rsidP="00DA29A5">
      <w:r>
        <w:t>Other studies have not quantified ORs in terms of unit increase of PbB. These studies include:</w:t>
      </w:r>
    </w:p>
    <w:p w:rsidR="00DA29A5" w:rsidRDefault="00DA29A5" w:rsidP="00242F1D">
      <w:pPr>
        <w:pStyle w:val="ListParagraph"/>
        <w:numPr>
          <w:ilvl w:val="0"/>
          <w:numId w:val="24"/>
        </w:numPr>
      </w:pPr>
      <w:r>
        <w:t xml:space="preserve">Bouchard et al. (2009): </w:t>
      </w:r>
    </w:p>
    <w:p w:rsidR="00DA29A5" w:rsidRDefault="00DA29A5" w:rsidP="00DA29A5">
      <w:pPr>
        <w:pStyle w:val="ListParagraph"/>
      </w:pPr>
      <w:r>
        <w:t xml:space="preserve">Investigated the association of </w:t>
      </w:r>
      <w:r w:rsidR="00440F6B">
        <w:t xml:space="preserve">recent </w:t>
      </w:r>
      <w:r>
        <w:t xml:space="preserve">PbB </w:t>
      </w:r>
      <w:r w:rsidR="00440F6B">
        <w:t xml:space="preserve">(2009) </w:t>
      </w:r>
      <w:r>
        <w:t xml:space="preserve">with major depression, panic and generalised anxiety in young adults (20-39 years) who responded to the 1999-2004 NHANES in the US. Mean PbB was 1.61 (0.3-37.3) </w:t>
      </w:r>
      <w:r w:rsidRPr="00230802">
        <w:rPr>
          <w:rFonts w:cs="Arial"/>
        </w:rPr>
        <w:t>µ</w:t>
      </w:r>
      <w:r>
        <w:t>g/dL. Increasing PbB were associated with higher odds of major depression (p=0.05) and panic disorder (p=0.02) but not generalised anxiety (p=0.78) after adjustment for sex, age, race/ethnicity, education status, and poverty to income ratio. Persons with PbB in the highest quintile (</w:t>
      </w:r>
      <w:r>
        <w:rPr>
          <w:u w:val="single"/>
        </w:rPr>
        <w:t>&gt;</w:t>
      </w:r>
      <w:r>
        <w:t xml:space="preserve"> 2.11 </w:t>
      </w:r>
      <w:r w:rsidRPr="00230802">
        <w:rPr>
          <w:rFonts w:cs="Arial"/>
        </w:rPr>
        <w:t>µ</w:t>
      </w:r>
      <w:r>
        <w:t>g/dL) had an OR of 2.3 (95% CI 1.13-4.75) for major depressive disorder and 4.9 (1.32-18.48) for panic disorder when compared to those in the lowest quintile (</w:t>
      </w:r>
      <w:r>
        <w:rPr>
          <w:u w:val="single"/>
        </w:rPr>
        <w:t>&lt;</w:t>
      </w:r>
      <w:r>
        <w:t xml:space="preserve"> 0.7 </w:t>
      </w:r>
      <w:r w:rsidRPr="00230802">
        <w:rPr>
          <w:rFonts w:cs="Arial"/>
        </w:rPr>
        <w:t>µ</w:t>
      </w:r>
      <w:r>
        <w:t xml:space="preserve">g/dL). It is noted these estimates of risk for specific quintiles are based on only a few cases, particularly for panic disorder. A monotonic increase in ORs was not found across the quintiles of PbB levels. For all endpoints, ORs were larger in analyses excluding current smokers. </w:t>
      </w:r>
    </w:p>
    <w:p w:rsidR="00DA29A5" w:rsidRDefault="00DA29A5" w:rsidP="00DA29A5"/>
    <w:p w:rsidR="00DA29A5" w:rsidRDefault="00DA29A5" w:rsidP="00242F1D">
      <w:pPr>
        <w:pStyle w:val="ListParagraph"/>
        <w:numPr>
          <w:ilvl w:val="0"/>
          <w:numId w:val="24"/>
        </w:numPr>
      </w:pPr>
      <w:r>
        <w:t xml:space="preserve">Min et al. (2012): </w:t>
      </w:r>
    </w:p>
    <w:p w:rsidR="00DA29A5" w:rsidRDefault="00DA29A5" w:rsidP="00DA29A5">
      <w:pPr>
        <w:pStyle w:val="ListParagraph"/>
      </w:pPr>
      <w:r>
        <w:t xml:space="preserve">Analysed data from the 1999-2004 NHANES in the US (5,574 adults </w:t>
      </w:r>
      <w:r w:rsidRPr="00230802">
        <w:rPr>
          <w:u w:val="single"/>
        </w:rPr>
        <w:t>&gt;</w:t>
      </w:r>
      <w:r>
        <w:t xml:space="preserve"> 40 yrs). Balance dysfunction was associated with PbB in the highest quintile (3.3-48 </w:t>
      </w:r>
      <w:r w:rsidRPr="00230802">
        <w:rPr>
          <w:rFonts w:cs="Arial"/>
        </w:rPr>
        <w:t>µ</w:t>
      </w:r>
      <w:r>
        <w:t xml:space="preserve">g/dL) when compared with the lowest quintile (&lt;1.2 </w:t>
      </w:r>
      <w:r w:rsidRPr="00230802">
        <w:rPr>
          <w:rFonts w:cs="Arial"/>
        </w:rPr>
        <w:t>µ</w:t>
      </w:r>
      <w:r>
        <w:t xml:space="preserve">g/dL), with an OR of 1.42 (95% CI: 1.07, 1.89). The model was adjusted for age, sex, race/ethnicity, education, history of diabetes, history of stroke, smoking, alcohol consumption, calcium intake and iron intake. </w:t>
      </w:r>
    </w:p>
    <w:p w:rsidR="00DA29A5" w:rsidRDefault="00DA29A5" w:rsidP="00DA29A5"/>
    <w:p w:rsidR="00DA29A5" w:rsidRDefault="00DA29A5" w:rsidP="00242F1D">
      <w:pPr>
        <w:pStyle w:val="ListParagraph"/>
        <w:numPr>
          <w:ilvl w:val="0"/>
          <w:numId w:val="24"/>
        </w:numPr>
      </w:pPr>
      <w:r>
        <w:t xml:space="preserve">Louis et al. (2003): </w:t>
      </w:r>
    </w:p>
    <w:p w:rsidR="00DA29A5" w:rsidRDefault="00DA29A5" w:rsidP="00DA29A5">
      <w:pPr>
        <w:pStyle w:val="ListParagraph"/>
      </w:pPr>
      <w:r>
        <w:t xml:space="preserve">Measured PbB and gathered a lifetime occupational history in 100 patients with essential tremor (the study also had 143 controls). PbB were higher in essential tremor patients (mean 3.3 </w:t>
      </w:r>
      <w:r w:rsidRPr="00230802">
        <w:rPr>
          <w:u w:val="single"/>
        </w:rPr>
        <w:t>+</w:t>
      </w:r>
      <w:r>
        <w:t xml:space="preserve"> 2.4 </w:t>
      </w:r>
      <w:r w:rsidRPr="00230802">
        <w:rPr>
          <w:rFonts w:cs="Arial"/>
        </w:rPr>
        <w:t>µ</w:t>
      </w:r>
      <w:r>
        <w:t xml:space="preserve">g/dL) than in controls (2.6 </w:t>
      </w:r>
      <w:r w:rsidRPr="00230802">
        <w:rPr>
          <w:u w:val="single"/>
        </w:rPr>
        <w:t>+</w:t>
      </w:r>
      <w:r>
        <w:t xml:space="preserve"> 1.6 </w:t>
      </w:r>
      <w:r w:rsidRPr="00230802">
        <w:rPr>
          <w:rFonts w:cs="Arial"/>
        </w:rPr>
        <w:t>µ</w:t>
      </w:r>
      <w:r>
        <w:t xml:space="preserve">g/dL). In a logistic regression model, adjusted for potential confounders (age, current cigarette smoking, and possible or probably lifetime occupational </w:t>
      </w:r>
      <w:r w:rsidR="00BE2EAA">
        <w:t>l</w:t>
      </w:r>
      <w:r w:rsidR="00637B4C">
        <w:t>ead</w:t>
      </w:r>
      <w:r w:rsidR="00BE2EAA">
        <w:t xml:space="preserve"> </w:t>
      </w:r>
      <w:r>
        <w:t xml:space="preserve">exposure), PbB concentration was associated with diagnosis of essential </w:t>
      </w:r>
      <w:r>
        <w:lastRenderedPageBreak/>
        <w:t xml:space="preserve">tremor, with an OR of 1.19 (95% CI: 1.03-1.37). This study may have been subject to selection and recall bias which could potentially produce artifactual associations. </w:t>
      </w:r>
    </w:p>
    <w:p w:rsidR="00DA29A5" w:rsidRDefault="00DA29A5" w:rsidP="00DA29A5"/>
    <w:p w:rsidR="00DA29A5" w:rsidRDefault="00DA29A5" w:rsidP="00DA29A5"/>
    <w:p w:rsidR="00DA29A5" w:rsidRDefault="00DB05CC" w:rsidP="00DA29A5">
      <w:pPr>
        <w:pStyle w:val="Heading4"/>
      </w:pPr>
      <w:r>
        <w:t>4</w:t>
      </w:r>
      <w:r w:rsidR="00DA29A5">
        <w:t>.4.1.3 Summary of ORs for nervous system effects</w:t>
      </w:r>
    </w:p>
    <w:p w:rsidR="00DA29A5" w:rsidRDefault="00DA29A5" w:rsidP="00DA29A5"/>
    <w:p w:rsidR="00DA29A5" w:rsidRDefault="00DA29A5" w:rsidP="00DA29A5">
      <w:r>
        <w:t xml:space="preserve">Table </w:t>
      </w:r>
      <w:r w:rsidR="00DB05CC" w:rsidRPr="00216408">
        <w:t>4</w:t>
      </w:r>
      <w:r w:rsidRPr="00216408">
        <w:t>.3</w:t>
      </w:r>
      <w:r>
        <w:t xml:space="preserve"> provides a summary of the</w:t>
      </w:r>
      <w:r w:rsidR="00DB05CC">
        <w:t xml:space="preserve"> studies discussed in Sections 4.4.1.1 and 4</w:t>
      </w:r>
      <w:r>
        <w:t xml:space="preserve">.4.1.2. </w:t>
      </w:r>
      <w:r w:rsidR="002F39D7">
        <w:t xml:space="preserve">The table is split into occupational and non-occupational studies. </w:t>
      </w:r>
      <w:r>
        <w:t xml:space="preserve">The limitations associated with </w:t>
      </w:r>
      <w:r w:rsidR="00475BBA">
        <w:t>the studies</w:t>
      </w:r>
      <w:r>
        <w:t xml:space="preserve"> are also </w:t>
      </w:r>
      <w:r w:rsidR="00475BBA">
        <w:t xml:space="preserve">briefly </w:t>
      </w:r>
      <w:r>
        <w:t xml:space="preserve">presented in the table. </w:t>
      </w:r>
    </w:p>
    <w:p w:rsidR="003A4590" w:rsidRDefault="003A4590" w:rsidP="00933330">
      <w:pPr>
        <w:rPr>
          <w:b/>
          <w:highlight w:val="yellow"/>
        </w:rPr>
      </w:pPr>
    </w:p>
    <w:p w:rsidR="003A4590" w:rsidRDefault="003A4590" w:rsidP="00933330">
      <w:pPr>
        <w:rPr>
          <w:b/>
          <w:highlight w:val="yellow"/>
        </w:rPr>
      </w:pPr>
    </w:p>
    <w:p w:rsidR="00545F5C" w:rsidRDefault="00DB05CC" w:rsidP="00933330">
      <w:pPr>
        <w:rPr>
          <w:b/>
        </w:rPr>
      </w:pPr>
      <w:r w:rsidRPr="00216408">
        <w:rPr>
          <w:b/>
        </w:rPr>
        <w:t>Table 4</w:t>
      </w:r>
      <w:r w:rsidR="00C4521B" w:rsidRPr="00216408">
        <w:rPr>
          <w:b/>
        </w:rPr>
        <w:t>.3:</w:t>
      </w:r>
      <w:r w:rsidR="00C4521B">
        <w:rPr>
          <w:b/>
        </w:rPr>
        <w:t xml:space="preserve"> ORs for nervous system effects</w:t>
      </w: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Caption w:val="Table 4.3: ORs for nervous system effects"/>
      </w:tblPr>
      <w:tblGrid>
        <w:gridCol w:w="1196"/>
        <w:gridCol w:w="1182"/>
        <w:gridCol w:w="1216"/>
        <w:gridCol w:w="1178"/>
        <w:gridCol w:w="1537"/>
        <w:gridCol w:w="1516"/>
        <w:gridCol w:w="2095"/>
      </w:tblGrid>
      <w:tr w:rsidR="00545F5C" w:rsidTr="00E21B29">
        <w:trPr>
          <w:tblHeader/>
        </w:trPr>
        <w:tc>
          <w:tcPr>
            <w:tcW w:w="1196" w:type="dxa"/>
            <w:vMerge w:val="restart"/>
            <w:tcBorders>
              <w:top w:val="single" w:sz="12" w:space="0" w:color="auto"/>
            </w:tcBorders>
            <w:shd w:val="clear" w:color="auto" w:fill="9BBB59" w:themeFill="accent3"/>
          </w:tcPr>
          <w:p w:rsidR="00545F5C" w:rsidRPr="00BB269E" w:rsidRDefault="00545F5C" w:rsidP="00753AC3">
            <w:pPr>
              <w:rPr>
                <w:b/>
              </w:rPr>
            </w:pPr>
            <w:r>
              <w:rPr>
                <w:b/>
              </w:rPr>
              <w:t>Study</w:t>
            </w:r>
          </w:p>
        </w:tc>
        <w:tc>
          <w:tcPr>
            <w:tcW w:w="1093" w:type="dxa"/>
            <w:vMerge w:val="restart"/>
            <w:tcBorders>
              <w:top w:val="single" w:sz="12" w:space="0" w:color="auto"/>
            </w:tcBorders>
            <w:shd w:val="clear" w:color="auto" w:fill="9BBB59" w:themeFill="accent3"/>
          </w:tcPr>
          <w:p w:rsidR="00545F5C" w:rsidRPr="00AF5B5B" w:rsidRDefault="00545F5C" w:rsidP="00753AC3">
            <w:pPr>
              <w:rPr>
                <w:b/>
                <w:sz w:val="24"/>
                <w:szCs w:val="24"/>
                <w:vertAlign w:val="superscript"/>
              </w:rPr>
            </w:pPr>
            <w:r>
              <w:rPr>
                <w:b/>
              </w:rPr>
              <w:t xml:space="preserve">Unit PbB </w:t>
            </w:r>
            <w:r>
              <w:rPr>
                <w:b/>
                <w:sz w:val="24"/>
                <w:szCs w:val="24"/>
                <w:vertAlign w:val="superscript"/>
              </w:rPr>
              <w:t>a</w:t>
            </w:r>
          </w:p>
        </w:tc>
        <w:tc>
          <w:tcPr>
            <w:tcW w:w="2394" w:type="dxa"/>
            <w:gridSpan w:val="2"/>
            <w:tcBorders>
              <w:top w:val="single" w:sz="12" w:space="0" w:color="auto"/>
              <w:bottom w:val="single" w:sz="8" w:space="0" w:color="auto"/>
            </w:tcBorders>
            <w:shd w:val="clear" w:color="auto" w:fill="9BBB59" w:themeFill="accent3"/>
          </w:tcPr>
          <w:p w:rsidR="00545F5C" w:rsidRDefault="00545F5C" w:rsidP="00753AC3">
            <w:pPr>
              <w:jc w:val="center"/>
            </w:pPr>
            <w:r>
              <w:rPr>
                <w:b/>
              </w:rPr>
              <w:t>PbB in study (</w:t>
            </w:r>
            <w:r w:rsidRPr="00BB269E">
              <w:rPr>
                <w:rFonts w:cs="Arial"/>
                <w:b/>
              </w:rPr>
              <w:t>µ</w:t>
            </w:r>
            <w:r>
              <w:rPr>
                <w:b/>
              </w:rPr>
              <w:t>g/dL)</w:t>
            </w:r>
          </w:p>
        </w:tc>
        <w:tc>
          <w:tcPr>
            <w:tcW w:w="1537" w:type="dxa"/>
            <w:vMerge w:val="restart"/>
            <w:tcBorders>
              <w:top w:val="single" w:sz="12" w:space="0" w:color="auto"/>
            </w:tcBorders>
            <w:shd w:val="clear" w:color="auto" w:fill="9BBB59" w:themeFill="accent3"/>
          </w:tcPr>
          <w:p w:rsidR="00545F5C" w:rsidRDefault="00545F5C" w:rsidP="00753AC3">
            <w:pPr>
              <w:rPr>
                <w:b/>
              </w:rPr>
            </w:pPr>
            <w:r>
              <w:rPr>
                <w:b/>
              </w:rPr>
              <w:t>Effect</w:t>
            </w:r>
          </w:p>
        </w:tc>
        <w:tc>
          <w:tcPr>
            <w:tcW w:w="1516" w:type="dxa"/>
            <w:vMerge w:val="restart"/>
            <w:tcBorders>
              <w:top w:val="single" w:sz="12" w:space="0" w:color="auto"/>
            </w:tcBorders>
            <w:shd w:val="clear" w:color="auto" w:fill="9BBB59" w:themeFill="accent3"/>
          </w:tcPr>
          <w:p w:rsidR="00545F5C" w:rsidRDefault="00545F5C" w:rsidP="00753AC3">
            <w:pPr>
              <w:rPr>
                <w:b/>
              </w:rPr>
            </w:pPr>
            <w:r>
              <w:rPr>
                <w:b/>
              </w:rPr>
              <w:t xml:space="preserve">OR </w:t>
            </w:r>
          </w:p>
          <w:p w:rsidR="00545F5C" w:rsidRPr="00BB269E" w:rsidRDefault="00545F5C" w:rsidP="00753AC3">
            <w:pPr>
              <w:rPr>
                <w:b/>
              </w:rPr>
            </w:pPr>
            <w:r>
              <w:rPr>
                <w:b/>
              </w:rPr>
              <w:t>(95% CI)</w:t>
            </w:r>
          </w:p>
        </w:tc>
        <w:tc>
          <w:tcPr>
            <w:tcW w:w="2095" w:type="dxa"/>
            <w:vMerge w:val="restart"/>
            <w:tcBorders>
              <w:top w:val="single" w:sz="12" w:space="0" w:color="auto"/>
            </w:tcBorders>
            <w:shd w:val="clear" w:color="auto" w:fill="9BBB59" w:themeFill="accent3"/>
          </w:tcPr>
          <w:p w:rsidR="00545F5C" w:rsidRPr="00BB269E" w:rsidRDefault="00545F5C" w:rsidP="00753AC3">
            <w:pPr>
              <w:rPr>
                <w:b/>
              </w:rPr>
            </w:pPr>
            <w:r>
              <w:rPr>
                <w:b/>
              </w:rPr>
              <w:t>Limitation/ comment</w:t>
            </w:r>
          </w:p>
        </w:tc>
      </w:tr>
      <w:tr w:rsidR="00545F5C" w:rsidTr="00E21B29">
        <w:trPr>
          <w:tblHeader/>
        </w:trPr>
        <w:tc>
          <w:tcPr>
            <w:tcW w:w="1196" w:type="dxa"/>
            <w:vMerge/>
            <w:tcBorders>
              <w:bottom w:val="single" w:sz="12" w:space="0" w:color="auto"/>
            </w:tcBorders>
          </w:tcPr>
          <w:p w:rsidR="00545F5C" w:rsidRDefault="00545F5C" w:rsidP="00753AC3"/>
        </w:tc>
        <w:tc>
          <w:tcPr>
            <w:tcW w:w="1093" w:type="dxa"/>
            <w:vMerge/>
            <w:tcBorders>
              <w:bottom w:val="single" w:sz="12" w:space="0" w:color="auto"/>
            </w:tcBorders>
          </w:tcPr>
          <w:p w:rsidR="00545F5C" w:rsidRDefault="00545F5C" w:rsidP="00753AC3"/>
        </w:tc>
        <w:tc>
          <w:tcPr>
            <w:tcW w:w="1216" w:type="dxa"/>
            <w:tcBorders>
              <w:top w:val="single" w:sz="8" w:space="0" w:color="auto"/>
              <w:bottom w:val="single" w:sz="12" w:space="0" w:color="auto"/>
            </w:tcBorders>
            <w:shd w:val="clear" w:color="auto" w:fill="9BBB59" w:themeFill="accent3"/>
          </w:tcPr>
          <w:p w:rsidR="00545F5C" w:rsidRPr="00BB269E" w:rsidRDefault="00545F5C" w:rsidP="00753AC3">
            <w:pPr>
              <w:jc w:val="center"/>
              <w:rPr>
                <w:b/>
              </w:rPr>
            </w:pPr>
            <w:r>
              <w:rPr>
                <w:b/>
              </w:rPr>
              <w:t>Controls</w:t>
            </w:r>
          </w:p>
        </w:tc>
        <w:tc>
          <w:tcPr>
            <w:tcW w:w="1178" w:type="dxa"/>
            <w:tcBorders>
              <w:top w:val="single" w:sz="8" w:space="0" w:color="auto"/>
              <w:bottom w:val="single" w:sz="12" w:space="0" w:color="auto"/>
            </w:tcBorders>
            <w:shd w:val="clear" w:color="auto" w:fill="9BBB59" w:themeFill="accent3"/>
          </w:tcPr>
          <w:p w:rsidR="00545F5C" w:rsidRPr="00BB269E" w:rsidRDefault="00545F5C" w:rsidP="00753AC3">
            <w:pPr>
              <w:jc w:val="center"/>
              <w:rPr>
                <w:b/>
              </w:rPr>
            </w:pPr>
            <w:r>
              <w:rPr>
                <w:b/>
              </w:rPr>
              <w:t>Exposed</w:t>
            </w:r>
          </w:p>
        </w:tc>
        <w:tc>
          <w:tcPr>
            <w:tcW w:w="1537" w:type="dxa"/>
            <w:vMerge/>
            <w:tcBorders>
              <w:bottom w:val="single" w:sz="12" w:space="0" w:color="auto"/>
            </w:tcBorders>
          </w:tcPr>
          <w:p w:rsidR="00545F5C" w:rsidRDefault="00545F5C" w:rsidP="00753AC3"/>
        </w:tc>
        <w:tc>
          <w:tcPr>
            <w:tcW w:w="1516" w:type="dxa"/>
            <w:vMerge/>
            <w:tcBorders>
              <w:bottom w:val="single" w:sz="12" w:space="0" w:color="auto"/>
            </w:tcBorders>
          </w:tcPr>
          <w:p w:rsidR="00545F5C" w:rsidRDefault="00545F5C" w:rsidP="00753AC3"/>
        </w:tc>
        <w:tc>
          <w:tcPr>
            <w:tcW w:w="2095" w:type="dxa"/>
            <w:vMerge/>
            <w:tcBorders>
              <w:bottom w:val="single" w:sz="12" w:space="0" w:color="auto"/>
            </w:tcBorders>
          </w:tcPr>
          <w:p w:rsidR="00545F5C" w:rsidRDefault="00545F5C" w:rsidP="00753AC3"/>
        </w:tc>
      </w:tr>
      <w:tr w:rsidR="00545F5C" w:rsidTr="00E21B29">
        <w:tc>
          <w:tcPr>
            <w:tcW w:w="9831" w:type="dxa"/>
            <w:gridSpan w:val="7"/>
            <w:tcBorders>
              <w:top w:val="single" w:sz="12" w:space="0" w:color="auto"/>
            </w:tcBorders>
            <w:shd w:val="clear" w:color="auto" w:fill="D6E3BC" w:themeFill="accent3" w:themeFillTint="66"/>
          </w:tcPr>
          <w:p w:rsidR="002F39D7" w:rsidRDefault="002F39D7" w:rsidP="00753AC3">
            <w:pPr>
              <w:rPr>
                <w:b/>
              </w:rPr>
            </w:pPr>
          </w:p>
          <w:p w:rsidR="00545F5C" w:rsidRDefault="00545F5C" w:rsidP="00753AC3">
            <w:pPr>
              <w:rPr>
                <w:b/>
              </w:rPr>
            </w:pPr>
            <w:r>
              <w:rPr>
                <w:b/>
              </w:rPr>
              <w:t>Occupational</w:t>
            </w:r>
          </w:p>
          <w:p w:rsidR="002F39D7" w:rsidRPr="00AF5B5B" w:rsidRDefault="002F39D7" w:rsidP="00753AC3">
            <w:pPr>
              <w:rPr>
                <w:b/>
              </w:rPr>
            </w:pPr>
          </w:p>
        </w:tc>
      </w:tr>
      <w:tr w:rsidR="00545F5C" w:rsidTr="00E21B29">
        <w:tc>
          <w:tcPr>
            <w:tcW w:w="1196" w:type="dxa"/>
            <w:tcBorders>
              <w:top w:val="single" w:sz="12" w:space="0" w:color="auto"/>
            </w:tcBorders>
          </w:tcPr>
          <w:p w:rsidR="00545F5C" w:rsidRDefault="00545F5C" w:rsidP="00753AC3">
            <w:r>
              <w:t>Kamel et al. 2002</w:t>
            </w:r>
          </w:p>
        </w:tc>
        <w:tc>
          <w:tcPr>
            <w:tcW w:w="1093" w:type="dxa"/>
            <w:tcBorders>
              <w:top w:val="single" w:sz="12" w:space="0" w:color="auto"/>
            </w:tcBorders>
          </w:tcPr>
          <w:p w:rsidR="00545F5C" w:rsidRDefault="00545F5C" w:rsidP="00753AC3">
            <w:r>
              <w:t xml:space="preserve">1 </w:t>
            </w:r>
            <w:r w:rsidRPr="00BB269E">
              <w:t>µg/dL</w:t>
            </w:r>
            <w:r w:rsidR="00B821D8">
              <w:t xml:space="preserve"> increment</w:t>
            </w:r>
          </w:p>
          <w:p w:rsidR="00545F5C" w:rsidRDefault="00545F5C" w:rsidP="00753AC3"/>
          <w:p w:rsidR="00545F5C" w:rsidRDefault="00545F5C" w:rsidP="00753AC3">
            <w:r>
              <w:t>(patients vs. controls)</w:t>
            </w:r>
          </w:p>
        </w:tc>
        <w:tc>
          <w:tcPr>
            <w:tcW w:w="1216" w:type="dxa"/>
            <w:tcBorders>
              <w:top w:val="single" w:sz="12" w:space="0" w:color="auto"/>
            </w:tcBorders>
          </w:tcPr>
          <w:p w:rsidR="00545F5C" w:rsidRDefault="00545F5C" w:rsidP="00753AC3">
            <w:r>
              <w:t>&lt;1-2</w:t>
            </w:r>
          </w:p>
        </w:tc>
        <w:tc>
          <w:tcPr>
            <w:tcW w:w="1178" w:type="dxa"/>
            <w:tcBorders>
              <w:top w:val="single" w:sz="12" w:space="0" w:color="auto"/>
            </w:tcBorders>
          </w:tcPr>
          <w:p w:rsidR="00545F5C" w:rsidRDefault="00545F5C" w:rsidP="00753AC3">
            <w:r>
              <w:t>3-14</w:t>
            </w:r>
          </w:p>
        </w:tc>
        <w:tc>
          <w:tcPr>
            <w:tcW w:w="1537" w:type="dxa"/>
            <w:tcBorders>
              <w:top w:val="single" w:sz="12" w:space="0" w:color="auto"/>
            </w:tcBorders>
          </w:tcPr>
          <w:p w:rsidR="00545F5C" w:rsidRDefault="00545F5C" w:rsidP="00753AC3">
            <w:r>
              <w:t>ALS diagnosis</w:t>
            </w:r>
          </w:p>
        </w:tc>
        <w:tc>
          <w:tcPr>
            <w:tcW w:w="1516" w:type="dxa"/>
            <w:tcBorders>
              <w:top w:val="single" w:sz="12" w:space="0" w:color="auto"/>
            </w:tcBorders>
          </w:tcPr>
          <w:p w:rsidR="00545F5C" w:rsidRDefault="00545F5C" w:rsidP="00753AC3">
            <w:r>
              <w:t xml:space="preserve">1.9 </w:t>
            </w:r>
            <w:r w:rsidR="003A4590">
              <w:t xml:space="preserve">per </w:t>
            </w:r>
            <w:r w:rsidR="003A4590" w:rsidRPr="003A4590">
              <w:t>µg/dL</w:t>
            </w:r>
            <w:r w:rsidR="003A4590">
              <w:t xml:space="preserve"> </w:t>
            </w:r>
          </w:p>
          <w:p w:rsidR="00545F5C" w:rsidRDefault="00545F5C" w:rsidP="00753AC3">
            <w:r>
              <w:t>(1.4, 2.6)</w:t>
            </w:r>
          </w:p>
        </w:tc>
        <w:tc>
          <w:tcPr>
            <w:tcW w:w="2095" w:type="dxa"/>
            <w:tcBorders>
              <w:top w:val="single" w:sz="12" w:space="0" w:color="auto"/>
            </w:tcBorders>
          </w:tcPr>
          <w:p w:rsidR="00545F5C" w:rsidRPr="005F3BE8" w:rsidRDefault="00AB7AE2" w:rsidP="00753AC3">
            <w:pPr>
              <w:rPr>
                <w:sz w:val="18"/>
                <w:szCs w:val="18"/>
              </w:rPr>
            </w:pPr>
            <w:r w:rsidRPr="005F3BE8">
              <w:rPr>
                <w:rStyle w:val="st1"/>
                <w:rFonts w:cs="Arial"/>
                <w:color w:val="444444"/>
                <w:sz w:val="18"/>
                <w:szCs w:val="18"/>
              </w:rPr>
              <w:t>manganese</w:t>
            </w:r>
            <w:r w:rsidRPr="005F3BE8">
              <w:rPr>
                <w:sz w:val="18"/>
                <w:szCs w:val="18"/>
              </w:rPr>
              <w:t xml:space="preserve"> exposure</w:t>
            </w:r>
            <w:r w:rsidR="00545F5C" w:rsidRPr="005F3BE8">
              <w:rPr>
                <w:sz w:val="18"/>
                <w:szCs w:val="18"/>
              </w:rPr>
              <w:t xml:space="preserve"> not considered.</w:t>
            </w:r>
          </w:p>
          <w:p w:rsidR="00545F5C" w:rsidRPr="005F3BE8" w:rsidRDefault="00545F5C" w:rsidP="00753AC3">
            <w:pPr>
              <w:rPr>
                <w:sz w:val="18"/>
                <w:szCs w:val="18"/>
              </w:rPr>
            </w:pPr>
          </w:p>
          <w:p w:rsidR="00545F5C" w:rsidRPr="005F3BE8" w:rsidRDefault="00545F5C" w:rsidP="003A4590">
            <w:pPr>
              <w:rPr>
                <w:sz w:val="18"/>
                <w:szCs w:val="18"/>
              </w:rPr>
            </w:pPr>
            <w:r w:rsidRPr="005F3BE8">
              <w:rPr>
                <w:sz w:val="18"/>
                <w:szCs w:val="18"/>
              </w:rPr>
              <w:t>May be selection</w:t>
            </w:r>
            <w:r w:rsidR="003A4590" w:rsidRPr="005F3BE8">
              <w:rPr>
                <w:sz w:val="18"/>
                <w:szCs w:val="18"/>
              </w:rPr>
              <w:t xml:space="preserve"> bias</w:t>
            </w:r>
            <w:r w:rsidRPr="005F3BE8">
              <w:rPr>
                <w:sz w:val="18"/>
                <w:szCs w:val="18"/>
              </w:rPr>
              <w:t xml:space="preserve">. </w:t>
            </w:r>
          </w:p>
        </w:tc>
      </w:tr>
      <w:tr w:rsidR="00545F5C" w:rsidTr="00E21B29">
        <w:tc>
          <w:tcPr>
            <w:tcW w:w="1196" w:type="dxa"/>
            <w:vMerge w:val="restart"/>
            <w:vAlign w:val="center"/>
          </w:tcPr>
          <w:p w:rsidR="00545F5C" w:rsidRDefault="00545F5C" w:rsidP="00753AC3">
            <w:r>
              <w:t>Maizlish et al. 1995</w:t>
            </w:r>
          </w:p>
        </w:tc>
        <w:tc>
          <w:tcPr>
            <w:tcW w:w="1093" w:type="dxa"/>
            <w:vMerge w:val="restart"/>
            <w:vAlign w:val="center"/>
          </w:tcPr>
          <w:p w:rsidR="00545F5C" w:rsidRDefault="00545F5C" w:rsidP="00753AC3">
            <w:r>
              <w:t>Exposed vs. non-exposed</w:t>
            </w:r>
          </w:p>
          <w:p w:rsidR="00545F5C" w:rsidRDefault="00545F5C" w:rsidP="00753AC3"/>
          <w:p w:rsidR="00545F5C" w:rsidRPr="00AF5B5B" w:rsidRDefault="00545F5C" w:rsidP="00753AC3">
            <w:pPr>
              <w:rPr>
                <w:i/>
                <w:sz w:val="18"/>
                <w:szCs w:val="18"/>
              </w:rPr>
            </w:pPr>
            <w:r w:rsidRPr="00AF5B5B">
              <w:rPr>
                <w:i/>
                <w:sz w:val="18"/>
                <w:szCs w:val="18"/>
              </w:rPr>
              <w:t xml:space="preserve">(27 </w:t>
            </w:r>
            <w:r w:rsidRPr="00AF5B5B">
              <w:rPr>
                <w:sz w:val="18"/>
                <w:szCs w:val="18"/>
              </w:rPr>
              <w:t>µg/dL</w:t>
            </w:r>
            <w:r w:rsidR="00B821D8">
              <w:rPr>
                <w:sz w:val="18"/>
                <w:szCs w:val="18"/>
              </w:rPr>
              <w:t xml:space="preserve"> difference</w:t>
            </w:r>
            <w:r w:rsidRPr="00AF5B5B">
              <w:rPr>
                <w:sz w:val="18"/>
                <w:szCs w:val="18"/>
              </w:rPr>
              <w:t>)</w:t>
            </w:r>
          </w:p>
        </w:tc>
        <w:tc>
          <w:tcPr>
            <w:tcW w:w="1216" w:type="dxa"/>
            <w:vMerge w:val="restart"/>
            <w:vAlign w:val="center"/>
          </w:tcPr>
          <w:p w:rsidR="00545F5C" w:rsidRDefault="00545F5C" w:rsidP="00753AC3">
            <w:r>
              <w:t>15</w:t>
            </w:r>
          </w:p>
        </w:tc>
        <w:tc>
          <w:tcPr>
            <w:tcW w:w="1178" w:type="dxa"/>
            <w:vMerge w:val="restart"/>
            <w:vAlign w:val="center"/>
          </w:tcPr>
          <w:p w:rsidR="00545F5C" w:rsidRDefault="00545F5C" w:rsidP="00753AC3">
            <w:r>
              <w:t>42</w:t>
            </w:r>
          </w:p>
        </w:tc>
        <w:tc>
          <w:tcPr>
            <w:tcW w:w="1537" w:type="dxa"/>
          </w:tcPr>
          <w:p w:rsidR="00545F5C" w:rsidRDefault="00545F5C" w:rsidP="00753AC3">
            <w:r>
              <w:t>Difficulty concentrating</w:t>
            </w:r>
          </w:p>
        </w:tc>
        <w:tc>
          <w:tcPr>
            <w:tcW w:w="1516" w:type="dxa"/>
          </w:tcPr>
          <w:p w:rsidR="00545F5C" w:rsidRDefault="00545F5C" w:rsidP="00753AC3">
            <w:r>
              <w:t>1.8</w:t>
            </w:r>
          </w:p>
          <w:p w:rsidR="00545F5C" w:rsidRDefault="00545F5C" w:rsidP="00753AC3">
            <w:r>
              <w:t>(1.0, 3.1)</w:t>
            </w:r>
          </w:p>
        </w:tc>
        <w:tc>
          <w:tcPr>
            <w:tcW w:w="2095" w:type="dxa"/>
            <w:vMerge w:val="restart"/>
            <w:vAlign w:val="center"/>
          </w:tcPr>
          <w:p w:rsidR="00545F5C" w:rsidRPr="005F3BE8" w:rsidRDefault="00AB7AE2" w:rsidP="00753AC3">
            <w:pPr>
              <w:rPr>
                <w:sz w:val="18"/>
                <w:szCs w:val="18"/>
              </w:rPr>
            </w:pPr>
            <w:r w:rsidRPr="005F3BE8">
              <w:rPr>
                <w:rStyle w:val="st1"/>
                <w:rFonts w:cs="Arial"/>
                <w:color w:val="444444"/>
                <w:sz w:val="18"/>
                <w:szCs w:val="18"/>
              </w:rPr>
              <w:t>manganese</w:t>
            </w:r>
            <w:r w:rsidRPr="005F3BE8">
              <w:rPr>
                <w:sz w:val="18"/>
                <w:szCs w:val="18"/>
              </w:rPr>
              <w:t xml:space="preserve"> exposure</w:t>
            </w:r>
            <w:r w:rsidR="00545F5C" w:rsidRPr="005F3BE8">
              <w:rPr>
                <w:sz w:val="18"/>
                <w:szCs w:val="18"/>
              </w:rPr>
              <w:t xml:space="preserve"> not considered. </w:t>
            </w:r>
          </w:p>
          <w:p w:rsidR="005F3BE8" w:rsidRPr="005F3BE8" w:rsidRDefault="005F3BE8" w:rsidP="005F3BE8">
            <w:pPr>
              <w:rPr>
                <w:sz w:val="18"/>
                <w:szCs w:val="18"/>
              </w:rPr>
            </w:pPr>
            <w:r w:rsidRPr="005F3BE8">
              <w:rPr>
                <w:sz w:val="18"/>
                <w:szCs w:val="18"/>
              </w:rPr>
              <w:t xml:space="preserve">Competitive confounding </w:t>
            </w:r>
            <w:r>
              <w:rPr>
                <w:sz w:val="18"/>
                <w:szCs w:val="18"/>
              </w:rPr>
              <w:t xml:space="preserve">by some covariates. </w:t>
            </w:r>
            <w:r w:rsidRPr="005F3BE8">
              <w:rPr>
                <w:sz w:val="18"/>
                <w:szCs w:val="18"/>
              </w:rPr>
              <w:t xml:space="preserve"> </w:t>
            </w:r>
          </w:p>
        </w:tc>
      </w:tr>
      <w:tr w:rsidR="00545F5C" w:rsidTr="00E21B29">
        <w:tc>
          <w:tcPr>
            <w:tcW w:w="1196" w:type="dxa"/>
            <w:vMerge/>
          </w:tcPr>
          <w:p w:rsidR="00545F5C" w:rsidRDefault="00545F5C" w:rsidP="00753AC3"/>
        </w:tc>
        <w:tc>
          <w:tcPr>
            <w:tcW w:w="1093" w:type="dxa"/>
            <w:vMerge/>
          </w:tcPr>
          <w:p w:rsidR="00545F5C" w:rsidRDefault="00545F5C" w:rsidP="00753AC3"/>
        </w:tc>
        <w:tc>
          <w:tcPr>
            <w:tcW w:w="1216" w:type="dxa"/>
            <w:vMerge/>
          </w:tcPr>
          <w:p w:rsidR="00545F5C" w:rsidRDefault="00545F5C" w:rsidP="00753AC3"/>
        </w:tc>
        <w:tc>
          <w:tcPr>
            <w:tcW w:w="1178" w:type="dxa"/>
            <w:vMerge/>
          </w:tcPr>
          <w:p w:rsidR="00545F5C" w:rsidRDefault="00545F5C" w:rsidP="00753AC3"/>
        </w:tc>
        <w:tc>
          <w:tcPr>
            <w:tcW w:w="1537" w:type="dxa"/>
          </w:tcPr>
          <w:p w:rsidR="00545F5C" w:rsidRDefault="00545F5C" w:rsidP="00753AC3">
            <w:r>
              <w:t>Angry or upset without reason</w:t>
            </w:r>
          </w:p>
        </w:tc>
        <w:tc>
          <w:tcPr>
            <w:tcW w:w="1516" w:type="dxa"/>
          </w:tcPr>
          <w:p w:rsidR="00545F5C" w:rsidRDefault="00545F5C" w:rsidP="00753AC3">
            <w:r>
              <w:t>2.2</w:t>
            </w:r>
          </w:p>
          <w:p w:rsidR="00545F5C" w:rsidRDefault="00545F5C" w:rsidP="00753AC3">
            <w:r>
              <w:t>(1.2, 4.1)</w:t>
            </w:r>
          </w:p>
        </w:tc>
        <w:tc>
          <w:tcPr>
            <w:tcW w:w="2095" w:type="dxa"/>
            <w:vMerge/>
          </w:tcPr>
          <w:p w:rsidR="00545F5C" w:rsidRPr="005F3BE8" w:rsidRDefault="00545F5C" w:rsidP="00753AC3">
            <w:pPr>
              <w:rPr>
                <w:sz w:val="18"/>
                <w:szCs w:val="18"/>
              </w:rPr>
            </w:pPr>
          </w:p>
        </w:tc>
      </w:tr>
      <w:tr w:rsidR="00545F5C" w:rsidTr="00E21B29">
        <w:trPr>
          <w:trHeight w:val="660"/>
        </w:trPr>
        <w:tc>
          <w:tcPr>
            <w:tcW w:w="1196" w:type="dxa"/>
            <w:vMerge w:val="restart"/>
            <w:vAlign w:val="center"/>
          </w:tcPr>
          <w:p w:rsidR="00545F5C" w:rsidRDefault="00545F5C" w:rsidP="00753AC3">
            <w:r>
              <w:t>Parkinson et al. 1986</w:t>
            </w:r>
          </w:p>
        </w:tc>
        <w:tc>
          <w:tcPr>
            <w:tcW w:w="1093" w:type="dxa"/>
            <w:vMerge w:val="restart"/>
            <w:vAlign w:val="center"/>
          </w:tcPr>
          <w:p w:rsidR="00545F5C" w:rsidRDefault="00545F5C" w:rsidP="00753AC3">
            <w:r>
              <w:t>Exposed vs. non-exposed</w:t>
            </w:r>
          </w:p>
          <w:p w:rsidR="00545F5C" w:rsidRDefault="00545F5C" w:rsidP="00753AC3"/>
          <w:p w:rsidR="00545F5C" w:rsidRDefault="00545F5C" w:rsidP="00753AC3">
            <w:r>
              <w:rPr>
                <w:i/>
                <w:sz w:val="18"/>
                <w:szCs w:val="18"/>
              </w:rPr>
              <w:t>(25</w:t>
            </w:r>
            <w:r w:rsidRPr="00AF5B5B">
              <w:rPr>
                <w:i/>
                <w:sz w:val="18"/>
                <w:szCs w:val="18"/>
              </w:rPr>
              <w:t xml:space="preserve"> </w:t>
            </w:r>
            <w:r w:rsidRPr="00AF5B5B">
              <w:rPr>
                <w:sz w:val="18"/>
                <w:szCs w:val="18"/>
              </w:rPr>
              <w:t>µg/dL</w:t>
            </w:r>
            <w:r w:rsidR="00B821D8">
              <w:rPr>
                <w:sz w:val="18"/>
                <w:szCs w:val="18"/>
              </w:rPr>
              <w:t xml:space="preserve"> difference</w:t>
            </w:r>
            <w:r w:rsidRPr="00AF5B5B">
              <w:rPr>
                <w:sz w:val="18"/>
                <w:szCs w:val="18"/>
              </w:rPr>
              <w:t>)</w:t>
            </w:r>
          </w:p>
        </w:tc>
        <w:tc>
          <w:tcPr>
            <w:tcW w:w="1216" w:type="dxa"/>
            <w:vMerge w:val="restart"/>
            <w:vAlign w:val="center"/>
          </w:tcPr>
          <w:p w:rsidR="00545F5C" w:rsidRDefault="00545F5C" w:rsidP="00753AC3">
            <w:r>
              <w:t>&lt;35</w:t>
            </w:r>
          </w:p>
          <w:p w:rsidR="00545F5C" w:rsidRPr="00AF5B5B" w:rsidRDefault="00545F5C" w:rsidP="00753AC3">
            <w:pPr>
              <w:rPr>
                <w:sz w:val="24"/>
                <w:szCs w:val="24"/>
                <w:vertAlign w:val="superscript"/>
              </w:rPr>
            </w:pPr>
            <w:r>
              <w:rPr>
                <w:sz w:val="20"/>
                <w:szCs w:val="20"/>
              </w:rPr>
              <w:t>(mean ~ 15?</w:t>
            </w:r>
            <w:r w:rsidRPr="00AF5B5B">
              <w:rPr>
                <w:sz w:val="20"/>
                <w:szCs w:val="20"/>
              </w:rPr>
              <w:t>)</w:t>
            </w:r>
            <w:r>
              <w:rPr>
                <w:sz w:val="20"/>
                <w:szCs w:val="20"/>
              </w:rPr>
              <w:t xml:space="preserve"> </w:t>
            </w:r>
            <w:r>
              <w:rPr>
                <w:sz w:val="24"/>
                <w:szCs w:val="24"/>
                <w:vertAlign w:val="superscript"/>
              </w:rPr>
              <w:t>b</w:t>
            </w:r>
          </w:p>
        </w:tc>
        <w:tc>
          <w:tcPr>
            <w:tcW w:w="1178" w:type="dxa"/>
            <w:vMerge w:val="restart"/>
            <w:vAlign w:val="center"/>
          </w:tcPr>
          <w:p w:rsidR="00545F5C" w:rsidRDefault="00545F5C" w:rsidP="00753AC3">
            <w:r>
              <w:t>40</w:t>
            </w:r>
          </w:p>
        </w:tc>
        <w:tc>
          <w:tcPr>
            <w:tcW w:w="1537" w:type="dxa"/>
            <w:vAlign w:val="center"/>
          </w:tcPr>
          <w:p w:rsidR="00545F5C" w:rsidRDefault="00545F5C" w:rsidP="00753AC3">
            <w:r>
              <w:t>Anger at work</w:t>
            </w:r>
          </w:p>
        </w:tc>
        <w:tc>
          <w:tcPr>
            <w:tcW w:w="1516" w:type="dxa"/>
            <w:vAlign w:val="center"/>
          </w:tcPr>
          <w:p w:rsidR="00545F5C" w:rsidRDefault="00545F5C" w:rsidP="00753AC3">
            <w:r>
              <w:t>1.4</w:t>
            </w:r>
          </w:p>
          <w:p w:rsidR="00545F5C" w:rsidRDefault="00545F5C" w:rsidP="00753AC3">
            <w:r>
              <w:t>(1.1, 1.8)</w:t>
            </w:r>
          </w:p>
        </w:tc>
        <w:tc>
          <w:tcPr>
            <w:tcW w:w="2095" w:type="dxa"/>
            <w:vMerge w:val="restart"/>
            <w:vAlign w:val="center"/>
          </w:tcPr>
          <w:p w:rsidR="00545F5C" w:rsidRPr="005F3BE8" w:rsidRDefault="005F3BE8" w:rsidP="005F3BE8">
            <w:pPr>
              <w:rPr>
                <w:sz w:val="18"/>
                <w:szCs w:val="18"/>
              </w:rPr>
            </w:pPr>
            <w:r w:rsidRPr="005F3BE8">
              <w:rPr>
                <w:sz w:val="18"/>
                <w:szCs w:val="18"/>
              </w:rPr>
              <w:t>Authors concluded cumulative &amp; current exposure were unrelated to neuropsychologic performance. (18 tests conducted).</w:t>
            </w:r>
          </w:p>
        </w:tc>
      </w:tr>
      <w:tr w:rsidR="00545F5C" w:rsidTr="00E21B29">
        <w:trPr>
          <w:trHeight w:val="564"/>
        </w:trPr>
        <w:tc>
          <w:tcPr>
            <w:tcW w:w="1196" w:type="dxa"/>
            <w:vMerge/>
            <w:vAlign w:val="center"/>
          </w:tcPr>
          <w:p w:rsidR="00545F5C" w:rsidRDefault="00545F5C" w:rsidP="00753AC3"/>
        </w:tc>
        <w:tc>
          <w:tcPr>
            <w:tcW w:w="1093" w:type="dxa"/>
            <w:vMerge/>
            <w:vAlign w:val="center"/>
          </w:tcPr>
          <w:p w:rsidR="00545F5C" w:rsidRDefault="00545F5C" w:rsidP="00753AC3"/>
        </w:tc>
        <w:tc>
          <w:tcPr>
            <w:tcW w:w="1216" w:type="dxa"/>
            <w:vMerge/>
            <w:vAlign w:val="center"/>
          </w:tcPr>
          <w:p w:rsidR="00545F5C" w:rsidRDefault="00545F5C" w:rsidP="00753AC3"/>
        </w:tc>
        <w:tc>
          <w:tcPr>
            <w:tcW w:w="1178" w:type="dxa"/>
            <w:vMerge/>
            <w:vAlign w:val="center"/>
          </w:tcPr>
          <w:p w:rsidR="00545F5C" w:rsidRDefault="00545F5C" w:rsidP="00753AC3"/>
        </w:tc>
        <w:tc>
          <w:tcPr>
            <w:tcW w:w="1537" w:type="dxa"/>
            <w:vAlign w:val="center"/>
          </w:tcPr>
          <w:p w:rsidR="00545F5C" w:rsidRDefault="00545F5C" w:rsidP="00753AC3">
            <w:r>
              <w:t>Grooved pegboard</w:t>
            </w:r>
          </w:p>
        </w:tc>
        <w:tc>
          <w:tcPr>
            <w:tcW w:w="1516" w:type="dxa"/>
            <w:vAlign w:val="center"/>
          </w:tcPr>
          <w:p w:rsidR="00545F5C" w:rsidRDefault="00545F5C" w:rsidP="00753AC3">
            <w:r>
              <w:t>1.3</w:t>
            </w:r>
          </w:p>
          <w:p w:rsidR="00545F5C" w:rsidRDefault="00545F5C" w:rsidP="00753AC3">
            <w:r>
              <w:t>(1.0, 1.7)</w:t>
            </w:r>
          </w:p>
        </w:tc>
        <w:tc>
          <w:tcPr>
            <w:tcW w:w="2095" w:type="dxa"/>
            <w:vMerge/>
            <w:vAlign w:val="center"/>
          </w:tcPr>
          <w:p w:rsidR="00545F5C" w:rsidRDefault="00545F5C" w:rsidP="00753AC3"/>
        </w:tc>
      </w:tr>
      <w:tr w:rsidR="00545F5C" w:rsidTr="00E21B29">
        <w:tc>
          <w:tcPr>
            <w:tcW w:w="9831" w:type="dxa"/>
            <w:gridSpan w:val="7"/>
            <w:shd w:val="clear" w:color="auto" w:fill="D6E3BC" w:themeFill="accent3" w:themeFillTint="66"/>
            <w:vAlign w:val="center"/>
          </w:tcPr>
          <w:p w:rsidR="002F39D7" w:rsidRDefault="002F39D7" w:rsidP="00753AC3">
            <w:pPr>
              <w:rPr>
                <w:b/>
              </w:rPr>
            </w:pPr>
          </w:p>
          <w:p w:rsidR="00545F5C" w:rsidRDefault="00545F5C" w:rsidP="00753AC3">
            <w:pPr>
              <w:rPr>
                <w:b/>
              </w:rPr>
            </w:pPr>
            <w:r>
              <w:rPr>
                <w:b/>
              </w:rPr>
              <w:t>Non-occupational</w:t>
            </w:r>
          </w:p>
          <w:p w:rsidR="002F39D7" w:rsidRPr="00AF5B5B" w:rsidRDefault="002F39D7" w:rsidP="00753AC3">
            <w:pPr>
              <w:rPr>
                <w:b/>
              </w:rPr>
            </w:pPr>
          </w:p>
        </w:tc>
      </w:tr>
      <w:tr w:rsidR="00545F5C" w:rsidTr="00E21B29">
        <w:tc>
          <w:tcPr>
            <w:tcW w:w="1196" w:type="dxa"/>
            <w:vAlign w:val="center"/>
          </w:tcPr>
          <w:p w:rsidR="00545F5C" w:rsidRDefault="00545F5C" w:rsidP="00753AC3">
            <w:r>
              <w:t>Wright et al. 2003</w:t>
            </w:r>
          </w:p>
        </w:tc>
        <w:tc>
          <w:tcPr>
            <w:tcW w:w="1093" w:type="dxa"/>
            <w:vAlign w:val="center"/>
          </w:tcPr>
          <w:p w:rsidR="00545F5C" w:rsidRDefault="00545F5C" w:rsidP="00753AC3">
            <w:r>
              <w:t xml:space="preserve">1 </w:t>
            </w:r>
            <w:r w:rsidRPr="00BB269E">
              <w:t>µg/dL</w:t>
            </w:r>
            <w:r w:rsidR="00B821D8">
              <w:t xml:space="preserve"> increment</w:t>
            </w:r>
          </w:p>
        </w:tc>
        <w:tc>
          <w:tcPr>
            <w:tcW w:w="1216" w:type="dxa"/>
            <w:vAlign w:val="center"/>
          </w:tcPr>
          <w:p w:rsidR="00545F5C" w:rsidRDefault="00545F5C" w:rsidP="00753AC3">
            <w:r>
              <w:t>2.5</w:t>
            </w:r>
          </w:p>
        </w:tc>
        <w:tc>
          <w:tcPr>
            <w:tcW w:w="1178" w:type="dxa"/>
            <w:vAlign w:val="center"/>
          </w:tcPr>
          <w:p w:rsidR="00545F5C" w:rsidRDefault="00545F5C" w:rsidP="00753AC3">
            <w:r>
              <w:t>8.9</w:t>
            </w:r>
          </w:p>
        </w:tc>
        <w:tc>
          <w:tcPr>
            <w:tcW w:w="1537" w:type="dxa"/>
            <w:vAlign w:val="center"/>
          </w:tcPr>
          <w:p w:rsidR="00545F5C" w:rsidRPr="00721DE8" w:rsidRDefault="00545F5C" w:rsidP="00753AC3">
            <w:pPr>
              <w:rPr>
                <w:sz w:val="24"/>
                <w:szCs w:val="24"/>
                <w:vertAlign w:val="superscript"/>
              </w:rPr>
            </w:pPr>
            <w:r>
              <w:t xml:space="preserve">MMSE score &lt;24 </w:t>
            </w:r>
            <w:r>
              <w:rPr>
                <w:sz w:val="24"/>
                <w:szCs w:val="24"/>
                <w:vertAlign w:val="superscript"/>
              </w:rPr>
              <w:t>c</w:t>
            </w:r>
          </w:p>
        </w:tc>
        <w:tc>
          <w:tcPr>
            <w:tcW w:w="1516" w:type="dxa"/>
            <w:vAlign w:val="center"/>
          </w:tcPr>
          <w:p w:rsidR="00545F5C" w:rsidRDefault="00545F5C" w:rsidP="00753AC3">
            <w:r>
              <w:t>3.4</w:t>
            </w:r>
          </w:p>
          <w:p w:rsidR="00545F5C" w:rsidRDefault="00545F5C" w:rsidP="00753AC3">
            <w:r>
              <w:t>(1.6, 7.2)</w:t>
            </w:r>
          </w:p>
        </w:tc>
        <w:tc>
          <w:tcPr>
            <w:tcW w:w="2095" w:type="dxa"/>
            <w:vAlign w:val="center"/>
          </w:tcPr>
          <w:p w:rsidR="00545F5C" w:rsidRPr="005F3BE8" w:rsidRDefault="00545F5C" w:rsidP="00753AC3">
            <w:pPr>
              <w:rPr>
                <w:sz w:val="18"/>
                <w:szCs w:val="18"/>
              </w:rPr>
            </w:pPr>
            <w:r w:rsidRPr="005F3BE8">
              <w:rPr>
                <w:sz w:val="18"/>
                <w:szCs w:val="18"/>
              </w:rPr>
              <w:t>Well-conducted study, but a similar study found no significant change in MMSE score per 2 µg/dL change in PbB (Weisskopf et al. 2004).</w:t>
            </w:r>
          </w:p>
        </w:tc>
      </w:tr>
      <w:tr w:rsidR="00545F5C" w:rsidTr="00E21B29">
        <w:tc>
          <w:tcPr>
            <w:tcW w:w="1196" w:type="dxa"/>
            <w:vAlign w:val="center"/>
          </w:tcPr>
          <w:p w:rsidR="00545F5C" w:rsidRDefault="00545F5C" w:rsidP="00753AC3">
            <w:r>
              <w:t>Rhodes et al. 2003</w:t>
            </w:r>
          </w:p>
        </w:tc>
        <w:tc>
          <w:tcPr>
            <w:tcW w:w="1093" w:type="dxa"/>
            <w:vAlign w:val="center"/>
          </w:tcPr>
          <w:p w:rsidR="00545F5C" w:rsidRDefault="00545F5C" w:rsidP="00753AC3">
            <w:r>
              <w:t xml:space="preserve">8.9 </w:t>
            </w:r>
            <w:r w:rsidRPr="00BB269E">
              <w:t>µg/dL</w:t>
            </w:r>
          </w:p>
        </w:tc>
        <w:tc>
          <w:tcPr>
            <w:tcW w:w="2394" w:type="dxa"/>
            <w:gridSpan w:val="2"/>
            <w:vAlign w:val="center"/>
          </w:tcPr>
          <w:p w:rsidR="00545F5C" w:rsidRDefault="00545F5C" w:rsidP="00753AC3">
            <w:r>
              <w:t xml:space="preserve">Mean = 6.3 </w:t>
            </w:r>
          </w:p>
          <w:p w:rsidR="00545F5C" w:rsidRDefault="00545F5C" w:rsidP="00753AC3"/>
          <w:p w:rsidR="00545F5C" w:rsidRDefault="00545F5C" w:rsidP="00753AC3">
            <w:r>
              <w:t xml:space="preserve">(Midpoint of lowest to highest quintile was </w:t>
            </w:r>
            <w:r>
              <w:lastRenderedPageBreak/>
              <w:t xml:space="preserve">compared. The gap was 8.9 </w:t>
            </w:r>
            <w:r w:rsidRPr="00BB269E">
              <w:t>µg/dL</w:t>
            </w:r>
            <w:r>
              <w:t>. PbB at quintiles not provided in paper.)</w:t>
            </w:r>
          </w:p>
        </w:tc>
        <w:tc>
          <w:tcPr>
            <w:tcW w:w="1537" w:type="dxa"/>
            <w:vAlign w:val="center"/>
          </w:tcPr>
          <w:p w:rsidR="00545F5C" w:rsidRDefault="00545F5C" w:rsidP="00753AC3">
            <w:r>
              <w:lastRenderedPageBreak/>
              <w:t xml:space="preserve">Anxiety, depression and phobic anxiety. </w:t>
            </w:r>
          </w:p>
        </w:tc>
        <w:tc>
          <w:tcPr>
            <w:tcW w:w="1516" w:type="dxa"/>
            <w:vAlign w:val="center"/>
          </w:tcPr>
          <w:p w:rsidR="00545F5C" w:rsidRDefault="00545F5C" w:rsidP="00753AC3">
            <w:r>
              <w:t>2.91</w:t>
            </w:r>
          </w:p>
          <w:p w:rsidR="00545F5C" w:rsidRDefault="00545F5C" w:rsidP="00753AC3">
            <w:r>
              <w:t>(1.39, 6.09)</w:t>
            </w:r>
          </w:p>
        </w:tc>
        <w:tc>
          <w:tcPr>
            <w:tcW w:w="2095" w:type="dxa"/>
            <w:vAlign w:val="center"/>
          </w:tcPr>
          <w:p w:rsidR="00545F5C" w:rsidRPr="005F3BE8" w:rsidRDefault="00545F5C" w:rsidP="00753AC3">
            <w:pPr>
              <w:rPr>
                <w:sz w:val="18"/>
                <w:szCs w:val="18"/>
              </w:rPr>
            </w:pPr>
            <w:r w:rsidRPr="005F3BE8">
              <w:rPr>
                <w:sz w:val="18"/>
                <w:szCs w:val="18"/>
              </w:rPr>
              <w:t xml:space="preserve">Quintile PbB not provided in paper. </w:t>
            </w:r>
          </w:p>
        </w:tc>
      </w:tr>
      <w:tr w:rsidR="00545F5C" w:rsidTr="00E21B29">
        <w:tc>
          <w:tcPr>
            <w:tcW w:w="1196" w:type="dxa"/>
            <w:vAlign w:val="center"/>
          </w:tcPr>
          <w:p w:rsidR="00545F5C" w:rsidRDefault="00545F5C" w:rsidP="00753AC3">
            <w:r>
              <w:lastRenderedPageBreak/>
              <w:t>Choi et al. 2012</w:t>
            </w:r>
          </w:p>
        </w:tc>
        <w:tc>
          <w:tcPr>
            <w:tcW w:w="1093" w:type="dxa"/>
            <w:vAlign w:val="center"/>
          </w:tcPr>
          <w:p w:rsidR="00545F5C" w:rsidRPr="00633C78" w:rsidRDefault="00545F5C" w:rsidP="00753AC3">
            <w:r>
              <w:t>Per doubling PbB</w:t>
            </w:r>
          </w:p>
        </w:tc>
        <w:tc>
          <w:tcPr>
            <w:tcW w:w="1216" w:type="dxa"/>
            <w:vAlign w:val="center"/>
          </w:tcPr>
          <w:p w:rsidR="00545F5C" w:rsidRDefault="00545F5C" w:rsidP="00753AC3">
            <w:r>
              <w:t>0.2-0.8</w:t>
            </w:r>
          </w:p>
        </w:tc>
        <w:tc>
          <w:tcPr>
            <w:tcW w:w="1178" w:type="dxa"/>
            <w:vAlign w:val="center"/>
          </w:tcPr>
          <w:p w:rsidR="00545F5C" w:rsidRDefault="00545F5C" w:rsidP="00753AC3">
            <w:r>
              <w:t>2.8-54</w:t>
            </w:r>
          </w:p>
        </w:tc>
        <w:tc>
          <w:tcPr>
            <w:tcW w:w="1537" w:type="dxa"/>
            <w:vAlign w:val="center"/>
          </w:tcPr>
          <w:p w:rsidR="00545F5C" w:rsidRDefault="00545F5C" w:rsidP="00753AC3">
            <w:r>
              <w:t>Hearing loss (pure-tone average, PTA &gt;25 dB)</w:t>
            </w:r>
          </w:p>
        </w:tc>
        <w:tc>
          <w:tcPr>
            <w:tcW w:w="1516" w:type="dxa"/>
            <w:vAlign w:val="center"/>
          </w:tcPr>
          <w:p w:rsidR="00545F5C" w:rsidRDefault="00545F5C" w:rsidP="00753AC3">
            <w:r>
              <w:t>5.4% increase in PTA</w:t>
            </w:r>
          </w:p>
          <w:p w:rsidR="00545F5C" w:rsidRDefault="00545F5C" w:rsidP="00753AC3"/>
          <w:p w:rsidR="00545F5C" w:rsidRDefault="00545F5C" w:rsidP="00753AC3">
            <w:r>
              <w:t>(2.1%, 8.8%)</w:t>
            </w:r>
          </w:p>
        </w:tc>
        <w:tc>
          <w:tcPr>
            <w:tcW w:w="2095" w:type="dxa"/>
            <w:vAlign w:val="center"/>
          </w:tcPr>
          <w:p w:rsidR="00545F5C" w:rsidRPr="005F3BE8" w:rsidRDefault="00545F5C" w:rsidP="00753AC3">
            <w:pPr>
              <w:rPr>
                <w:sz w:val="18"/>
                <w:szCs w:val="18"/>
              </w:rPr>
            </w:pPr>
            <w:r w:rsidRPr="005F3BE8">
              <w:rPr>
                <w:sz w:val="18"/>
                <w:szCs w:val="18"/>
              </w:rPr>
              <w:t xml:space="preserve">Highest quintile has large PbB range; association may be driven by a few individuals in this quintile. </w:t>
            </w:r>
          </w:p>
        </w:tc>
      </w:tr>
      <w:tr w:rsidR="00545F5C" w:rsidTr="00E21B29">
        <w:trPr>
          <w:trHeight w:val="852"/>
        </w:trPr>
        <w:tc>
          <w:tcPr>
            <w:tcW w:w="1196" w:type="dxa"/>
            <w:vMerge w:val="restart"/>
            <w:vAlign w:val="center"/>
          </w:tcPr>
          <w:p w:rsidR="00545F5C" w:rsidRDefault="00545F5C" w:rsidP="00753AC3">
            <w:r>
              <w:t>Bouchard et al. 2009</w:t>
            </w:r>
          </w:p>
        </w:tc>
        <w:tc>
          <w:tcPr>
            <w:tcW w:w="1093" w:type="dxa"/>
            <w:vMerge w:val="restart"/>
            <w:vAlign w:val="center"/>
          </w:tcPr>
          <w:p w:rsidR="00545F5C" w:rsidRDefault="00545F5C" w:rsidP="00753AC3">
            <w:r>
              <w:t>Highest vs. lowest quintile PbB</w:t>
            </w:r>
          </w:p>
          <w:p w:rsidR="00545F5C" w:rsidRDefault="00545F5C" w:rsidP="00753AC3"/>
          <w:p w:rsidR="00545F5C" w:rsidRDefault="00545F5C" w:rsidP="00753AC3">
            <w:r>
              <w:rPr>
                <w:i/>
                <w:sz w:val="18"/>
                <w:szCs w:val="18"/>
              </w:rPr>
              <w:t>(1.4</w:t>
            </w:r>
            <w:r w:rsidRPr="00AF5B5B">
              <w:rPr>
                <w:i/>
                <w:sz w:val="18"/>
                <w:szCs w:val="18"/>
              </w:rPr>
              <w:t xml:space="preserve"> </w:t>
            </w:r>
            <w:r w:rsidRPr="00AF5B5B">
              <w:rPr>
                <w:sz w:val="18"/>
                <w:szCs w:val="18"/>
              </w:rPr>
              <w:t>µg/dL)</w:t>
            </w:r>
          </w:p>
        </w:tc>
        <w:tc>
          <w:tcPr>
            <w:tcW w:w="1216" w:type="dxa"/>
            <w:vMerge w:val="restart"/>
            <w:vAlign w:val="center"/>
          </w:tcPr>
          <w:p w:rsidR="00545F5C" w:rsidRPr="00633C78" w:rsidRDefault="00545F5C" w:rsidP="00753AC3">
            <w:r>
              <w:rPr>
                <w:u w:val="single"/>
              </w:rPr>
              <w:t>&lt;</w:t>
            </w:r>
            <w:r>
              <w:t xml:space="preserve"> 0.7</w:t>
            </w:r>
          </w:p>
        </w:tc>
        <w:tc>
          <w:tcPr>
            <w:tcW w:w="1178" w:type="dxa"/>
            <w:vMerge w:val="restart"/>
            <w:vAlign w:val="center"/>
          </w:tcPr>
          <w:p w:rsidR="00545F5C" w:rsidRPr="00633C78" w:rsidRDefault="00545F5C" w:rsidP="00753AC3">
            <w:r>
              <w:rPr>
                <w:u w:val="single"/>
              </w:rPr>
              <w:t>&gt;</w:t>
            </w:r>
            <w:r>
              <w:t xml:space="preserve"> 2.11</w:t>
            </w:r>
          </w:p>
        </w:tc>
        <w:tc>
          <w:tcPr>
            <w:tcW w:w="1537" w:type="dxa"/>
            <w:vAlign w:val="center"/>
          </w:tcPr>
          <w:p w:rsidR="00545F5C" w:rsidRDefault="00545F5C" w:rsidP="00753AC3">
            <w:r>
              <w:t>Major depressive disorder</w:t>
            </w:r>
          </w:p>
        </w:tc>
        <w:tc>
          <w:tcPr>
            <w:tcW w:w="1516" w:type="dxa"/>
            <w:vAlign w:val="center"/>
          </w:tcPr>
          <w:p w:rsidR="00545F5C" w:rsidRDefault="00545F5C" w:rsidP="00753AC3">
            <w:r>
              <w:t>2.3</w:t>
            </w:r>
          </w:p>
          <w:p w:rsidR="00545F5C" w:rsidRDefault="00545F5C" w:rsidP="00753AC3">
            <w:r>
              <w:t>(1.13, 4.75)</w:t>
            </w:r>
          </w:p>
        </w:tc>
        <w:tc>
          <w:tcPr>
            <w:tcW w:w="2095" w:type="dxa"/>
            <w:vMerge w:val="restart"/>
            <w:vAlign w:val="center"/>
          </w:tcPr>
          <w:p w:rsidR="00545F5C" w:rsidRPr="005F3BE8" w:rsidRDefault="00545F5C" w:rsidP="00753AC3">
            <w:pPr>
              <w:rPr>
                <w:sz w:val="18"/>
                <w:szCs w:val="18"/>
              </w:rPr>
            </w:pPr>
            <w:r w:rsidRPr="005F3BE8">
              <w:rPr>
                <w:sz w:val="18"/>
                <w:szCs w:val="18"/>
              </w:rPr>
              <w:t xml:space="preserve">Based on only a few cases, 95% CI very wide. </w:t>
            </w:r>
          </w:p>
        </w:tc>
      </w:tr>
      <w:tr w:rsidR="00545F5C" w:rsidTr="00E21B29">
        <w:trPr>
          <w:trHeight w:val="864"/>
        </w:trPr>
        <w:tc>
          <w:tcPr>
            <w:tcW w:w="1196" w:type="dxa"/>
            <w:vMerge/>
            <w:vAlign w:val="center"/>
          </w:tcPr>
          <w:p w:rsidR="00545F5C" w:rsidRDefault="00545F5C" w:rsidP="00753AC3"/>
        </w:tc>
        <w:tc>
          <w:tcPr>
            <w:tcW w:w="1093" w:type="dxa"/>
            <w:vMerge/>
            <w:vAlign w:val="center"/>
          </w:tcPr>
          <w:p w:rsidR="00545F5C" w:rsidRDefault="00545F5C" w:rsidP="00753AC3"/>
        </w:tc>
        <w:tc>
          <w:tcPr>
            <w:tcW w:w="1216" w:type="dxa"/>
            <w:vMerge/>
            <w:vAlign w:val="center"/>
          </w:tcPr>
          <w:p w:rsidR="00545F5C" w:rsidRDefault="00545F5C" w:rsidP="00753AC3">
            <w:pPr>
              <w:rPr>
                <w:u w:val="single"/>
              </w:rPr>
            </w:pPr>
          </w:p>
        </w:tc>
        <w:tc>
          <w:tcPr>
            <w:tcW w:w="1178" w:type="dxa"/>
            <w:vMerge/>
            <w:vAlign w:val="center"/>
          </w:tcPr>
          <w:p w:rsidR="00545F5C" w:rsidRDefault="00545F5C" w:rsidP="00753AC3">
            <w:pPr>
              <w:rPr>
                <w:u w:val="single"/>
              </w:rPr>
            </w:pPr>
          </w:p>
        </w:tc>
        <w:tc>
          <w:tcPr>
            <w:tcW w:w="1537" w:type="dxa"/>
            <w:vAlign w:val="center"/>
          </w:tcPr>
          <w:p w:rsidR="00545F5C" w:rsidRDefault="00545F5C" w:rsidP="00753AC3">
            <w:r>
              <w:t>Panic disorder</w:t>
            </w:r>
          </w:p>
        </w:tc>
        <w:tc>
          <w:tcPr>
            <w:tcW w:w="1516" w:type="dxa"/>
            <w:vAlign w:val="center"/>
          </w:tcPr>
          <w:p w:rsidR="00545F5C" w:rsidRDefault="00545F5C" w:rsidP="00753AC3">
            <w:r>
              <w:t>4.9</w:t>
            </w:r>
          </w:p>
          <w:p w:rsidR="00545F5C" w:rsidRDefault="00545F5C" w:rsidP="00753AC3">
            <w:r>
              <w:t>(1.32, 18.48)</w:t>
            </w:r>
          </w:p>
        </w:tc>
        <w:tc>
          <w:tcPr>
            <w:tcW w:w="2095" w:type="dxa"/>
            <w:vMerge/>
            <w:vAlign w:val="center"/>
          </w:tcPr>
          <w:p w:rsidR="00545F5C" w:rsidRDefault="00545F5C" w:rsidP="00753AC3"/>
        </w:tc>
      </w:tr>
      <w:tr w:rsidR="00545F5C" w:rsidTr="00E21B29">
        <w:tc>
          <w:tcPr>
            <w:tcW w:w="1196" w:type="dxa"/>
            <w:vAlign w:val="center"/>
          </w:tcPr>
          <w:p w:rsidR="00545F5C" w:rsidRDefault="00545F5C" w:rsidP="00753AC3">
            <w:r>
              <w:t>Min et al. 2012</w:t>
            </w:r>
          </w:p>
        </w:tc>
        <w:tc>
          <w:tcPr>
            <w:tcW w:w="1093" w:type="dxa"/>
            <w:vAlign w:val="center"/>
          </w:tcPr>
          <w:p w:rsidR="00545F5C" w:rsidRDefault="00545F5C" w:rsidP="00753AC3">
            <w:r>
              <w:t>Highest vs. lowest quintile PbB</w:t>
            </w:r>
          </w:p>
          <w:p w:rsidR="00545F5C" w:rsidRDefault="00545F5C" w:rsidP="00753AC3"/>
          <w:p w:rsidR="00545F5C" w:rsidRDefault="00545F5C" w:rsidP="00753AC3">
            <w:r>
              <w:rPr>
                <w:i/>
                <w:sz w:val="18"/>
                <w:szCs w:val="18"/>
              </w:rPr>
              <w:t>(2-46</w:t>
            </w:r>
            <w:r w:rsidRPr="00AF5B5B">
              <w:rPr>
                <w:i/>
                <w:sz w:val="18"/>
                <w:szCs w:val="18"/>
              </w:rPr>
              <w:t xml:space="preserve"> </w:t>
            </w:r>
            <w:r w:rsidRPr="00AF5B5B">
              <w:rPr>
                <w:sz w:val="18"/>
                <w:szCs w:val="18"/>
              </w:rPr>
              <w:t>µg/dL)</w:t>
            </w:r>
          </w:p>
        </w:tc>
        <w:tc>
          <w:tcPr>
            <w:tcW w:w="1216" w:type="dxa"/>
            <w:vAlign w:val="center"/>
          </w:tcPr>
          <w:p w:rsidR="00545F5C" w:rsidRPr="00633C78" w:rsidRDefault="00545F5C" w:rsidP="00753AC3">
            <w:r>
              <w:t>&lt;1.2</w:t>
            </w:r>
          </w:p>
        </w:tc>
        <w:tc>
          <w:tcPr>
            <w:tcW w:w="1178" w:type="dxa"/>
            <w:vAlign w:val="center"/>
          </w:tcPr>
          <w:p w:rsidR="00545F5C" w:rsidRDefault="00545F5C" w:rsidP="00753AC3">
            <w:r>
              <w:t>3.3-48</w:t>
            </w:r>
          </w:p>
        </w:tc>
        <w:tc>
          <w:tcPr>
            <w:tcW w:w="1537" w:type="dxa"/>
            <w:vAlign w:val="center"/>
          </w:tcPr>
          <w:p w:rsidR="00545F5C" w:rsidRDefault="00545F5C" w:rsidP="00753AC3">
            <w:r>
              <w:t>Balance dysfunction</w:t>
            </w:r>
          </w:p>
        </w:tc>
        <w:tc>
          <w:tcPr>
            <w:tcW w:w="1516" w:type="dxa"/>
            <w:vAlign w:val="center"/>
          </w:tcPr>
          <w:p w:rsidR="00545F5C" w:rsidRDefault="00545F5C" w:rsidP="00753AC3">
            <w:r>
              <w:t>1.42</w:t>
            </w:r>
          </w:p>
          <w:p w:rsidR="00545F5C" w:rsidRDefault="00545F5C" w:rsidP="00753AC3">
            <w:r>
              <w:t>(1.07, 1.89)</w:t>
            </w:r>
          </w:p>
        </w:tc>
        <w:tc>
          <w:tcPr>
            <w:tcW w:w="2095" w:type="dxa"/>
            <w:vAlign w:val="center"/>
          </w:tcPr>
          <w:p w:rsidR="00545F5C" w:rsidRPr="00A65C98" w:rsidRDefault="00545F5C" w:rsidP="00753AC3">
            <w:pPr>
              <w:rPr>
                <w:sz w:val="18"/>
                <w:szCs w:val="18"/>
              </w:rPr>
            </w:pPr>
            <w:r w:rsidRPr="00A65C98">
              <w:rPr>
                <w:sz w:val="18"/>
                <w:szCs w:val="18"/>
              </w:rPr>
              <w:t xml:space="preserve">Highest quintile has large PbB range, therefore unit PbB associated with OR is difficult to determine. </w:t>
            </w:r>
          </w:p>
        </w:tc>
      </w:tr>
      <w:tr w:rsidR="00545F5C" w:rsidTr="00E21B29">
        <w:tc>
          <w:tcPr>
            <w:tcW w:w="1196" w:type="dxa"/>
            <w:vAlign w:val="center"/>
          </w:tcPr>
          <w:p w:rsidR="00545F5C" w:rsidRDefault="00545F5C" w:rsidP="00753AC3">
            <w:r>
              <w:t>Louis et al. 2003</w:t>
            </w:r>
          </w:p>
        </w:tc>
        <w:tc>
          <w:tcPr>
            <w:tcW w:w="1093" w:type="dxa"/>
            <w:vAlign w:val="center"/>
          </w:tcPr>
          <w:p w:rsidR="00545F5C" w:rsidRDefault="00545F5C" w:rsidP="00753AC3">
            <w:r>
              <w:t>Patients vs. controls</w:t>
            </w:r>
          </w:p>
          <w:p w:rsidR="00545F5C" w:rsidRDefault="00545F5C" w:rsidP="00753AC3"/>
          <w:p w:rsidR="00545F5C" w:rsidRDefault="00545F5C" w:rsidP="00753AC3">
            <w:r>
              <w:rPr>
                <w:i/>
                <w:sz w:val="18"/>
                <w:szCs w:val="18"/>
              </w:rPr>
              <w:t>(0.7</w:t>
            </w:r>
            <w:r w:rsidRPr="00AF5B5B">
              <w:rPr>
                <w:i/>
                <w:sz w:val="18"/>
                <w:szCs w:val="18"/>
              </w:rPr>
              <w:t xml:space="preserve"> </w:t>
            </w:r>
            <w:r w:rsidRPr="00AF5B5B">
              <w:rPr>
                <w:sz w:val="18"/>
                <w:szCs w:val="18"/>
              </w:rPr>
              <w:t>µg/dL)</w:t>
            </w:r>
          </w:p>
        </w:tc>
        <w:tc>
          <w:tcPr>
            <w:tcW w:w="1216" w:type="dxa"/>
            <w:vAlign w:val="center"/>
          </w:tcPr>
          <w:p w:rsidR="00545F5C" w:rsidRPr="00907A77" w:rsidRDefault="00545F5C" w:rsidP="00753AC3">
            <w:r>
              <w:t xml:space="preserve">2.6 </w:t>
            </w:r>
            <w:r>
              <w:rPr>
                <w:u w:val="single"/>
              </w:rPr>
              <w:t>+</w:t>
            </w:r>
            <w:r>
              <w:t xml:space="preserve"> 1.6</w:t>
            </w:r>
          </w:p>
        </w:tc>
        <w:tc>
          <w:tcPr>
            <w:tcW w:w="1178" w:type="dxa"/>
            <w:vAlign w:val="center"/>
          </w:tcPr>
          <w:p w:rsidR="00545F5C" w:rsidRPr="00907A77" w:rsidRDefault="00545F5C" w:rsidP="00753AC3">
            <w:r>
              <w:t xml:space="preserve">3.3 </w:t>
            </w:r>
            <w:r>
              <w:rPr>
                <w:u w:val="single"/>
              </w:rPr>
              <w:t>+</w:t>
            </w:r>
            <w:r>
              <w:t xml:space="preserve"> 2.4</w:t>
            </w:r>
          </w:p>
        </w:tc>
        <w:tc>
          <w:tcPr>
            <w:tcW w:w="1537" w:type="dxa"/>
            <w:vAlign w:val="center"/>
          </w:tcPr>
          <w:p w:rsidR="00545F5C" w:rsidRDefault="00545F5C" w:rsidP="00753AC3">
            <w:r>
              <w:t>Essential tremor diagnosis</w:t>
            </w:r>
          </w:p>
        </w:tc>
        <w:tc>
          <w:tcPr>
            <w:tcW w:w="1516" w:type="dxa"/>
            <w:vAlign w:val="center"/>
          </w:tcPr>
          <w:p w:rsidR="00545F5C" w:rsidRDefault="00545F5C" w:rsidP="00753AC3">
            <w:r>
              <w:t>1.19</w:t>
            </w:r>
          </w:p>
          <w:p w:rsidR="00545F5C" w:rsidRDefault="00545F5C" w:rsidP="00753AC3">
            <w:r>
              <w:t>(1.03, 1.37)</w:t>
            </w:r>
          </w:p>
        </w:tc>
        <w:tc>
          <w:tcPr>
            <w:tcW w:w="2095" w:type="dxa"/>
            <w:vAlign w:val="center"/>
          </w:tcPr>
          <w:p w:rsidR="00545F5C" w:rsidRPr="00A65C98" w:rsidRDefault="00545F5C" w:rsidP="00753AC3">
            <w:pPr>
              <w:rPr>
                <w:sz w:val="18"/>
                <w:szCs w:val="18"/>
              </w:rPr>
            </w:pPr>
            <w:r w:rsidRPr="00A65C98">
              <w:rPr>
                <w:sz w:val="18"/>
                <w:szCs w:val="18"/>
              </w:rPr>
              <w:t xml:space="preserve">May be subject to selection and recall bias. </w:t>
            </w:r>
          </w:p>
          <w:p w:rsidR="00545F5C" w:rsidRPr="00A65C98" w:rsidRDefault="00545F5C" w:rsidP="00753AC3">
            <w:pPr>
              <w:rPr>
                <w:sz w:val="18"/>
                <w:szCs w:val="18"/>
              </w:rPr>
            </w:pPr>
          </w:p>
          <w:p w:rsidR="00545F5C" w:rsidRPr="00A65C98" w:rsidRDefault="00545F5C" w:rsidP="00753AC3">
            <w:pPr>
              <w:rPr>
                <w:sz w:val="18"/>
                <w:szCs w:val="18"/>
              </w:rPr>
            </w:pPr>
            <w:r w:rsidRPr="00A65C98">
              <w:rPr>
                <w:sz w:val="18"/>
                <w:szCs w:val="18"/>
              </w:rPr>
              <w:t xml:space="preserve">Large variability in PbB of patients and controls; overlap of PbB between the two groups. </w:t>
            </w:r>
          </w:p>
        </w:tc>
      </w:tr>
    </w:tbl>
    <w:p w:rsidR="00545F5C" w:rsidRDefault="00545F5C" w:rsidP="00545F5C">
      <w:pPr>
        <w:spacing w:line="240" w:lineRule="auto"/>
        <w:rPr>
          <w:sz w:val="18"/>
          <w:szCs w:val="18"/>
        </w:rPr>
      </w:pPr>
      <w:r>
        <w:rPr>
          <w:sz w:val="18"/>
          <w:szCs w:val="18"/>
        </w:rPr>
        <w:t xml:space="preserve">ALS = </w:t>
      </w:r>
      <w:r w:rsidRPr="00BB269E">
        <w:rPr>
          <w:sz w:val="18"/>
          <w:szCs w:val="18"/>
        </w:rPr>
        <w:t>amyotrophic lateral sclerosis</w:t>
      </w:r>
      <w:r w:rsidR="00382897">
        <w:rPr>
          <w:sz w:val="18"/>
          <w:szCs w:val="18"/>
        </w:rPr>
        <w:t xml:space="preserve"> (motor neurone disease)</w:t>
      </w:r>
      <w:r>
        <w:rPr>
          <w:sz w:val="18"/>
          <w:szCs w:val="18"/>
        </w:rPr>
        <w:t xml:space="preserve">; ORs = odds ratios; MMSE = </w:t>
      </w:r>
      <w:r w:rsidRPr="00721DE8">
        <w:rPr>
          <w:sz w:val="18"/>
          <w:szCs w:val="18"/>
        </w:rPr>
        <w:t>Mini-Metal-State Exam</w:t>
      </w:r>
      <w:r>
        <w:rPr>
          <w:sz w:val="18"/>
          <w:szCs w:val="18"/>
        </w:rPr>
        <w:t xml:space="preserve">ination; </w:t>
      </w:r>
    </w:p>
    <w:p w:rsidR="00545F5C" w:rsidRDefault="00545F5C" w:rsidP="00545F5C">
      <w:pPr>
        <w:spacing w:line="240" w:lineRule="auto"/>
        <w:ind w:left="142" w:hanging="142"/>
        <w:rPr>
          <w:sz w:val="18"/>
          <w:szCs w:val="18"/>
        </w:rPr>
      </w:pPr>
      <w:r>
        <w:rPr>
          <w:sz w:val="24"/>
          <w:szCs w:val="24"/>
          <w:vertAlign w:val="superscript"/>
        </w:rPr>
        <w:t>a</w:t>
      </w:r>
      <w:r>
        <w:rPr>
          <w:sz w:val="18"/>
          <w:szCs w:val="18"/>
        </w:rPr>
        <w:t xml:space="preserve"> Where ORs are expressed for a comparison between exposed and non-exposed (i.e. control) groups rather than as a per unit increase in PbB, the difference between the mean PbB of the exposed and non-exposed groups has been provided in this column. </w:t>
      </w:r>
    </w:p>
    <w:p w:rsidR="00545F5C" w:rsidRDefault="00545F5C" w:rsidP="00545F5C">
      <w:pPr>
        <w:spacing w:line="240" w:lineRule="auto"/>
        <w:ind w:left="142" w:hanging="142"/>
        <w:rPr>
          <w:sz w:val="18"/>
          <w:szCs w:val="18"/>
        </w:rPr>
      </w:pPr>
      <w:r>
        <w:rPr>
          <w:sz w:val="24"/>
          <w:szCs w:val="24"/>
          <w:vertAlign w:val="superscript"/>
        </w:rPr>
        <w:t>b</w:t>
      </w:r>
      <w:r>
        <w:rPr>
          <w:sz w:val="18"/>
          <w:szCs w:val="18"/>
        </w:rPr>
        <w:t xml:space="preserve"> The mean PbB in the control group was not provided by Parkinson et al. (1986). However the text indicates PbB in the control group was &lt;35 </w:t>
      </w:r>
      <w:r w:rsidRPr="00AF5B5B">
        <w:rPr>
          <w:sz w:val="18"/>
          <w:szCs w:val="18"/>
        </w:rPr>
        <w:t>µg/dL</w:t>
      </w:r>
      <w:r>
        <w:rPr>
          <w:sz w:val="18"/>
          <w:szCs w:val="18"/>
        </w:rPr>
        <w:t xml:space="preserve">. This suggests the mean PbB may have been around 15 </w:t>
      </w:r>
      <w:r w:rsidRPr="00AF5B5B">
        <w:rPr>
          <w:sz w:val="18"/>
          <w:szCs w:val="18"/>
        </w:rPr>
        <w:t>µg/dL</w:t>
      </w:r>
      <w:r>
        <w:rPr>
          <w:sz w:val="18"/>
          <w:szCs w:val="18"/>
        </w:rPr>
        <w:t xml:space="preserve">. </w:t>
      </w:r>
    </w:p>
    <w:p w:rsidR="00545F5C" w:rsidRPr="00721DE8" w:rsidRDefault="00545F5C" w:rsidP="00545F5C">
      <w:pPr>
        <w:spacing w:line="240" w:lineRule="auto"/>
        <w:ind w:left="142" w:hanging="142"/>
        <w:rPr>
          <w:sz w:val="18"/>
          <w:szCs w:val="18"/>
        </w:rPr>
      </w:pPr>
      <w:r>
        <w:rPr>
          <w:sz w:val="24"/>
          <w:szCs w:val="24"/>
          <w:vertAlign w:val="superscript"/>
        </w:rPr>
        <w:t>c</w:t>
      </w:r>
      <w:r>
        <w:rPr>
          <w:sz w:val="18"/>
          <w:szCs w:val="18"/>
        </w:rPr>
        <w:t xml:space="preserve"> T</w:t>
      </w:r>
      <w:r w:rsidRPr="00721DE8">
        <w:rPr>
          <w:sz w:val="18"/>
          <w:szCs w:val="18"/>
        </w:rPr>
        <w:t>he Mini-Metal-State Exam</w:t>
      </w:r>
      <w:r>
        <w:rPr>
          <w:sz w:val="18"/>
          <w:szCs w:val="18"/>
        </w:rPr>
        <w:t xml:space="preserve">ination (MMSE) is </w:t>
      </w:r>
      <w:r w:rsidRPr="00721DE8">
        <w:rPr>
          <w:sz w:val="18"/>
          <w:szCs w:val="18"/>
        </w:rPr>
        <w:t>a screening tool for cognitive impairment, which contains tests on orientation to time and place, registration, and recall of words, attention, language and visual construction. A total possible score of 30 may be gained, and healthy individuals typically receive a score of 24 or higher.</w:t>
      </w:r>
    </w:p>
    <w:p w:rsidR="00545F5C" w:rsidRPr="00545F5C" w:rsidRDefault="00545F5C" w:rsidP="00933330">
      <w:pPr>
        <w:rPr>
          <w:b/>
        </w:rPr>
      </w:pPr>
    </w:p>
    <w:p w:rsidR="0080182D" w:rsidRDefault="0080182D" w:rsidP="0080182D"/>
    <w:p w:rsidR="00C4521B" w:rsidRDefault="00C4521B" w:rsidP="00C4521B">
      <w:r>
        <w:t xml:space="preserve">In light of the limitations associated with each study, it is not possible to readily quantify the health benefits with respect to development of adverse nervous system effects from reducing the workplace </w:t>
      </w:r>
      <w:r w:rsidR="00314205">
        <w:t>BLRL</w:t>
      </w:r>
      <w:r>
        <w:t xml:space="preserve">s. </w:t>
      </w:r>
    </w:p>
    <w:p w:rsidR="00C4521B" w:rsidRDefault="00C4521B" w:rsidP="00C4521B"/>
    <w:p w:rsidR="00C4521B" w:rsidRDefault="00C4521B" w:rsidP="00C4521B">
      <w:r>
        <w:t xml:space="preserve">Nevertheless, the ORs (1.3-2.2) from two occupational studies (Maizlish et al. 1995, Parkinson et al. 1986) for slight neurobehavioural effects </w:t>
      </w:r>
      <w:r w:rsidR="009B25C7">
        <w:t xml:space="preserve">(which may occur at PbB &gt; </w:t>
      </w:r>
      <w:r w:rsidR="00A65C98">
        <w:t xml:space="preserve">40 </w:t>
      </w:r>
      <w:r w:rsidR="00A65C98" w:rsidRPr="009B25C7">
        <w:rPr>
          <w:rFonts w:cs="Arial"/>
        </w:rPr>
        <w:t xml:space="preserve"> </w:t>
      </w:r>
      <w:r w:rsidR="009B25C7" w:rsidRPr="00C4521B">
        <w:rPr>
          <w:rFonts w:cs="Arial"/>
        </w:rPr>
        <w:t>µ</w:t>
      </w:r>
      <w:r w:rsidR="009B25C7">
        <w:rPr>
          <w:rFonts w:cs="Arial"/>
        </w:rPr>
        <w:t>g/dL</w:t>
      </w:r>
      <w:r w:rsidR="009B25C7">
        <w:t xml:space="preserve">) </w:t>
      </w:r>
      <w:r>
        <w:t xml:space="preserve">provide an indication that such effects </w:t>
      </w:r>
      <w:r w:rsidR="009B25C7">
        <w:t>may no</w:t>
      </w:r>
      <w:r w:rsidR="00A65C98">
        <w:t>t</w:t>
      </w:r>
      <w:r w:rsidR="009B25C7">
        <w:t xml:space="preserve"> occur </w:t>
      </w:r>
      <w:r>
        <w:t xml:space="preserve">if the </w:t>
      </w:r>
      <w:r w:rsidR="00314205">
        <w:t>BLRL</w:t>
      </w:r>
      <w:r>
        <w:t xml:space="preserve"> for males is lowered from 50 </w:t>
      </w:r>
      <w:r w:rsidRPr="00C4521B">
        <w:rPr>
          <w:rFonts w:cs="Arial"/>
        </w:rPr>
        <w:t>µ</w:t>
      </w:r>
      <w:r>
        <w:rPr>
          <w:rFonts w:cs="Arial"/>
        </w:rPr>
        <w:t xml:space="preserve">g/dL to 30 or 20 </w:t>
      </w:r>
      <w:r w:rsidRPr="00C4521B">
        <w:rPr>
          <w:rFonts w:cs="Arial"/>
        </w:rPr>
        <w:t>µ</w:t>
      </w:r>
      <w:r>
        <w:rPr>
          <w:rFonts w:cs="Arial"/>
        </w:rPr>
        <w:t xml:space="preserve">g/dL. </w:t>
      </w:r>
    </w:p>
    <w:p w:rsidR="00C4521B" w:rsidRDefault="00C4521B" w:rsidP="00C4521B"/>
    <w:p w:rsidR="0080182D" w:rsidRPr="002B5D66" w:rsidRDefault="00DB05CC" w:rsidP="002B5D66">
      <w:pPr>
        <w:pStyle w:val="Heading3"/>
        <w:shd w:val="clear" w:color="auto" w:fill="FFFFFF" w:themeFill="background1"/>
      </w:pPr>
      <w:bookmarkStart w:id="27" w:name="_Toc391288235"/>
      <w:r>
        <w:t>4</w:t>
      </w:r>
      <w:r w:rsidR="00A818B0" w:rsidRPr="002B5D66">
        <w:t>.4</w:t>
      </w:r>
      <w:r w:rsidR="0080182D" w:rsidRPr="002B5D66">
        <w:t>.2 Cardiovascular system effects</w:t>
      </w:r>
      <w:bookmarkEnd w:id="27"/>
    </w:p>
    <w:p w:rsidR="009965CD" w:rsidRDefault="009965CD" w:rsidP="002B5D66">
      <w:pPr>
        <w:shd w:val="clear" w:color="auto" w:fill="FFFFFF" w:themeFill="background1"/>
      </w:pPr>
      <w:r>
        <w:t xml:space="preserve">Several studies have reported results as an estimated increase in blood pressure associated with a particular increase in PbB. </w:t>
      </w:r>
      <w:r w:rsidR="00107455">
        <w:t xml:space="preserve">The association is strongest for increases in systolic blood pressure. </w:t>
      </w:r>
      <w:r>
        <w:t>For example:</w:t>
      </w:r>
    </w:p>
    <w:p w:rsidR="00862049" w:rsidRDefault="00862049" w:rsidP="002B5D66">
      <w:pPr>
        <w:shd w:val="clear" w:color="auto" w:fill="FFFFFF" w:themeFill="background1"/>
      </w:pPr>
    </w:p>
    <w:p w:rsidR="009965CD" w:rsidRDefault="009965CD" w:rsidP="00242F1D">
      <w:pPr>
        <w:pStyle w:val="ListParagraph"/>
        <w:numPr>
          <w:ilvl w:val="0"/>
          <w:numId w:val="19"/>
        </w:numPr>
        <w:shd w:val="clear" w:color="auto" w:fill="FFFFFF" w:themeFill="background1"/>
      </w:pPr>
      <w:r>
        <w:t xml:space="preserve">In a prospective study, Glenn et al. (2003) found an annual increase in systolic blood pressure of 0.64 </w:t>
      </w:r>
      <w:r w:rsidR="00440F6B">
        <w:t>millimeters of mercury (</w:t>
      </w:r>
      <w:r>
        <w:t>mmHg</w:t>
      </w:r>
      <w:r w:rsidR="00440F6B">
        <w:t>)</w:t>
      </w:r>
      <w:r>
        <w:t xml:space="preserve"> (standard error [SE] 0.25) for every standard deviation (2.6 </w:t>
      </w:r>
      <w:r w:rsidRPr="009965CD">
        <w:rPr>
          <w:rFonts w:cs="Arial"/>
        </w:rPr>
        <w:t>µ</w:t>
      </w:r>
      <w:r>
        <w:t xml:space="preserve">g/dL) increase in blood from baseline (mean of 4.6 </w:t>
      </w:r>
      <w:r w:rsidRPr="009965CD">
        <w:rPr>
          <w:rFonts w:cs="Arial"/>
        </w:rPr>
        <w:t>µ</w:t>
      </w:r>
      <w:r>
        <w:t xml:space="preserve">g/dL) in 496 male chemical manufacturing employees formerly exposed to </w:t>
      </w:r>
      <w:r w:rsidR="008D1B2C">
        <w:t xml:space="preserve">inorganic and </w:t>
      </w:r>
      <w:r>
        <w:t>organ</w:t>
      </w:r>
      <w:r w:rsidR="008D1B2C">
        <w:t xml:space="preserve">ic </w:t>
      </w:r>
      <w:r w:rsidR="00754780">
        <w:t>lead</w:t>
      </w:r>
      <w:r>
        <w:t xml:space="preserve">. </w:t>
      </w:r>
    </w:p>
    <w:p w:rsidR="00862049" w:rsidRDefault="00862049" w:rsidP="00862049">
      <w:pPr>
        <w:pStyle w:val="ListParagraph"/>
        <w:shd w:val="clear" w:color="auto" w:fill="FFFFFF" w:themeFill="background1"/>
      </w:pPr>
    </w:p>
    <w:p w:rsidR="006B150D" w:rsidRDefault="007A6A05" w:rsidP="00242F1D">
      <w:pPr>
        <w:pStyle w:val="ListParagraph"/>
        <w:numPr>
          <w:ilvl w:val="0"/>
          <w:numId w:val="19"/>
        </w:numPr>
        <w:shd w:val="clear" w:color="auto" w:fill="FFFFFF" w:themeFill="background1"/>
      </w:pPr>
      <w:r>
        <w:t xml:space="preserve">Lee et al. (2001) found a marginally significant (p&lt;0.06) effect of PbB on systolic blood pressure in 798 male and female factory workers (PbB 4-86 </w:t>
      </w:r>
      <w:r w:rsidRPr="009965CD">
        <w:rPr>
          <w:rFonts w:cs="Arial"/>
        </w:rPr>
        <w:t>µ</w:t>
      </w:r>
      <w:r>
        <w:t xml:space="preserve">g/dL, mean of 32 </w:t>
      </w:r>
      <w:r w:rsidRPr="009965CD">
        <w:rPr>
          <w:rFonts w:cs="Arial"/>
        </w:rPr>
        <w:t>µ</w:t>
      </w:r>
      <w:r>
        <w:t>g/dL)</w:t>
      </w:r>
      <w:r w:rsidR="00A65C98">
        <w:t>:</w:t>
      </w:r>
      <w:r>
        <w:t xml:space="preserve">a 1 </w:t>
      </w:r>
      <w:r w:rsidRPr="009965CD">
        <w:rPr>
          <w:rFonts w:cs="Arial"/>
        </w:rPr>
        <w:t>µ</w:t>
      </w:r>
      <w:r>
        <w:t xml:space="preserve">g/dL increase in PbB </w:t>
      </w:r>
      <w:r w:rsidR="00A65C98">
        <w:t xml:space="preserve">was </w:t>
      </w:r>
      <w:r>
        <w:t xml:space="preserve">associated with a 0.07 mmHg (SE 0.04) increase in blood pressure. However, PbB was not found to be a predictor of hypertension status. </w:t>
      </w:r>
    </w:p>
    <w:p w:rsidR="00862049" w:rsidRDefault="00862049" w:rsidP="00862049">
      <w:pPr>
        <w:pStyle w:val="ListParagraph"/>
        <w:shd w:val="clear" w:color="auto" w:fill="FFFFFF" w:themeFill="background1"/>
      </w:pPr>
    </w:p>
    <w:p w:rsidR="009965CD" w:rsidRDefault="009A7CCA" w:rsidP="00242F1D">
      <w:pPr>
        <w:pStyle w:val="ListParagraph"/>
        <w:numPr>
          <w:ilvl w:val="0"/>
          <w:numId w:val="19"/>
        </w:numPr>
        <w:shd w:val="clear" w:color="auto" w:fill="FFFFFF" w:themeFill="background1"/>
      </w:pPr>
      <w:r>
        <w:t>Schwartz et al. (2000) found that in 543 former organolead manufacturing workers</w:t>
      </w:r>
      <w:r w:rsidR="008D1B2C">
        <w:rPr>
          <w:rStyle w:val="FootnoteReference"/>
        </w:rPr>
        <w:footnoteReference w:id="19"/>
      </w:r>
      <w:r>
        <w:t xml:space="preserve"> (mean PbB 4.6 </w:t>
      </w:r>
      <w:r>
        <w:rPr>
          <w:u w:val="single"/>
        </w:rPr>
        <w:t>+</w:t>
      </w:r>
      <w:r>
        <w:t xml:space="preserve"> 2.6 </w:t>
      </w:r>
      <w:r w:rsidRPr="009965CD">
        <w:rPr>
          <w:rFonts w:cs="Arial"/>
        </w:rPr>
        <w:t>µ</w:t>
      </w:r>
      <w:r>
        <w:t xml:space="preserve">g/dL), PbB was a significant predictor of both systolic and diastolic blood pressures, as well as hypertension status in men &lt;58 years of age. After adjusting for age, </w:t>
      </w:r>
      <w:r w:rsidR="00141177">
        <w:t>body mass index (</w:t>
      </w:r>
      <w:r>
        <w:t>BMI</w:t>
      </w:r>
      <w:r w:rsidR="00141177">
        <w:t>)</w:t>
      </w:r>
      <w:r>
        <w:t xml:space="preserve">, current smoking, and current use of antihypertensive medications, each 1 </w:t>
      </w:r>
      <w:r w:rsidRPr="009965CD">
        <w:rPr>
          <w:rFonts w:cs="Arial"/>
        </w:rPr>
        <w:t>µ</w:t>
      </w:r>
      <w:r>
        <w:t>g/dL increase in PbB</w:t>
      </w:r>
      <w:r w:rsidR="009B25C7">
        <w:rPr>
          <w:vertAlign w:val="superscript"/>
        </w:rPr>
        <w:t>2</w:t>
      </w:r>
      <w:r>
        <w:t xml:space="preserve">  </w:t>
      </w:r>
      <w:r w:rsidR="009B25C7">
        <w:t xml:space="preserve">(a quadratic function term) </w:t>
      </w:r>
      <w:r>
        <w:t>was significantly associated with a 0.189 mmHg</w:t>
      </w:r>
      <w:r w:rsidR="009B25C7">
        <w:rPr>
          <w:vertAlign w:val="superscript"/>
        </w:rPr>
        <w:t>2</w:t>
      </w:r>
      <w:r>
        <w:t xml:space="preserve"> (SE 0.072) increase in systolic blood pressure when three outliers were removed. For diastolic blood pressure taken over a 2-year period, the increase was 0.31 mmHg (SE 0.14) per </w:t>
      </w:r>
      <w:r w:rsidRPr="009965CD">
        <w:rPr>
          <w:rFonts w:cs="Arial"/>
        </w:rPr>
        <w:t>µ</w:t>
      </w:r>
      <w:r>
        <w:t xml:space="preserve">g/dL increase in PbB. </w:t>
      </w:r>
    </w:p>
    <w:p w:rsidR="00862049" w:rsidRDefault="00862049" w:rsidP="00862049">
      <w:pPr>
        <w:shd w:val="clear" w:color="auto" w:fill="FFFFFF" w:themeFill="background1"/>
      </w:pPr>
    </w:p>
    <w:p w:rsidR="00862049" w:rsidRDefault="00862049" w:rsidP="00242F1D">
      <w:pPr>
        <w:pStyle w:val="ListParagraph"/>
        <w:numPr>
          <w:ilvl w:val="0"/>
          <w:numId w:val="19"/>
        </w:numPr>
        <w:shd w:val="clear" w:color="auto" w:fill="FFFFFF" w:themeFill="background1"/>
      </w:pPr>
      <w:r>
        <w:t xml:space="preserve">Glenn et al. (2006) also found an association with PbB and increasing systolic blood pressure in 575 lead-exposed workers (mean PbB 31.4 </w:t>
      </w:r>
      <w:r>
        <w:rPr>
          <w:u w:val="single"/>
        </w:rPr>
        <w:t>+</w:t>
      </w:r>
      <w:r>
        <w:t xml:space="preserve"> 14.2 </w:t>
      </w:r>
      <w:r w:rsidRPr="009965CD">
        <w:rPr>
          <w:rFonts w:cs="Arial"/>
        </w:rPr>
        <w:t>µ</w:t>
      </w:r>
      <w:r>
        <w:t xml:space="preserve">g/dL), where a 1 </w:t>
      </w:r>
      <w:r w:rsidRPr="009965CD">
        <w:rPr>
          <w:rFonts w:cs="Arial"/>
        </w:rPr>
        <w:t>µ</w:t>
      </w:r>
      <w:r>
        <w:t xml:space="preserve">g/dL increase in PbB was significantly associated with a 0.09 mmHg/yr (95% CI 0.01 – 0.16) increase in systolic blood pressure. </w:t>
      </w:r>
    </w:p>
    <w:p w:rsidR="006C28B5" w:rsidRDefault="006C28B5" w:rsidP="006C28B5">
      <w:pPr>
        <w:shd w:val="clear" w:color="auto" w:fill="FFFFFF" w:themeFill="background1"/>
      </w:pPr>
    </w:p>
    <w:p w:rsidR="006C28B5" w:rsidRDefault="006C28B5" w:rsidP="00242F1D">
      <w:pPr>
        <w:pStyle w:val="ListParagraph"/>
        <w:numPr>
          <w:ilvl w:val="0"/>
          <w:numId w:val="19"/>
        </w:numPr>
        <w:shd w:val="clear" w:color="auto" w:fill="FFFFFF" w:themeFill="background1"/>
      </w:pPr>
      <w:r>
        <w:t>In a meta-analysis of 15 studies in men</w:t>
      </w:r>
      <w:r w:rsidR="0001794E">
        <w:t xml:space="preserve"> (non-occupational studies)</w:t>
      </w:r>
      <w:r>
        <w:t xml:space="preserve">, Schwartz (1995) estimated that an increase in PbB from 5 to 10 </w:t>
      </w:r>
      <w:r w:rsidRPr="009965CD">
        <w:rPr>
          <w:rFonts w:cs="Arial"/>
        </w:rPr>
        <w:t>µ</w:t>
      </w:r>
      <w:r>
        <w:t>g/dL is as</w:t>
      </w:r>
      <w:r w:rsidR="0001794E">
        <w:t>sociated with an increase of 1.25</w:t>
      </w:r>
      <w:r>
        <w:t xml:space="preserve"> mmHg</w:t>
      </w:r>
      <w:r w:rsidR="0001794E">
        <w:t xml:space="preserve"> (95% CI 0.87-1.63)</w:t>
      </w:r>
      <w:r>
        <w:t xml:space="preserve"> in systolic blood pressure. </w:t>
      </w:r>
    </w:p>
    <w:p w:rsidR="007C3FEB" w:rsidRDefault="007C3FEB" w:rsidP="007C3FEB">
      <w:pPr>
        <w:shd w:val="clear" w:color="auto" w:fill="FFFFFF" w:themeFill="background1"/>
      </w:pPr>
    </w:p>
    <w:p w:rsidR="007C3FEB" w:rsidRDefault="007C3FEB" w:rsidP="00242F1D">
      <w:pPr>
        <w:pStyle w:val="ListParagraph"/>
        <w:numPr>
          <w:ilvl w:val="0"/>
          <w:numId w:val="19"/>
        </w:numPr>
        <w:shd w:val="clear" w:color="auto" w:fill="FFFFFF" w:themeFill="background1"/>
      </w:pPr>
      <w:r>
        <w:lastRenderedPageBreak/>
        <w:t>In another meta-analysis of 31 studies (19 general and 12 occupational), a two-fold rise in PbB was associated with a 1 mmHg (95%</w:t>
      </w:r>
      <w:r w:rsidR="00EE2C4F">
        <w:t xml:space="preserve"> </w:t>
      </w:r>
      <w:r>
        <w:t xml:space="preserve">CI 0.5 – 1.4) increase of systolic and a 0.6 mmHg (95%CI 0.4 – 0.8) </w:t>
      </w:r>
      <w:r w:rsidR="00F26161">
        <w:t xml:space="preserve">increase </w:t>
      </w:r>
      <w:r>
        <w:t xml:space="preserve">of diastolic blood pressure (Nawrot et al. 2002). </w:t>
      </w:r>
    </w:p>
    <w:p w:rsidR="00D906FD" w:rsidRDefault="00D906FD" w:rsidP="00D906FD">
      <w:pPr>
        <w:pStyle w:val="ListParagraph"/>
        <w:shd w:val="clear" w:color="auto" w:fill="FFFFFF" w:themeFill="background1"/>
      </w:pPr>
    </w:p>
    <w:p w:rsidR="00D906FD" w:rsidRDefault="00D906FD" w:rsidP="00242F1D">
      <w:pPr>
        <w:pStyle w:val="ListParagraph"/>
        <w:numPr>
          <w:ilvl w:val="0"/>
          <w:numId w:val="19"/>
        </w:numPr>
        <w:shd w:val="clear" w:color="auto" w:fill="FFFFFF" w:themeFill="background1"/>
      </w:pPr>
      <w:r>
        <w:t>Various other studies have also reported an association between systolic or diastolic blood pressure and PbB (</w:t>
      </w:r>
      <w:r w:rsidRPr="00D906FD">
        <w:t>e.g. Hense et al. 1993, Møller and Kristensen 1992, Nash et al. 2003, Santos et al. 1994, Telisman et al. 2001, Zota et al. 2013).</w:t>
      </w:r>
    </w:p>
    <w:p w:rsidR="009965CD" w:rsidRDefault="009965CD" w:rsidP="002B5D66">
      <w:pPr>
        <w:shd w:val="clear" w:color="auto" w:fill="FFFFFF" w:themeFill="background1"/>
      </w:pPr>
    </w:p>
    <w:p w:rsidR="008D1B2C" w:rsidRDefault="008D1B2C" w:rsidP="008D1B2C">
      <w:pPr>
        <w:shd w:val="clear" w:color="auto" w:fill="FFFFFF" w:themeFill="background1"/>
      </w:pPr>
      <w:r>
        <w:t xml:space="preserve">Table </w:t>
      </w:r>
      <w:r w:rsidR="00DB05CC" w:rsidRPr="00216408">
        <w:t>4</w:t>
      </w:r>
      <w:r w:rsidRPr="00216408">
        <w:t>.4</w:t>
      </w:r>
      <w:r>
        <w:t xml:space="preserve"> provides a brief overview of the expected approximate increase in systolic blood pressure associated with a 5 </w:t>
      </w:r>
      <w:r w:rsidRPr="00C973C2">
        <w:rPr>
          <w:rFonts w:cs="Arial"/>
        </w:rPr>
        <w:t>µ</w:t>
      </w:r>
      <w:r>
        <w:t xml:space="preserve">g/dL increase in PbB from the studies described briefly above. The results in the table suggest that incrementally higher doses of </w:t>
      </w:r>
      <w:r w:rsidR="00BE2EAA">
        <w:t>l</w:t>
      </w:r>
      <w:r w:rsidR="00637B4C">
        <w:t>ead</w:t>
      </w:r>
      <w:r w:rsidR="00BE2EAA">
        <w:t xml:space="preserve"> </w:t>
      </w:r>
      <w:r>
        <w:t xml:space="preserve">have smaller effects on blood pressure elevation, i.e. the effect is not linear and the slope is decreased at higher PbB levels. This suggests a partial moderation of the </w:t>
      </w:r>
      <w:r w:rsidR="00BE2EAA">
        <w:t>l</w:t>
      </w:r>
      <w:r w:rsidR="00637B4C">
        <w:t>ead</w:t>
      </w:r>
      <w:r w:rsidR="00BE2EAA">
        <w:t xml:space="preserve"> </w:t>
      </w:r>
      <w:r>
        <w:t>effects by the feedback control mechanisms that govern vascular tone (Schwartz 1995). From the table:</w:t>
      </w:r>
    </w:p>
    <w:p w:rsidR="008D1B2C" w:rsidRDefault="008D1B2C" w:rsidP="00242F1D">
      <w:pPr>
        <w:pStyle w:val="ListParagraph"/>
        <w:numPr>
          <w:ilvl w:val="0"/>
          <w:numId w:val="27"/>
        </w:numPr>
        <w:shd w:val="clear" w:color="auto" w:fill="FFFFFF" w:themeFill="background1"/>
      </w:pPr>
      <w:r>
        <w:t xml:space="preserve">At mean PbB of approximately 30 </w:t>
      </w:r>
      <w:r w:rsidRPr="00C973C2">
        <w:rPr>
          <w:rFonts w:cs="Arial"/>
        </w:rPr>
        <w:t>µ</w:t>
      </w:r>
      <w:r>
        <w:t xml:space="preserve">g/dL, an increase in PbB of 5 </w:t>
      </w:r>
      <w:r w:rsidRPr="00C973C2">
        <w:rPr>
          <w:rFonts w:cs="Arial"/>
        </w:rPr>
        <w:t>µ</w:t>
      </w:r>
      <w:r>
        <w:t xml:space="preserve">g/dL could potentially result in a 0.5 mmHg increase in systolic blood pressure. </w:t>
      </w:r>
    </w:p>
    <w:p w:rsidR="008D1B2C" w:rsidRDefault="008D1B2C" w:rsidP="00242F1D">
      <w:pPr>
        <w:pStyle w:val="ListParagraph"/>
        <w:numPr>
          <w:ilvl w:val="0"/>
          <w:numId w:val="27"/>
        </w:numPr>
        <w:shd w:val="clear" w:color="auto" w:fill="FFFFFF" w:themeFill="background1"/>
      </w:pPr>
      <w:r>
        <w:t xml:space="preserve">At mean PbB &lt;10 </w:t>
      </w:r>
      <w:r w:rsidRPr="00C973C2">
        <w:rPr>
          <w:rFonts w:cs="Arial"/>
        </w:rPr>
        <w:t>µ</w:t>
      </w:r>
      <w:r>
        <w:t>g/dL this increase is approximately 1.3 mmHg.</w:t>
      </w:r>
    </w:p>
    <w:p w:rsidR="008D1B2C" w:rsidRDefault="008D1B2C" w:rsidP="00242F1D">
      <w:pPr>
        <w:pStyle w:val="ListParagraph"/>
        <w:numPr>
          <w:ilvl w:val="0"/>
          <w:numId w:val="27"/>
        </w:numPr>
        <w:shd w:val="clear" w:color="auto" w:fill="FFFFFF" w:themeFill="background1"/>
      </w:pPr>
      <w:r>
        <w:t xml:space="preserve">When studies spanning a wide range of mean PbB (2-45 </w:t>
      </w:r>
      <w:r w:rsidRPr="00C973C2">
        <w:rPr>
          <w:rFonts w:cs="Arial"/>
        </w:rPr>
        <w:t>µ</w:t>
      </w:r>
      <w:r>
        <w:t xml:space="preserve">g/dL) were combined in a meta-analysis by Nawrot et al. (2002), the increase is 1 mmHg. </w:t>
      </w:r>
    </w:p>
    <w:p w:rsidR="00BB3167" w:rsidRDefault="00BB3167">
      <w:r>
        <w:br w:type="page"/>
      </w:r>
    </w:p>
    <w:p w:rsidR="00216408" w:rsidRDefault="00216408">
      <w:pPr>
        <w:rPr>
          <w:b/>
        </w:rPr>
      </w:pPr>
    </w:p>
    <w:p w:rsidR="00A84DA6" w:rsidRDefault="00DB05CC" w:rsidP="00630992">
      <w:pPr>
        <w:shd w:val="clear" w:color="auto" w:fill="FFFFFF" w:themeFill="background1"/>
        <w:jc w:val="center"/>
        <w:rPr>
          <w:b/>
        </w:rPr>
      </w:pPr>
      <w:r>
        <w:rPr>
          <w:b/>
        </w:rPr>
        <w:t>Table 4</w:t>
      </w:r>
      <w:r w:rsidR="008D1B2C">
        <w:rPr>
          <w:b/>
        </w:rPr>
        <w:t xml:space="preserve">.4: Effect </w:t>
      </w:r>
      <w:r w:rsidR="00216408">
        <w:rPr>
          <w:b/>
        </w:rPr>
        <w:t xml:space="preserve">of </w:t>
      </w:r>
      <w:r w:rsidR="008D1B2C">
        <w:rPr>
          <w:b/>
        </w:rPr>
        <w:t>increase in PbB on systolic blood pressure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Caption w:val="Table 4.4: Effect of increase in PbB on systolic blood pressure"/>
      </w:tblPr>
      <w:tblGrid>
        <w:gridCol w:w="2933"/>
        <w:gridCol w:w="2551"/>
        <w:gridCol w:w="2977"/>
      </w:tblGrid>
      <w:tr w:rsidR="00C973C2" w:rsidTr="006A5E40">
        <w:trPr>
          <w:tblHeader/>
          <w:jc w:val="center"/>
        </w:trPr>
        <w:tc>
          <w:tcPr>
            <w:tcW w:w="2933" w:type="dxa"/>
            <w:tcBorders>
              <w:top w:val="single" w:sz="12" w:space="0" w:color="auto"/>
              <w:bottom w:val="single" w:sz="12" w:space="0" w:color="auto"/>
            </w:tcBorders>
            <w:shd w:val="clear" w:color="auto" w:fill="FBD4B4" w:themeFill="accent6" w:themeFillTint="66"/>
          </w:tcPr>
          <w:p w:rsidR="00C973C2" w:rsidRPr="00C973C2" w:rsidRDefault="00C973C2" w:rsidP="002B5D66">
            <w:pPr>
              <w:rPr>
                <w:b/>
              </w:rPr>
            </w:pPr>
            <w:r>
              <w:rPr>
                <w:b/>
              </w:rPr>
              <w:t>Study</w:t>
            </w:r>
          </w:p>
        </w:tc>
        <w:tc>
          <w:tcPr>
            <w:tcW w:w="2551" w:type="dxa"/>
            <w:tcBorders>
              <w:top w:val="single" w:sz="12" w:space="0" w:color="auto"/>
              <w:bottom w:val="single" w:sz="12" w:space="0" w:color="auto"/>
            </w:tcBorders>
            <w:shd w:val="clear" w:color="auto" w:fill="FBD4B4" w:themeFill="accent6" w:themeFillTint="66"/>
          </w:tcPr>
          <w:p w:rsidR="00C973C2" w:rsidRPr="00C973C2" w:rsidRDefault="00C973C2" w:rsidP="002B5D66">
            <w:pPr>
              <w:rPr>
                <w:rFonts w:cs="Arial"/>
                <w:b/>
              </w:rPr>
            </w:pPr>
            <w:r w:rsidRPr="00C973C2">
              <w:rPr>
                <w:rFonts w:cs="Arial"/>
                <w:b/>
              </w:rPr>
              <w:t>Mean PbB in study population (µg/dL)</w:t>
            </w:r>
          </w:p>
        </w:tc>
        <w:tc>
          <w:tcPr>
            <w:tcW w:w="2977" w:type="dxa"/>
            <w:tcBorders>
              <w:top w:val="single" w:sz="12" w:space="0" w:color="auto"/>
              <w:bottom w:val="single" w:sz="12" w:space="0" w:color="auto"/>
            </w:tcBorders>
            <w:shd w:val="clear" w:color="auto" w:fill="FBD4B4" w:themeFill="accent6" w:themeFillTint="66"/>
          </w:tcPr>
          <w:p w:rsidR="00C973C2" w:rsidRPr="00C973C2" w:rsidRDefault="00C973C2" w:rsidP="00A65C98">
            <w:pPr>
              <w:rPr>
                <w:rFonts w:cs="Arial"/>
                <w:b/>
              </w:rPr>
            </w:pPr>
            <w:r w:rsidRPr="00C973C2">
              <w:rPr>
                <w:rFonts w:cs="Arial"/>
                <w:b/>
              </w:rPr>
              <w:t>Estimated</w:t>
            </w:r>
            <w:r>
              <w:rPr>
                <w:rFonts w:cs="Arial"/>
                <w:b/>
              </w:rPr>
              <w:t xml:space="preserve"> </w:t>
            </w:r>
            <w:r w:rsidR="00A65C98" w:rsidRPr="00A65C98">
              <w:rPr>
                <w:rFonts w:cs="Arial"/>
                <w:b/>
              </w:rPr>
              <w:t>increase</w:t>
            </w:r>
            <w:r w:rsidR="00A65C98">
              <w:rPr>
                <w:rFonts w:ascii="Calibri" w:hAnsi="Calibri" w:cs="Arial"/>
                <w:b/>
              </w:rPr>
              <w:t xml:space="preserve"> </w:t>
            </w:r>
            <w:r w:rsidR="00A65C98" w:rsidRPr="00C973C2">
              <w:rPr>
                <w:rFonts w:cs="Arial"/>
                <w:b/>
              </w:rPr>
              <w:t xml:space="preserve"> </w:t>
            </w:r>
            <w:r w:rsidRPr="00C973C2">
              <w:rPr>
                <w:rFonts w:cs="Arial"/>
                <w:b/>
              </w:rPr>
              <w:t>in systolic</w:t>
            </w:r>
            <w:r>
              <w:rPr>
                <w:rFonts w:cs="Arial"/>
                <w:b/>
              </w:rPr>
              <w:t xml:space="preserve"> blood pressure (mmHg)</w:t>
            </w:r>
            <w:r w:rsidR="009C250C">
              <w:rPr>
                <w:rFonts w:cs="Arial"/>
                <w:b/>
              </w:rPr>
              <w:t xml:space="preserve"> per 5 </w:t>
            </w:r>
            <w:r w:rsidR="009C250C" w:rsidRPr="009C250C">
              <w:rPr>
                <w:rFonts w:cs="Arial"/>
                <w:b/>
              </w:rPr>
              <w:t xml:space="preserve">µg/dL </w:t>
            </w:r>
            <w:r w:rsidR="009C250C">
              <w:rPr>
                <w:rFonts w:cs="Arial"/>
                <w:b/>
              </w:rPr>
              <w:t xml:space="preserve">increase in PbB </w:t>
            </w:r>
            <w:r w:rsidR="00630992">
              <w:rPr>
                <w:rFonts w:cs="Arial"/>
                <w:b/>
                <w:vertAlign w:val="superscript"/>
              </w:rPr>
              <w:t>a</w:t>
            </w:r>
            <w:r w:rsidRPr="00C973C2">
              <w:rPr>
                <w:rFonts w:cs="Arial"/>
                <w:b/>
              </w:rPr>
              <w:t xml:space="preserve"> </w:t>
            </w:r>
          </w:p>
        </w:tc>
      </w:tr>
      <w:tr w:rsidR="00C973C2" w:rsidTr="00E21B29">
        <w:trPr>
          <w:jc w:val="center"/>
        </w:trPr>
        <w:tc>
          <w:tcPr>
            <w:tcW w:w="2933" w:type="dxa"/>
            <w:tcBorders>
              <w:top w:val="single" w:sz="12" w:space="0" w:color="auto"/>
            </w:tcBorders>
          </w:tcPr>
          <w:p w:rsidR="00C973C2" w:rsidRDefault="00C973C2" w:rsidP="002B5D66">
            <w:r>
              <w:t>Lee et al. 2001</w:t>
            </w:r>
          </w:p>
        </w:tc>
        <w:tc>
          <w:tcPr>
            <w:tcW w:w="2551" w:type="dxa"/>
            <w:tcBorders>
              <w:top w:val="single" w:sz="12" w:space="0" w:color="auto"/>
            </w:tcBorders>
          </w:tcPr>
          <w:p w:rsidR="00C973C2" w:rsidRDefault="00C973C2" w:rsidP="002B5D66">
            <w:r>
              <w:t>32</w:t>
            </w:r>
          </w:p>
        </w:tc>
        <w:tc>
          <w:tcPr>
            <w:tcW w:w="2977" w:type="dxa"/>
            <w:tcBorders>
              <w:top w:val="single" w:sz="12" w:space="0" w:color="auto"/>
            </w:tcBorders>
          </w:tcPr>
          <w:p w:rsidR="00C973C2" w:rsidRPr="00630992" w:rsidRDefault="00C973C2" w:rsidP="002B5D66">
            <w:pPr>
              <w:rPr>
                <w:vertAlign w:val="superscript"/>
              </w:rPr>
            </w:pPr>
            <w:r>
              <w:t>0.35</w:t>
            </w:r>
            <w:r w:rsidR="00630992">
              <w:t xml:space="preserve"> </w:t>
            </w:r>
            <w:r w:rsidR="00630992">
              <w:rPr>
                <w:vertAlign w:val="superscript"/>
              </w:rPr>
              <w:t>a</w:t>
            </w:r>
          </w:p>
        </w:tc>
      </w:tr>
      <w:tr w:rsidR="00C973C2" w:rsidTr="00E21B29">
        <w:trPr>
          <w:jc w:val="center"/>
        </w:trPr>
        <w:tc>
          <w:tcPr>
            <w:tcW w:w="2933" w:type="dxa"/>
          </w:tcPr>
          <w:p w:rsidR="00C973C2" w:rsidRDefault="00C973C2" w:rsidP="002B5D66">
            <w:r>
              <w:t>Glenn et al. 2006</w:t>
            </w:r>
          </w:p>
        </w:tc>
        <w:tc>
          <w:tcPr>
            <w:tcW w:w="2551" w:type="dxa"/>
          </w:tcPr>
          <w:p w:rsidR="00C973C2" w:rsidRDefault="00C973C2" w:rsidP="002B5D66">
            <w:r>
              <w:t>31</w:t>
            </w:r>
          </w:p>
        </w:tc>
        <w:tc>
          <w:tcPr>
            <w:tcW w:w="2977" w:type="dxa"/>
          </w:tcPr>
          <w:p w:rsidR="00C973C2" w:rsidRPr="00630992" w:rsidRDefault="00C973C2" w:rsidP="002B5D66">
            <w:pPr>
              <w:rPr>
                <w:vertAlign w:val="superscript"/>
              </w:rPr>
            </w:pPr>
            <w:r>
              <w:t>0.45</w:t>
            </w:r>
            <w:r w:rsidR="00630992">
              <w:t xml:space="preserve"> </w:t>
            </w:r>
            <w:r w:rsidR="00630992">
              <w:rPr>
                <w:vertAlign w:val="superscript"/>
              </w:rPr>
              <w:t>a</w:t>
            </w:r>
          </w:p>
        </w:tc>
      </w:tr>
      <w:tr w:rsidR="00D906FD" w:rsidTr="00E21B29">
        <w:trPr>
          <w:jc w:val="center"/>
        </w:trPr>
        <w:tc>
          <w:tcPr>
            <w:tcW w:w="2933" w:type="dxa"/>
          </w:tcPr>
          <w:p w:rsidR="00D906FD" w:rsidRDefault="00D906FD" w:rsidP="00753AC3">
            <w:r>
              <w:t>M</w:t>
            </w:r>
            <w:r w:rsidRPr="00D906FD">
              <w:t>ø</w:t>
            </w:r>
            <w:r>
              <w:t>ller and Kristensen 1992</w:t>
            </w:r>
          </w:p>
        </w:tc>
        <w:tc>
          <w:tcPr>
            <w:tcW w:w="2551" w:type="dxa"/>
          </w:tcPr>
          <w:p w:rsidR="00D906FD" w:rsidRDefault="00D906FD" w:rsidP="00753AC3">
            <w:r>
              <w:t>8-14</w:t>
            </w:r>
          </w:p>
        </w:tc>
        <w:tc>
          <w:tcPr>
            <w:tcW w:w="2977" w:type="dxa"/>
          </w:tcPr>
          <w:p w:rsidR="00D906FD" w:rsidRPr="00D906FD" w:rsidRDefault="00D906FD" w:rsidP="00753AC3">
            <w:pPr>
              <w:rPr>
                <w:vertAlign w:val="superscript"/>
              </w:rPr>
            </w:pPr>
            <w:r>
              <w:t xml:space="preserve">0.8 </w:t>
            </w:r>
            <w:r>
              <w:rPr>
                <w:vertAlign w:val="superscript"/>
              </w:rPr>
              <w:t>a</w:t>
            </w:r>
          </w:p>
        </w:tc>
      </w:tr>
      <w:tr w:rsidR="00D906FD" w:rsidTr="00E21B29">
        <w:trPr>
          <w:jc w:val="center"/>
        </w:trPr>
        <w:tc>
          <w:tcPr>
            <w:tcW w:w="2933" w:type="dxa"/>
          </w:tcPr>
          <w:p w:rsidR="00D906FD" w:rsidRDefault="00D906FD" w:rsidP="002B5D66">
            <w:r>
              <w:t>Schwartz et al. 2000</w:t>
            </w:r>
          </w:p>
        </w:tc>
        <w:tc>
          <w:tcPr>
            <w:tcW w:w="2551" w:type="dxa"/>
          </w:tcPr>
          <w:p w:rsidR="00D906FD" w:rsidRDefault="00D906FD" w:rsidP="002B5D66">
            <w:r>
              <w:t>4.6</w:t>
            </w:r>
          </w:p>
        </w:tc>
        <w:tc>
          <w:tcPr>
            <w:tcW w:w="2977" w:type="dxa"/>
          </w:tcPr>
          <w:p w:rsidR="00D906FD" w:rsidRPr="00630992" w:rsidRDefault="00D906FD" w:rsidP="002B5D66">
            <w:pPr>
              <w:rPr>
                <w:vertAlign w:val="superscript"/>
              </w:rPr>
            </w:pPr>
            <w:r>
              <w:t xml:space="preserve">0.95 </w:t>
            </w:r>
            <w:r>
              <w:rPr>
                <w:vertAlign w:val="superscript"/>
              </w:rPr>
              <w:t>a</w:t>
            </w:r>
          </w:p>
        </w:tc>
      </w:tr>
      <w:tr w:rsidR="000849FA" w:rsidTr="00E21B29">
        <w:trPr>
          <w:jc w:val="center"/>
        </w:trPr>
        <w:tc>
          <w:tcPr>
            <w:tcW w:w="2933" w:type="dxa"/>
          </w:tcPr>
          <w:p w:rsidR="000849FA" w:rsidRDefault="000849FA" w:rsidP="00753AC3">
            <w:r>
              <w:t>Glenn et al. 2003</w:t>
            </w:r>
          </w:p>
        </w:tc>
        <w:tc>
          <w:tcPr>
            <w:tcW w:w="2551" w:type="dxa"/>
          </w:tcPr>
          <w:p w:rsidR="000849FA" w:rsidRDefault="000849FA" w:rsidP="00753AC3">
            <w:r>
              <w:t>4.6</w:t>
            </w:r>
          </w:p>
        </w:tc>
        <w:tc>
          <w:tcPr>
            <w:tcW w:w="2977" w:type="dxa"/>
          </w:tcPr>
          <w:p w:rsidR="000849FA" w:rsidRPr="00630992" w:rsidRDefault="000849FA" w:rsidP="00753AC3">
            <w:pPr>
              <w:rPr>
                <w:vertAlign w:val="superscript"/>
              </w:rPr>
            </w:pPr>
            <w:r>
              <w:t xml:space="preserve">1.2 </w:t>
            </w:r>
            <w:r>
              <w:rPr>
                <w:vertAlign w:val="superscript"/>
              </w:rPr>
              <w:t>a</w:t>
            </w:r>
          </w:p>
        </w:tc>
      </w:tr>
      <w:tr w:rsidR="000849FA" w:rsidTr="00E21B29">
        <w:trPr>
          <w:jc w:val="center"/>
        </w:trPr>
        <w:tc>
          <w:tcPr>
            <w:tcW w:w="2933" w:type="dxa"/>
          </w:tcPr>
          <w:p w:rsidR="000849FA" w:rsidRDefault="000849FA" w:rsidP="002B5D66">
            <w:r>
              <w:t>Hense et al. 1993</w:t>
            </w:r>
          </w:p>
        </w:tc>
        <w:tc>
          <w:tcPr>
            <w:tcW w:w="2551" w:type="dxa"/>
          </w:tcPr>
          <w:p w:rsidR="000849FA" w:rsidRDefault="000849FA" w:rsidP="002B5D66">
            <w:r>
              <w:t>6-8</w:t>
            </w:r>
          </w:p>
        </w:tc>
        <w:tc>
          <w:tcPr>
            <w:tcW w:w="2977" w:type="dxa"/>
          </w:tcPr>
          <w:p w:rsidR="000849FA" w:rsidRPr="00D906FD" w:rsidRDefault="000849FA" w:rsidP="002B5D66">
            <w:pPr>
              <w:rPr>
                <w:vertAlign w:val="superscript"/>
              </w:rPr>
            </w:pPr>
            <w:r>
              <w:t xml:space="preserve">1.5 </w:t>
            </w:r>
            <w:r>
              <w:rPr>
                <w:vertAlign w:val="superscript"/>
              </w:rPr>
              <w:t>a</w:t>
            </w:r>
          </w:p>
        </w:tc>
      </w:tr>
      <w:tr w:rsidR="000849FA" w:rsidTr="00E21B29">
        <w:trPr>
          <w:jc w:val="center"/>
        </w:trPr>
        <w:tc>
          <w:tcPr>
            <w:tcW w:w="2933" w:type="dxa"/>
          </w:tcPr>
          <w:p w:rsidR="000849FA" w:rsidRDefault="000849FA" w:rsidP="00753AC3">
            <w:r>
              <w:t>Schwartz 1995</w:t>
            </w:r>
          </w:p>
          <w:p w:rsidR="000849FA" w:rsidRPr="00C973C2" w:rsidRDefault="000849FA" w:rsidP="00753AC3">
            <w:pPr>
              <w:rPr>
                <w:sz w:val="18"/>
                <w:szCs w:val="18"/>
              </w:rPr>
            </w:pPr>
            <w:r>
              <w:rPr>
                <w:sz w:val="18"/>
                <w:szCs w:val="18"/>
              </w:rPr>
              <w:t>(meta-analysis)</w:t>
            </w:r>
          </w:p>
        </w:tc>
        <w:tc>
          <w:tcPr>
            <w:tcW w:w="2551" w:type="dxa"/>
          </w:tcPr>
          <w:p w:rsidR="000849FA" w:rsidRDefault="000849FA" w:rsidP="00753AC3">
            <w:r>
              <w:t>Various</w:t>
            </w:r>
          </w:p>
          <w:p w:rsidR="000849FA" w:rsidRDefault="000849FA" w:rsidP="00753AC3">
            <w:r>
              <w:t>(&lt;10)</w:t>
            </w:r>
          </w:p>
        </w:tc>
        <w:tc>
          <w:tcPr>
            <w:tcW w:w="2977" w:type="dxa"/>
          </w:tcPr>
          <w:p w:rsidR="000849FA" w:rsidRDefault="000849FA" w:rsidP="00753AC3">
            <w:r>
              <w:t>1.25</w:t>
            </w:r>
          </w:p>
        </w:tc>
      </w:tr>
      <w:tr w:rsidR="000849FA" w:rsidTr="00E21B29">
        <w:trPr>
          <w:jc w:val="center"/>
        </w:trPr>
        <w:tc>
          <w:tcPr>
            <w:tcW w:w="2933" w:type="dxa"/>
            <w:tcBorders>
              <w:bottom w:val="double" w:sz="4" w:space="0" w:color="auto"/>
            </w:tcBorders>
          </w:tcPr>
          <w:p w:rsidR="000849FA" w:rsidRDefault="000849FA" w:rsidP="00630992">
            <w:r>
              <w:t>Nawrot et al. 2002</w:t>
            </w:r>
          </w:p>
          <w:p w:rsidR="000849FA" w:rsidRDefault="000849FA" w:rsidP="00630992">
            <w:r>
              <w:rPr>
                <w:sz w:val="18"/>
                <w:szCs w:val="18"/>
              </w:rPr>
              <w:t>(meta-analysis)</w:t>
            </w:r>
          </w:p>
        </w:tc>
        <w:tc>
          <w:tcPr>
            <w:tcW w:w="2551" w:type="dxa"/>
            <w:tcBorders>
              <w:bottom w:val="double" w:sz="4" w:space="0" w:color="auto"/>
            </w:tcBorders>
          </w:tcPr>
          <w:p w:rsidR="000849FA" w:rsidRDefault="000849FA" w:rsidP="002B5D66">
            <w:r>
              <w:t>Various</w:t>
            </w:r>
          </w:p>
          <w:p w:rsidR="000849FA" w:rsidRDefault="000849FA" w:rsidP="002B5D66">
            <w:r>
              <w:t>(2-45)</w:t>
            </w:r>
          </w:p>
        </w:tc>
        <w:tc>
          <w:tcPr>
            <w:tcW w:w="2977" w:type="dxa"/>
            <w:tcBorders>
              <w:bottom w:val="double" w:sz="4" w:space="0" w:color="auto"/>
            </w:tcBorders>
          </w:tcPr>
          <w:p w:rsidR="000849FA" w:rsidRPr="00630992" w:rsidRDefault="000849FA" w:rsidP="002B5D66">
            <w:pPr>
              <w:rPr>
                <w:vertAlign w:val="superscript"/>
              </w:rPr>
            </w:pPr>
            <w:r>
              <w:t xml:space="preserve">1 </w:t>
            </w:r>
            <w:r>
              <w:rPr>
                <w:vertAlign w:val="superscript"/>
              </w:rPr>
              <w:t>a</w:t>
            </w:r>
          </w:p>
        </w:tc>
      </w:tr>
      <w:tr w:rsidR="00E649E8" w:rsidTr="00E21B29">
        <w:trPr>
          <w:jc w:val="center"/>
        </w:trPr>
        <w:tc>
          <w:tcPr>
            <w:tcW w:w="5484" w:type="dxa"/>
            <w:gridSpan w:val="2"/>
            <w:tcBorders>
              <w:top w:val="double" w:sz="4" w:space="0" w:color="auto"/>
              <w:bottom w:val="single" w:sz="8" w:space="0" w:color="auto"/>
            </w:tcBorders>
          </w:tcPr>
          <w:p w:rsidR="00E649E8" w:rsidRPr="00E649E8" w:rsidRDefault="009C250C" w:rsidP="00216408">
            <w:pPr>
              <w:rPr>
                <w:b/>
              </w:rPr>
            </w:pPr>
            <w:r w:rsidRPr="00216408">
              <w:rPr>
                <w:b/>
              </w:rPr>
              <w:t>Consolidating the above data at</w:t>
            </w:r>
            <w:r w:rsidR="00216408">
              <w:rPr>
                <w:b/>
              </w:rPr>
              <w:t>:</w:t>
            </w:r>
            <w:r w:rsidRPr="00216408">
              <w:rPr>
                <w:b/>
              </w:rPr>
              <w:t xml:space="preserve"> </w:t>
            </w:r>
            <w:r w:rsidR="00216408">
              <w:rPr>
                <w:b/>
              </w:rPr>
              <w:t xml:space="preserve">           </w:t>
            </w:r>
            <w:r w:rsidR="00E649E8">
              <w:rPr>
                <w:b/>
                <w:u w:val="single"/>
              </w:rPr>
              <w:t>&gt;</w:t>
            </w:r>
            <w:r w:rsidR="00E649E8">
              <w:rPr>
                <w:b/>
              </w:rPr>
              <w:t xml:space="preserve"> 30 </w:t>
            </w:r>
            <w:r w:rsidR="00E649E8" w:rsidRPr="00C973C2">
              <w:rPr>
                <w:rFonts w:cs="Arial"/>
                <w:b/>
              </w:rPr>
              <w:t>µg/dL</w:t>
            </w:r>
            <w:r w:rsidR="00E649E8">
              <w:rPr>
                <w:b/>
              </w:rPr>
              <w:t xml:space="preserve"> </w:t>
            </w:r>
          </w:p>
        </w:tc>
        <w:tc>
          <w:tcPr>
            <w:tcW w:w="2977" w:type="dxa"/>
            <w:tcBorders>
              <w:top w:val="double" w:sz="4" w:space="0" w:color="auto"/>
              <w:bottom w:val="single" w:sz="8" w:space="0" w:color="auto"/>
            </w:tcBorders>
          </w:tcPr>
          <w:p w:rsidR="00E649E8" w:rsidRDefault="00696232" w:rsidP="00696232">
            <w:r w:rsidRPr="00185D5A">
              <w:rPr>
                <w:u w:val="single"/>
              </w:rPr>
              <w:t>&lt;</w:t>
            </w:r>
            <w:r w:rsidR="00E649E8">
              <w:t>0.5</w:t>
            </w:r>
          </w:p>
        </w:tc>
      </w:tr>
      <w:tr w:rsidR="00E649E8" w:rsidTr="00E21B29">
        <w:trPr>
          <w:jc w:val="center"/>
        </w:trPr>
        <w:tc>
          <w:tcPr>
            <w:tcW w:w="5484" w:type="dxa"/>
            <w:gridSpan w:val="2"/>
            <w:tcBorders>
              <w:top w:val="single" w:sz="8" w:space="0" w:color="auto"/>
            </w:tcBorders>
          </w:tcPr>
          <w:p w:rsidR="00E649E8" w:rsidRPr="00E649E8" w:rsidRDefault="00E649E8" w:rsidP="00E649E8">
            <w:pPr>
              <w:jc w:val="right"/>
              <w:rPr>
                <w:b/>
              </w:rPr>
            </w:pPr>
            <w:r w:rsidRPr="00E649E8">
              <w:rPr>
                <w:b/>
              </w:rPr>
              <w:t xml:space="preserve">10 </w:t>
            </w:r>
            <w:r>
              <w:rPr>
                <w:b/>
              </w:rPr>
              <w:t>–</w:t>
            </w:r>
            <w:r w:rsidRPr="00E649E8">
              <w:rPr>
                <w:b/>
              </w:rPr>
              <w:t xml:space="preserve"> 30</w:t>
            </w:r>
            <w:r>
              <w:rPr>
                <w:b/>
              </w:rPr>
              <w:t xml:space="preserve"> </w:t>
            </w:r>
            <w:r w:rsidRPr="00C973C2">
              <w:rPr>
                <w:rFonts w:cs="Arial"/>
                <w:b/>
              </w:rPr>
              <w:t>µg/dL</w:t>
            </w:r>
          </w:p>
        </w:tc>
        <w:tc>
          <w:tcPr>
            <w:tcW w:w="2977" w:type="dxa"/>
            <w:tcBorders>
              <w:top w:val="single" w:sz="8" w:space="0" w:color="auto"/>
            </w:tcBorders>
          </w:tcPr>
          <w:p w:rsidR="00E649E8" w:rsidRDefault="00E649E8" w:rsidP="00696232">
            <w:r>
              <w:t>~1</w:t>
            </w:r>
          </w:p>
        </w:tc>
      </w:tr>
      <w:tr w:rsidR="00E649E8" w:rsidTr="00E21B29">
        <w:trPr>
          <w:jc w:val="center"/>
        </w:trPr>
        <w:tc>
          <w:tcPr>
            <w:tcW w:w="5484" w:type="dxa"/>
            <w:gridSpan w:val="2"/>
          </w:tcPr>
          <w:p w:rsidR="00E649E8" w:rsidRPr="00E649E8" w:rsidRDefault="00E649E8" w:rsidP="00E649E8">
            <w:pPr>
              <w:jc w:val="right"/>
              <w:rPr>
                <w:b/>
              </w:rPr>
            </w:pPr>
            <w:r>
              <w:rPr>
                <w:b/>
              </w:rPr>
              <w:t xml:space="preserve">&lt; 10 </w:t>
            </w:r>
            <w:r w:rsidRPr="00C973C2">
              <w:rPr>
                <w:rFonts w:cs="Arial"/>
                <w:b/>
              </w:rPr>
              <w:t>µg/dL</w:t>
            </w:r>
          </w:p>
        </w:tc>
        <w:tc>
          <w:tcPr>
            <w:tcW w:w="2977" w:type="dxa"/>
          </w:tcPr>
          <w:p w:rsidR="00E649E8" w:rsidRDefault="00696232" w:rsidP="00696232">
            <w:r>
              <w:t>1-1.5</w:t>
            </w:r>
          </w:p>
        </w:tc>
      </w:tr>
    </w:tbl>
    <w:p w:rsidR="008D1B2C" w:rsidRPr="00630992" w:rsidRDefault="008D1B2C" w:rsidP="008D1B2C">
      <w:pPr>
        <w:shd w:val="clear" w:color="auto" w:fill="FFFFFF" w:themeFill="background1"/>
        <w:spacing w:line="240" w:lineRule="auto"/>
        <w:ind w:left="142" w:hanging="142"/>
        <w:rPr>
          <w:sz w:val="18"/>
          <w:szCs w:val="18"/>
        </w:rPr>
      </w:pPr>
      <w:r>
        <w:rPr>
          <w:sz w:val="24"/>
          <w:szCs w:val="24"/>
          <w:vertAlign w:val="superscript"/>
        </w:rPr>
        <w:t>a</w:t>
      </w:r>
      <w:r>
        <w:rPr>
          <w:sz w:val="18"/>
          <w:szCs w:val="18"/>
        </w:rPr>
        <w:t xml:space="preserve"> Where an increase in systolic blood pressure was given per increase in PbB in units other than 5 </w:t>
      </w:r>
      <w:r w:rsidRPr="00630992">
        <w:rPr>
          <w:sz w:val="18"/>
          <w:szCs w:val="18"/>
        </w:rPr>
        <w:t>µg/dL</w:t>
      </w:r>
      <w:r>
        <w:rPr>
          <w:sz w:val="18"/>
          <w:szCs w:val="18"/>
        </w:rPr>
        <w:t xml:space="preserve">, the increase for every 5 </w:t>
      </w:r>
      <w:r w:rsidRPr="00630992">
        <w:rPr>
          <w:sz w:val="18"/>
          <w:szCs w:val="18"/>
        </w:rPr>
        <w:t>µg/dL</w:t>
      </w:r>
      <w:r>
        <w:rPr>
          <w:sz w:val="18"/>
          <w:szCs w:val="18"/>
        </w:rPr>
        <w:t xml:space="preserve"> was estimated by assuming a linear relationship (e.g. Glenn et al. </w:t>
      </w:r>
      <w:r w:rsidRPr="00630992">
        <w:rPr>
          <w:sz w:val="18"/>
          <w:szCs w:val="18"/>
        </w:rPr>
        <w:t>200</w:t>
      </w:r>
      <w:r>
        <w:rPr>
          <w:sz w:val="18"/>
          <w:szCs w:val="18"/>
        </w:rPr>
        <w:t>3 estimated an increase of 0.64 mmHg for every</w:t>
      </w:r>
      <w:r w:rsidRPr="00630992">
        <w:rPr>
          <w:sz w:val="18"/>
          <w:szCs w:val="18"/>
        </w:rPr>
        <w:t xml:space="preserve"> </w:t>
      </w:r>
      <w:r>
        <w:rPr>
          <w:sz w:val="18"/>
          <w:szCs w:val="18"/>
        </w:rPr>
        <w:t xml:space="preserve">2.6 </w:t>
      </w:r>
      <w:r w:rsidRPr="00630992">
        <w:rPr>
          <w:sz w:val="18"/>
          <w:szCs w:val="18"/>
        </w:rPr>
        <w:t>µg/dL</w:t>
      </w:r>
      <w:r>
        <w:rPr>
          <w:sz w:val="18"/>
          <w:szCs w:val="18"/>
        </w:rPr>
        <w:t xml:space="preserve"> of PbB. The increase for 5 </w:t>
      </w:r>
      <w:r w:rsidRPr="00630992">
        <w:rPr>
          <w:sz w:val="18"/>
          <w:szCs w:val="18"/>
        </w:rPr>
        <w:t>µg/dL</w:t>
      </w:r>
      <w:r>
        <w:rPr>
          <w:sz w:val="18"/>
          <w:szCs w:val="18"/>
        </w:rPr>
        <w:t xml:space="preserve"> of PbB was calculated as follows: 5</w:t>
      </w:r>
      <w:r w:rsidRPr="00630992">
        <w:rPr>
          <w:sz w:val="18"/>
          <w:szCs w:val="18"/>
        </w:rPr>
        <w:t xml:space="preserve"> µg/dL</w:t>
      </w:r>
      <w:r>
        <w:rPr>
          <w:sz w:val="18"/>
          <w:szCs w:val="18"/>
        </w:rPr>
        <w:t xml:space="preserve"> </w:t>
      </w:r>
      <w:r>
        <w:rPr>
          <w:rFonts w:cs="Arial"/>
          <w:sz w:val="18"/>
          <w:szCs w:val="18"/>
        </w:rPr>
        <w:t>÷</w:t>
      </w:r>
      <w:r>
        <w:rPr>
          <w:sz w:val="18"/>
          <w:szCs w:val="18"/>
        </w:rPr>
        <w:t xml:space="preserve"> 2.6 </w:t>
      </w:r>
      <w:r w:rsidRPr="00630992">
        <w:rPr>
          <w:sz w:val="18"/>
          <w:szCs w:val="18"/>
        </w:rPr>
        <w:t>µ</w:t>
      </w:r>
      <w:r>
        <w:rPr>
          <w:sz w:val="18"/>
          <w:szCs w:val="18"/>
        </w:rPr>
        <w:t xml:space="preserve">g/dL = 1.9; 1.9 x 0.64 mmHg = 1.2 mmHg). This was done for all studies in the table except for Schwartz (1995). There are uncertainties with calculating these rough estimates, because the table clearly shows the relationship between systolic blood pressure increase and PbB is not linear at all PbBs, but rather is steeper at lower PbB concentrations. </w:t>
      </w:r>
    </w:p>
    <w:p w:rsidR="00C973C2" w:rsidRPr="00C973C2" w:rsidRDefault="00C973C2" w:rsidP="002B5D66">
      <w:pPr>
        <w:shd w:val="clear" w:color="auto" w:fill="FFFFFF" w:themeFill="background1"/>
      </w:pPr>
    </w:p>
    <w:p w:rsidR="006C28B5" w:rsidRDefault="006C28B5" w:rsidP="002B5D66">
      <w:pPr>
        <w:shd w:val="clear" w:color="auto" w:fill="FFFFFF" w:themeFill="background1"/>
      </w:pPr>
    </w:p>
    <w:p w:rsidR="002B5D66" w:rsidRDefault="0080182D" w:rsidP="002B5D66">
      <w:pPr>
        <w:shd w:val="clear" w:color="auto" w:fill="FFFFFF" w:themeFill="background1"/>
      </w:pPr>
      <w:r w:rsidRPr="002B5D66">
        <w:t xml:space="preserve">Effect on blood pressure is not a health outcome </w:t>
      </w:r>
      <w:r w:rsidRPr="002B5D66">
        <w:rPr>
          <w:i/>
        </w:rPr>
        <w:t>per se</w:t>
      </w:r>
      <w:r w:rsidR="007C3FEB">
        <w:t xml:space="preserve"> but</w:t>
      </w:r>
      <w:r w:rsidRPr="002B5D66">
        <w:t xml:space="preserve"> a risk factor for cardiovascular and cerebrovascular disease. This risk is small </w:t>
      </w:r>
      <w:r w:rsidR="00696232">
        <w:t>for many individuals, h</w:t>
      </w:r>
      <w:r w:rsidRPr="002B5D66">
        <w:t>owever in a population it may be important</w:t>
      </w:r>
      <w:r w:rsidR="007C3FEB">
        <w:t>, since it could shift a population’s distribution to increase the percentage of individuals considered hypertensive</w:t>
      </w:r>
      <w:r w:rsidRPr="002B5D66">
        <w:t>.</w:t>
      </w:r>
      <w:r w:rsidR="00DD760F">
        <w:t xml:space="preserve">  </w:t>
      </w:r>
    </w:p>
    <w:p w:rsidR="009F71F1" w:rsidRDefault="009F71F1" w:rsidP="002B5D66">
      <w:pPr>
        <w:shd w:val="clear" w:color="auto" w:fill="FFFFFF" w:themeFill="background1"/>
      </w:pPr>
    </w:p>
    <w:p w:rsidR="00F030CD" w:rsidRDefault="00F030CD" w:rsidP="00F030CD">
      <w:pPr>
        <w:shd w:val="clear" w:color="auto" w:fill="FFFFFF" w:themeFill="background1"/>
      </w:pPr>
      <w:r w:rsidRPr="009F71F1">
        <w:t>Wh</w:t>
      </w:r>
      <w:r>
        <w:t>en</w:t>
      </w:r>
      <w:r w:rsidRPr="009F71F1">
        <w:t xml:space="preserve"> calculating the global burden of disease</w:t>
      </w:r>
      <w:r>
        <w:t xml:space="preserve"> in the year 2000</w:t>
      </w:r>
      <w:r w:rsidRPr="009F71F1">
        <w:t xml:space="preserve">, WHO (2004) estimated </w:t>
      </w:r>
      <w:r>
        <w:t>that each 10 mmHg below-usual systolic blood pressure was associated with 38% (95% CI 37, 39%) lower stroke risk and a 26% (95% CI 24, 29%) lower risk of ishemic heart disease. Each 10 mmHg below-usual systolic blood pressure was also associated with 46% (95% CI 40, 51%) and 18% (95% CI 15, 20%) lower risks of hypertensive disease and other cardiac disease (WHO 2004). It should be noted these estimates are for the general global population; no distinction was made by WHO (2004) between occupational and non-occupational populations. Therefore there is uncertainty in applying these estimates for calculating a health benefit to a healthy worker population</w:t>
      </w:r>
      <w:r>
        <w:rPr>
          <w:rStyle w:val="FootnoteReference"/>
        </w:rPr>
        <w:footnoteReference w:id="20"/>
      </w:r>
      <w:r>
        <w:t xml:space="preserve">. </w:t>
      </w:r>
    </w:p>
    <w:p w:rsidR="009F71F1" w:rsidRDefault="009F71F1" w:rsidP="009F71F1">
      <w:pPr>
        <w:shd w:val="clear" w:color="auto" w:fill="FFFFFF" w:themeFill="background1"/>
      </w:pPr>
    </w:p>
    <w:p w:rsidR="00F030CD" w:rsidRDefault="00F030CD" w:rsidP="00F030CD">
      <w:pPr>
        <w:shd w:val="clear" w:color="auto" w:fill="FFFFFF" w:themeFill="background1"/>
      </w:pPr>
      <w:r>
        <w:t xml:space="preserve">Combining these estimates with the information in </w:t>
      </w:r>
      <w:r w:rsidR="00DB05CC" w:rsidRPr="00216408">
        <w:t>Table 4</w:t>
      </w:r>
      <w:r w:rsidRPr="00216408">
        <w:t>.4,</w:t>
      </w:r>
      <w:r>
        <w:t xml:space="preserve"> rough estimates of the potential reductions in cardiovascular disease resulting from a change in the workplace PbB targets </w:t>
      </w:r>
      <w:r w:rsidR="00DF571E">
        <w:t xml:space="preserve">have been </w:t>
      </w:r>
      <w:r>
        <w:t xml:space="preserve">calculated and  provided in </w:t>
      </w:r>
      <w:r w:rsidR="00DB05CC" w:rsidRPr="00216408">
        <w:t>Table 4</w:t>
      </w:r>
      <w:r w:rsidRPr="00216408">
        <w:t>.5.</w:t>
      </w:r>
      <w:r>
        <w:t xml:space="preserve"> </w:t>
      </w:r>
      <w:r w:rsidR="00DF571E">
        <w:t xml:space="preserve"> </w:t>
      </w:r>
    </w:p>
    <w:p w:rsidR="007D6979" w:rsidRDefault="007D6979" w:rsidP="009F71F1">
      <w:pPr>
        <w:shd w:val="clear" w:color="auto" w:fill="FFFFFF" w:themeFill="background1"/>
      </w:pPr>
    </w:p>
    <w:p w:rsidR="00E649E8" w:rsidRPr="00DA7C70" w:rsidRDefault="00DA7C70" w:rsidP="00DA7C70">
      <w:pPr>
        <w:shd w:val="clear" w:color="auto" w:fill="FFFFFF" w:themeFill="background1"/>
      </w:pPr>
      <w:r>
        <w:t xml:space="preserve">Although changes in blood pressure are modest for an individual, given the prevalence of cardiovascular disease and </w:t>
      </w:r>
      <w:r w:rsidR="007D6BD6">
        <w:t xml:space="preserve">cost of medications to lower blood pressure, </w:t>
      </w:r>
      <w:r>
        <w:t>such change ha</w:t>
      </w:r>
      <w:r w:rsidR="00216408">
        <w:t>s</w:t>
      </w:r>
      <w:r>
        <w:t xml:space="preserve"> important health implications for the overall workforce</w:t>
      </w:r>
      <w:r w:rsidR="007D6BD6">
        <w:t xml:space="preserve">. </w:t>
      </w:r>
    </w:p>
    <w:p w:rsidR="00F030CD" w:rsidRDefault="00F030CD">
      <w:pPr>
        <w:rPr>
          <w:b/>
        </w:rPr>
      </w:pPr>
    </w:p>
    <w:p w:rsidR="00F030CD" w:rsidRDefault="00DB05CC" w:rsidP="00F030CD">
      <w:pPr>
        <w:shd w:val="clear" w:color="auto" w:fill="FFFFFF" w:themeFill="background1"/>
        <w:spacing w:line="240" w:lineRule="auto"/>
        <w:jc w:val="center"/>
        <w:rPr>
          <w:b/>
        </w:rPr>
      </w:pPr>
      <w:r>
        <w:rPr>
          <w:b/>
        </w:rPr>
        <w:t>Table 4</w:t>
      </w:r>
      <w:r w:rsidR="00F030CD">
        <w:rPr>
          <w:b/>
        </w:rPr>
        <w:t>.5: Estimated risk reduction of cardiovascular disease as a result of decreasing workplace PbB targets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Caption w:val="Table 4.5: Estimated risk reduction of cardiovascular disease as a result of decreasing workplace PbB targets"/>
      </w:tblPr>
      <w:tblGrid>
        <w:gridCol w:w="2093"/>
        <w:gridCol w:w="1134"/>
        <w:gridCol w:w="920"/>
        <w:gridCol w:w="922"/>
        <w:gridCol w:w="1418"/>
        <w:gridCol w:w="1276"/>
      </w:tblGrid>
      <w:tr w:rsidR="007D6979" w:rsidTr="006A5E40">
        <w:trPr>
          <w:tblHeader/>
          <w:jc w:val="center"/>
        </w:trPr>
        <w:tc>
          <w:tcPr>
            <w:tcW w:w="3227" w:type="dxa"/>
            <w:gridSpan w:val="2"/>
            <w:vMerge w:val="restart"/>
          </w:tcPr>
          <w:p w:rsidR="007D6979" w:rsidRPr="007D6979" w:rsidRDefault="007D6979" w:rsidP="009F71F1">
            <w:pPr>
              <w:rPr>
                <w:b/>
              </w:rPr>
            </w:pPr>
          </w:p>
        </w:tc>
        <w:tc>
          <w:tcPr>
            <w:tcW w:w="4536" w:type="dxa"/>
            <w:gridSpan w:val="4"/>
          </w:tcPr>
          <w:p w:rsidR="007D6979" w:rsidRPr="007D6979" w:rsidRDefault="007D6979" w:rsidP="007D6979">
            <w:pPr>
              <w:jc w:val="center"/>
              <w:rPr>
                <w:b/>
              </w:rPr>
            </w:pPr>
            <w:r>
              <w:rPr>
                <w:b/>
              </w:rPr>
              <w:t>Group</w:t>
            </w:r>
          </w:p>
        </w:tc>
      </w:tr>
      <w:tr w:rsidR="007D6979" w:rsidTr="006A5E40">
        <w:trPr>
          <w:tblHeader/>
          <w:jc w:val="center"/>
        </w:trPr>
        <w:tc>
          <w:tcPr>
            <w:tcW w:w="3227" w:type="dxa"/>
            <w:gridSpan w:val="2"/>
            <w:vMerge/>
            <w:tcBorders>
              <w:bottom w:val="single" w:sz="12" w:space="0" w:color="auto"/>
            </w:tcBorders>
          </w:tcPr>
          <w:p w:rsidR="007D6979" w:rsidRPr="007D6979" w:rsidRDefault="007D6979" w:rsidP="009F71F1">
            <w:pPr>
              <w:rPr>
                <w:b/>
              </w:rPr>
            </w:pPr>
          </w:p>
        </w:tc>
        <w:tc>
          <w:tcPr>
            <w:tcW w:w="1842" w:type="dxa"/>
            <w:gridSpan w:val="2"/>
            <w:tcBorders>
              <w:bottom w:val="single" w:sz="12" w:space="0" w:color="auto"/>
            </w:tcBorders>
          </w:tcPr>
          <w:p w:rsidR="007D6979" w:rsidRPr="007D6979" w:rsidRDefault="007D6979" w:rsidP="007D6979">
            <w:pPr>
              <w:jc w:val="center"/>
              <w:rPr>
                <w:b/>
              </w:rPr>
            </w:pPr>
            <w:r>
              <w:rPr>
                <w:b/>
              </w:rPr>
              <w:t>M &amp; FNR</w:t>
            </w:r>
          </w:p>
        </w:tc>
        <w:tc>
          <w:tcPr>
            <w:tcW w:w="1418" w:type="dxa"/>
            <w:tcBorders>
              <w:bottom w:val="single" w:sz="12" w:space="0" w:color="auto"/>
            </w:tcBorders>
          </w:tcPr>
          <w:p w:rsidR="007D6979" w:rsidRPr="007D6979" w:rsidRDefault="007D6979" w:rsidP="007D6979">
            <w:pPr>
              <w:jc w:val="center"/>
              <w:rPr>
                <w:b/>
              </w:rPr>
            </w:pPr>
            <w:r>
              <w:rPr>
                <w:b/>
              </w:rPr>
              <w:t>FR</w:t>
            </w:r>
          </w:p>
        </w:tc>
        <w:tc>
          <w:tcPr>
            <w:tcW w:w="1276" w:type="dxa"/>
            <w:tcBorders>
              <w:bottom w:val="single" w:sz="12" w:space="0" w:color="auto"/>
            </w:tcBorders>
          </w:tcPr>
          <w:p w:rsidR="007D6979" w:rsidRPr="007D6979" w:rsidRDefault="007D6979" w:rsidP="007D6979">
            <w:pPr>
              <w:jc w:val="center"/>
              <w:rPr>
                <w:b/>
              </w:rPr>
            </w:pPr>
            <w:r>
              <w:rPr>
                <w:b/>
              </w:rPr>
              <w:t>FP &amp; FB</w:t>
            </w:r>
          </w:p>
        </w:tc>
      </w:tr>
      <w:tr w:rsidR="007D6979" w:rsidTr="00E649E8">
        <w:trPr>
          <w:jc w:val="center"/>
        </w:trPr>
        <w:tc>
          <w:tcPr>
            <w:tcW w:w="3227" w:type="dxa"/>
            <w:gridSpan w:val="2"/>
            <w:tcBorders>
              <w:top w:val="single" w:sz="12" w:space="0" w:color="auto"/>
              <w:bottom w:val="single" w:sz="8" w:space="0" w:color="auto"/>
            </w:tcBorders>
          </w:tcPr>
          <w:p w:rsidR="007D6979" w:rsidRDefault="007D6979" w:rsidP="009F71F1">
            <w:pPr>
              <w:rPr>
                <w:b/>
              </w:rPr>
            </w:pPr>
            <w:r>
              <w:rPr>
                <w:b/>
              </w:rPr>
              <w:t xml:space="preserve">Current </w:t>
            </w:r>
            <w:r w:rsidR="00314205">
              <w:rPr>
                <w:b/>
              </w:rPr>
              <w:t>BLRL</w:t>
            </w:r>
            <w:r>
              <w:rPr>
                <w:b/>
              </w:rPr>
              <w:t xml:space="preserve"> (</w:t>
            </w:r>
            <w:r w:rsidRPr="007D6979">
              <w:rPr>
                <w:rFonts w:cs="Arial"/>
                <w:b/>
              </w:rPr>
              <w:t>µ</w:t>
            </w:r>
            <w:r>
              <w:rPr>
                <w:b/>
              </w:rPr>
              <w:t xml:space="preserve">g/dL) </w:t>
            </w:r>
          </w:p>
          <w:p w:rsidR="007D6979" w:rsidRPr="007D6979" w:rsidRDefault="007D6979" w:rsidP="009F71F1">
            <w:pPr>
              <w:rPr>
                <w:sz w:val="18"/>
                <w:szCs w:val="18"/>
              </w:rPr>
            </w:pPr>
            <w:r>
              <w:rPr>
                <w:sz w:val="18"/>
                <w:szCs w:val="18"/>
              </w:rPr>
              <w:t>(Section 2.1)</w:t>
            </w:r>
          </w:p>
        </w:tc>
        <w:tc>
          <w:tcPr>
            <w:tcW w:w="1842" w:type="dxa"/>
            <w:gridSpan w:val="2"/>
            <w:tcBorders>
              <w:top w:val="single" w:sz="12" w:space="0" w:color="auto"/>
              <w:bottom w:val="single" w:sz="8" w:space="0" w:color="auto"/>
            </w:tcBorders>
            <w:vAlign w:val="center"/>
          </w:tcPr>
          <w:p w:rsidR="007D6979" w:rsidRDefault="007D6979" w:rsidP="007D6979">
            <w:pPr>
              <w:jc w:val="center"/>
            </w:pPr>
            <w:r>
              <w:t>50</w:t>
            </w:r>
          </w:p>
        </w:tc>
        <w:tc>
          <w:tcPr>
            <w:tcW w:w="1418" w:type="dxa"/>
            <w:tcBorders>
              <w:top w:val="single" w:sz="12" w:space="0" w:color="auto"/>
              <w:bottom w:val="single" w:sz="8" w:space="0" w:color="auto"/>
            </w:tcBorders>
            <w:vAlign w:val="center"/>
          </w:tcPr>
          <w:p w:rsidR="007D6979" w:rsidRDefault="007D6979" w:rsidP="007D6979">
            <w:pPr>
              <w:jc w:val="center"/>
            </w:pPr>
            <w:r>
              <w:t>20</w:t>
            </w:r>
          </w:p>
        </w:tc>
        <w:tc>
          <w:tcPr>
            <w:tcW w:w="1276" w:type="dxa"/>
            <w:tcBorders>
              <w:top w:val="single" w:sz="12" w:space="0" w:color="auto"/>
              <w:bottom w:val="single" w:sz="8" w:space="0" w:color="auto"/>
            </w:tcBorders>
            <w:vAlign w:val="center"/>
          </w:tcPr>
          <w:p w:rsidR="007D6979" w:rsidRDefault="007D6979" w:rsidP="007D6979">
            <w:pPr>
              <w:jc w:val="center"/>
            </w:pPr>
            <w:r>
              <w:t>15</w:t>
            </w:r>
          </w:p>
        </w:tc>
      </w:tr>
      <w:tr w:rsidR="00E649E8" w:rsidTr="00E649E8">
        <w:trPr>
          <w:jc w:val="center"/>
        </w:trPr>
        <w:tc>
          <w:tcPr>
            <w:tcW w:w="3227" w:type="dxa"/>
            <w:gridSpan w:val="2"/>
            <w:tcBorders>
              <w:top w:val="single" w:sz="8" w:space="0" w:color="auto"/>
            </w:tcBorders>
          </w:tcPr>
          <w:p w:rsidR="00E649E8" w:rsidRDefault="00E649E8" w:rsidP="009F71F1">
            <w:pPr>
              <w:rPr>
                <w:b/>
              </w:rPr>
            </w:pPr>
            <w:r>
              <w:rPr>
                <w:b/>
              </w:rPr>
              <w:t xml:space="preserve">Suggested </w:t>
            </w:r>
            <w:r w:rsidR="00314205">
              <w:rPr>
                <w:b/>
              </w:rPr>
              <w:t>BLRL</w:t>
            </w:r>
            <w:r>
              <w:rPr>
                <w:b/>
              </w:rPr>
              <w:t xml:space="preserve"> (</w:t>
            </w:r>
            <w:r w:rsidRPr="007D6979">
              <w:rPr>
                <w:rFonts w:cs="Arial"/>
                <w:b/>
              </w:rPr>
              <w:t>µ</w:t>
            </w:r>
            <w:r>
              <w:rPr>
                <w:b/>
              </w:rPr>
              <w:t>g/dL)</w:t>
            </w:r>
          </w:p>
          <w:p w:rsidR="00E649E8" w:rsidRPr="007D6979" w:rsidRDefault="00E649E8" w:rsidP="009F71F1">
            <w:pPr>
              <w:rPr>
                <w:sz w:val="18"/>
                <w:szCs w:val="18"/>
              </w:rPr>
            </w:pPr>
            <w:r>
              <w:rPr>
                <w:sz w:val="18"/>
                <w:szCs w:val="18"/>
              </w:rPr>
              <w:t>(Section 5.3.3)</w:t>
            </w:r>
          </w:p>
        </w:tc>
        <w:tc>
          <w:tcPr>
            <w:tcW w:w="920" w:type="dxa"/>
            <w:tcBorders>
              <w:top w:val="single" w:sz="8" w:space="0" w:color="auto"/>
              <w:right w:val="single" w:sz="8" w:space="0" w:color="auto"/>
            </w:tcBorders>
            <w:vAlign w:val="center"/>
          </w:tcPr>
          <w:p w:rsidR="00E649E8" w:rsidRDefault="00E649E8" w:rsidP="007D6979">
            <w:pPr>
              <w:jc w:val="center"/>
            </w:pPr>
            <w:r>
              <w:t>20</w:t>
            </w:r>
          </w:p>
        </w:tc>
        <w:tc>
          <w:tcPr>
            <w:tcW w:w="922" w:type="dxa"/>
            <w:tcBorders>
              <w:top w:val="single" w:sz="8" w:space="0" w:color="auto"/>
              <w:left w:val="single" w:sz="8" w:space="0" w:color="auto"/>
            </w:tcBorders>
            <w:vAlign w:val="center"/>
          </w:tcPr>
          <w:p w:rsidR="00E649E8" w:rsidRDefault="00E649E8" w:rsidP="007D6979">
            <w:pPr>
              <w:jc w:val="center"/>
            </w:pPr>
            <w:r>
              <w:t>30</w:t>
            </w:r>
          </w:p>
        </w:tc>
        <w:tc>
          <w:tcPr>
            <w:tcW w:w="1418" w:type="dxa"/>
            <w:tcBorders>
              <w:top w:val="single" w:sz="8" w:space="0" w:color="auto"/>
            </w:tcBorders>
            <w:vAlign w:val="center"/>
          </w:tcPr>
          <w:p w:rsidR="00E649E8" w:rsidRDefault="00E649E8" w:rsidP="007D6979">
            <w:pPr>
              <w:jc w:val="center"/>
            </w:pPr>
            <w:r>
              <w:t>10</w:t>
            </w:r>
          </w:p>
        </w:tc>
        <w:tc>
          <w:tcPr>
            <w:tcW w:w="1276" w:type="dxa"/>
            <w:tcBorders>
              <w:top w:val="single" w:sz="8" w:space="0" w:color="auto"/>
            </w:tcBorders>
            <w:vAlign w:val="center"/>
          </w:tcPr>
          <w:p w:rsidR="00E649E8" w:rsidRDefault="00E649E8" w:rsidP="007D6979">
            <w:pPr>
              <w:jc w:val="center"/>
            </w:pPr>
            <w:r>
              <w:t>10</w:t>
            </w:r>
          </w:p>
        </w:tc>
      </w:tr>
      <w:tr w:rsidR="00E649E8" w:rsidTr="00E649E8">
        <w:trPr>
          <w:jc w:val="center"/>
        </w:trPr>
        <w:tc>
          <w:tcPr>
            <w:tcW w:w="3227" w:type="dxa"/>
            <w:gridSpan w:val="2"/>
          </w:tcPr>
          <w:p w:rsidR="00E649E8" w:rsidRDefault="00E649E8" w:rsidP="009F71F1">
            <w:pPr>
              <w:rPr>
                <w:b/>
              </w:rPr>
            </w:pPr>
            <w:r>
              <w:rPr>
                <w:b/>
              </w:rPr>
              <w:t xml:space="preserve">Estimated </w:t>
            </w:r>
            <w:r>
              <w:rPr>
                <w:rFonts w:ascii="Calibri" w:hAnsi="Calibri"/>
                <w:b/>
              </w:rPr>
              <w:t>↓</w:t>
            </w:r>
            <w:r>
              <w:rPr>
                <w:b/>
              </w:rPr>
              <w:t xml:space="preserve"> in SBP (mmHg)</w:t>
            </w:r>
          </w:p>
          <w:p w:rsidR="00E649E8" w:rsidRPr="00E649E8" w:rsidRDefault="00E649E8" w:rsidP="005E7AC4">
            <w:pPr>
              <w:rPr>
                <w:sz w:val="24"/>
                <w:szCs w:val="24"/>
                <w:vertAlign w:val="superscript"/>
              </w:rPr>
            </w:pPr>
            <w:r>
              <w:rPr>
                <w:sz w:val="18"/>
                <w:szCs w:val="18"/>
              </w:rPr>
              <w:t xml:space="preserve">(Table </w:t>
            </w:r>
            <w:r w:rsidR="005E7AC4">
              <w:rPr>
                <w:sz w:val="18"/>
                <w:szCs w:val="18"/>
              </w:rPr>
              <w:t>4</w:t>
            </w:r>
            <w:r>
              <w:rPr>
                <w:sz w:val="18"/>
                <w:szCs w:val="18"/>
              </w:rPr>
              <w:t xml:space="preserve">.4) </w:t>
            </w:r>
            <w:r>
              <w:rPr>
                <w:sz w:val="24"/>
                <w:szCs w:val="24"/>
                <w:vertAlign w:val="superscript"/>
              </w:rPr>
              <w:t>a</w:t>
            </w:r>
          </w:p>
        </w:tc>
        <w:tc>
          <w:tcPr>
            <w:tcW w:w="920" w:type="dxa"/>
            <w:tcBorders>
              <w:right w:val="single" w:sz="8" w:space="0" w:color="auto"/>
            </w:tcBorders>
            <w:vAlign w:val="center"/>
          </w:tcPr>
          <w:p w:rsidR="00E649E8" w:rsidRPr="00665FA6" w:rsidRDefault="00216408" w:rsidP="007D6979">
            <w:pPr>
              <w:jc w:val="center"/>
              <w:rPr>
                <w:vertAlign w:val="superscript"/>
              </w:rPr>
            </w:pPr>
            <w:r>
              <w:t>4</w:t>
            </w:r>
            <w:r w:rsidR="00665FA6">
              <w:t xml:space="preserve"> </w:t>
            </w:r>
            <w:r w:rsidR="00665FA6">
              <w:rPr>
                <w:vertAlign w:val="superscript"/>
              </w:rPr>
              <w:t>a</w:t>
            </w:r>
          </w:p>
        </w:tc>
        <w:tc>
          <w:tcPr>
            <w:tcW w:w="922" w:type="dxa"/>
            <w:tcBorders>
              <w:left w:val="single" w:sz="8" w:space="0" w:color="auto"/>
            </w:tcBorders>
            <w:vAlign w:val="center"/>
          </w:tcPr>
          <w:p w:rsidR="00E649E8" w:rsidRDefault="00DD262A" w:rsidP="007D6979">
            <w:pPr>
              <w:jc w:val="center"/>
            </w:pPr>
            <w:r>
              <w:t>2</w:t>
            </w:r>
          </w:p>
        </w:tc>
        <w:tc>
          <w:tcPr>
            <w:tcW w:w="1418" w:type="dxa"/>
            <w:vAlign w:val="center"/>
          </w:tcPr>
          <w:p w:rsidR="00E649E8" w:rsidRDefault="00DD262A" w:rsidP="007D6979">
            <w:pPr>
              <w:jc w:val="center"/>
            </w:pPr>
            <w:r>
              <w:t>2</w:t>
            </w:r>
          </w:p>
        </w:tc>
        <w:tc>
          <w:tcPr>
            <w:tcW w:w="1276" w:type="dxa"/>
            <w:vAlign w:val="center"/>
          </w:tcPr>
          <w:p w:rsidR="00E649E8" w:rsidRDefault="00DD262A" w:rsidP="007D6979">
            <w:pPr>
              <w:jc w:val="center"/>
            </w:pPr>
            <w:r>
              <w:t>1</w:t>
            </w:r>
          </w:p>
        </w:tc>
      </w:tr>
      <w:tr w:rsidR="00E649E8" w:rsidTr="00E649E8">
        <w:trPr>
          <w:jc w:val="center"/>
        </w:trPr>
        <w:tc>
          <w:tcPr>
            <w:tcW w:w="2093" w:type="dxa"/>
            <w:vMerge w:val="restart"/>
            <w:tcBorders>
              <w:right w:val="single" w:sz="8" w:space="0" w:color="auto"/>
            </w:tcBorders>
            <w:vAlign w:val="center"/>
          </w:tcPr>
          <w:p w:rsidR="00E649E8" w:rsidRPr="00F030CD" w:rsidRDefault="00E649E8" w:rsidP="00E649E8">
            <w:pPr>
              <w:rPr>
                <w:b/>
                <w:sz w:val="24"/>
                <w:szCs w:val="24"/>
                <w:vertAlign w:val="superscript"/>
              </w:rPr>
            </w:pPr>
            <w:r>
              <w:rPr>
                <w:b/>
              </w:rPr>
              <w:t xml:space="preserve">Estimated </w:t>
            </w:r>
            <w:r>
              <w:rPr>
                <w:rFonts w:ascii="Calibri" w:hAnsi="Calibri"/>
                <w:b/>
              </w:rPr>
              <w:t>↓</w:t>
            </w:r>
            <w:r>
              <w:rPr>
                <w:b/>
              </w:rPr>
              <w:t xml:space="preserve"> risk (%) </w:t>
            </w:r>
            <w:r w:rsidR="00F030CD" w:rsidRPr="00F030CD">
              <w:rPr>
                <w:sz w:val="24"/>
                <w:szCs w:val="24"/>
                <w:vertAlign w:val="superscript"/>
              </w:rPr>
              <w:t>b</w:t>
            </w:r>
          </w:p>
        </w:tc>
        <w:tc>
          <w:tcPr>
            <w:tcW w:w="1134" w:type="dxa"/>
            <w:tcBorders>
              <w:left w:val="single" w:sz="8" w:space="0" w:color="auto"/>
            </w:tcBorders>
            <w:vAlign w:val="center"/>
          </w:tcPr>
          <w:p w:rsidR="00E649E8" w:rsidRPr="0060090D" w:rsidRDefault="00E649E8" w:rsidP="00E649E8">
            <w:pPr>
              <w:rPr>
                <w:i/>
              </w:rPr>
            </w:pPr>
            <w:r w:rsidRPr="0060090D">
              <w:rPr>
                <w:i/>
              </w:rPr>
              <w:t>Stroke</w:t>
            </w:r>
          </w:p>
        </w:tc>
        <w:tc>
          <w:tcPr>
            <w:tcW w:w="920" w:type="dxa"/>
            <w:tcBorders>
              <w:right w:val="single" w:sz="8" w:space="0" w:color="auto"/>
            </w:tcBorders>
            <w:vAlign w:val="center"/>
          </w:tcPr>
          <w:p w:rsidR="00E649E8" w:rsidRDefault="00DD262A" w:rsidP="007D6979">
            <w:pPr>
              <w:jc w:val="center"/>
            </w:pPr>
            <w:r>
              <w:t>15</w:t>
            </w:r>
          </w:p>
        </w:tc>
        <w:tc>
          <w:tcPr>
            <w:tcW w:w="922" w:type="dxa"/>
            <w:tcBorders>
              <w:left w:val="single" w:sz="8" w:space="0" w:color="auto"/>
            </w:tcBorders>
            <w:vAlign w:val="center"/>
          </w:tcPr>
          <w:p w:rsidR="00E649E8" w:rsidRDefault="00DD262A" w:rsidP="007D6979">
            <w:pPr>
              <w:jc w:val="center"/>
            </w:pPr>
            <w:r>
              <w:t>8</w:t>
            </w:r>
          </w:p>
        </w:tc>
        <w:tc>
          <w:tcPr>
            <w:tcW w:w="1418" w:type="dxa"/>
            <w:vAlign w:val="center"/>
          </w:tcPr>
          <w:p w:rsidR="00E649E8" w:rsidRDefault="00DD262A" w:rsidP="00753AC3">
            <w:pPr>
              <w:jc w:val="center"/>
            </w:pPr>
            <w:r>
              <w:t>8</w:t>
            </w:r>
          </w:p>
        </w:tc>
        <w:tc>
          <w:tcPr>
            <w:tcW w:w="1276" w:type="dxa"/>
            <w:vAlign w:val="center"/>
          </w:tcPr>
          <w:p w:rsidR="00E649E8" w:rsidRDefault="00DD262A" w:rsidP="007D6979">
            <w:pPr>
              <w:jc w:val="center"/>
            </w:pPr>
            <w:r>
              <w:t>4</w:t>
            </w:r>
          </w:p>
        </w:tc>
      </w:tr>
      <w:tr w:rsidR="00E649E8" w:rsidTr="00E649E8">
        <w:trPr>
          <w:jc w:val="center"/>
        </w:trPr>
        <w:tc>
          <w:tcPr>
            <w:tcW w:w="2093" w:type="dxa"/>
            <w:vMerge/>
            <w:tcBorders>
              <w:right w:val="single" w:sz="8" w:space="0" w:color="auto"/>
            </w:tcBorders>
          </w:tcPr>
          <w:p w:rsidR="00E649E8" w:rsidRDefault="00E649E8" w:rsidP="009F71F1"/>
        </w:tc>
        <w:tc>
          <w:tcPr>
            <w:tcW w:w="1134" w:type="dxa"/>
            <w:tcBorders>
              <w:left w:val="single" w:sz="8" w:space="0" w:color="auto"/>
            </w:tcBorders>
            <w:vAlign w:val="center"/>
          </w:tcPr>
          <w:p w:rsidR="00E649E8" w:rsidRPr="00E649E8" w:rsidRDefault="00E649E8" w:rsidP="00E649E8">
            <w:pPr>
              <w:rPr>
                <w:i/>
              </w:rPr>
            </w:pPr>
            <w:r>
              <w:rPr>
                <w:i/>
              </w:rPr>
              <w:t>IHD</w:t>
            </w:r>
          </w:p>
        </w:tc>
        <w:tc>
          <w:tcPr>
            <w:tcW w:w="920" w:type="dxa"/>
            <w:tcBorders>
              <w:right w:val="single" w:sz="8" w:space="0" w:color="auto"/>
            </w:tcBorders>
            <w:vAlign w:val="center"/>
          </w:tcPr>
          <w:p w:rsidR="00E649E8" w:rsidRDefault="00DD262A" w:rsidP="007D6979">
            <w:pPr>
              <w:jc w:val="center"/>
            </w:pPr>
            <w:r>
              <w:t>10</w:t>
            </w:r>
          </w:p>
        </w:tc>
        <w:tc>
          <w:tcPr>
            <w:tcW w:w="922" w:type="dxa"/>
            <w:tcBorders>
              <w:left w:val="single" w:sz="8" w:space="0" w:color="auto"/>
            </w:tcBorders>
            <w:vAlign w:val="center"/>
          </w:tcPr>
          <w:p w:rsidR="00E649E8" w:rsidRDefault="00DD262A" w:rsidP="007D6979">
            <w:pPr>
              <w:jc w:val="center"/>
            </w:pPr>
            <w:r>
              <w:t>5</w:t>
            </w:r>
          </w:p>
        </w:tc>
        <w:tc>
          <w:tcPr>
            <w:tcW w:w="1418" w:type="dxa"/>
            <w:vAlign w:val="center"/>
          </w:tcPr>
          <w:p w:rsidR="00E649E8" w:rsidRDefault="00DD262A" w:rsidP="00753AC3">
            <w:pPr>
              <w:jc w:val="center"/>
            </w:pPr>
            <w:r>
              <w:t>5</w:t>
            </w:r>
          </w:p>
        </w:tc>
        <w:tc>
          <w:tcPr>
            <w:tcW w:w="1276" w:type="dxa"/>
            <w:vAlign w:val="center"/>
          </w:tcPr>
          <w:p w:rsidR="00E649E8" w:rsidRDefault="00DD262A" w:rsidP="007D6979">
            <w:pPr>
              <w:jc w:val="center"/>
            </w:pPr>
            <w:r>
              <w:t>3</w:t>
            </w:r>
          </w:p>
        </w:tc>
      </w:tr>
      <w:tr w:rsidR="00E649E8" w:rsidTr="00E649E8">
        <w:trPr>
          <w:jc w:val="center"/>
        </w:trPr>
        <w:tc>
          <w:tcPr>
            <w:tcW w:w="2093" w:type="dxa"/>
            <w:vMerge/>
            <w:tcBorders>
              <w:right w:val="single" w:sz="8" w:space="0" w:color="auto"/>
            </w:tcBorders>
          </w:tcPr>
          <w:p w:rsidR="00E649E8" w:rsidRDefault="00E649E8" w:rsidP="009F71F1"/>
        </w:tc>
        <w:tc>
          <w:tcPr>
            <w:tcW w:w="1134" w:type="dxa"/>
            <w:tcBorders>
              <w:left w:val="single" w:sz="8" w:space="0" w:color="auto"/>
            </w:tcBorders>
            <w:vAlign w:val="center"/>
          </w:tcPr>
          <w:p w:rsidR="00E649E8" w:rsidRPr="00E649E8" w:rsidRDefault="00E649E8" w:rsidP="00E649E8">
            <w:pPr>
              <w:rPr>
                <w:i/>
              </w:rPr>
            </w:pPr>
            <w:r>
              <w:rPr>
                <w:i/>
              </w:rPr>
              <w:t>HPT</w:t>
            </w:r>
          </w:p>
        </w:tc>
        <w:tc>
          <w:tcPr>
            <w:tcW w:w="920" w:type="dxa"/>
            <w:tcBorders>
              <w:right w:val="single" w:sz="8" w:space="0" w:color="auto"/>
            </w:tcBorders>
            <w:vAlign w:val="center"/>
          </w:tcPr>
          <w:p w:rsidR="00E649E8" w:rsidRDefault="00DD262A" w:rsidP="007D6979">
            <w:pPr>
              <w:jc w:val="center"/>
            </w:pPr>
            <w:r>
              <w:t>18</w:t>
            </w:r>
          </w:p>
        </w:tc>
        <w:tc>
          <w:tcPr>
            <w:tcW w:w="922" w:type="dxa"/>
            <w:tcBorders>
              <w:left w:val="single" w:sz="8" w:space="0" w:color="auto"/>
            </w:tcBorders>
            <w:vAlign w:val="center"/>
          </w:tcPr>
          <w:p w:rsidR="00E649E8" w:rsidRDefault="00DD262A" w:rsidP="007D6979">
            <w:pPr>
              <w:jc w:val="center"/>
            </w:pPr>
            <w:r>
              <w:t>9</w:t>
            </w:r>
          </w:p>
        </w:tc>
        <w:tc>
          <w:tcPr>
            <w:tcW w:w="1418" w:type="dxa"/>
            <w:vAlign w:val="center"/>
          </w:tcPr>
          <w:p w:rsidR="00E649E8" w:rsidRDefault="00DD262A" w:rsidP="00753AC3">
            <w:pPr>
              <w:jc w:val="center"/>
            </w:pPr>
            <w:r>
              <w:t>9</w:t>
            </w:r>
          </w:p>
        </w:tc>
        <w:tc>
          <w:tcPr>
            <w:tcW w:w="1276" w:type="dxa"/>
            <w:vAlign w:val="center"/>
          </w:tcPr>
          <w:p w:rsidR="00E649E8" w:rsidRDefault="00DD262A" w:rsidP="007D6979">
            <w:pPr>
              <w:jc w:val="center"/>
            </w:pPr>
            <w:r>
              <w:t>5</w:t>
            </w:r>
          </w:p>
        </w:tc>
      </w:tr>
      <w:tr w:rsidR="00E649E8" w:rsidTr="00E649E8">
        <w:trPr>
          <w:jc w:val="center"/>
        </w:trPr>
        <w:tc>
          <w:tcPr>
            <w:tcW w:w="2093" w:type="dxa"/>
            <w:vMerge/>
            <w:tcBorders>
              <w:right w:val="single" w:sz="8" w:space="0" w:color="auto"/>
            </w:tcBorders>
          </w:tcPr>
          <w:p w:rsidR="00E649E8" w:rsidRDefault="00E649E8" w:rsidP="009F71F1"/>
        </w:tc>
        <w:tc>
          <w:tcPr>
            <w:tcW w:w="1134" w:type="dxa"/>
            <w:tcBorders>
              <w:left w:val="single" w:sz="8" w:space="0" w:color="auto"/>
            </w:tcBorders>
            <w:vAlign w:val="center"/>
          </w:tcPr>
          <w:p w:rsidR="00E649E8" w:rsidRPr="00E649E8" w:rsidRDefault="00E649E8" w:rsidP="00E649E8">
            <w:pPr>
              <w:rPr>
                <w:i/>
              </w:rPr>
            </w:pPr>
            <w:r>
              <w:rPr>
                <w:i/>
              </w:rPr>
              <w:t>Other</w:t>
            </w:r>
          </w:p>
        </w:tc>
        <w:tc>
          <w:tcPr>
            <w:tcW w:w="920" w:type="dxa"/>
            <w:tcBorders>
              <w:right w:val="single" w:sz="8" w:space="0" w:color="auto"/>
            </w:tcBorders>
            <w:vAlign w:val="center"/>
          </w:tcPr>
          <w:p w:rsidR="00E649E8" w:rsidRDefault="00DD262A" w:rsidP="007D6979">
            <w:pPr>
              <w:jc w:val="center"/>
            </w:pPr>
            <w:r>
              <w:t>7</w:t>
            </w:r>
          </w:p>
        </w:tc>
        <w:tc>
          <w:tcPr>
            <w:tcW w:w="922" w:type="dxa"/>
            <w:tcBorders>
              <w:left w:val="single" w:sz="8" w:space="0" w:color="auto"/>
            </w:tcBorders>
            <w:vAlign w:val="center"/>
          </w:tcPr>
          <w:p w:rsidR="00E649E8" w:rsidRDefault="00DD262A" w:rsidP="007D6979">
            <w:pPr>
              <w:jc w:val="center"/>
            </w:pPr>
            <w:r>
              <w:t>4</w:t>
            </w:r>
          </w:p>
        </w:tc>
        <w:tc>
          <w:tcPr>
            <w:tcW w:w="1418" w:type="dxa"/>
            <w:vAlign w:val="center"/>
          </w:tcPr>
          <w:p w:rsidR="00E649E8" w:rsidRDefault="00DD262A" w:rsidP="00753AC3">
            <w:pPr>
              <w:jc w:val="center"/>
            </w:pPr>
            <w:r>
              <w:t>4</w:t>
            </w:r>
          </w:p>
        </w:tc>
        <w:tc>
          <w:tcPr>
            <w:tcW w:w="1276" w:type="dxa"/>
            <w:vAlign w:val="center"/>
          </w:tcPr>
          <w:p w:rsidR="00E649E8" w:rsidRDefault="00DD262A" w:rsidP="007D6979">
            <w:pPr>
              <w:jc w:val="center"/>
            </w:pPr>
            <w:r>
              <w:t>2</w:t>
            </w:r>
          </w:p>
        </w:tc>
      </w:tr>
    </w:tbl>
    <w:p w:rsidR="00F030CD" w:rsidRPr="000C7288" w:rsidRDefault="00314205" w:rsidP="00F030CD">
      <w:pPr>
        <w:shd w:val="clear" w:color="auto" w:fill="FFFFFF" w:themeFill="background1"/>
        <w:spacing w:line="240" w:lineRule="auto"/>
        <w:rPr>
          <w:color w:val="000000" w:themeColor="text1"/>
          <w:sz w:val="18"/>
          <w:szCs w:val="18"/>
        </w:rPr>
      </w:pPr>
      <w:r w:rsidRPr="000C7288">
        <w:rPr>
          <w:color w:val="000000" w:themeColor="text1"/>
          <w:sz w:val="18"/>
          <w:szCs w:val="18"/>
        </w:rPr>
        <w:t>BLRL</w:t>
      </w:r>
      <w:r w:rsidR="00F030CD" w:rsidRPr="000C7288">
        <w:rPr>
          <w:color w:val="000000" w:themeColor="text1"/>
          <w:sz w:val="18"/>
          <w:szCs w:val="18"/>
        </w:rPr>
        <w:t xml:space="preserve"> = blood lead removal level; M = males; FNR = females not of reproductive capacity; FR = females of reproductive capacity; FP = females who are pregnant; FB = females who are breastfeeding; SBP = systolic blood pressure; IHD = ishemic heart disease; HPT = hypertensive disease</w:t>
      </w:r>
      <w:r w:rsidR="000C7288" w:rsidRPr="000C7288">
        <w:rPr>
          <w:color w:val="000000" w:themeColor="text1"/>
          <w:sz w:val="18"/>
          <w:szCs w:val="18"/>
        </w:rPr>
        <w:t xml:space="preserve">; Other = other cardiac disease; </w:t>
      </w:r>
      <w:r w:rsidR="000C7288" w:rsidRPr="000C7288">
        <w:rPr>
          <w:rFonts w:ascii="MS PGothic" w:hAnsi="MS PGothic" w:hint="eastAsia"/>
          <w:color w:val="000000" w:themeColor="text1"/>
          <w:sz w:val="18"/>
          <w:szCs w:val="18"/>
          <w:lang w:val="en-US"/>
        </w:rPr>
        <w:t>↓</w:t>
      </w:r>
      <w:r w:rsidR="000C7288" w:rsidRPr="000C7288">
        <w:rPr>
          <w:color w:val="000000" w:themeColor="text1"/>
          <w:sz w:val="18"/>
          <w:szCs w:val="18"/>
        </w:rPr>
        <w:t>= decrease</w:t>
      </w:r>
    </w:p>
    <w:p w:rsidR="00F030CD" w:rsidRDefault="00F030CD" w:rsidP="00F030CD">
      <w:pPr>
        <w:shd w:val="clear" w:color="auto" w:fill="FFFFFF" w:themeFill="background1"/>
        <w:spacing w:line="240" w:lineRule="auto"/>
        <w:ind w:left="142" w:hanging="142"/>
        <w:rPr>
          <w:sz w:val="18"/>
          <w:szCs w:val="18"/>
        </w:rPr>
      </w:pPr>
      <w:r>
        <w:rPr>
          <w:sz w:val="24"/>
          <w:szCs w:val="24"/>
          <w:vertAlign w:val="superscript"/>
        </w:rPr>
        <w:t>a</w:t>
      </w:r>
      <w:r>
        <w:rPr>
          <w:sz w:val="18"/>
          <w:szCs w:val="18"/>
        </w:rPr>
        <w:t xml:space="preserve"> The estimated decrease in systolic blood pressure was calculated using the estimates in Table </w:t>
      </w:r>
      <w:r w:rsidR="00DF571E">
        <w:rPr>
          <w:sz w:val="18"/>
          <w:szCs w:val="18"/>
        </w:rPr>
        <w:t>4</w:t>
      </w:r>
      <w:r>
        <w:rPr>
          <w:sz w:val="18"/>
          <w:szCs w:val="18"/>
        </w:rPr>
        <w:t xml:space="preserve">.4. For example, for a reduction from 50 to 20 </w:t>
      </w:r>
      <w:r w:rsidRPr="00B87E0A">
        <w:rPr>
          <w:sz w:val="18"/>
          <w:szCs w:val="18"/>
        </w:rPr>
        <w:t>µg/dL</w:t>
      </w:r>
      <w:r>
        <w:rPr>
          <w:sz w:val="18"/>
          <w:szCs w:val="18"/>
        </w:rPr>
        <w:t xml:space="preserve">: </w:t>
      </w:r>
    </w:p>
    <w:p w:rsidR="00F030CD" w:rsidRDefault="00F030CD" w:rsidP="00242F1D">
      <w:pPr>
        <w:pStyle w:val="ListParagraph"/>
        <w:numPr>
          <w:ilvl w:val="0"/>
          <w:numId w:val="28"/>
        </w:numPr>
        <w:shd w:val="clear" w:color="auto" w:fill="FFFFFF" w:themeFill="background1"/>
        <w:spacing w:line="240" w:lineRule="auto"/>
        <w:rPr>
          <w:sz w:val="18"/>
          <w:szCs w:val="18"/>
        </w:rPr>
      </w:pPr>
      <w:r>
        <w:rPr>
          <w:sz w:val="18"/>
          <w:szCs w:val="18"/>
        </w:rPr>
        <w:t>F</w:t>
      </w:r>
      <w:r w:rsidRPr="00B87E0A">
        <w:rPr>
          <w:sz w:val="18"/>
          <w:szCs w:val="18"/>
        </w:rPr>
        <w:t>rom 50 to 30 µg/dL (difference of 20 µg/dL) the estimated decrease in SBP is 0.5 mmHg per 5 µg/dL.</w:t>
      </w:r>
      <w:r>
        <w:rPr>
          <w:sz w:val="18"/>
          <w:szCs w:val="18"/>
        </w:rPr>
        <w:t xml:space="preserve"> This gives 0.5 mmHg</w:t>
      </w:r>
      <w:r w:rsidR="00216408">
        <w:rPr>
          <w:sz w:val="18"/>
          <w:szCs w:val="18"/>
        </w:rPr>
        <w:t xml:space="preserve">/5 </w:t>
      </w:r>
      <w:r w:rsidR="00216408" w:rsidRPr="00B87E0A">
        <w:rPr>
          <w:sz w:val="18"/>
          <w:szCs w:val="18"/>
        </w:rPr>
        <w:t>µg/dL</w:t>
      </w:r>
      <w:r w:rsidR="00216408">
        <w:rPr>
          <w:sz w:val="18"/>
          <w:szCs w:val="18"/>
        </w:rPr>
        <w:t xml:space="preserve"> </w:t>
      </w:r>
      <w:r>
        <w:rPr>
          <w:sz w:val="18"/>
          <w:szCs w:val="18"/>
        </w:rPr>
        <w:t xml:space="preserve"> x </w:t>
      </w:r>
      <w:r w:rsidR="00216408">
        <w:rPr>
          <w:sz w:val="18"/>
          <w:szCs w:val="18"/>
        </w:rPr>
        <w:t>(</w:t>
      </w:r>
      <w:r>
        <w:rPr>
          <w:sz w:val="18"/>
          <w:szCs w:val="18"/>
        </w:rPr>
        <w:t>20</w:t>
      </w:r>
      <w:r w:rsidR="00216408">
        <w:rPr>
          <w:sz w:val="18"/>
          <w:szCs w:val="18"/>
        </w:rPr>
        <w:t>)</w:t>
      </w:r>
      <w:r>
        <w:rPr>
          <w:sz w:val="18"/>
          <w:szCs w:val="18"/>
        </w:rPr>
        <w:t xml:space="preserve"> </w:t>
      </w:r>
      <w:r w:rsidRPr="00B87E0A">
        <w:rPr>
          <w:sz w:val="18"/>
          <w:szCs w:val="18"/>
        </w:rPr>
        <w:t>µg/dL</w:t>
      </w:r>
      <w:r w:rsidR="00216408">
        <w:rPr>
          <w:sz w:val="18"/>
          <w:szCs w:val="18"/>
        </w:rPr>
        <w:t xml:space="preserve"> = 2</w:t>
      </w:r>
      <w:r>
        <w:rPr>
          <w:sz w:val="18"/>
          <w:szCs w:val="18"/>
        </w:rPr>
        <w:t xml:space="preserve"> mmHg. </w:t>
      </w:r>
    </w:p>
    <w:p w:rsidR="00F030CD" w:rsidRDefault="00F030CD" w:rsidP="00242F1D">
      <w:pPr>
        <w:pStyle w:val="ListParagraph"/>
        <w:numPr>
          <w:ilvl w:val="0"/>
          <w:numId w:val="28"/>
        </w:numPr>
        <w:shd w:val="clear" w:color="auto" w:fill="FFFFFF" w:themeFill="background1"/>
        <w:spacing w:line="240" w:lineRule="auto"/>
        <w:rPr>
          <w:sz w:val="18"/>
          <w:szCs w:val="18"/>
        </w:rPr>
      </w:pPr>
      <w:r>
        <w:rPr>
          <w:sz w:val="18"/>
          <w:szCs w:val="18"/>
        </w:rPr>
        <w:t xml:space="preserve">The remaining difference of 10 </w:t>
      </w:r>
      <w:r w:rsidRPr="00B87E0A">
        <w:rPr>
          <w:sz w:val="18"/>
          <w:szCs w:val="18"/>
        </w:rPr>
        <w:t>µg/dL</w:t>
      </w:r>
      <w:r>
        <w:rPr>
          <w:sz w:val="18"/>
          <w:szCs w:val="18"/>
        </w:rPr>
        <w:t xml:space="preserve"> from 30 to 20 </w:t>
      </w:r>
      <w:r w:rsidRPr="00B87E0A">
        <w:rPr>
          <w:sz w:val="18"/>
          <w:szCs w:val="18"/>
        </w:rPr>
        <w:t>µg/dL</w:t>
      </w:r>
      <w:r>
        <w:rPr>
          <w:sz w:val="18"/>
          <w:szCs w:val="18"/>
        </w:rPr>
        <w:t xml:space="preserve"> is associated with a decrease in SBP of 1 mmHg</w:t>
      </w:r>
      <w:r w:rsidR="00602D1B">
        <w:rPr>
          <w:sz w:val="18"/>
          <w:szCs w:val="18"/>
        </w:rPr>
        <w:t xml:space="preserve"> per 5 </w:t>
      </w:r>
      <w:r w:rsidR="00602D1B" w:rsidRPr="00602D1B">
        <w:rPr>
          <w:sz w:val="18"/>
          <w:szCs w:val="18"/>
        </w:rPr>
        <w:t>µg/dL</w:t>
      </w:r>
      <w:r>
        <w:rPr>
          <w:sz w:val="18"/>
          <w:szCs w:val="18"/>
        </w:rPr>
        <w:t>. This gives 1 mmHg</w:t>
      </w:r>
      <w:r w:rsidR="00216408">
        <w:rPr>
          <w:sz w:val="18"/>
          <w:szCs w:val="18"/>
        </w:rPr>
        <w:t xml:space="preserve">/5 </w:t>
      </w:r>
      <w:r w:rsidR="00216408" w:rsidRPr="00B87E0A">
        <w:rPr>
          <w:sz w:val="18"/>
          <w:szCs w:val="18"/>
        </w:rPr>
        <w:t>µg/dL</w:t>
      </w:r>
      <w:r>
        <w:rPr>
          <w:sz w:val="18"/>
          <w:szCs w:val="18"/>
        </w:rPr>
        <w:t xml:space="preserve"> x 10 </w:t>
      </w:r>
      <w:r w:rsidRPr="00B87E0A">
        <w:rPr>
          <w:sz w:val="18"/>
          <w:szCs w:val="18"/>
        </w:rPr>
        <w:t>µg/dL</w:t>
      </w:r>
      <w:r w:rsidR="00216408">
        <w:rPr>
          <w:sz w:val="18"/>
          <w:szCs w:val="18"/>
        </w:rPr>
        <w:t xml:space="preserve"> = 2</w:t>
      </w:r>
      <w:r>
        <w:rPr>
          <w:sz w:val="18"/>
          <w:szCs w:val="18"/>
        </w:rPr>
        <w:t xml:space="preserve"> mmHg.</w:t>
      </w:r>
    </w:p>
    <w:p w:rsidR="00F030CD" w:rsidRDefault="00F030CD" w:rsidP="00242F1D">
      <w:pPr>
        <w:pStyle w:val="ListParagraph"/>
        <w:numPr>
          <w:ilvl w:val="0"/>
          <w:numId w:val="28"/>
        </w:numPr>
        <w:shd w:val="clear" w:color="auto" w:fill="FFFFFF" w:themeFill="background1"/>
        <w:spacing w:line="240" w:lineRule="auto"/>
        <w:rPr>
          <w:sz w:val="18"/>
          <w:szCs w:val="18"/>
        </w:rPr>
      </w:pPr>
      <w:r>
        <w:rPr>
          <w:sz w:val="18"/>
          <w:szCs w:val="18"/>
        </w:rPr>
        <w:t xml:space="preserve">Adding both estimates together gives a total estimated reduction of </w:t>
      </w:r>
      <w:r w:rsidR="00602D1B">
        <w:rPr>
          <w:sz w:val="18"/>
          <w:szCs w:val="18"/>
        </w:rPr>
        <w:t>4</w:t>
      </w:r>
      <w:r>
        <w:rPr>
          <w:sz w:val="18"/>
          <w:szCs w:val="18"/>
        </w:rPr>
        <w:t xml:space="preserve"> mmHg in SBP. </w:t>
      </w:r>
      <w:r w:rsidRPr="00B87E0A">
        <w:rPr>
          <w:sz w:val="18"/>
          <w:szCs w:val="18"/>
        </w:rPr>
        <w:t xml:space="preserve"> </w:t>
      </w:r>
    </w:p>
    <w:p w:rsidR="00F030CD" w:rsidRPr="00F030CD" w:rsidRDefault="00F030CD" w:rsidP="00F030CD">
      <w:pPr>
        <w:shd w:val="clear" w:color="auto" w:fill="FFFFFF" w:themeFill="background1"/>
        <w:spacing w:line="240" w:lineRule="auto"/>
        <w:ind w:left="142" w:hanging="142"/>
        <w:rPr>
          <w:sz w:val="18"/>
          <w:szCs w:val="18"/>
        </w:rPr>
      </w:pPr>
      <w:r>
        <w:rPr>
          <w:sz w:val="24"/>
          <w:szCs w:val="24"/>
          <w:vertAlign w:val="superscript"/>
        </w:rPr>
        <w:t>b</w:t>
      </w:r>
      <w:r>
        <w:rPr>
          <w:sz w:val="18"/>
          <w:szCs w:val="18"/>
        </w:rPr>
        <w:t xml:space="preserve"> Estimated using the risk estimates from WHO (2004) for </w:t>
      </w:r>
      <w:r w:rsidRPr="00F030CD">
        <w:rPr>
          <w:sz w:val="18"/>
          <w:szCs w:val="18"/>
        </w:rPr>
        <w:t>10 mmHg below-usual systolic blood pressure</w:t>
      </w:r>
      <w:r>
        <w:rPr>
          <w:sz w:val="18"/>
          <w:szCs w:val="18"/>
        </w:rPr>
        <w:t xml:space="preserve"> in the general population (see text)</w:t>
      </w:r>
      <w:r w:rsidR="00DD262A">
        <w:rPr>
          <w:sz w:val="18"/>
          <w:szCs w:val="18"/>
        </w:rPr>
        <w:t>; estimates were rounded</w:t>
      </w:r>
      <w:r>
        <w:rPr>
          <w:sz w:val="18"/>
          <w:szCs w:val="18"/>
        </w:rPr>
        <w:t xml:space="preserve">. </w:t>
      </w:r>
      <w:r w:rsidR="00216408">
        <w:rPr>
          <w:sz w:val="18"/>
          <w:szCs w:val="18"/>
        </w:rPr>
        <w:t xml:space="preserve">If the estimated reduction in systolic blood pressure was less than 10 mmHg, it was assumed for the calculation that the expected risk reduction is linearly proportional. For example, for a reduction in SBP of 4 mmHg the decreased risk of stroke was calculated as follows: 4mmHg/10mmHg x </w:t>
      </w:r>
      <w:r w:rsidR="00DD262A">
        <w:rPr>
          <w:sz w:val="18"/>
          <w:szCs w:val="18"/>
        </w:rPr>
        <w:t xml:space="preserve">38% = 15.2% (rounded to 15%). </w:t>
      </w:r>
      <w:r w:rsidR="00216408">
        <w:rPr>
          <w:sz w:val="18"/>
          <w:szCs w:val="18"/>
        </w:rPr>
        <w:t xml:space="preserve"> </w:t>
      </w:r>
    </w:p>
    <w:p w:rsidR="00E649E8" w:rsidRDefault="00E649E8" w:rsidP="002B5D66">
      <w:pPr>
        <w:shd w:val="clear" w:color="auto" w:fill="FFFFFF" w:themeFill="background1"/>
      </w:pPr>
    </w:p>
    <w:p w:rsidR="009C250C" w:rsidRDefault="009C250C" w:rsidP="002B5D66">
      <w:pPr>
        <w:shd w:val="clear" w:color="auto" w:fill="FFFFFF" w:themeFill="background1"/>
      </w:pPr>
    </w:p>
    <w:p w:rsidR="002832F4" w:rsidRDefault="00F030CD" w:rsidP="00590646">
      <w:pPr>
        <w:shd w:val="clear" w:color="auto" w:fill="FFFFFF" w:themeFill="background1"/>
      </w:pPr>
      <w:r>
        <w:t xml:space="preserve">A summary of available ORs for associations of PbB with hypertension incidence or prevalence is provided in </w:t>
      </w:r>
      <w:r w:rsidR="00DB05CC" w:rsidRPr="00DD262A">
        <w:t>Table 4</w:t>
      </w:r>
      <w:r w:rsidRPr="00DD262A">
        <w:t>.</w:t>
      </w:r>
      <w:r w:rsidR="00DF571E">
        <w:t>6</w:t>
      </w:r>
      <w:r w:rsidRPr="00DD262A">
        <w:t>.</w:t>
      </w:r>
      <w:r>
        <w:t xml:space="preserve"> Grey shading indicates the ORs which are not statistically significant. These studies have been used to construct </w:t>
      </w:r>
      <w:r w:rsidR="00DB05CC" w:rsidRPr="00DD262A">
        <w:t>Figure 4</w:t>
      </w:r>
      <w:r w:rsidRPr="00DD262A">
        <w:t>.1,</w:t>
      </w:r>
      <w:r>
        <w:t xml:space="preserve"> a pictorial representation of the ORs. Only two occupational studies </w:t>
      </w:r>
      <w:r w:rsidR="00DF571E">
        <w:t>were</w:t>
      </w:r>
      <w:r>
        <w:t xml:space="preserve"> located reporting ORs for hypertension, and neither ORs were significant</w:t>
      </w:r>
      <w:r w:rsidR="008217EA">
        <w:t xml:space="preserve">. </w:t>
      </w:r>
      <w:r w:rsidR="00543DEB">
        <w:t xml:space="preserve"> </w:t>
      </w:r>
      <w:r w:rsidR="00770FC9">
        <w:t>Note that not all studies investigating associations between PbB and hypertension are reported in Table 4.6, there are many studies showing an association that do not calculate ORs.</w:t>
      </w:r>
    </w:p>
    <w:p w:rsidR="00A861C6" w:rsidRDefault="00A861C6" w:rsidP="00590646">
      <w:pPr>
        <w:shd w:val="clear" w:color="auto" w:fill="FFFFFF" w:themeFill="background1"/>
      </w:pPr>
    </w:p>
    <w:p w:rsidR="00A861C6" w:rsidRDefault="00A861C6" w:rsidP="00A861C6">
      <w:r>
        <w:t>It is evident from the studies in Table</w:t>
      </w:r>
      <w:r w:rsidR="00DB05CC">
        <w:t xml:space="preserve"> 4</w:t>
      </w:r>
      <w:r>
        <w:t>.</w:t>
      </w:r>
      <w:r w:rsidR="00DF571E">
        <w:t xml:space="preserve">6 </w:t>
      </w:r>
      <w:r>
        <w:t xml:space="preserve">the </w:t>
      </w:r>
      <w:r w:rsidR="00BB3167">
        <w:t>many</w:t>
      </w:r>
      <w:r>
        <w:t xml:space="preserve"> ORs for hypertension incidence are not statistically significant. The only studies which have investigated the association between hypertension incidence and </w:t>
      </w:r>
      <w:r w:rsidR="00BE2EAA">
        <w:t>l</w:t>
      </w:r>
      <w:r w:rsidR="00637B4C">
        <w:t>ead</w:t>
      </w:r>
      <w:r w:rsidR="00BE2EAA">
        <w:t xml:space="preserve"> </w:t>
      </w:r>
      <w:r>
        <w:t xml:space="preserve">exposure at PbB levels close to the current </w:t>
      </w:r>
      <w:r w:rsidR="00314205">
        <w:t>BLRL</w:t>
      </w:r>
      <w:r>
        <w:t xml:space="preserve"> are the occupational studies (de Kort et al. 1987, Tepper et ak. 2001). In both studies the </w:t>
      </w:r>
      <w:r w:rsidRPr="00A861C6">
        <w:t>OR</w:t>
      </w:r>
      <w:r>
        <w:t>s for hypertension were</w:t>
      </w:r>
      <w:r w:rsidRPr="00A861C6">
        <w:t xml:space="preserve"> not statistically significant. </w:t>
      </w:r>
    </w:p>
    <w:p w:rsidR="00A861C6" w:rsidRDefault="00A861C6" w:rsidP="00A861C6"/>
    <w:p w:rsidR="00A0730C" w:rsidRDefault="00533727" w:rsidP="00590646">
      <w:pPr>
        <w:shd w:val="clear" w:color="auto" w:fill="FFFFFF" w:themeFill="background1"/>
      </w:pPr>
      <w:r>
        <w:t>F</w:t>
      </w:r>
      <w:r w:rsidR="00A861C6">
        <w:t>ew significant associations were found between PbB and hypertension in the non-occupat</w:t>
      </w:r>
      <w:r w:rsidR="00A45051">
        <w:t xml:space="preserve">ional population based studies, where PbB were generally &lt;5 </w:t>
      </w:r>
      <w:r w:rsidR="00A45051" w:rsidRPr="00A45051">
        <w:rPr>
          <w:rFonts w:cs="Arial"/>
        </w:rPr>
        <w:t>µ</w:t>
      </w:r>
      <w:r w:rsidR="00A45051">
        <w:t xml:space="preserve">g/dL, with ORs per 1 </w:t>
      </w:r>
      <w:r w:rsidR="00A45051" w:rsidRPr="00A45051">
        <w:rPr>
          <w:rFonts w:cs="Arial"/>
        </w:rPr>
        <w:t>µ</w:t>
      </w:r>
      <w:r w:rsidR="00A45051">
        <w:t xml:space="preserve">g/dL ranging from 1.07 to 1.83. However these ORs cannot be extrapolated linearly to higher PbB, since larger difference between PbB quartiles in the general population (as is the case for the </w:t>
      </w:r>
      <w:r w:rsidR="00A45051" w:rsidRPr="00A45051">
        <w:t>Scinicariello et al. 2010</w:t>
      </w:r>
      <w:r w:rsidR="00A45051">
        <w:t xml:space="preserve"> study) do not appear to result in linear increases of the ORs. </w:t>
      </w:r>
    </w:p>
    <w:p w:rsidR="00A0730C" w:rsidRDefault="00A0730C" w:rsidP="00590646">
      <w:pPr>
        <w:shd w:val="clear" w:color="auto" w:fill="FFFFFF" w:themeFill="background1"/>
      </w:pPr>
    </w:p>
    <w:p w:rsidR="00A861C6" w:rsidRPr="00A6640C" w:rsidRDefault="00A0730C" w:rsidP="00590646">
      <w:pPr>
        <w:shd w:val="clear" w:color="auto" w:fill="FFFFFF" w:themeFill="background1"/>
        <w:sectPr w:rsidR="00A861C6" w:rsidRPr="00A6640C" w:rsidSect="00DC5F6A">
          <w:pgSz w:w="11906" w:h="16838"/>
          <w:pgMar w:top="1418" w:right="849" w:bottom="1440" w:left="1134" w:header="284" w:footer="697" w:gutter="0"/>
          <w:cols w:space="708"/>
          <w:docGrid w:linePitch="360"/>
        </w:sectPr>
      </w:pPr>
      <w:r w:rsidRPr="00A0730C">
        <w:t>Using both occupational and non-occupational epidemiology studies US EPA (2013) have determined there is a causal relationship between PbB and hypertension</w:t>
      </w:r>
      <w:r>
        <w:t>,</w:t>
      </w:r>
      <w:r w:rsidRPr="00A0730C">
        <w:t xml:space="preserve"> and between PbB and coronary heart disease, but there is inadequate evidence for an association with cerebrovascular disease.</w:t>
      </w:r>
    </w:p>
    <w:p w:rsidR="00305567" w:rsidRPr="00B93B2F" w:rsidRDefault="00305567" w:rsidP="002B5D66">
      <w:pPr>
        <w:shd w:val="clear" w:color="auto" w:fill="FFFFFF" w:themeFill="background1"/>
        <w:rPr>
          <w:b/>
          <w:vertAlign w:val="superscript"/>
        </w:rPr>
      </w:pPr>
      <w:r>
        <w:rPr>
          <w:b/>
        </w:rPr>
        <w:lastRenderedPageBreak/>
        <w:t xml:space="preserve">Table </w:t>
      </w:r>
      <w:r w:rsidR="00DB05CC">
        <w:rPr>
          <w:b/>
        </w:rPr>
        <w:t>4</w:t>
      </w:r>
      <w:r>
        <w:rPr>
          <w:b/>
        </w:rPr>
        <w:t>.</w:t>
      </w:r>
      <w:r w:rsidR="00DF571E">
        <w:rPr>
          <w:b/>
        </w:rPr>
        <w:t>6</w:t>
      </w:r>
      <w:r>
        <w:rPr>
          <w:b/>
        </w:rPr>
        <w:t>: Odds ratios (95% CI) for association of PbB with hypertension incidence</w:t>
      </w:r>
      <w:r w:rsidR="003656FA">
        <w:rPr>
          <w:b/>
        </w:rPr>
        <w:t xml:space="preserve"> or prevalence</w:t>
      </w:r>
      <w:r w:rsidR="00B93B2F">
        <w:rPr>
          <w:b/>
        </w:rPr>
        <w:t xml:space="preserve"> </w:t>
      </w:r>
      <w:r w:rsidR="00B93B2F">
        <w:rPr>
          <w:b/>
          <w:vertAlign w:val="superscript"/>
        </w:rPr>
        <w:t>a</w:t>
      </w: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Caption w:val="Table 4.6: Odds ratios (95% CI) for association of PbB with hypertension incidence or prevalence "/>
      </w:tblPr>
      <w:tblGrid>
        <w:gridCol w:w="1689"/>
        <w:gridCol w:w="1680"/>
        <w:gridCol w:w="1417"/>
        <w:gridCol w:w="1985"/>
        <w:gridCol w:w="1701"/>
        <w:gridCol w:w="1984"/>
        <w:gridCol w:w="3402"/>
      </w:tblGrid>
      <w:tr w:rsidR="00305567" w:rsidTr="006A5E40">
        <w:trPr>
          <w:tblHeader/>
        </w:trPr>
        <w:tc>
          <w:tcPr>
            <w:tcW w:w="1689" w:type="dxa"/>
            <w:tcBorders>
              <w:top w:val="single" w:sz="12" w:space="0" w:color="auto"/>
              <w:bottom w:val="single" w:sz="12" w:space="0" w:color="auto"/>
            </w:tcBorders>
            <w:shd w:val="clear" w:color="auto" w:fill="FFFFFF" w:themeFill="background1"/>
          </w:tcPr>
          <w:p w:rsidR="00305567" w:rsidRPr="00305567" w:rsidRDefault="00305567" w:rsidP="002B5D66">
            <w:pPr>
              <w:rPr>
                <w:b/>
              </w:rPr>
            </w:pPr>
            <w:r>
              <w:rPr>
                <w:b/>
              </w:rPr>
              <w:t>Reference</w:t>
            </w:r>
          </w:p>
        </w:tc>
        <w:tc>
          <w:tcPr>
            <w:tcW w:w="3097" w:type="dxa"/>
            <w:gridSpan w:val="2"/>
            <w:tcBorders>
              <w:top w:val="single" w:sz="12" w:space="0" w:color="auto"/>
              <w:bottom w:val="single" w:sz="12" w:space="0" w:color="auto"/>
            </w:tcBorders>
            <w:shd w:val="clear" w:color="auto" w:fill="FFFFFF" w:themeFill="background1"/>
          </w:tcPr>
          <w:p w:rsidR="00305567" w:rsidRPr="00305567" w:rsidRDefault="00305567" w:rsidP="002B5D66">
            <w:pPr>
              <w:rPr>
                <w:b/>
              </w:rPr>
            </w:pPr>
            <w:r>
              <w:rPr>
                <w:b/>
              </w:rPr>
              <w:t>Population</w:t>
            </w:r>
          </w:p>
        </w:tc>
        <w:tc>
          <w:tcPr>
            <w:tcW w:w="1985" w:type="dxa"/>
            <w:tcBorders>
              <w:top w:val="single" w:sz="12" w:space="0" w:color="auto"/>
              <w:bottom w:val="single" w:sz="12" w:space="0" w:color="auto"/>
            </w:tcBorders>
            <w:shd w:val="clear" w:color="auto" w:fill="FFFFFF" w:themeFill="background1"/>
          </w:tcPr>
          <w:p w:rsidR="00305567" w:rsidRPr="00305567" w:rsidRDefault="00305567" w:rsidP="002B5D66">
            <w:pPr>
              <w:rPr>
                <w:b/>
              </w:rPr>
            </w:pPr>
            <w:r>
              <w:rPr>
                <w:b/>
              </w:rPr>
              <w:t xml:space="preserve">PbB </w:t>
            </w:r>
            <w:r w:rsidR="00F6549B">
              <w:rPr>
                <w:b/>
              </w:rPr>
              <w:t xml:space="preserve">(SD) </w:t>
            </w:r>
            <w:r>
              <w:rPr>
                <w:b/>
              </w:rPr>
              <w:t>(</w:t>
            </w:r>
            <w:r w:rsidRPr="00305567">
              <w:rPr>
                <w:rFonts w:cs="Arial"/>
                <w:b/>
              </w:rPr>
              <w:t>µ</w:t>
            </w:r>
            <w:r>
              <w:rPr>
                <w:b/>
              </w:rPr>
              <w:t>g/dL)</w:t>
            </w:r>
          </w:p>
        </w:tc>
        <w:tc>
          <w:tcPr>
            <w:tcW w:w="1701" w:type="dxa"/>
            <w:tcBorders>
              <w:top w:val="single" w:sz="12" w:space="0" w:color="auto"/>
              <w:bottom w:val="single" w:sz="12" w:space="0" w:color="auto"/>
            </w:tcBorders>
            <w:shd w:val="clear" w:color="auto" w:fill="FFFFFF" w:themeFill="background1"/>
          </w:tcPr>
          <w:p w:rsidR="00305567" w:rsidRPr="00A46D68" w:rsidRDefault="00305567" w:rsidP="002B5D66">
            <w:pPr>
              <w:rPr>
                <w:b/>
                <w:vertAlign w:val="superscript"/>
              </w:rPr>
            </w:pPr>
            <w:r>
              <w:rPr>
                <w:b/>
              </w:rPr>
              <w:t>Comparison</w:t>
            </w:r>
            <w:r w:rsidR="00A46D68">
              <w:rPr>
                <w:b/>
              </w:rPr>
              <w:t xml:space="preserve"> </w:t>
            </w:r>
            <w:r w:rsidR="00A46D68">
              <w:rPr>
                <w:b/>
                <w:vertAlign w:val="superscript"/>
              </w:rPr>
              <w:t>b</w:t>
            </w:r>
          </w:p>
        </w:tc>
        <w:tc>
          <w:tcPr>
            <w:tcW w:w="1984" w:type="dxa"/>
            <w:tcBorders>
              <w:top w:val="single" w:sz="12" w:space="0" w:color="auto"/>
              <w:bottom w:val="single" w:sz="12" w:space="0" w:color="auto"/>
            </w:tcBorders>
            <w:shd w:val="clear" w:color="auto" w:fill="FFFFFF" w:themeFill="background1"/>
          </w:tcPr>
          <w:p w:rsidR="00305567" w:rsidRPr="00305567" w:rsidRDefault="00305567" w:rsidP="002B5D66">
            <w:pPr>
              <w:rPr>
                <w:b/>
              </w:rPr>
            </w:pPr>
            <w:r>
              <w:rPr>
                <w:b/>
              </w:rPr>
              <w:t>OR (95% CI)</w:t>
            </w:r>
          </w:p>
        </w:tc>
        <w:tc>
          <w:tcPr>
            <w:tcW w:w="3402" w:type="dxa"/>
            <w:tcBorders>
              <w:top w:val="single" w:sz="12" w:space="0" w:color="auto"/>
              <w:bottom w:val="single" w:sz="12" w:space="0" w:color="auto"/>
            </w:tcBorders>
            <w:shd w:val="clear" w:color="auto" w:fill="FFFFFF" w:themeFill="background1"/>
          </w:tcPr>
          <w:p w:rsidR="00305567" w:rsidRPr="00305567" w:rsidRDefault="00305567" w:rsidP="002B5D66">
            <w:pPr>
              <w:rPr>
                <w:b/>
              </w:rPr>
            </w:pPr>
            <w:r>
              <w:rPr>
                <w:b/>
              </w:rPr>
              <w:t>Comment</w:t>
            </w:r>
          </w:p>
        </w:tc>
      </w:tr>
      <w:tr w:rsidR="000E46AB" w:rsidTr="006A5E40">
        <w:trPr>
          <w:trHeight w:val="291"/>
        </w:trPr>
        <w:tc>
          <w:tcPr>
            <w:tcW w:w="13858" w:type="dxa"/>
            <w:gridSpan w:val="7"/>
            <w:tcBorders>
              <w:top w:val="single" w:sz="12" w:space="0" w:color="auto"/>
              <w:bottom w:val="single" w:sz="8" w:space="0" w:color="auto"/>
            </w:tcBorders>
            <w:shd w:val="clear" w:color="auto" w:fill="D6E3BC" w:themeFill="accent3" w:themeFillTint="66"/>
            <w:vAlign w:val="center"/>
          </w:tcPr>
          <w:p w:rsidR="000E46AB" w:rsidRPr="000E46AB" w:rsidRDefault="000E46AB" w:rsidP="00DC6F66">
            <w:pPr>
              <w:rPr>
                <w:b/>
                <w:sz w:val="20"/>
                <w:szCs w:val="20"/>
              </w:rPr>
            </w:pPr>
            <w:r>
              <w:rPr>
                <w:b/>
                <w:sz w:val="20"/>
                <w:szCs w:val="20"/>
              </w:rPr>
              <w:t>Occupational</w:t>
            </w:r>
          </w:p>
        </w:tc>
      </w:tr>
      <w:tr w:rsidR="000E46AB" w:rsidTr="006A5E40">
        <w:trPr>
          <w:trHeight w:val="950"/>
        </w:trPr>
        <w:tc>
          <w:tcPr>
            <w:tcW w:w="1689" w:type="dxa"/>
            <w:tcBorders>
              <w:top w:val="single" w:sz="12" w:space="0" w:color="auto"/>
              <w:bottom w:val="single" w:sz="8" w:space="0" w:color="auto"/>
            </w:tcBorders>
            <w:shd w:val="clear" w:color="auto" w:fill="FFFFFF" w:themeFill="background1"/>
            <w:vAlign w:val="center"/>
          </w:tcPr>
          <w:p w:rsidR="000E46AB" w:rsidRDefault="000E46AB" w:rsidP="00DC6F66">
            <w:pPr>
              <w:rPr>
                <w:sz w:val="20"/>
                <w:szCs w:val="20"/>
              </w:rPr>
            </w:pPr>
            <w:r w:rsidRPr="00214445">
              <w:rPr>
                <w:sz w:val="20"/>
                <w:szCs w:val="20"/>
              </w:rPr>
              <w:t>de Kort et al. 1987</w:t>
            </w:r>
          </w:p>
        </w:tc>
        <w:tc>
          <w:tcPr>
            <w:tcW w:w="3097" w:type="dxa"/>
            <w:gridSpan w:val="2"/>
            <w:tcBorders>
              <w:top w:val="single" w:sz="12" w:space="0" w:color="auto"/>
              <w:bottom w:val="single" w:sz="8" w:space="0" w:color="auto"/>
            </w:tcBorders>
            <w:shd w:val="clear" w:color="auto" w:fill="FFFFFF" w:themeFill="background1"/>
            <w:vAlign w:val="center"/>
          </w:tcPr>
          <w:p w:rsidR="000E46AB" w:rsidRDefault="000E46AB" w:rsidP="00DC6F66">
            <w:pPr>
              <w:rPr>
                <w:sz w:val="20"/>
                <w:szCs w:val="20"/>
              </w:rPr>
            </w:pPr>
            <w:r>
              <w:rPr>
                <w:sz w:val="20"/>
                <w:szCs w:val="20"/>
              </w:rPr>
              <w:t xml:space="preserve">Exposed = 53 workers exposed to </w:t>
            </w:r>
            <w:r w:rsidR="000A6B2C">
              <w:rPr>
                <w:sz w:val="20"/>
                <w:szCs w:val="20"/>
              </w:rPr>
              <w:t xml:space="preserve">lead </w:t>
            </w:r>
            <w:r>
              <w:rPr>
                <w:sz w:val="20"/>
                <w:szCs w:val="20"/>
              </w:rPr>
              <w:t xml:space="preserve">&amp; </w:t>
            </w:r>
            <w:r w:rsidR="000A6B2C">
              <w:rPr>
                <w:sz w:val="20"/>
                <w:szCs w:val="20"/>
              </w:rPr>
              <w:t xml:space="preserve">cadmium </w:t>
            </w:r>
            <w:r>
              <w:rPr>
                <w:sz w:val="20"/>
                <w:szCs w:val="20"/>
              </w:rPr>
              <w:t>in plastics industry.</w:t>
            </w:r>
          </w:p>
          <w:p w:rsidR="000E46AB" w:rsidRDefault="000E46AB" w:rsidP="00DC6F66">
            <w:pPr>
              <w:rPr>
                <w:sz w:val="20"/>
                <w:szCs w:val="20"/>
              </w:rPr>
            </w:pPr>
          </w:p>
          <w:p w:rsidR="000E46AB" w:rsidRDefault="008217EA" w:rsidP="00DC6F66">
            <w:pPr>
              <w:rPr>
                <w:sz w:val="20"/>
                <w:szCs w:val="20"/>
              </w:rPr>
            </w:pPr>
            <w:r>
              <w:rPr>
                <w:sz w:val="20"/>
                <w:szCs w:val="20"/>
              </w:rPr>
              <w:t>Non-exposed</w:t>
            </w:r>
            <w:r w:rsidR="000E46AB">
              <w:rPr>
                <w:sz w:val="20"/>
                <w:szCs w:val="20"/>
              </w:rPr>
              <w:t xml:space="preserve"> = 52 workers from insulation plant.</w:t>
            </w:r>
          </w:p>
        </w:tc>
        <w:tc>
          <w:tcPr>
            <w:tcW w:w="1985" w:type="dxa"/>
            <w:tcBorders>
              <w:top w:val="single" w:sz="12" w:space="0" w:color="auto"/>
              <w:bottom w:val="single" w:sz="8" w:space="0" w:color="auto"/>
            </w:tcBorders>
            <w:shd w:val="clear" w:color="auto" w:fill="D9D9D9" w:themeFill="background1" w:themeFillShade="D9"/>
            <w:vAlign w:val="center"/>
          </w:tcPr>
          <w:p w:rsidR="000E46AB" w:rsidRDefault="00A46D68" w:rsidP="00DC6F66">
            <w:pPr>
              <w:rPr>
                <w:sz w:val="20"/>
                <w:szCs w:val="20"/>
              </w:rPr>
            </w:pPr>
            <w:r>
              <w:rPr>
                <w:sz w:val="20"/>
                <w:szCs w:val="20"/>
              </w:rPr>
              <w:t>Exposed: 47.4</w:t>
            </w:r>
          </w:p>
          <w:p w:rsidR="00A46D68" w:rsidRDefault="00A46D68" w:rsidP="00DC6F66">
            <w:pPr>
              <w:rPr>
                <w:sz w:val="20"/>
                <w:szCs w:val="20"/>
              </w:rPr>
            </w:pPr>
          </w:p>
          <w:p w:rsidR="00A46D68" w:rsidRDefault="00A46D68" w:rsidP="00DC6F66">
            <w:pPr>
              <w:rPr>
                <w:sz w:val="20"/>
                <w:szCs w:val="20"/>
              </w:rPr>
            </w:pPr>
            <w:r>
              <w:rPr>
                <w:sz w:val="20"/>
                <w:szCs w:val="20"/>
              </w:rPr>
              <w:t>Non-exposed: 8.1</w:t>
            </w:r>
          </w:p>
        </w:tc>
        <w:tc>
          <w:tcPr>
            <w:tcW w:w="1701" w:type="dxa"/>
            <w:tcBorders>
              <w:top w:val="single" w:sz="12" w:space="0" w:color="auto"/>
              <w:bottom w:val="single" w:sz="8" w:space="0" w:color="auto"/>
            </w:tcBorders>
            <w:shd w:val="clear" w:color="auto" w:fill="D9D9D9" w:themeFill="background1" w:themeFillShade="D9"/>
            <w:vAlign w:val="center"/>
          </w:tcPr>
          <w:p w:rsidR="000E46AB" w:rsidRDefault="00A46D68" w:rsidP="00DC6F66">
            <w:pPr>
              <w:rPr>
                <w:sz w:val="20"/>
                <w:szCs w:val="20"/>
              </w:rPr>
            </w:pPr>
            <w:r>
              <w:rPr>
                <w:sz w:val="20"/>
                <w:szCs w:val="20"/>
              </w:rPr>
              <w:t>Exposed vs. non-exposed</w:t>
            </w:r>
          </w:p>
          <w:p w:rsidR="00A46D68" w:rsidRDefault="00A46D68" w:rsidP="00DC6F66">
            <w:pPr>
              <w:rPr>
                <w:sz w:val="20"/>
                <w:szCs w:val="20"/>
              </w:rPr>
            </w:pPr>
          </w:p>
          <w:p w:rsidR="00A46D68" w:rsidRDefault="00A46D68" w:rsidP="00DC6F66">
            <w:pPr>
              <w:rPr>
                <w:sz w:val="20"/>
                <w:szCs w:val="20"/>
              </w:rPr>
            </w:pPr>
            <w:r>
              <w:rPr>
                <w:sz w:val="20"/>
                <w:szCs w:val="20"/>
              </w:rPr>
              <w:t>(</w:t>
            </w:r>
            <w:r w:rsidRPr="00A46D68">
              <w:rPr>
                <w:i/>
                <w:sz w:val="18"/>
                <w:szCs w:val="18"/>
              </w:rPr>
              <w:t>39 µg/dL</w:t>
            </w:r>
            <w:r w:rsidRPr="00AF5B5B">
              <w:rPr>
                <w:sz w:val="18"/>
                <w:szCs w:val="18"/>
              </w:rPr>
              <w:t>)</w:t>
            </w:r>
          </w:p>
        </w:tc>
        <w:tc>
          <w:tcPr>
            <w:tcW w:w="1984" w:type="dxa"/>
            <w:tcBorders>
              <w:top w:val="single" w:sz="12" w:space="0" w:color="auto"/>
              <w:bottom w:val="single" w:sz="8" w:space="0" w:color="auto"/>
            </w:tcBorders>
            <w:shd w:val="clear" w:color="auto" w:fill="D9D9D9" w:themeFill="background1" w:themeFillShade="D9"/>
            <w:vAlign w:val="center"/>
          </w:tcPr>
          <w:p w:rsidR="000E46AB" w:rsidRDefault="00A46D68" w:rsidP="00DC6F66">
            <w:pPr>
              <w:rPr>
                <w:sz w:val="20"/>
                <w:szCs w:val="20"/>
              </w:rPr>
            </w:pPr>
            <w:r>
              <w:rPr>
                <w:sz w:val="20"/>
                <w:szCs w:val="20"/>
              </w:rPr>
              <w:t>1.91</w:t>
            </w:r>
          </w:p>
          <w:p w:rsidR="00A46D68" w:rsidRDefault="00A46D68" w:rsidP="00DC6F66">
            <w:pPr>
              <w:rPr>
                <w:sz w:val="20"/>
                <w:szCs w:val="20"/>
              </w:rPr>
            </w:pPr>
            <w:r>
              <w:rPr>
                <w:sz w:val="20"/>
                <w:szCs w:val="20"/>
              </w:rPr>
              <w:t>(0.9</w:t>
            </w:r>
            <w:r w:rsidR="008217EA">
              <w:rPr>
                <w:sz w:val="20"/>
                <w:szCs w:val="20"/>
              </w:rPr>
              <w:t xml:space="preserve">, </w:t>
            </w:r>
            <w:r>
              <w:rPr>
                <w:sz w:val="20"/>
                <w:szCs w:val="20"/>
              </w:rPr>
              <w:t>4.05)</w:t>
            </w:r>
          </w:p>
        </w:tc>
        <w:tc>
          <w:tcPr>
            <w:tcW w:w="3402" w:type="dxa"/>
            <w:tcBorders>
              <w:top w:val="single" w:sz="12" w:space="0" w:color="auto"/>
              <w:bottom w:val="single" w:sz="8" w:space="0" w:color="auto"/>
            </w:tcBorders>
            <w:shd w:val="clear" w:color="auto" w:fill="FFFFFF" w:themeFill="background1"/>
            <w:vAlign w:val="center"/>
          </w:tcPr>
          <w:p w:rsidR="000E46AB" w:rsidRDefault="00A46D68" w:rsidP="000A6B2C">
            <w:pPr>
              <w:rPr>
                <w:sz w:val="20"/>
                <w:szCs w:val="20"/>
              </w:rPr>
            </w:pPr>
            <w:r>
              <w:rPr>
                <w:sz w:val="20"/>
                <w:szCs w:val="20"/>
              </w:rPr>
              <w:t xml:space="preserve">Although </w:t>
            </w:r>
            <w:r w:rsidR="00942D02">
              <w:rPr>
                <w:sz w:val="20"/>
                <w:szCs w:val="20"/>
              </w:rPr>
              <w:t xml:space="preserve">blood pressure values in workers exposed to </w:t>
            </w:r>
            <w:r w:rsidR="000A6B2C">
              <w:rPr>
                <w:sz w:val="20"/>
                <w:szCs w:val="20"/>
              </w:rPr>
              <w:t xml:space="preserve">lead </w:t>
            </w:r>
            <w:r w:rsidR="00942D02">
              <w:rPr>
                <w:sz w:val="20"/>
                <w:szCs w:val="20"/>
              </w:rPr>
              <w:t xml:space="preserve">and </w:t>
            </w:r>
            <w:r w:rsidR="000A6B2C">
              <w:rPr>
                <w:sz w:val="20"/>
                <w:szCs w:val="20"/>
              </w:rPr>
              <w:t xml:space="preserve">cadmium </w:t>
            </w:r>
            <w:r w:rsidR="00942D02">
              <w:rPr>
                <w:sz w:val="20"/>
                <w:szCs w:val="20"/>
              </w:rPr>
              <w:t>were higher than in non-exposed workers, the OR for hypertension was n</w:t>
            </w:r>
            <w:r>
              <w:rPr>
                <w:sz w:val="20"/>
                <w:szCs w:val="20"/>
              </w:rPr>
              <w:t xml:space="preserve">ot statistically significant. </w:t>
            </w:r>
          </w:p>
        </w:tc>
      </w:tr>
      <w:tr w:rsidR="008217EA" w:rsidTr="006A5E40">
        <w:trPr>
          <w:trHeight w:val="270"/>
        </w:trPr>
        <w:tc>
          <w:tcPr>
            <w:tcW w:w="1689" w:type="dxa"/>
            <w:vMerge w:val="restart"/>
            <w:tcBorders>
              <w:top w:val="single" w:sz="8" w:space="0" w:color="auto"/>
            </w:tcBorders>
            <w:shd w:val="clear" w:color="auto" w:fill="FFFFFF" w:themeFill="background1"/>
            <w:vAlign w:val="center"/>
          </w:tcPr>
          <w:p w:rsidR="008217EA" w:rsidRDefault="008217EA" w:rsidP="00DC6F66">
            <w:pPr>
              <w:rPr>
                <w:sz w:val="20"/>
                <w:szCs w:val="20"/>
              </w:rPr>
            </w:pPr>
            <w:r>
              <w:rPr>
                <w:sz w:val="20"/>
                <w:szCs w:val="20"/>
              </w:rPr>
              <w:t>Tepper et al. 2001</w:t>
            </w:r>
          </w:p>
        </w:tc>
        <w:tc>
          <w:tcPr>
            <w:tcW w:w="3097" w:type="dxa"/>
            <w:gridSpan w:val="2"/>
            <w:vMerge w:val="restart"/>
            <w:tcBorders>
              <w:top w:val="single" w:sz="8" w:space="0" w:color="auto"/>
            </w:tcBorders>
            <w:shd w:val="clear" w:color="auto" w:fill="FFFFFF" w:themeFill="background1"/>
            <w:vAlign w:val="center"/>
          </w:tcPr>
          <w:p w:rsidR="008217EA" w:rsidRDefault="008217EA" w:rsidP="00DC6F66">
            <w:pPr>
              <w:rPr>
                <w:sz w:val="20"/>
                <w:szCs w:val="20"/>
              </w:rPr>
            </w:pPr>
            <w:r>
              <w:rPr>
                <w:sz w:val="20"/>
                <w:szCs w:val="20"/>
              </w:rPr>
              <w:t xml:space="preserve">252 previous or current battery factory employees with 10 or more years exposure. </w:t>
            </w:r>
          </w:p>
        </w:tc>
        <w:tc>
          <w:tcPr>
            <w:tcW w:w="1985" w:type="dxa"/>
            <w:tcBorders>
              <w:top w:val="single" w:sz="8" w:space="0" w:color="auto"/>
              <w:bottom w:val="single" w:sz="4" w:space="0" w:color="auto"/>
            </w:tcBorders>
            <w:shd w:val="clear" w:color="auto" w:fill="D9D9D9" w:themeFill="background1" w:themeFillShade="D9"/>
            <w:vAlign w:val="center"/>
          </w:tcPr>
          <w:p w:rsidR="008217EA" w:rsidRDefault="008217EA" w:rsidP="00DC6F66">
            <w:pPr>
              <w:rPr>
                <w:sz w:val="20"/>
                <w:szCs w:val="20"/>
              </w:rPr>
            </w:pPr>
            <w:r>
              <w:rPr>
                <w:sz w:val="20"/>
                <w:szCs w:val="20"/>
              </w:rPr>
              <w:t>Tertile 1: 12-25</w:t>
            </w:r>
          </w:p>
        </w:tc>
        <w:tc>
          <w:tcPr>
            <w:tcW w:w="1701" w:type="dxa"/>
            <w:tcBorders>
              <w:top w:val="single" w:sz="8" w:space="0" w:color="auto"/>
              <w:bottom w:val="single" w:sz="4" w:space="0" w:color="auto"/>
            </w:tcBorders>
            <w:shd w:val="clear" w:color="auto" w:fill="D9D9D9" w:themeFill="background1" w:themeFillShade="D9"/>
            <w:vAlign w:val="center"/>
          </w:tcPr>
          <w:p w:rsidR="008217EA" w:rsidRDefault="008217EA" w:rsidP="00DC6F66">
            <w:pPr>
              <w:rPr>
                <w:sz w:val="20"/>
                <w:szCs w:val="20"/>
              </w:rPr>
            </w:pPr>
            <w:r>
              <w:rPr>
                <w:sz w:val="20"/>
                <w:szCs w:val="20"/>
              </w:rPr>
              <w:t>Referent</w:t>
            </w:r>
          </w:p>
        </w:tc>
        <w:tc>
          <w:tcPr>
            <w:tcW w:w="1984" w:type="dxa"/>
            <w:tcBorders>
              <w:top w:val="single" w:sz="8" w:space="0" w:color="auto"/>
              <w:bottom w:val="single" w:sz="4" w:space="0" w:color="auto"/>
            </w:tcBorders>
            <w:shd w:val="clear" w:color="auto" w:fill="D9D9D9" w:themeFill="background1" w:themeFillShade="D9"/>
            <w:vAlign w:val="center"/>
          </w:tcPr>
          <w:p w:rsidR="008217EA" w:rsidRDefault="008217EA" w:rsidP="00DC6F66">
            <w:pPr>
              <w:rPr>
                <w:sz w:val="20"/>
                <w:szCs w:val="20"/>
              </w:rPr>
            </w:pPr>
            <w:r>
              <w:rPr>
                <w:sz w:val="20"/>
                <w:szCs w:val="20"/>
              </w:rPr>
              <w:t>1.0</w:t>
            </w:r>
          </w:p>
        </w:tc>
        <w:tc>
          <w:tcPr>
            <w:tcW w:w="3402" w:type="dxa"/>
            <w:vMerge w:val="restart"/>
            <w:tcBorders>
              <w:top w:val="single" w:sz="8" w:space="0" w:color="auto"/>
            </w:tcBorders>
            <w:shd w:val="clear" w:color="auto" w:fill="FFFFFF" w:themeFill="background1"/>
            <w:vAlign w:val="center"/>
          </w:tcPr>
          <w:p w:rsidR="008217EA" w:rsidRDefault="008217EA" w:rsidP="00DC6F66">
            <w:pPr>
              <w:rPr>
                <w:sz w:val="20"/>
                <w:szCs w:val="20"/>
              </w:rPr>
            </w:pPr>
            <w:r>
              <w:rPr>
                <w:sz w:val="20"/>
                <w:szCs w:val="20"/>
              </w:rPr>
              <w:t xml:space="preserve">PbB reported as TWA-PbB. </w:t>
            </w:r>
          </w:p>
        </w:tc>
      </w:tr>
      <w:tr w:rsidR="008217EA" w:rsidTr="006A5E40">
        <w:trPr>
          <w:trHeight w:val="370"/>
        </w:trPr>
        <w:tc>
          <w:tcPr>
            <w:tcW w:w="1689" w:type="dxa"/>
            <w:vMerge/>
            <w:shd w:val="clear" w:color="auto" w:fill="FFFFFF" w:themeFill="background1"/>
            <w:vAlign w:val="center"/>
          </w:tcPr>
          <w:p w:rsidR="008217EA" w:rsidRDefault="008217EA" w:rsidP="00DC6F66">
            <w:pPr>
              <w:rPr>
                <w:sz w:val="20"/>
                <w:szCs w:val="20"/>
              </w:rPr>
            </w:pPr>
          </w:p>
        </w:tc>
        <w:tc>
          <w:tcPr>
            <w:tcW w:w="3097" w:type="dxa"/>
            <w:gridSpan w:val="2"/>
            <w:vMerge/>
            <w:shd w:val="clear" w:color="auto" w:fill="FFFFFF" w:themeFill="background1"/>
            <w:vAlign w:val="center"/>
          </w:tcPr>
          <w:p w:rsidR="008217EA" w:rsidRDefault="008217EA" w:rsidP="00DC6F66">
            <w:pPr>
              <w:rPr>
                <w:sz w:val="20"/>
                <w:szCs w:val="20"/>
              </w:rPr>
            </w:pPr>
          </w:p>
        </w:tc>
        <w:tc>
          <w:tcPr>
            <w:tcW w:w="1985" w:type="dxa"/>
            <w:tcBorders>
              <w:top w:val="single" w:sz="4" w:space="0" w:color="auto"/>
              <w:bottom w:val="single" w:sz="4" w:space="0" w:color="auto"/>
            </w:tcBorders>
            <w:shd w:val="clear" w:color="auto" w:fill="D9D9D9" w:themeFill="background1" w:themeFillShade="D9"/>
            <w:vAlign w:val="center"/>
          </w:tcPr>
          <w:p w:rsidR="008217EA" w:rsidRDefault="008217EA" w:rsidP="00DC6F66">
            <w:pPr>
              <w:rPr>
                <w:sz w:val="20"/>
                <w:szCs w:val="20"/>
              </w:rPr>
            </w:pPr>
            <w:r>
              <w:rPr>
                <w:sz w:val="20"/>
                <w:szCs w:val="20"/>
              </w:rPr>
              <w:t>T2: 26-33</w:t>
            </w:r>
          </w:p>
        </w:tc>
        <w:tc>
          <w:tcPr>
            <w:tcW w:w="1701" w:type="dxa"/>
            <w:tcBorders>
              <w:top w:val="single" w:sz="4" w:space="0" w:color="auto"/>
              <w:bottom w:val="single" w:sz="4" w:space="0" w:color="auto"/>
            </w:tcBorders>
            <w:shd w:val="clear" w:color="auto" w:fill="D9D9D9" w:themeFill="background1" w:themeFillShade="D9"/>
            <w:vAlign w:val="center"/>
          </w:tcPr>
          <w:p w:rsidR="008217EA" w:rsidRDefault="008217EA" w:rsidP="00DC6F66">
            <w:pPr>
              <w:rPr>
                <w:sz w:val="20"/>
                <w:szCs w:val="20"/>
              </w:rPr>
            </w:pPr>
            <w:r>
              <w:rPr>
                <w:sz w:val="20"/>
                <w:szCs w:val="20"/>
              </w:rPr>
              <w:t>T2 vs. T1</w:t>
            </w:r>
          </w:p>
        </w:tc>
        <w:tc>
          <w:tcPr>
            <w:tcW w:w="1984" w:type="dxa"/>
            <w:tcBorders>
              <w:top w:val="single" w:sz="4" w:space="0" w:color="auto"/>
              <w:bottom w:val="single" w:sz="4" w:space="0" w:color="auto"/>
            </w:tcBorders>
            <w:shd w:val="clear" w:color="auto" w:fill="D9D9D9" w:themeFill="background1" w:themeFillShade="D9"/>
            <w:vAlign w:val="center"/>
          </w:tcPr>
          <w:p w:rsidR="008217EA" w:rsidRDefault="008217EA" w:rsidP="00DC6F66">
            <w:pPr>
              <w:rPr>
                <w:sz w:val="20"/>
                <w:szCs w:val="20"/>
              </w:rPr>
            </w:pPr>
            <w:r>
              <w:rPr>
                <w:sz w:val="20"/>
                <w:szCs w:val="20"/>
              </w:rPr>
              <w:t xml:space="preserve">1.02 </w:t>
            </w:r>
          </w:p>
          <w:p w:rsidR="008217EA" w:rsidRDefault="008217EA" w:rsidP="00DC6F66">
            <w:pPr>
              <w:rPr>
                <w:sz w:val="20"/>
                <w:szCs w:val="20"/>
              </w:rPr>
            </w:pPr>
            <w:r>
              <w:rPr>
                <w:sz w:val="20"/>
                <w:szCs w:val="20"/>
              </w:rPr>
              <w:t>(0.3, 3.49)</w:t>
            </w:r>
          </w:p>
        </w:tc>
        <w:tc>
          <w:tcPr>
            <w:tcW w:w="3402" w:type="dxa"/>
            <w:vMerge/>
            <w:shd w:val="clear" w:color="auto" w:fill="FFFFFF" w:themeFill="background1"/>
            <w:vAlign w:val="center"/>
          </w:tcPr>
          <w:p w:rsidR="008217EA" w:rsidRDefault="008217EA" w:rsidP="00DC6F66">
            <w:pPr>
              <w:rPr>
                <w:sz w:val="20"/>
                <w:szCs w:val="20"/>
              </w:rPr>
            </w:pPr>
          </w:p>
        </w:tc>
      </w:tr>
      <w:tr w:rsidR="008217EA" w:rsidTr="006A5E40">
        <w:trPr>
          <w:trHeight w:val="290"/>
        </w:trPr>
        <w:tc>
          <w:tcPr>
            <w:tcW w:w="1689" w:type="dxa"/>
            <w:vMerge/>
            <w:tcBorders>
              <w:bottom w:val="single" w:sz="8" w:space="0" w:color="auto"/>
            </w:tcBorders>
            <w:shd w:val="clear" w:color="auto" w:fill="FFFFFF" w:themeFill="background1"/>
            <w:vAlign w:val="center"/>
          </w:tcPr>
          <w:p w:rsidR="008217EA" w:rsidRDefault="008217EA" w:rsidP="00DC6F66">
            <w:pPr>
              <w:rPr>
                <w:sz w:val="20"/>
                <w:szCs w:val="20"/>
              </w:rPr>
            </w:pPr>
          </w:p>
        </w:tc>
        <w:tc>
          <w:tcPr>
            <w:tcW w:w="3097" w:type="dxa"/>
            <w:gridSpan w:val="2"/>
            <w:vMerge/>
            <w:tcBorders>
              <w:bottom w:val="single" w:sz="8" w:space="0" w:color="auto"/>
            </w:tcBorders>
            <w:shd w:val="clear" w:color="auto" w:fill="FFFFFF" w:themeFill="background1"/>
            <w:vAlign w:val="center"/>
          </w:tcPr>
          <w:p w:rsidR="008217EA" w:rsidRDefault="008217EA" w:rsidP="00DC6F66">
            <w:pPr>
              <w:rPr>
                <w:sz w:val="20"/>
                <w:szCs w:val="20"/>
              </w:rPr>
            </w:pPr>
          </w:p>
        </w:tc>
        <w:tc>
          <w:tcPr>
            <w:tcW w:w="1985" w:type="dxa"/>
            <w:tcBorders>
              <w:top w:val="single" w:sz="4" w:space="0" w:color="auto"/>
              <w:bottom w:val="single" w:sz="8" w:space="0" w:color="auto"/>
            </w:tcBorders>
            <w:shd w:val="clear" w:color="auto" w:fill="D9D9D9" w:themeFill="background1" w:themeFillShade="D9"/>
            <w:vAlign w:val="center"/>
          </w:tcPr>
          <w:p w:rsidR="008217EA" w:rsidRDefault="008217EA" w:rsidP="00DC6F66">
            <w:pPr>
              <w:rPr>
                <w:sz w:val="20"/>
                <w:szCs w:val="20"/>
              </w:rPr>
            </w:pPr>
            <w:r>
              <w:rPr>
                <w:sz w:val="20"/>
                <w:szCs w:val="20"/>
              </w:rPr>
              <w:t>T3: 34-50</w:t>
            </w:r>
          </w:p>
        </w:tc>
        <w:tc>
          <w:tcPr>
            <w:tcW w:w="1701" w:type="dxa"/>
            <w:tcBorders>
              <w:top w:val="single" w:sz="4" w:space="0" w:color="auto"/>
              <w:bottom w:val="single" w:sz="8" w:space="0" w:color="auto"/>
            </w:tcBorders>
            <w:shd w:val="clear" w:color="auto" w:fill="D9D9D9" w:themeFill="background1" w:themeFillShade="D9"/>
            <w:vAlign w:val="center"/>
          </w:tcPr>
          <w:p w:rsidR="008217EA" w:rsidRDefault="008217EA" w:rsidP="00DC6F66">
            <w:pPr>
              <w:rPr>
                <w:sz w:val="20"/>
                <w:szCs w:val="20"/>
              </w:rPr>
            </w:pPr>
            <w:r>
              <w:rPr>
                <w:sz w:val="20"/>
                <w:szCs w:val="20"/>
              </w:rPr>
              <w:t>T3 vs. T1</w:t>
            </w:r>
          </w:p>
        </w:tc>
        <w:tc>
          <w:tcPr>
            <w:tcW w:w="1984" w:type="dxa"/>
            <w:tcBorders>
              <w:top w:val="single" w:sz="4" w:space="0" w:color="auto"/>
              <w:bottom w:val="single" w:sz="8" w:space="0" w:color="auto"/>
            </w:tcBorders>
            <w:shd w:val="clear" w:color="auto" w:fill="D9D9D9" w:themeFill="background1" w:themeFillShade="D9"/>
            <w:vAlign w:val="center"/>
          </w:tcPr>
          <w:p w:rsidR="008217EA" w:rsidRDefault="008217EA" w:rsidP="00DC6F66">
            <w:pPr>
              <w:rPr>
                <w:sz w:val="20"/>
                <w:szCs w:val="20"/>
              </w:rPr>
            </w:pPr>
            <w:r>
              <w:rPr>
                <w:sz w:val="20"/>
                <w:szCs w:val="20"/>
              </w:rPr>
              <w:t>1.44</w:t>
            </w:r>
          </w:p>
          <w:p w:rsidR="008217EA" w:rsidRDefault="008217EA" w:rsidP="00DC6F66">
            <w:pPr>
              <w:rPr>
                <w:sz w:val="20"/>
                <w:szCs w:val="20"/>
              </w:rPr>
            </w:pPr>
            <w:r>
              <w:rPr>
                <w:sz w:val="20"/>
                <w:szCs w:val="20"/>
              </w:rPr>
              <w:t>(0.38, 5.85)</w:t>
            </w:r>
          </w:p>
        </w:tc>
        <w:tc>
          <w:tcPr>
            <w:tcW w:w="3402" w:type="dxa"/>
            <w:vMerge/>
            <w:tcBorders>
              <w:bottom w:val="single" w:sz="8" w:space="0" w:color="auto"/>
            </w:tcBorders>
            <w:shd w:val="clear" w:color="auto" w:fill="FFFFFF" w:themeFill="background1"/>
            <w:vAlign w:val="center"/>
          </w:tcPr>
          <w:p w:rsidR="008217EA" w:rsidRDefault="008217EA" w:rsidP="00DC6F66">
            <w:pPr>
              <w:rPr>
                <w:sz w:val="20"/>
                <w:szCs w:val="20"/>
              </w:rPr>
            </w:pPr>
          </w:p>
        </w:tc>
      </w:tr>
      <w:tr w:rsidR="00350B6C" w:rsidTr="006A5E40">
        <w:trPr>
          <w:trHeight w:val="391"/>
        </w:trPr>
        <w:tc>
          <w:tcPr>
            <w:tcW w:w="13858" w:type="dxa"/>
            <w:gridSpan w:val="7"/>
            <w:tcBorders>
              <w:top w:val="single" w:sz="8" w:space="0" w:color="auto"/>
            </w:tcBorders>
            <w:shd w:val="clear" w:color="auto" w:fill="D6E3BC" w:themeFill="accent3" w:themeFillTint="66"/>
            <w:vAlign w:val="center"/>
          </w:tcPr>
          <w:p w:rsidR="00350B6C" w:rsidRPr="00350B6C" w:rsidRDefault="00350B6C" w:rsidP="00DC6F66">
            <w:pPr>
              <w:rPr>
                <w:b/>
                <w:sz w:val="20"/>
                <w:szCs w:val="20"/>
              </w:rPr>
            </w:pPr>
            <w:r>
              <w:rPr>
                <w:b/>
                <w:sz w:val="20"/>
                <w:szCs w:val="20"/>
              </w:rPr>
              <w:t>Non-occupational</w:t>
            </w:r>
          </w:p>
        </w:tc>
      </w:tr>
      <w:tr w:rsidR="005E221B" w:rsidTr="006A5E40">
        <w:trPr>
          <w:trHeight w:val="950"/>
        </w:trPr>
        <w:tc>
          <w:tcPr>
            <w:tcW w:w="1689" w:type="dxa"/>
            <w:tcBorders>
              <w:top w:val="single" w:sz="8" w:space="0" w:color="auto"/>
            </w:tcBorders>
            <w:shd w:val="clear" w:color="auto" w:fill="FFFFFF" w:themeFill="background1"/>
            <w:vAlign w:val="center"/>
          </w:tcPr>
          <w:p w:rsidR="005E221B" w:rsidRPr="00305567" w:rsidRDefault="005E221B" w:rsidP="00DC6F66">
            <w:pPr>
              <w:rPr>
                <w:sz w:val="20"/>
                <w:szCs w:val="20"/>
              </w:rPr>
            </w:pPr>
            <w:r>
              <w:rPr>
                <w:sz w:val="20"/>
                <w:szCs w:val="20"/>
              </w:rPr>
              <w:t>Martin et al. 2006</w:t>
            </w:r>
          </w:p>
        </w:tc>
        <w:tc>
          <w:tcPr>
            <w:tcW w:w="3097" w:type="dxa"/>
            <w:gridSpan w:val="2"/>
            <w:tcBorders>
              <w:top w:val="single" w:sz="8" w:space="0" w:color="auto"/>
            </w:tcBorders>
            <w:shd w:val="clear" w:color="auto" w:fill="FFFFFF" w:themeFill="background1"/>
            <w:vAlign w:val="center"/>
          </w:tcPr>
          <w:p w:rsidR="005E221B" w:rsidRDefault="005E221B" w:rsidP="00DC6F66">
            <w:pPr>
              <w:rPr>
                <w:sz w:val="20"/>
                <w:szCs w:val="20"/>
              </w:rPr>
            </w:pPr>
            <w:r>
              <w:rPr>
                <w:sz w:val="20"/>
                <w:szCs w:val="20"/>
              </w:rPr>
              <w:t xml:space="preserve">964 men &amp; women, 50-70 yrs </w:t>
            </w:r>
          </w:p>
          <w:p w:rsidR="005E221B" w:rsidRDefault="005E221B" w:rsidP="00DC6F66">
            <w:pPr>
              <w:rPr>
                <w:sz w:val="20"/>
                <w:szCs w:val="20"/>
              </w:rPr>
            </w:pPr>
            <w:r>
              <w:rPr>
                <w:sz w:val="20"/>
                <w:szCs w:val="20"/>
              </w:rPr>
              <w:t>(mixed ethnicity)</w:t>
            </w:r>
          </w:p>
          <w:p w:rsidR="005E221B" w:rsidRPr="00305567" w:rsidRDefault="005E221B" w:rsidP="00DC6F66">
            <w:pPr>
              <w:rPr>
                <w:sz w:val="20"/>
                <w:szCs w:val="20"/>
              </w:rPr>
            </w:pPr>
            <w:r>
              <w:rPr>
                <w:sz w:val="20"/>
                <w:szCs w:val="20"/>
              </w:rPr>
              <w:t>Baltimore, Maryland</w:t>
            </w:r>
          </w:p>
        </w:tc>
        <w:tc>
          <w:tcPr>
            <w:tcW w:w="1985" w:type="dxa"/>
            <w:tcBorders>
              <w:top w:val="single" w:sz="8" w:space="0" w:color="auto"/>
            </w:tcBorders>
            <w:shd w:val="clear" w:color="auto" w:fill="D9D9D9" w:themeFill="background1" w:themeFillShade="D9"/>
            <w:vAlign w:val="center"/>
          </w:tcPr>
          <w:p w:rsidR="005E221B" w:rsidRPr="005E221B" w:rsidRDefault="005E221B" w:rsidP="00DC6F66">
            <w:pPr>
              <w:rPr>
                <w:sz w:val="20"/>
                <w:szCs w:val="20"/>
              </w:rPr>
            </w:pPr>
            <w:r>
              <w:rPr>
                <w:sz w:val="20"/>
                <w:szCs w:val="20"/>
              </w:rPr>
              <w:t>3.5 (2.4)</w:t>
            </w:r>
          </w:p>
        </w:tc>
        <w:tc>
          <w:tcPr>
            <w:tcW w:w="1701" w:type="dxa"/>
            <w:tcBorders>
              <w:top w:val="single" w:sz="8" w:space="0" w:color="auto"/>
            </w:tcBorders>
            <w:shd w:val="clear" w:color="auto" w:fill="D9D9D9" w:themeFill="background1" w:themeFillShade="D9"/>
            <w:vAlign w:val="center"/>
          </w:tcPr>
          <w:p w:rsidR="005E221B" w:rsidRPr="00305567" w:rsidRDefault="005E221B" w:rsidP="00DC6F66">
            <w:pPr>
              <w:rPr>
                <w:sz w:val="20"/>
                <w:szCs w:val="20"/>
              </w:rPr>
            </w:pPr>
            <w:r>
              <w:rPr>
                <w:sz w:val="20"/>
                <w:szCs w:val="20"/>
              </w:rPr>
              <w:t xml:space="preserve">per 2.5 </w:t>
            </w:r>
            <w:r w:rsidRPr="00F6549B">
              <w:rPr>
                <w:sz w:val="20"/>
                <w:szCs w:val="20"/>
              </w:rPr>
              <w:t>µg/dL</w:t>
            </w:r>
          </w:p>
        </w:tc>
        <w:tc>
          <w:tcPr>
            <w:tcW w:w="1984" w:type="dxa"/>
            <w:tcBorders>
              <w:top w:val="single" w:sz="8" w:space="0" w:color="auto"/>
            </w:tcBorders>
            <w:shd w:val="clear" w:color="auto" w:fill="D9D9D9" w:themeFill="background1" w:themeFillShade="D9"/>
            <w:vAlign w:val="center"/>
          </w:tcPr>
          <w:p w:rsidR="005E221B" w:rsidRPr="00305567" w:rsidRDefault="005E221B" w:rsidP="00DC6F66">
            <w:pPr>
              <w:rPr>
                <w:sz w:val="20"/>
                <w:szCs w:val="20"/>
              </w:rPr>
            </w:pPr>
            <w:r>
              <w:rPr>
                <w:sz w:val="20"/>
                <w:szCs w:val="20"/>
              </w:rPr>
              <w:t>1.02 (0.87, 1.19)</w:t>
            </w:r>
          </w:p>
        </w:tc>
        <w:tc>
          <w:tcPr>
            <w:tcW w:w="3402" w:type="dxa"/>
            <w:tcBorders>
              <w:top w:val="single" w:sz="8" w:space="0" w:color="auto"/>
            </w:tcBorders>
            <w:shd w:val="clear" w:color="auto" w:fill="FFFFFF" w:themeFill="background1"/>
            <w:vAlign w:val="center"/>
          </w:tcPr>
          <w:p w:rsidR="005E221B" w:rsidRDefault="005E221B" w:rsidP="00DC6F66">
            <w:pPr>
              <w:rPr>
                <w:sz w:val="20"/>
                <w:szCs w:val="20"/>
              </w:rPr>
            </w:pPr>
            <w:r>
              <w:rPr>
                <w:sz w:val="20"/>
                <w:szCs w:val="20"/>
              </w:rPr>
              <w:t xml:space="preserve">4 different models were used to calculate ORs. </w:t>
            </w:r>
          </w:p>
          <w:p w:rsidR="005E221B" w:rsidRDefault="005E221B" w:rsidP="00DC6F66">
            <w:pPr>
              <w:rPr>
                <w:sz w:val="20"/>
                <w:szCs w:val="20"/>
              </w:rPr>
            </w:pPr>
          </w:p>
          <w:p w:rsidR="005E221B" w:rsidRPr="00305567" w:rsidRDefault="005E221B" w:rsidP="00DC6F66">
            <w:pPr>
              <w:rPr>
                <w:sz w:val="20"/>
                <w:szCs w:val="20"/>
              </w:rPr>
            </w:pPr>
            <w:r>
              <w:rPr>
                <w:sz w:val="20"/>
                <w:szCs w:val="20"/>
              </w:rPr>
              <w:t xml:space="preserve">None were statistically significant. </w:t>
            </w:r>
          </w:p>
        </w:tc>
      </w:tr>
      <w:tr w:rsidR="008E302F" w:rsidTr="006A5E40">
        <w:trPr>
          <w:trHeight w:val="370"/>
        </w:trPr>
        <w:tc>
          <w:tcPr>
            <w:tcW w:w="1689" w:type="dxa"/>
            <w:vMerge w:val="restart"/>
            <w:vAlign w:val="center"/>
          </w:tcPr>
          <w:p w:rsidR="008E302F" w:rsidRPr="00305567" w:rsidRDefault="008E302F" w:rsidP="00DC6F66">
            <w:pPr>
              <w:rPr>
                <w:sz w:val="20"/>
                <w:szCs w:val="20"/>
              </w:rPr>
            </w:pPr>
            <w:r>
              <w:rPr>
                <w:sz w:val="20"/>
                <w:szCs w:val="20"/>
              </w:rPr>
              <w:t>Elmarsafawy et al. 2006</w:t>
            </w:r>
          </w:p>
        </w:tc>
        <w:tc>
          <w:tcPr>
            <w:tcW w:w="3097" w:type="dxa"/>
            <w:gridSpan w:val="2"/>
            <w:vMerge w:val="restart"/>
            <w:vAlign w:val="center"/>
          </w:tcPr>
          <w:p w:rsidR="008E302F" w:rsidRPr="00305567" w:rsidRDefault="008E302F" w:rsidP="00DC6F66">
            <w:pPr>
              <w:rPr>
                <w:sz w:val="20"/>
                <w:szCs w:val="20"/>
              </w:rPr>
            </w:pPr>
            <w:r>
              <w:rPr>
                <w:sz w:val="20"/>
                <w:szCs w:val="20"/>
              </w:rPr>
              <w:t>471 men from Normative Aging Study</w:t>
            </w:r>
          </w:p>
        </w:tc>
        <w:tc>
          <w:tcPr>
            <w:tcW w:w="1985" w:type="dxa"/>
            <w:tcBorders>
              <w:bottom w:val="single" w:sz="6" w:space="0" w:color="auto"/>
            </w:tcBorders>
            <w:vAlign w:val="center"/>
          </w:tcPr>
          <w:p w:rsidR="008E302F" w:rsidRDefault="008E302F" w:rsidP="008B74A8">
            <w:pPr>
              <w:rPr>
                <w:sz w:val="20"/>
                <w:szCs w:val="20"/>
              </w:rPr>
            </w:pPr>
            <w:r>
              <w:rPr>
                <w:sz w:val="20"/>
                <w:szCs w:val="20"/>
              </w:rPr>
              <w:t>6.6 (4.0)</w:t>
            </w:r>
          </w:p>
          <w:p w:rsidR="008E302F" w:rsidRPr="008E302F" w:rsidRDefault="008E302F" w:rsidP="008B74A8">
            <w:pPr>
              <w:rPr>
                <w:sz w:val="16"/>
                <w:szCs w:val="16"/>
              </w:rPr>
            </w:pPr>
            <w:r>
              <w:rPr>
                <w:sz w:val="16"/>
                <w:szCs w:val="16"/>
              </w:rPr>
              <w:t>(low Ca intake)</w:t>
            </w:r>
          </w:p>
        </w:tc>
        <w:tc>
          <w:tcPr>
            <w:tcW w:w="1701" w:type="dxa"/>
            <w:vMerge w:val="restart"/>
            <w:vAlign w:val="center"/>
          </w:tcPr>
          <w:p w:rsidR="008E302F" w:rsidRPr="00305567" w:rsidRDefault="00F361D8" w:rsidP="00DC6F66">
            <w:pPr>
              <w:rPr>
                <w:sz w:val="20"/>
                <w:szCs w:val="20"/>
              </w:rPr>
            </w:pPr>
            <w:r>
              <w:rPr>
                <w:sz w:val="20"/>
                <w:szCs w:val="20"/>
              </w:rPr>
              <w:t xml:space="preserve">per 1 </w:t>
            </w:r>
            <w:r w:rsidRPr="00F6549B">
              <w:rPr>
                <w:sz w:val="20"/>
                <w:szCs w:val="20"/>
              </w:rPr>
              <w:t>µg/dL</w:t>
            </w:r>
          </w:p>
        </w:tc>
        <w:tc>
          <w:tcPr>
            <w:tcW w:w="1984" w:type="dxa"/>
            <w:tcBorders>
              <w:bottom w:val="single" w:sz="6" w:space="0" w:color="auto"/>
            </w:tcBorders>
            <w:vAlign w:val="center"/>
          </w:tcPr>
          <w:p w:rsidR="008E302F" w:rsidRPr="00305567" w:rsidRDefault="00F361D8" w:rsidP="00DC6F66">
            <w:pPr>
              <w:rPr>
                <w:sz w:val="20"/>
                <w:szCs w:val="20"/>
              </w:rPr>
            </w:pPr>
            <w:r>
              <w:rPr>
                <w:sz w:val="20"/>
                <w:szCs w:val="20"/>
              </w:rPr>
              <w:t>1.07 (1, 1.15)</w:t>
            </w:r>
          </w:p>
        </w:tc>
        <w:tc>
          <w:tcPr>
            <w:tcW w:w="3402" w:type="dxa"/>
            <w:vMerge w:val="restart"/>
            <w:vAlign w:val="center"/>
          </w:tcPr>
          <w:p w:rsidR="008E302F" w:rsidRDefault="00F361D8" w:rsidP="00DC6F66">
            <w:pPr>
              <w:rPr>
                <w:sz w:val="20"/>
                <w:szCs w:val="20"/>
              </w:rPr>
            </w:pPr>
            <w:r>
              <w:rPr>
                <w:sz w:val="20"/>
                <w:szCs w:val="20"/>
              </w:rPr>
              <w:t xml:space="preserve">Lack of consideration for potential confounding by socioeconomic status related variables. </w:t>
            </w:r>
          </w:p>
          <w:p w:rsidR="00F361D8" w:rsidRDefault="00F361D8" w:rsidP="00DC6F66">
            <w:pPr>
              <w:rPr>
                <w:sz w:val="20"/>
                <w:szCs w:val="20"/>
              </w:rPr>
            </w:pPr>
          </w:p>
          <w:p w:rsidR="00F361D8" w:rsidRPr="00305567" w:rsidRDefault="00F361D8" w:rsidP="00440F6B">
            <w:pPr>
              <w:rPr>
                <w:sz w:val="20"/>
                <w:szCs w:val="20"/>
              </w:rPr>
            </w:pPr>
            <w:r>
              <w:rPr>
                <w:sz w:val="20"/>
                <w:szCs w:val="20"/>
              </w:rPr>
              <w:t xml:space="preserve">Association only slightly significant for low </w:t>
            </w:r>
            <w:r w:rsidR="00440F6B">
              <w:rPr>
                <w:sz w:val="20"/>
                <w:szCs w:val="20"/>
              </w:rPr>
              <w:t xml:space="preserve">calcium </w:t>
            </w:r>
            <w:r>
              <w:rPr>
                <w:sz w:val="20"/>
                <w:szCs w:val="20"/>
              </w:rPr>
              <w:t>intake group.</w:t>
            </w:r>
          </w:p>
        </w:tc>
      </w:tr>
      <w:tr w:rsidR="008E302F" w:rsidTr="006A5E40">
        <w:trPr>
          <w:trHeight w:val="320"/>
        </w:trPr>
        <w:tc>
          <w:tcPr>
            <w:tcW w:w="1689" w:type="dxa"/>
            <w:vMerge/>
          </w:tcPr>
          <w:p w:rsidR="008E302F" w:rsidRDefault="008E302F" w:rsidP="002B5D66">
            <w:pPr>
              <w:rPr>
                <w:sz w:val="20"/>
                <w:szCs w:val="20"/>
              </w:rPr>
            </w:pPr>
          </w:p>
        </w:tc>
        <w:tc>
          <w:tcPr>
            <w:tcW w:w="3097" w:type="dxa"/>
            <w:gridSpan w:val="2"/>
            <w:vMerge/>
          </w:tcPr>
          <w:p w:rsidR="008E302F" w:rsidRDefault="008E302F" w:rsidP="002B5D66">
            <w:pPr>
              <w:rPr>
                <w:sz w:val="20"/>
                <w:szCs w:val="20"/>
              </w:rPr>
            </w:pPr>
          </w:p>
        </w:tc>
        <w:tc>
          <w:tcPr>
            <w:tcW w:w="1985" w:type="dxa"/>
            <w:tcBorders>
              <w:top w:val="single" w:sz="6" w:space="0" w:color="auto"/>
            </w:tcBorders>
            <w:shd w:val="clear" w:color="auto" w:fill="D9D9D9" w:themeFill="background1" w:themeFillShade="D9"/>
            <w:vAlign w:val="center"/>
          </w:tcPr>
          <w:p w:rsidR="008E302F" w:rsidRDefault="008E302F" w:rsidP="008B74A8">
            <w:pPr>
              <w:rPr>
                <w:sz w:val="20"/>
                <w:szCs w:val="20"/>
              </w:rPr>
            </w:pPr>
            <w:r>
              <w:rPr>
                <w:sz w:val="20"/>
                <w:szCs w:val="20"/>
              </w:rPr>
              <w:t>6.6 (4.6)</w:t>
            </w:r>
          </w:p>
          <w:p w:rsidR="008E302F" w:rsidRPr="008E302F" w:rsidRDefault="008E302F" w:rsidP="008B74A8">
            <w:pPr>
              <w:rPr>
                <w:sz w:val="16"/>
                <w:szCs w:val="16"/>
              </w:rPr>
            </w:pPr>
            <w:r>
              <w:rPr>
                <w:sz w:val="16"/>
                <w:szCs w:val="16"/>
              </w:rPr>
              <w:t>(high Ca intake)</w:t>
            </w:r>
          </w:p>
        </w:tc>
        <w:tc>
          <w:tcPr>
            <w:tcW w:w="1701" w:type="dxa"/>
            <w:vMerge/>
            <w:tcBorders>
              <w:bottom w:val="single" w:sz="8" w:space="0" w:color="auto"/>
            </w:tcBorders>
          </w:tcPr>
          <w:p w:rsidR="008E302F" w:rsidRPr="00305567" w:rsidRDefault="008E302F" w:rsidP="002B5D66">
            <w:pPr>
              <w:rPr>
                <w:sz w:val="20"/>
                <w:szCs w:val="20"/>
              </w:rPr>
            </w:pPr>
          </w:p>
        </w:tc>
        <w:tc>
          <w:tcPr>
            <w:tcW w:w="1984" w:type="dxa"/>
            <w:tcBorders>
              <w:top w:val="single" w:sz="6" w:space="0" w:color="auto"/>
              <w:bottom w:val="single" w:sz="8" w:space="0" w:color="auto"/>
            </w:tcBorders>
            <w:shd w:val="clear" w:color="auto" w:fill="D9D9D9" w:themeFill="background1" w:themeFillShade="D9"/>
            <w:vAlign w:val="center"/>
          </w:tcPr>
          <w:p w:rsidR="00F361D8" w:rsidRDefault="00F361D8" w:rsidP="00DC6F66">
            <w:pPr>
              <w:rPr>
                <w:sz w:val="20"/>
                <w:szCs w:val="20"/>
              </w:rPr>
            </w:pPr>
            <w:r>
              <w:rPr>
                <w:sz w:val="20"/>
                <w:szCs w:val="20"/>
              </w:rPr>
              <w:t xml:space="preserve">1.03 </w:t>
            </w:r>
          </w:p>
          <w:p w:rsidR="008E302F" w:rsidRPr="00305567" w:rsidRDefault="00F361D8" w:rsidP="00DC6F66">
            <w:pPr>
              <w:rPr>
                <w:sz w:val="20"/>
                <w:szCs w:val="20"/>
              </w:rPr>
            </w:pPr>
            <w:r>
              <w:rPr>
                <w:sz w:val="20"/>
                <w:szCs w:val="20"/>
              </w:rPr>
              <w:t>(0.97 – 1.11)</w:t>
            </w:r>
          </w:p>
        </w:tc>
        <w:tc>
          <w:tcPr>
            <w:tcW w:w="3402" w:type="dxa"/>
            <w:vMerge/>
          </w:tcPr>
          <w:p w:rsidR="008E302F" w:rsidRPr="00305567" w:rsidRDefault="008E302F" w:rsidP="002B5D66">
            <w:pPr>
              <w:rPr>
                <w:sz w:val="20"/>
                <w:szCs w:val="20"/>
              </w:rPr>
            </w:pPr>
          </w:p>
        </w:tc>
      </w:tr>
      <w:tr w:rsidR="00DC6F66" w:rsidTr="006A5E40">
        <w:trPr>
          <w:trHeight w:val="396"/>
        </w:trPr>
        <w:tc>
          <w:tcPr>
            <w:tcW w:w="1689" w:type="dxa"/>
            <w:vMerge w:val="restart"/>
            <w:vAlign w:val="center"/>
          </w:tcPr>
          <w:p w:rsidR="00DC6F66" w:rsidRPr="00305567" w:rsidRDefault="00DC6F66" w:rsidP="00DC6F66">
            <w:pPr>
              <w:rPr>
                <w:sz w:val="20"/>
                <w:szCs w:val="20"/>
              </w:rPr>
            </w:pPr>
            <w:r>
              <w:rPr>
                <w:sz w:val="20"/>
                <w:szCs w:val="20"/>
              </w:rPr>
              <w:t>Yazbeck et al. 2009</w:t>
            </w:r>
          </w:p>
        </w:tc>
        <w:tc>
          <w:tcPr>
            <w:tcW w:w="3097" w:type="dxa"/>
            <w:gridSpan w:val="2"/>
            <w:vMerge w:val="restart"/>
            <w:vAlign w:val="center"/>
          </w:tcPr>
          <w:p w:rsidR="00DC6F66" w:rsidRPr="00305567" w:rsidRDefault="00DC6F66" w:rsidP="00DC6F66">
            <w:pPr>
              <w:rPr>
                <w:sz w:val="20"/>
                <w:szCs w:val="20"/>
              </w:rPr>
            </w:pPr>
            <w:r>
              <w:rPr>
                <w:sz w:val="20"/>
                <w:szCs w:val="20"/>
              </w:rPr>
              <w:t>1,017 pregnant women, of which 106 were diagnosed with pregnancy-induced hypertension (PIH)</w:t>
            </w:r>
          </w:p>
        </w:tc>
        <w:tc>
          <w:tcPr>
            <w:tcW w:w="1985" w:type="dxa"/>
            <w:tcBorders>
              <w:bottom w:val="single" w:sz="6" w:space="0" w:color="auto"/>
            </w:tcBorders>
            <w:shd w:val="clear" w:color="auto" w:fill="D9D9D9" w:themeFill="background1" w:themeFillShade="D9"/>
            <w:vAlign w:val="center"/>
          </w:tcPr>
          <w:p w:rsidR="00DC6F66" w:rsidRPr="00DC6F66" w:rsidRDefault="00DC6F66" w:rsidP="00DC6F66">
            <w:pPr>
              <w:rPr>
                <w:sz w:val="20"/>
                <w:szCs w:val="20"/>
              </w:rPr>
            </w:pPr>
            <w:r w:rsidRPr="00DC6F66">
              <w:rPr>
                <w:sz w:val="20"/>
                <w:szCs w:val="20"/>
              </w:rPr>
              <w:t>Q</w:t>
            </w:r>
            <w:r w:rsidR="008217EA">
              <w:rPr>
                <w:sz w:val="20"/>
                <w:szCs w:val="20"/>
              </w:rPr>
              <w:t xml:space="preserve">uintile </w:t>
            </w:r>
            <w:r w:rsidRPr="00DC6F66">
              <w:rPr>
                <w:sz w:val="20"/>
                <w:szCs w:val="20"/>
              </w:rPr>
              <w:t>1: &lt;1.2</w:t>
            </w:r>
          </w:p>
        </w:tc>
        <w:tc>
          <w:tcPr>
            <w:tcW w:w="1701" w:type="dxa"/>
            <w:tcBorders>
              <w:top w:val="single" w:sz="8" w:space="0" w:color="auto"/>
              <w:bottom w:val="single" w:sz="6" w:space="0" w:color="auto"/>
            </w:tcBorders>
            <w:shd w:val="clear" w:color="auto" w:fill="D9D9D9" w:themeFill="background1" w:themeFillShade="D9"/>
            <w:vAlign w:val="center"/>
          </w:tcPr>
          <w:p w:rsidR="00DC6F66" w:rsidRPr="00305567" w:rsidRDefault="00DC6F66" w:rsidP="00DC6F66">
            <w:pPr>
              <w:rPr>
                <w:sz w:val="20"/>
                <w:szCs w:val="20"/>
              </w:rPr>
            </w:pPr>
            <w:r>
              <w:rPr>
                <w:sz w:val="20"/>
                <w:szCs w:val="20"/>
              </w:rPr>
              <w:t>Referent</w:t>
            </w:r>
          </w:p>
        </w:tc>
        <w:tc>
          <w:tcPr>
            <w:tcW w:w="1984" w:type="dxa"/>
            <w:tcBorders>
              <w:bottom w:val="single" w:sz="6" w:space="0" w:color="auto"/>
            </w:tcBorders>
            <w:shd w:val="clear" w:color="auto" w:fill="D9D9D9" w:themeFill="background1" w:themeFillShade="D9"/>
            <w:vAlign w:val="center"/>
          </w:tcPr>
          <w:p w:rsidR="00DC6F66" w:rsidRPr="00305567" w:rsidRDefault="00DC6F66" w:rsidP="00DC6F66">
            <w:pPr>
              <w:rPr>
                <w:sz w:val="20"/>
                <w:szCs w:val="20"/>
              </w:rPr>
            </w:pPr>
            <w:r>
              <w:rPr>
                <w:sz w:val="20"/>
                <w:szCs w:val="20"/>
              </w:rPr>
              <w:t>1.0</w:t>
            </w:r>
          </w:p>
        </w:tc>
        <w:tc>
          <w:tcPr>
            <w:tcW w:w="3402" w:type="dxa"/>
            <w:vMerge w:val="restart"/>
            <w:vAlign w:val="center"/>
          </w:tcPr>
          <w:p w:rsidR="00DC6F66" w:rsidRPr="00305567" w:rsidRDefault="00DC6F66" w:rsidP="00DC6F66">
            <w:pPr>
              <w:rPr>
                <w:sz w:val="20"/>
                <w:szCs w:val="20"/>
              </w:rPr>
            </w:pPr>
            <w:r>
              <w:rPr>
                <w:sz w:val="20"/>
                <w:szCs w:val="20"/>
              </w:rPr>
              <w:t xml:space="preserve">OR were adjusted for maternal age, cadmium, manganese, and selenium blood levels; haematocrit; parity; BMI; gestational diabetes; educational level; socioeconomic status; geographic residence, and smoking. </w:t>
            </w:r>
          </w:p>
        </w:tc>
      </w:tr>
      <w:tr w:rsidR="00F361D8" w:rsidTr="006A5E40">
        <w:trPr>
          <w:trHeight w:val="401"/>
        </w:trPr>
        <w:tc>
          <w:tcPr>
            <w:tcW w:w="1689" w:type="dxa"/>
            <w:vMerge/>
          </w:tcPr>
          <w:p w:rsidR="00F361D8" w:rsidRDefault="00F361D8" w:rsidP="002B5D66">
            <w:pPr>
              <w:rPr>
                <w:sz w:val="20"/>
                <w:szCs w:val="20"/>
              </w:rPr>
            </w:pPr>
          </w:p>
        </w:tc>
        <w:tc>
          <w:tcPr>
            <w:tcW w:w="3097" w:type="dxa"/>
            <w:gridSpan w:val="2"/>
            <w:vMerge/>
          </w:tcPr>
          <w:p w:rsidR="00F361D8" w:rsidRDefault="00F361D8"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F361D8" w:rsidRPr="00DC6F66" w:rsidRDefault="00F361D8" w:rsidP="00DC6F66">
            <w:pPr>
              <w:rPr>
                <w:sz w:val="20"/>
                <w:szCs w:val="20"/>
              </w:rPr>
            </w:pPr>
            <w:r w:rsidRPr="00DC6F66">
              <w:rPr>
                <w:sz w:val="20"/>
                <w:szCs w:val="20"/>
              </w:rPr>
              <w:t>Q2: 1.2-1.7</w:t>
            </w:r>
          </w:p>
        </w:tc>
        <w:tc>
          <w:tcPr>
            <w:tcW w:w="1701" w:type="dxa"/>
            <w:tcBorders>
              <w:top w:val="single" w:sz="6" w:space="0" w:color="auto"/>
              <w:bottom w:val="single" w:sz="6" w:space="0" w:color="auto"/>
            </w:tcBorders>
            <w:shd w:val="clear" w:color="auto" w:fill="D9D9D9" w:themeFill="background1" w:themeFillShade="D9"/>
            <w:vAlign w:val="center"/>
          </w:tcPr>
          <w:p w:rsidR="00F361D8" w:rsidRDefault="00DC6F66" w:rsidP="00DC6F66">
            <w:pPr>
              <w:rPr>
                <w:sz w:val="20"/>
                <w:szCs w:val="20"/>
              </w:rPr>
            </w:pPr>
            <w:r>
              <w:rPr>
                <w:sz w:val="20"/>
                <w:szCs w:val="20"/>
              </w:rPr>
              <w:t>Q2 vs. Q1</w:t>
            </w:r>
          </w:p>
          <w:p w:rsidR="00942D02" w:rsidRPr="00305567" w:rsidRDefault="00942D02" w:rsidP="00DC6F66">
            <w:pPr>
              <w:rPr>
                <w:sz w:val="20"/>
                <w:szCs w:val="20"/>
              </w:rPr>
            </w:pPr>
            <w:r w:rsidRPr="00942D02">
              <w:rPr>
                <w:i/>
                <w:sz w:val="18"/>
                <w:szCs w:val="18"/>
              </w:rPr>
              <w:t>(0.85</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vAlign w:val="center"/>
          </w:tcPr>
          <w:p w:rsidR="00F361D8" w:rsidRDefault="00DC6F66" w:rsidP="00DC6F66">
            <w:pPr>
              <w:rPr>
                <w:sz w:val="20"/>
                <w:szCs w:val="20"/>
              </w:rPr>
            </w:pPr>
            <w:r>
              <w:rPr>
                <w:sz w:val="20"/>
                <w:szCs w:val="20"/>
              </w:rPr>
              <w:t>1.84 (0.77, 4.41)</w:t>
            </w:r>
          </w:p>
        </w:tc>
        <w:tc>
          <w:tcPr>
            <w:tcW w:w="3402" w:type="dxa"/>
            <w:vMerge/>
          </w:tcPr>
          <w:p w:rsidR="00F361D8" w:rsidRPr="00305567" w:rsidRDefault="00F361D8" w:rsidP="002B5D66">
            <w:pPr>
              <w:rPr>
                <w:sz w:val="20"/>
                <w:szCs w:val="20"/>
              </w:rPr>
            </w:pPr>
          </w:p>
        </w:tc>
      </w:tr>
      <w:tr w:rsidR="00F361D8" w:rsidTr="006A5E40">
        <w:trPr>
          <w:trHeight w:val="407"/>
        </w:trPr>
        <w:tc>
          <w:tcPr>
            <w:tcW w:w="1689" w:type="dxa"/>
            <w:vMerge/>
          </w:tcPr>
          <w:p w:rsidR="00F361D8" w:rsidRDefault="00F361D8" w:rsidP="002B5D66">
            <w:pPr>
              <w:rPr>
                <w:sz w:val="20"/>
                <w:szCs w:val="20"/>
              </w:rPr>
            </w:pPr>
          </w:p>
        </w:tc>
        <w:tc>
          <w:tcPr>
            <w:tcW w:w="3097" w:type="dxa"/>
            <w:gridSpan w:val="2"/>
            <w:vMerge/>
          </w:tcPr>
          <w:p w:rsidR="00F361D8" w:rsidRDefault="00F361D8"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F361D8" w:rsidRPr="00DC6F66" w:rsidRDefault="00F361D8" w:rsidP="00DC6F66">
            <w:pPr>
              <w:rPr>
                <w:sz w:val="20"/>
                <w:szCs w:val="20"/>
              </w:rPr>
            </w:pPr>
            <w:r w:rsidRPr="00DC6F66">
              <w:rPr>
                <w:sz w:val="20"/>
                <w:szCs w:val="20"/>
              </w:rPr>
              <w:t>Q3: 1.71-2.3</w:t>
            </w:r>
          </w:p>
        </w:tc>
        <w:tc>
          <w:tcPr>
            <w:tcW w:w="1701" w:type="dxa"/>
            <w:tcBorders>
              <w:top w:val="single" w:sz="6" w:space="0" w:color="auto"/>
              <w:bottom w:val="single" w:sz="6" w:space="0" w:color="auto"/>
            </w:tcBorders>
            <w:shd w:val="clear" w:color="auto" w:fill="D9D9D9" w:themeFill="background1" w:themeFillShade="D9"/>
            <w:vAlign w:val="center"/>
          </w:tcPr>
          <w:p w:rsidR="00F361D8" w:rsidRDefault="00DC6F66" w:rsidP="00DC6F66">
            <w:pPr>
              <w:rPr>
                <w:sz w:val="20"/>
                <w:szCs w:val="20"/>
              </w:rPr>
            </w:pPr>
            <w:r>
              <w:rPr>
                <w:sz w:val="20"/>
                <w:szCs w:val="20"/>
              </w:rPr>
              <w:t>Q3 vs. Q1</w:t>
            </w:r>
          </w:p>
          <w:p w:rsidR="00942D02" w:rsidRPr="00305567" w:rsidRDefault="00FD08BD" w:rsidP="00DC6F66">
            <w:pPr>
              <w:rPr>
                <w:sz w:val="20"/>
                <w:szCs w:val="20"/>
              </w:rPr>
            </w:pPr>
            <w:r>
              <w:rPr>
                <w:i/>
                <w:sz w:val="18"/>
                <w:szCs w:val="18"/>
              </w:rPr>
              <w:t>(1.4</w:t>
            </w:r>
            <w:r w:rsidR="00942D02" w:rsidRPr="00A46D68">
              <w:rPr>
                <w:i/>
                <w:sz w:val="18"/>
                <w:szCs w:val="18"/>
              </w:rPr>
              <w:t xml:space="preserve"> µg/dL</w:t>
            </w:r>
            <w:r w:rsidR="00942D02"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vAlign w:val="center"/>
          </w:tcPr>
          <w:p w:rsidR="00F361D8" w:rsidRPr="00305567" w:rsidRDefault="00DC6F66" w:rsidP="00DC6F66">
            <w:pPr>
              <w:rPr>
                <w:sz w:val="20"/>
                <w:szCs w:val="20"/>
              </w:rPr>
            </w:pPr>
            <w:r>
              <w:rPr>
                <w:sz w:val="20"/>
                <w:szCs w:val="20"/>
              </w:rPr>
              <w:t>2.07 (0.83, 5.13)</w:t>
            </w:r>
          </w:p>
        </w:tc>
        <w:tc>
          <w:tcPr>
            <w:tcW w:w="3402" w:type="dxa"/>
            <w:vMerge/>
          </w:tcPr>
          <w:p w:rsidR="00F361D8" w:rsidRPr="00305567" w:rsidRDefault="00F361D8" w:rsidP="002B5D66">
            <w:pPr>
              <w:rPr>
                <w:sz w:val="20"/>
                <w:szCs w:val="20"/>
              </w:rPr>
            </w:pPr>
          </w:p>
        </w:tc>
      </w:tr>
      <w:tr w:rsidR="00F361D8" w:rsidTr="006A5E40">
        <w:trPr>
          <w:trHeight w:val="260"/>
        </w:trPr>
        <w:tc>
          <w:tcPr>
            <w:tcW w:w="1689" w:type="dxa"/>
            <w:vMerge/>
          </w:tcPr>
          <w:p w:rsidR="00F361D8" w:rsidRDefault="00F361D8" w:rsidP="002B5D66">
            <w:pPr>
              <w:rPr>
                <w:sz w:val="20"/>
                <w:szCs w:val="20"/>
              </w:rPr>
            </w:pPr>
          </w:p>
        </w:tc>
        <w:tc>
          <w:tcPr>
            <w:tcW w:w="3097" w:type="dxa"/>
            <w:gridSpan w:val="2"/>
            <w:vMerge/>
          </w:tcPr>
          <w:p w:rsidR="00F361D8" w:rsidRDefault="00F361D8" w:rsidP="002B5D66">
            <w:pPr>
              <w:rPr>
                <w:sz w:val="20"/>
                <w:szCs w:val="20"/>
              </w:rPr>
            </w:pPr>
          </w:p>
        </w:tc>
        <w:tc>
          <w:tcPr>
            <w:tcW w:w="1985" w:type="dxa"/>
            <w:tcBorders>
              <w:top w:val="single" w:sz="6" w:space="0" w:color="auto"/>
            </w:tcBorders>
            <w:vAlign w:val="center"/>
          </w:tcPr>
          <w:p w:rsidR="00F361D8" w:rsidRPr="00DC6F66" w:rsidRDefault="00F361D8" w:rsidP="00DC6F66">
            <w:pPr>
              <w:rPr>
                <w:sz w:val="20"/>
                <w:szCs w:val="20"/>
              </w:rPr>
            </w:pPr>
            <w:r w:rsidRPr="00DC6F66">
              <w:rPr>
                <w:sz w:val="20"/>
                <w:szCs w:val="20"/>
              </w:rPr>
              <w:t>Q4: &gt;2.3</w:t>
            </w:r>
          </w:p>
        </w:tc>
        <w:tc>
          <w:tcPr>
            <w:tcW w:w="1701" w:type="dxa"/>
            <w:tcBorders>
              <w:top w:val="single" w:sz="6" w:space="0" w:color="auto"/>
            </w:tcBorders>
            <w:vAlign w:val="center"/>
          </w:tcPr>
          <w:p w:rsidR="00F361D8" w:rsidRDefault="00DC6F66" w:rsidP="00DC6F66">
            <w:pPr>
              <w:rPr>
                <w:sz w:val="20"/>
                <w:szCs w:val="20"/>
              </w:rPr>
            </w:pPr>
            <w:r>
              <w:rPr>
                <w:sz w:val="20"/>
                <w:szCs w:val="20"/>
              </w:rPr>
              <w:t>Q4 vs. Q1</w:t>
            </w:r>
          </w:p>
          <w:p w:rsidR="00FD08BD" w:rsidRPr="00305567" w:rsidRDefault="00FD08BD" w:rsidP="00DC6F66">
            <w:pPr>
              <w:rPr>
                <w:sz w:val="20"/>
                <w:szCs w:val="20"/>
              </w:rPr>
            </w:pPr>
            <w:r>
              <w:rPr>
                <w:i/>
                <w:sz w:val="18"/>
                <w:szCs w:val="18"/>
              </w:rPr>
              <w:t>(1.7</w:t>
            </w:r>
            <w:r w:rsidRPr="00A46D68">
              <w:rPr>
                <w:i/>
                <w:sz w:val="18"/>
                <w:szCs w:val="18"/>
              </w:rPr>
              <w:t xml:space="preserve"> µg/dL</w:t>
            </w:r>
            <w:r>
              <w:rPr>
                <w:i/>
                <w:sz w:val="18"/>
                <w:szCs w:val="18"/>
              </w:rPr>
              <w:t>?</w:t>
            </w:r>
            <w:r w:rsidRPr="00AF5B5B">
              <w:rPr>
                <w:sz w:val="18"/>
                <w:szCs w:val="18"/>
              </w:rPr>
              <w:t>)</w:t>
            </w:r>
          </w:p>
        </w:tc>
        <w:tc>
          <w:tcPr>
            <w:tcW w:w="1984" w:type="dxa"/>
            <w:tcBorders>
              <w:top w:val="single" w:sz="6" w:space="0" w:color="auto"/>
            </w:tcBorders>
            <w:vAlign w:val="center"/>
          </w:tcPr>
          <w:p w:rsidR="00F361D8" w:rsidRDefault="00DC6F66" w:rsidP="00DC6F66">
            <w:pPr>
              <w:rPr>
                <w:sz w:val="20"/>
                <w:szCs w:val="20"/>
              </w:rPr>
            </w:pPr>
            <w:r>
              <w:rPr>
                <w:sz w:val="20"/>
                <w:szCs w:val="20"/>
              </w:rPr>
              <w:t>2.56 (1.05, 6.22)</w:t>
            </w:r>
          </w:p>
        </w:tc>
        <w:tc>
          <w:tcPr>
            <w:tcW w:w="3402" w:type="dxa"/>
            <w:vMerge/>
          </w:tcPr>
          <w:p w:rsidR="00F361D8" w:rsidRPr="00305567" w:rsidRDefault="00F361D8" w:rsidP="002B5D66">
            <w:pPr>
              <w:rPr>
                <w:sz w:val="20"/>
                <w:szCs w:val="20"/>
              </w:rPr>
            </w:pPr>
          </w:p>
        </w:tc>
      </w:tr>
      <w:tr w:rsidR="00D37D80" w:rsidTr="006A5E40">
        <w:trPr>
          <w:trHeight w:val="300"/>
        </w:trPr>
        <w:tc>
          <w:tcPr>
            <w:tcW w:w="1689" w:type="dxa"/>
            <w:vMerge w:val="restart"/>
            <w:vAlign w:val="center"/>
          </w:tcPr>
          <w:p w:rsidR="00D37D80" w:rsidRPr="00305567" w:rsidRDefault="00D37D80" w:rsidP="00D37D80">
            <w:pPr>
              <w:rPr>
                <w:sz w:val="20"/>
                <w:szCs w:val="20"/>
              </w:rPr>
            </w:pPr>
            <w:r>
              <w:rPr>
                <w:sz w:val="20"/>
                <w:szCs w:val="20"/>
              </w:rPr>
              <w:t>Muntner et al. 2005</w:t>
            </w:r>
          </w:p>
        </w:tc>
        <w:tc>
          <w:tcPr>
            <w:tcW w:w="1680" w:type="dxa"/>
            <w:vMerge w:val="restart"/>
            <w:tcBorders>
              <w:right w:val="single" w:sz="6" w:space="0" w:color="auto"/>
            </w:tcBorders>
            <w:vAlign w:val="center"/>
          </w:tcPr>
          <w:p w:rsidR="00D37D80" w:rsidRDefault="00D37D80" w:rsidP="00D37D80">
            <w:pPr>
              <w:rPr>
                <w:sz w:val="20"/>
                <w:szCs w:val="20"/>
              </w:rPr>
            </w:pPr>
            <w:r>
              <w:rPr>
                <w:sz w:val="20"/>
                <w:szCs w:val="20"/>
              </w:rPr>
              <w:t>NHANES III (n=16,609) &amp;</w:t>
            </w:r>
          </w:p>
          <w:p w:rsidR="00D37D80" w:rsidRPr="00305567" w:rsidRDefault="00D37D80" w:rsidP="00D37D80">
            <w:pPr>
              <w:rPr>
                <w:sz w:val="20"/>
                <w:szCs w:val="20"/>
              </w:rPr>
            </w:pPr>
            <w:r>
              <w:rPr>
                <w:sz w:val="20"/>
                <w:szCs w:val="20"/>
              </w:rPr>
              <w:t>NHANES (n=9,961)</w:t>
            </w:r>
          </w:p>
        </w:tc>
        <w:tc>
          <w:tcPr>
            <w:tcW w:w="1417" w:type="dxa"/>
            <w:vMerge w:val="restart"/>
            <w:tcBorders>
              <w:left w:val="single" w:sz="6" w:space="0" w:color="auto"/>
            </w:tcBorders>
            <w:vAlign w:val="center"/>
          </w:tcPr>
          <w:p w:rsidR="00D37D80" w:rsidRPr="00305567" w:rsidRDefault="00D37D80" w:rsidP="00D37D80">
            <w:pPr>
              <w:rPr>
                <w:sz w:val="20"/>
                <w:szCs w:val="20"/>
              </w:rPr>
            </w:pPr>
            <w:r>
              <w:rPr>
                <w:sz w:val="20"/>
                <w:szCs w:val="20"/>
              </w:rPr>
              <w:t>Non-hispanic whites</w:t>
            </w:r>
          </w:p>
        </w:tc>
        <w:tc>
          <w:tcPr>
            <w:tcW w:w="1985" w:type="dxa"/>
            <w:tcBorders>
              <w:bottom w:val="single" w:sz="6" w:space="0" w:color="auto"/>
            </w:tcBorders>
            <w:shd w:val="clear" w:color="auto" w:fill="D9D9D9" w:themeFill="background1" w:themeFillShade="D9"/>
            <w:vAlign w:val="center"/>
          </w:tcPr>
          <w:p w:rsidR="00D37D80" w:rsidRPr="00DC6F66" w:rsidRDefault="00D37D80" w:rsidP="00C033BF">
            <w:pPr>
              <w:rPr>
                <w:sz w:val="20"/>
                <w:szCs w:val="20"/>
              </w:rPr>
            </w:pPr>
            <w:r>
              <w:rPr>
                <w:sz w:val="20"/>
                <w:szCs w:val="20"/>
              </w:rPr>
              <w:t>Q1: &lt;1.06</w:t>
            </w:r>
          </w:p>
        </w:tc>
        <w:tc>
          <w:tcPr>
            <w:tcW w:w="1701" w:type="dxa"/>
            <w:tcBorders>
              <w:bottom w:val="single" w:sz="6" w:space="0" w:color="auto"/>
            </w:tcBorders>
            <w:shd w:val="clear" w:color="auto" w:fill="D9D9D9" w:themeFill="background1" w:themeFillShade="D9"/>
            <w:vAlign w:val="center"/>
          </w:tcPr>
          <w:p w:rsidR="00D37D80" w:rsidRPr="00305567" w:rsidRDefault="00D37D80" w:rsidP="00C033BF">
            <w:pPr>
              <w:rPr>
                <w:sz w:val="20"/>
                <w:szCs w:val="20"/>
              </w:rPr>
            </w:pPr>
            <w:r>
              <w:rPr>
                <w:sz w:val="20"/>
                <w:szCs w:val="20"/>
              </w:rPr>
              <w:t>Referent</w:t>
            </w:r>
          </w:p>
        </w:tc>
        <w:tc>
          <w:tcPr>
            <w:tcW w:w="1984" w:type="dxa"/>
            <w:tcBorders>
              <w:bottom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1.0</w:t>
            </w:r>
          </w:p>
        </w:tc>
        <w:tc>
          <w:tcPr>
            <w:tcW w:w="3402" w:type="dxa"/>
            <w:vMerge w:val="restart"/>
            <w:vAlign w:val="center"/>
          </w:tcPr>
          <w:p w:rsidR="00D37D80" w:rsidRPr="00305567" w:rsidRDefault="003656FA" w:rsidP="003656FA">
            <w:pPr>
              <w:rPr>
                <w:sz w:val="20"/>
                <w:szCs w:val="20"/>
              </w:rPr>
            </w:pPr>
            <w:r>
              <w:rPr>
                <w:sz w:val="20"/>
                <w:szCs w:val="20"/>
              </w:rPr>
              <w:t xml:space="preserve">Adjusted for age, sex, diabetes mellitus, current cigarette smoking, BMI, alcohol consumption, having a high school education and having health insurance. </w:t>
            </w:r>
          </w:p>
        </w:tc>
      </w:tr>
      <w:tr w:rsidR="00D37D80" w:rsidTr="006A5E40">
        <w:trPr>
          <w:trHeight w:val="403"/>
        </w:trPr>
        <w:tc>
          <w:tcPr>
            <w:tcW w:w="1689" w:type="dxa"/>
            <w:vMerge/>
          </w:tcPr>
          <w:p w:rsidR="00D37D80" w:rsidRDefault="00D37D80" w:rsidP="002B5D66">
            <w:pPr>
              <w:rPr>
                <w:sz w:val="20"/>
                <w:szCs w:val="20"/>
              </w:rPr>
            </w:pPr>
          </w:p>
        </w:tc>
        <w:tc>
          <w:tcPr>
            <w:tcW w:w="1680" w:type="dxa"/>
            <w:vMerge/>
            <w:tcBorders>
              <w:right w:val="single" w:sz="6" w:space="0" w:color="auto"/>
            </w:tcBorders>
          </w:tcPr>
          <w:p w:rsidR="00D37D80" w:rsidRDefault="00D37D80" w:rsidP="002B5D66">
            <w:pPr>
              <w:rPr>
                <w:sz w:val="20"/>
                <w:szCs w:val="20"/>
              </w:rPr>
            </w:pPr>
          </w:p>
        </w:tc>
        <w:tc>
          <w:tcPr>
            <w:tcW w:w="1417" w:type="dxa"/>
            <w:vMerge/>
            <w:tcBorders>
              <w:left w:val="single" w:sz="6" w:space="0" w:color="auto"/>
            </w:tcBorders>
          </w:tcPr>
          <w:p w:rsidR="00D37D80" w:rsidRDefault="00D37D80"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D37D80" w:rsidRPr="00DC6F66" w:rsidRDefault="00D37D80" w:rsidP="00C033BF">
            <w:pPr>
              <w:rPr>
                <w:sz w:val="20"/>
                <w:szCs w:val="20"/>
              </w:rPr>
            </w:pPr>
            <w:r>
              <w:rPr>
                <w:sz w:val="20"/>
                <w:szCs w:val="20"/>
              </w:rPr>
              <w:t>Q2: 1.06-1.63</w:t>
            </w:r>
          </w:p>
        </w:tc>
        <w:tc>
          <w:tcPr>
            <w:tcW w:w="1701" w:type="dxa"/>
            <w:tcBorders>
              <w:top w:val="single" w:sz="6" w:space="0" w:color="auto"/>
              <w:bottom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Q2 vs. Q1</w:t>
            </w:r>
          </w:p>
          <w:p w:rsidR="00FD08BD" w:rsidRPr="00305567" w:rsidRDefault="00FD08BD" w:rsidP="00C033BF">
            <w:pPr>
              <w:rPr>
                <w:sz w:val="20"/>
                <w:szCs w:val="20"/>
              </w:rPr>
            </w:pPr>
            <w:r w:rsidRPr="00942D02">
              <w:rPr>
                <w:i/>
                <w:sz w:val="18"/>
                <w:szCs w:val="18"/>
              </w:rPr>
              <w:t>(0.85</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1.12 (0.83, 1.5)</w:t>
            </w:r>
          </w:p>
        </w:tc>
        <w:tc>
          <w:tcPr>
            <w:tcW w:w="3402" w:type="dxa"/>
            <w:vMerge/>
          </w:tcPr>
          <w:p w:rsidR="00D37D80" w:rsidRPr="00305567" w:rsidRDefault="00D37D80" w:rsidP="002B5D66">
            <w:pPr>
              <w:rPr>
                <w:sz w:val="20"/>
                <w:szCs w:val="20"/>
              </w:rPr>
            </w:pPr>
          </w:p>
        </w:tc>
      </w:tr>
      <w:tr w:rsidR="00D37D80" w:rsidTr="006A5E40">
        <w:trPr>
          <w:trHeight w:val="395"/>
        </w:trPr>
        <w:tc>
          <w:tcPr>
            <w:tcW w:w="1689" w:type="dxa"/>
            <w:vMerge/>
          </w:tcPr>
          <w:p w:rsidR="00D37D80" w:rsidRDefault="00D37D80" w:rsidP="002B5D66">
            <w:pPr>
              <w:rPr>
                <w:sz w:val="20"/>
                <w:szCs w:val="20"/>
              </w:rPr>
            </w:pPr>
          </w:p>
        </w:tc>
        <w:tc>
          <w:tcPr>
            <w:tcW w:w="1680" w:type="dxa"/>
            <w:vMerge/>
            <w:tcBorders>
              <w:right w:val="single" w:sz="6" w:space="0" w:color="auto"/>
            </w:tcBorders>
          </w:tcPr>
          <w:p w:rsidR="00D37D80" w:rsidRDefault="00D37D80" w:rsidP="002B5D66">
            <w:pPr>
              <w:rPr>
                <w:sz w:val="20"/>
                <w:szCs w:val="20"/>
              </w:rPr>
            </w:pPr>
          </w:p>
        </w:tc>
        <w:tc>
          <w:tcPr>
            <w:tcW w:w="1417" w:type="dxa"/>
            <w:vMerge/>
            <w:tcBorders>
              <w:left w:val="single" w:sz="6" w:space="0" w:color="auto"/>
            </w:tcBorders>
          </w:tcPr>
          <w:p w:rsidR="00D37D80" w:rsidRDefault="00D37D80"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D37D80" w:rsidRPr="00DC6F66" w:rsidRDefault="00D37D80" w:rsidP="00C033BF">
            <w:pPr>
              <w:rPr>
                <w:sz w:val="20"/>
                <w:szCs w:val="20"/>
              </w:rPr>
            </w:pPr>
            <w:r w:rsidRPr="00DC6F66">
              <w:rPr>
                <w:sz w:val="20"/>
                <w:szCs w:val="20"/>
              </w:rPr>
              <w:t xml:space="preserve">Q3: </w:t>
            </w:r>
            <w:r>
              <w:rPr>
                <w:sz w:val="20"/>
                <w:szCs w:val="20"/>
              </w:rPr>
              <w:t>1.63-2.47</w:t>
            </w:r>
          </w:p>
        </w:tc>
        <w:tc>
          <w:tcPr>
            <w:tcW w:w="1701" w:type="dxa"/>
            <w:tcBorders>
              <w:top w:val="single" w:sz="6" w:space="0" w:color="auto"/>
              <w:bottom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Q3 vs. Q1</w:t>
            </w:r>
          </w:p>
          <w:p w:rsidR="00FD08BD" w:rsidRPr="00305567" w:rsidRDefault="00FD08BD" w:rsidP="00C033BF">
            <w:pPr>
              <w:rPr>
                <w:sz w:val="20"/>
                <w:szCs w:val="20"/>
              </w:rPr>
            </w:pPr>
            <w:r>
              <w:rPr>
                <w:i/>
                <w:sz w:val="18"/>
                <w:szCs w:val="18"/>
              </w:rPr>
              <w:t>(1.6</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1.03 (0.78, 1.37)</w:t>
            </w:r>
          </w:p>
        </w:tc>
        <w:tc>
          <w:tcPr>
            <w:tcW w:w="3402" w:type="dxa"/>
            <w:vMerge/>
          </w:tcPr>
          <w:p w:rsidR="00D37D80" w:rsidRPr="00305567" w:rsidRDefault="00D37D80" w:rsidP="002B5D66">
            <w:pPr>
              <w:rPr>
                <w:sz w:val="20"/>
                <w:szCs w:val="20"/>
              </w:rPr>
            </w:pPr>
          </w:p>
        </w:tc>
      </w:tr>
      <w:tr w:rsidR="00D37D80" w:rsidTr="006A5E40">
        <w:trPr>
          <w:trHeight w:val="416"/>
        </w:trPr>
        <w:tc>
          <w:tcPr>
            <w:tcW w:w="1689" w:type="dxa"/>
            <w:vMerge/>
          </w:tcPr>
          <w:p w:rsidR="00D37D80" w:rsidRDefault="00D37D80" w:rsidP="002B5D66">
            <w:pPr>
              <w:rPr>
                <w:sz w:val="20"/>
                <w:szCs w:val="20"/>
              </w:rPr>
            </w:pPr>
          </w:p>
        </w:tc>
        <w:tc>
          <w:tcPr>
            <w:tcW w:w="1680" w:type="dxa"/>
            <w:vMerge/>
            <w:tcBorders>
              <w:right w:val="single" w:sz="6" w:space="0" w:color="auto"/>
            </w:tcBorders>
          </w:tcPr>
          <w:p w:rsidR="00D37D80" w:rsidRDefault="00D37D80" w:rsidP="002B5D66">
            <w:pPr>
              <w:rPr>
                <w:sz w:val="20"/>
                <w:szCs w:val="20"/>
              </w:rPr>
            </w:pPr>
          </w:p>
        </w:tc>
        <w:tc>
          <w:tcPr>
            <w:tcW w:w="1417" w:type="dxa"/>
            <w:vMerge/>
            <w:tcBorders>
              <w:left w:val="single" w:sz="6" w:space="0" w:color="auto"/>
            </w:tcBorders>
          </w:tcPr>
          <w:p w:rsidR="00D37D80" w:rsidRDefault="00D37D80" w:rsidP="002B5D66">
            <w:pPr>
              <w:rPr>
                <w:sz w:val="20"/>
                <w:szCs w:val="20"/>
              </w:rPr>
            </w:pPr>
          </w:p>
        </w:tc>
        <w:tc>
          <w:tcPr>
            <w:tcW w:w="1985" w:type="dxa"/>
            <w:tcBorders>
              <w:top w:val="single" w:sz="6" w:space="0" w:color="auto"/>
            </w:tcBorders>
            <w:shd w:val="clear" w:color="auto" w:fill="D9D9D9" w:themeFill="background1" w:themeFillShade="D9"/>
            <w:vAlign w:val="center"/>
          </w:tcPr>
          <w:p w:rsidR="00D37D80" w:rsidRPr="00D37D80" w:rsidRDefault="00D37D80" w:rsidP="00C033BF">
            <w:pPr>
              <w:rPr>
                <w:sz w:val="20"/>
                <w:szCs w:val="20"/>
              </w:rPr>
            </w:pPr>
            <w:r w:rsidRPr="00DC6F66">
              <w:rPr>
                <w:sz w:val="20"/>
                <w:szCs w:val="20"/>
              </w:rPr>
              <w:t xml:space="preserve">Q4: </w:t>
            </w:r>
            <w:r>
              <w:rPr>
                <w:sz w:val="20"/>
                <w:szCs w:val="20"/>
                <w:u w:val="single"/>
              </w:rPr>
              <w:t>&gt;</w:t>
            </w:r>
            <w:r>
              <w:rPr>
                <w:sz w:val="20"/>
                <w:szCs w:val="20"/>
              </w:rPr>
              <w:t xml:space="preserve"> 2.47</w:t>
            </w:r>
          </w:p>
        </w:tc>
        <w:tc>
          <w:tcPr>
            <w:tcW w:w="1701" w:type="dxa"/>
            <w:tcBorders>
              <w:top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Q4 vs. Q1</w:t>
            </w:r>
          </w:p>
          <w:p w:rsidR="00FD08BD" w:rsidRPr="00305567" w:rsidRDefault="00FD08BD" w:rsidP="00C033BF">
            <w:pPr>
              <w:rPr>
                <w:sz w:val="20"/>
                <w:szCs w:val="20"/>
              </w:rPr>
            </w:pPr>
            <w:r>
              <w:rPr>
                <w:i/>
                <w:sz w:val="18"/>
                <w:szCs w:val="18"/>
              </w:rPr>
              <w:t>(2</w:t>
            </w:r>
            <w:r w:rsidRPr="00A46D68">
              <w:rPr>
                <w:i/>
                <w:sz w:val="18"/>
                <w:szCs w:val="18"/>
              </w:rPr>
              <w:t xml:space="preserve"> µg/dL</w:t>
            </w:r>
            <w:r w:rsidRPr="00AF5B5B">
              <w:rPr>
                <w:sz w:val="18"/>
                <w:szCs w:val="18"/>
              </w:rPr>
              <w:t>)</w:t>
            </w:r>
          </w:p>
        </w:tc>
        <w:tc>
          <w:tcPr>
            <w:tcW w:w="1984" w:type="dxa"/>
            <w:tcBorders>
              <w:top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1.1 (0.87, 1.41)</w:t>
            </w:r>
          </w:p>
        </w:tc>
        <w:tc>
          <w:tcPr>
            <w:tcW w:w="3402" w:type="dxa"/>
            <w:vMerge/>
          </w:tcPr>
          <w:p w:rsidR="00D37D80" w:rsidRPr="00305567" w:rsidRDefault="00D37D80" w:rsidP="002B5D66">
            <w:pPr>
              <w:rPr>
                <w:sz w:val="20"/>
                <w:szCs w:val="20"/>
              </w:rPr>
            </w:pPr>
          </w:p>
        </w:tc>
      </w:tr>
      <w:tr w:rsidR="00D37D80" w:rsidTr="006A5E40">
        <w:trPr>
          <w:trHeight w:val="394"/>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val="restart"/>
            <w:tcBorders>
              <w:left w:val="single" w:sz="6" w:space="0" w:color="auto"/>
            </w:tcBorders>
            <w:vAlign w:val="center"/>
          </w:tcPr>
          <w:p w:rsidR="00D37D80" w:rsidRPr="00305567" w:rsidRDefault="00D37D80" w:rsidP="00D37D80">
            <w:pPr>
              <w:rPr>
                <w:sz w:val="20"/>
                <w:szCs w:val="20"/>
              </w:rPr>
            </w:pPr>
            <w:r>
              <w:rPr>
                <w:sz w:val="20"/>
                <w:szCs w:val="20"/>
              </w:rPr>
              <w:t>Non-hispanic blacks</w:t>
            </w:r>
          </w:p>
        </w:tc>
        <w:tc>
          <w:tcPr>
            <w:tcW w:w="1985" w:type="dxa"/>
            <w:tcBorders>
              <w:bottom w:val="single" w:sz="6" w:space="0" w:color="auto"/>
            </w:tcBorders>
            <w:shd w:val="clear" w:color="auto" w:fill="D9D9D9" w:themeFill="background1" w:themeFillShade="D9"/>
            <w:vAlign w:val="center"/>
          </w:tcPr>
          <w:p w:rsidR="00D37D80" w:rsidRPr="00DC6F66" w:rsidRDefault="00D37D80" w:rsidP="00C033BF">
            <w:pPr>
              <w:rPr>
                <w:sz w:val="20"/>
                <w:szCs w:val="20"/>
              </w:rPr>
            </w:pPr>
            <w:r>
              <w:rPr>
                <w:sz w:val="20"/>
                <w:szCs w:val="20"/>
              </w:rPr>
              <w:t>Q1: &lt;1.06</w:t>
            </w:r>
          </w:p>
        </w:tc>
        <w:tc>
          <w:tcPr>
            <w:tcW w:w="1701" w:type="dxa"/>
            <w:tcBorders>
              <w:bottom w:val="single" w:sz="6" w:space="0" w:color="auto"/>
            </w:tcBorders>
            <w:shd w:val="clear" w:color="auto" w:fill="D9D9D9" w:themeFill="background1" w:themeFillShade="D9"/>
            <w:vAlign w:val="center"/>
          </w:tcPr>
          <w:p w:rsidR="00D37D80" w:rsidRPr="00305567" w:rsidRDefault="00D37D80" w:rsidP="00C033BF">
            <w:pPr>
              <w:rPr>
                <w:sz w:val="20"/>
                <w:szCs w:val="20"/>
              </w:rPr>
            </w:pPr>
            <w:r>
              <w:rPr>
                <w:sz w:val="20"/>
                <w:szCs w:val="20"/>
              </w:rPr>
              <w:t>Referent</w:t>
            </w:r>
          </w:p>
        </w:tc>
        <w:tc>
          <w:tcPr>
            <w:tcW w:w="1984" w:type="dxa"/>
            <w:tcBorders>
              <w:bottom w:val="single" w:sz="6" w:space="0" w:color="auto"/>
            </w:tcBorders>
            <w:shd w:val="clear" w:color="auto" w:fill="D9D9D9" w:themeFill="background1" w:themeFillShade="D9"/>
            <w:vAlign w:val="center"/>
          </w:tcPr>
          <w:p w:rsidR="00D37D80" w:rsidRPr="00305567" w:rsidRDefault="003656FA" w:rsidP="008B74A8">
            <w:pPr>
              <w:rPr>
                <w:sz w:val="20"/>
                <w:szCs w:val="20"/>
              </w:rPr>
            </w:pPr>
            <w:r>
              <w:rPr>
                <w:sz w:val="20"/>
                <w:szCs w:val="20"/>
              </w:rPr>
              <w:t>1.0</w:t>
            </w:r>
          </w:p>
        </w:tc>
        <w:tc>
          <w:tcPr>
            <w:tcW w:w="3402" w:type="dxa"/>
            <w:vMerge/>
          </w:tcPr>
          <w:p w:rsidR="00D37D80" w:rsidRPr="00305567" w:rsidRDefault="00D37D80" w:rsidP="002B5D66">
            <w:pPr>
              <w:rPr>
                <w:sz w:val="20"/>
                <w:szCs w:val="20"/>
              </w:rPr>
            </w:pPr>
          </w:p>
        </w:tc>
      </w:tr>
      <w:tr w:rsidR="00D37D80" w:rsidTr="006A5E40">
        <w:trPr>
          <w:trHeight w:val="411"/>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tcBorders>
              <w:left w:val="single" w:sz="6" w:space="0" w:color="auto"/>
            </w:tcBorders>
          </w:tcPr>
          <w:p w:rsidR="00D37D80" w:rsidRPr="00305567" w:rsidRDefault="00D37D80"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D37D80" w:rsidRPr="00DC6F66" w:rsidRDefault="00D37D80" w:rsidP="00C033BF">
            <w:pPr>
              <w:rPr>
                <w:sz w:val="20"/>
                <w:szCs w:val="20"/>
              </w:rPr>
            </w:pPr>
            <w:r>
              <w:rPr>
                <w:sz w:val="20"/>
                <w:szCs w:val="20"/>
              </w:rPr>
              <w:t>Q2: 1.06-1.63</w:t>
            </w:r>
          </w:p>
        </w:tc>
        <w:tc>
          <w:tcPr>
            <w:tcW w:w="1701" w:type="dxa"/>
            <w:tcBorders>
              <w:top w:val="single" w:sz="6" w:space="0" w:color="auto"/>
              <w:bottom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Q2 vs. Q1</w:t>
            </w:r>
          </w:p>
          <w:p w:rsidR="00FD08BD" w:rsidRPr="00305567" w:rsidRDefault="00FD08BD" w:rsidP="00C033BF">
            <w:pPr>
              <w:rPr>
                <w:sz w:val="20"/>
                <w:szCs w:val="20"/>
              </w:rPr>
            </w:pPr>
            <w:r>
              <w:rPr>
                <w:i/>
                <w:sz w:val="18"/>
                <w:szCs w:val="18"/>
              </w:rPr>
              <w:t>(0.85</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vAlign w:val="center"/>
          </w:tcPr>
          <w:p w:rsidR="00D37D80" w:rsidRPr="00305567" w:rsidRDefault="003656FA" w:rsidP="008B74A8">
            <w:pPr>
              <w:rPr>
                <w:sz w:val="20"/>
                <w:szCs w:val="20"/>
              </w:rPr>
            </w:pPr>
            <w:r>
              <w:rPr>
                <w:sz w:val="20"/>
                <w:szCs w:val="20"/>
              </w:rPr>
              <w:t>1.03 (0.63, 1.67)</w:t>
            </w:r>
          </w:p>
        </w:tc>
        <w:tc>
          <w:tcPr>
            <w:tcW w:w="3402" w:type="dxa"/>
            <w:vMerge/>
          </w:tcPr>
          <w:p w:rsidR="00D37D80" w:rsidRPr="00305567" w:rsidRDefault="00D37D80" w:rsidP="002B5D66">
            <w:pPr>
              <w:rPr>
                <w:sz w:val="20"/>
                <w:szCs w:val="20"/>
              </w:rPr>
            </w:pPr>
          </w:p>
        </w:tc>
      </w:tr>
      <w:tr w:rsidR="00D37D80" w:rsidTr="006A5E40">
        <w:trPr>
          <w:trHeight w:val="263"/>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tcBorders>
              <w:left w:val="single" w:sz="6" w:space="0" w:color="auto"/>
            </w:tcBorders>
          </w:tcPr>
          <w:p w:rsidR="00D37D80" w:rsidRPr="00305567" w:rsidRDefault="00D37D80"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D37D80" w:rsidRPr="00DC6F66" w:rsidRDefault="00D37D80" w:rsidP="00C033BF">
            <w:pPr>
              <w:rPr>
                <w:sz w:val="20"/>
                <w:szCs w:val="20"/>
              </w:rPr>
            </w:pPr>
            <w:r w:rsidRPr="00DC6F66">
              <w:rPr>
                <w:sz w:val="20"/>
                <w:szCs w:val="20"/>
              </w:rPr>
              <w:t xml:space="preserve">Q3: </w:t>
            </w:r>
            <w:r>
              <w:rPr>
                <w:sz w:val="20"/>
                <w:szCs w:val="20"/>
              </w:rPr>
              <w:t>1.63-2.47</w:t>
            </w:r>
          </w:p>
        </w:tc>
        <w:tc>
          <w:tcPr>
            <w:tcW w:w="1701" w:type="dxa"/>
            <w:tcBorders>
              <w:top w:val="single" w:sz="6" w:space="0" w:color="auto"/>
              <w:bottom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Q3 vs. Q1</w:t>
            </w:r>
          </w:p>
          <w:p w:rsidR="00FD08BD" w:rsidRPr="00305567" w:rsidRDefault="00FD08BD" w:rsidP="00C033BF">
            <w:pPr>
              <w:rPr>
                <w:sz w:val="20"/>
                <w:szCs w:val="20"/>
              </w:rPr>
            </w:pPr>
            <w:r>
              <w:rPr>
                <w:i/>
                <w:sz w:val="18"/>
                <w:szCs w:val="18"/>
              </w:rPr>
              <w:t>(1.6</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vAlign w:val="center"/>
          </w:tcPr>
          <w:p w:rsidR="00D37D80" w:rsidRPr="00305567" w:rsidRDefault="003656FA" w:rsidP="008B74A8">
            <w:pPr>
              <w:rPr>
                <w:sz w:val="20"/>
                <w:szCs w:val="20"/>
              </w:rPr>
            </w:pPr>
            <w:r>
              <w:rPr>
                <w:sz w:val="20"/>
                <w:szCs w:val="20"/>
              </w:rPr>
              <w:t>1.12 (0.77, 1.64)</w:t>
            </w:r>
          </w:p>
        </w:tc>
        <w:tc>
          <w:tcPr>
            <w:tcW w:w="3402" w:type="dxa"/>
            <w:vMerge/>
          </w:tcPr>
          <w:p w:rsidR="00D37D80" w:rsidRPr="00305567" w:rsidRDefault="00D37D80" w:rsidP="002B5D66">
            <w:pPr>
              <w:rPr>
                <w:sz w:val="20"/>
                <w:szCs w:val="20"/>
              </w:rPr>
            </w:pPr>
          </w:p>
        </w:tc>
      </w:tr>
      <w:tr w:rsidR="00D37D80" w:rsidTr="006A5E40">
        <w:trPr>
          <w:trHeight w:val="396"/>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tcBorders>
              <w:left w:val="single" w:sz="6" w:space="0" w:color="auto"/>
            </w:tcBorders>
          </w:tcPr>
          <w:p w:rsidR="00D37D80" w:rsidRPr="00305567" w:rsidRDefault="00D37D80" w:rsidP="002B5D66">
            <w:pPr>
              <w:rPr>
                <w:sz w:val="20"/>
                <w:szCs w:val="20"/>
              </w:rPr>
            </w:pPr>
          </w:p>
        </w:tc>
        <w:tc>
          <w:tcPr>
            <w:tcW w:w="1985" w:type="dxa"/>
            <w:tcBorders>
              <w:top w:val="single" w:sz="6" w:space="0" w:color="auto"/>
            </w:tcBorders>
            <w:shd w:val="clear" w:color="auto" w:fill="D9D9D9" w:themeFill="background1" w:themeFillShade="D9"/>
            <w:vAlign w:val="center"/>
          </w:tcPr>
          <w:p w:rsidR="00D37D80" w:rsidRPr="00D37D80" w:rsidRDefault="00D37D80" w:rsidP="00C033BF">
            <w:pPr>
              <w:rPr>
                <w:sz w:val="20"/>
                <w:szCs w:val="20"/>
              </w:rPr>
            </w:pPr>
            <w:r w:rsidRPr="00DC6F66">
              <w:rPr>
                <w:sz w:val="20"/>
                <w:szCs w:val="20"/>
              </w:rPr>
              <w:t xml:space="preserve">Q4: </w:t>
            </w:r>
            <w:r>
              <w:rPr>
                <w:sz w:val="20"/>
                <w:szCs w:val="20"/>
                <w:u w:val="single"/>
              </w:rPr>
              <w:t>&gt;</w:t>
            </w:r>
            <w:r>
              <w:rPr>
                <w:sz w:val="20"/>
                <w:szCs w:val="20"/>
              </w:rPr>
              <w:t xml:space="preserve"> 2.47</w:t>
            </w:r>
          </w:p>
        </w:tc>
        <w:tc>
          <w:tcPr>
            <w:tcW w:w="1701" w:type="dxa"/>
            <w:tcBorders>
              <w:top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Q4 vs. Q1</w:t>
            </w:r>
          </w:p>
          <w:p w:rsidR="00FD08BD" w:rsidRPr="00305567" w:rsidRDefault="00FD08BD" w:rsidP="00C033BF">
            <w:pPr>
              <w:rPr>
                <w:sz w:val="20"/>
                <w:szCs w:val="20"/>
              </w:rPr>
            </w:pPr>
            <w:r>
              <w:rPr>
                <w:i/>
                <w:sz w:val="18"/>
                <w:szCs w:val="18"/>
              </w:rPr>
              <w:t>(2</w:t>
            </w:r>
            <w:r w:rsidRPr="00A46D68">
              <w:rPr>
                <w:i/>
                <w:sz w:val="18"/>
                <w:szCs w:val="18"/>
              </w:rPr>
              <w:t xml:space="preserve"> µg/dL</w:t>
            </w:r>
            <w:r w:rsidRPr="00AF5B5B">
              <w:rPr>
                <w:sz w:val="18"/>
                <w:szCs w:val="18"/>
              </w:rPr>
              <w:t>)</w:t>
            </w:r>
          </w:p>
        </w:tc>
        <w:tc>
          <w:tcPr>
            <w:tcW w:w="1984" w:type="dxa"/>
            <w:tcBorders>
              <w:top w:val="single" w:sz="6" w:space="0" w:color="auto"/>
            </w:tcBorders>
            <w:shd w:val="clear" w:color="auto" w:fill="D9D9D9" w:themeFill="background1" w:themeFillShade="D9"/>
            <w:vAlign w:val="center"/>
          </w:tcPr>
          <w:p w:rsidR="00D37D80" w:rsidRPr="00305567" w:rsidRDefault="003656FA" w:rsidP="008B74A8">
            <w:pPr>
              <w:rPr>
                <w:sz w:val="20"/>
                <w:szCs w:val="20"/>
              </w:rPr>
            </w:pPr>
            <w:r>
              <w:rPr>
                <w:sz w:val="20"/>
                <w:szCs w:val="20"/>
              </w:rPr>
              <w:t>1.44 (0.89, 2.32)</w:t>
            </w:r>
          </w:p>
        </w:tc>
        <w:tc>
          <w:tcPr>
            <w:tcW w:w="3402" w:type="dxa"/>
            <w:vMerge/>
          </w:tcPr>
          <w:p w:rsidR="00D37D80" w:rsidRPr="00305567" w:rsidRDefault="00D37D80" w:rsidP="002B5D66">
            <w:pPr>
              <w:rPr>
                <w:sz w:val="20"/>
                <w:szCs w:val="20"/>
              </w:rPr>
            </w:pPr>
          </w:p>
        </w:tc>
      </w:tr>
      <w:tr w:rsidR="00D37D80" w:rsidTr="006A5E40">
        <w:trPr>
          <w:trHeight w:val="415"/>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val="restart"/>
            <w:tcBorders>
              <w:left w:val="single" w:sz="6" w:space="0" w:color="auto"/>
            </w:tcBorders>
            <w:vAlign w:val="center"/>
          </w:tcPr>
          <w:p w:rsidR="00D37D80" w:rsidRPr="00305567" w:rsidRDefault="00D37D80" w:rsidP="00D37D80">
            <w:pPr>
              <w:rPr>
                <w:sz w:val="20"/>
                <w:szCs w:val="20"/>
              </w:rPr>
            </w:pPr>
            <w:r>
              <w:rPr>
                <w:sz w:val="20"/>
                <w:szCs w:val="20"/>
              </w:rPr>
              <w:t>Mexican Americans</w:t>
            </w:r>
          </w:p>
        </w:tc>
        <w:tc>
          <w:tcPr>
            <w:tcW w:w="1985" w:type="dxa"/>
            <w:tcBorders>
              <w:bottom w:val="single" w:sz="6" w:space="0" w:color="auto"/>
            </w:tcBorders>
            <w:shd w:val="clear" w:color="auto" w:fill="D9D9D9" w:themeFill="background1" w:themeFillShade="D9"/>
            <w:vAlign w:val="center"/>
          </w:tcPr>
          <w:p w:rsidR="00D37D80" w:rsidRPr="00DC6F66" w:rsidRDefault="00D37D80" w:rsidP="00C033BF">
            <w:pPr>
              <w:rPr>
                <w:sz w:val="20"/>
                <w:szCs w:val="20"/>
              </w:rPr>
            </w:pPr>
            <w:r>
              <w:rPr>
                <w:sz w:val="20"/>
                <w:szCs w:val="20"/>
              </w:rPr>
              <w:t>Q1: &lt;1.06</w:t>
            </w:r>
          </w:p>
        </w:tc>
        <w:tc>
          <w:tcPr>
            <w:tcW w:w="1701" w:type="dxa"/>
            <w:tcBorders>
              <w:bottom w:val="single" w:sz="6" w:space="0" w:color="auto"/>
            </w:tcBorders>
            <w:shd w:val="clear" w:color="auto" w:fill="D9D9D9" w:themeFill="background1" w:themeFillShade="D9"/>
            <w:vAlign w:val="center"/>
          </w:tcPr>
          <w:p w:rsidR="00D37D80" w:rsidRPr="00305567" w:rsidRDefault="00D37D80" w:rsidP="00C033BF">
            <w:pPr>
              <w:rPr>
                <w:sz w:val="20"/>
                <w:szCs w:val="20"/>
              </w:rPr>
            </w:pPr>
            <w:r>
              <w:rPr>
                <w:sz w:val="20"/>
                <w:szCs w:val="20"/>
              </w:rPr>
              <w:t>Referent</w:t>
            </w:r>
          </w:p>
        </w:tc>
        <w:tc>
          <w:tcPr>
            <w:tcW w:w="1984" w:type="dxa"/>
            <w:tcBorders>
              <w:bottom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1.0</w:t>
            </w:r>
          </w:p>
        </w:tc>
        <w:tc>
          <w:tcPr>
            <w:tcW w:w="3402" w:type="dxa"/>
            <w:vMerge/>
          </w:tcPr>
          <w:p w:rsidR="00D37D80" w:rsidRPr="00305567" w:rsidRDefault="00D37D80" w:rsidP="002B5D66">
            <w:pPr>
              <w:rPr>
                <w:sz w:val="20"/>
                <w:szCs w:val="20"/>
              </w:rPr>
            </w:pPr>
          </w:p>
        </w:tc>
      </w:tr>
      <w:tr w:rsidR="00D37D80" w:rsidTr="006A5E40">
        <w:trPr>
          <w:trHeight w:val="407"/>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tcBorders>
              <w:left w:val="single" w:sz="6" w:space="0" w:color="auto"/>
            </w:tcBorders>
          </w:tcPr>
          <w:p w:rsidR="00D37D80" w:rsidRPr="00305567" w:rsidRDefault="00D37D80"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D37D80" w:rsidRPr="00DC6F66" w:rsidRDefault="00D37D80" w:rsidP="00C033BF">
            <w:pPr>
              <w:rPr>
                <w:sz w:val="20"/>
                <w:szCs w:val="20"/>
              </w:rPr>
            </w:pPr>
            <w:r>
              <w:rPr>
                <w:sz w:val="20"/>
                <w:szCs w:val="20"/>
              </w:rPr>
              <w:t>Q2: 1.06-1.63</w:t>
            </w:r>
          </w:p>
        </w:tc>
        <w:tc>
          <w:tcPr>
            <w:tcW w:w="1701" w:type="dxa"/>
            <w:tcBorders>
              <w:top w:val="single" w:sz="6" w:space="0" w:color="auto"/>
              <w:bottom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Q2 vs. Q1</w:t>
            </w:r>
          </w:p>
          <w:p w:rsidR="00FD08BD" w:rsidRPr="00305567" w:rsidRDefault="00FD08BD" w:rsidP="00C033BF">
            <w:pPr>
              <w:rPr>
                <w:sz w:val="20"/>
                <w:szCs w:val="20"/>
              </w:rPr>
            </w:pPr>
            <w:r w:rsidRPr="00942D02">
              <w:rPr>
                <w:i/>
                <w:sz w:val="18"/>
                <w:szCs w:val="18"/>
              </w:rPr>
              <w:t>(0.85</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1.42 (0.75, 2.71)</w:t>
            </w:r>
          </w:p>
        </w:tc>
        <w:tc>
          <w:tcPr>
            <w:tcW w:w="3402" w:type="dxa"/>
            <w:vMerge/>
          </w:tcPr>
          <w:p w:rsidR="00D37D80" w:rsidRPr="00305567" w:rsidRDefault="00D37D80" w:rsidP="002B5D66">
            <w:pPr>
              <w:rPr>
                <w:sz w:val="20"/>
                <w:szCs w:val="20"/>
              </w:rPr>
            </w:pPr>
          </w:p>
        </w:tc>
      </w:tr>
      <w:tr w:rsidR="00D37D80" w:rsidTr="006A5E40">
        <w:trPr>
          <w:trHeight w:val="400"/>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tcBorders>
              <w:left w:val="single" w:sz="6" w:space="0" w:color="auto"/>
            </w:tcBorders>
          </w:tcPr>
          <w:p w:rsidR="00D37D80" w:rsidRPr="00305567" w:rsidRDefault="00D37D80"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vAlign w:val="center"/>
          </w:tcPr>
          <w:p w:rsidR="00D37D80" w:rsidRPr="00DC6F66" w:rsidRDefault="00D37D80" w:rsidP="00C033BF">
            <w:pPr>
              <w:rPr>
                <w:sz w:val="20"/>
                <w:szCs w:val="20"/>
              </w:rPr>
            </w:pPr>
            <w:r w:rsidRPr="00DC6F66">
              <w:rPr>
                <w:sz w:val="20"/>
                <w:szCs w:val="20"/>
              </w:rPr>
              <w:t xml:space="preserve">Q3: </w:t>
            </w:r>
            <w:r>
              <w:rPr>
                <w:sz w:val="20"/>
                <w:szCs w:val="20"/>
              </w:rPr>
              <w:t>1.63-2.47</w:t>
            </w:r>
          </w:p>
        </w:tc>
        <w:tc>
          <w:tcPr>
            <w:tcW w:w="1701" w:type="dxa"/>
            <w:tcBorders>
              <w:top w:val="single" w:sz="6" w:space="0" w:color="auto"/>
              <w:bottom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Q3 vs. Q1</w:t>
            </w:r>
          </w:p>
          <w:p w:rsidR="00FD08BD" w:rsidRPr="00305567" w:rsidRDefault="00FD08BD" w:rsidP="00C033BF">
            <w:pPr>
              <w:rPr>
                <w:sz w:val="20"/>
                <w:szCs w:val="20"/>
              </w:rPr>
            </w:pPr>
            <w:r>
              <w:rPr>
                <w:i/>
                <w:sz w:val="18"/>
                <w:szCs w:val="18"/>
              </w:rPr>
              <w:t>(1.6</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1.48 (0.89, 2.48)</w:t>
            </w:r>
          </w:p>
        </w:tc>
        <w:tc>
          <w:tcPr>
            <w:tcW w:w="3402" w:type="dxa"/>
            <w:vMerge/>
          </w:tcPr>
          <w:p w:rsidR="00D37D80" w:rsidRPr="00305567" w:rsidRDefault="00D37D80" w:rsidP="002B5D66">
            <w:pPr>
              <w:rPr>
                <w:sz w:val="20"/>
                <w:szCs w:val="20"/>
              </w:rPr>
            </w:pPr>
          </w:p>
        </w:tc>
      </w:tr>
      <w:tr w:rsidR="00D37D80" w:rsidTr="006A5E40">
        <w:trPr>
          <w:trHeight w:val="403"/>
        </w:trPr>
        <w:tc>
          <w:tcPr>
            <w:tcW w:w="1689" w:type="dxa"/>
            <w:vMerge/>
          </w:tcPr>
          <w:p w:rsidR="00D37D80" w:rsidRPr="00305567" w:rsidRDefault="00D37D80" w:rsidP="002B5D66">
            <w:pPr>
              <w:rPr>
                <w:sz w:val="20"/>
                <w:szCs w:val="20"/>
              </w:rPr>
            </w:pPr>
          </w:p>
        </w:tc>
        <w:tc>
          <w:tcPr>
            <w:tcW w:w="1680" w:type="dxa"/>
            <w:vMerge/>
            <w:tcBorders>
              <w:right w:val="single" w:sz="6" w:space="0" w:color="auto"/>
            </w:tcBorders>
          </w:tcPr>
          <w:p w:rsidR="00D37D80" w:rsidRPr="00305567" w:rsidRDefault="00D37D80" w:rsidP="002B5D66">
            <w:pPr>
              <w:rPr>
                <w:sz w:val="20"/>
                <w:szCs w:val="20"/>
              </w:rPr>
            </w:pPr>
          </w:p>
        </w:tc>
        <w:tc>
          <w:tcPr>
            <w:tcW w:w="1417" w:type="dxa"/>
            <w:vMerge/>
            <w:tcBorders>
              <w:left w:val="single" w:sz="6" w:space="0" w:color="auto"/>
            </w:tcBorders>
          </w:tcPr>
          <w:p w:rsidR="00D37D80" w:rsidRPr="00305567" w:rsidRDefault="00D37D80" w:rsidP="002B5D66">
            <w:pPr>
              <w:rPr>
                <w:sz w:val="20"/>
                <w:szCs w:val="20"/>
              </w:rPr>
            </w:pPr>
          </w:p>
        </w:tc>
        <w:tc>
          <w:tcPr>
            <w:tcW w:w="1985" w:type="dxa"/>
            <w:tcBorders>
              <w:top w:val="single" w:sz="6" w:space="0" w:color="auto"/>
            </w:tcBorders>
            <w:shd w:val="clear" w:color="auto" w:fill="D9D9D9" w:themeFill="background1" w:themeFillShade="D9"/>
            <w:vAlign w:val="center"/>
          </w:tcPr>
          <w:p w:rsidR="00D37D80" w:rsidRPr="00D37D80" w:rsidRDefault="00D37D80" w:rsidP="00C033BF">
            <w:pPr>
              <w:rPr>
                <w:sz w:val="20"/>
                <w:szCs w:val="20"/>
              </w:rPr>
            </w:pPr>
            <w:r w:rsidRPr="00DC6F66">
              <w:rPr>
                <w:sz w:val="20"/>
                <w:szCs w:val="20"/>
              </w:rPr>
              <w:t xml:space="preserve">Q4: </w:t>
            </w:r>
            <w:r>
              <w:rPr>
                <w:sz w:val="20"/>
                <w:szCs w:val="20"/>
                <w:u w:val="single"/>
              </w:rPr>
              <w:t>&gt;</w:t>
            </w:r>
            <w:r>
              <w:rPr>
                <w:sz w:val="20"/>
                <w:szCs w:val="20"/>
              </w:rPr>
              <w:t xml:space="preserve"> 2.47</w:t>
            </w:r>
          </w:p>
        </w:tc>
        <w:tc>
          <w:tcPr>
            <w:tcW w:w="1701" w:type="dxa"/>
            <w:tcBorders>
              <w:top w:val="single" w:sz="6" w:space="0" w:color="auto"/>
            </w:tcBorders>
            <w:shd w:val="clear" w:color="auto" w:fill="D9D9D9" w:themeFill="background1" w:themeFillShade="D9"/>
            <w:vAlign w:val="center"/>
          </w:tcPr>
          <w:p w:rsidR="00D37D80" w:rsidRDefault="00D37D80" w:rsidP="00C033BF">
            <w:pPr>
              <w:rPr>
                <w:sz w:val="20"/>
                <w:szCs w:val="20"/>
              </w:rPr>
            </w:pPr>
            <w:r>
              <w:rPr>
                <w:sz w:val="20"/>
                <w:szCs w:val="20"/>
              </w:rPr>
              <w:t>Q4 vs. Q1</w:t>
            </w:r>
          </w:p>
          <w:p w:rsidR="00FD08BD" w:rsidRPr="00305567" w:rsidRDefault="00FD08BD" w:rsidP="00C033BF">
            <w:pPr>
              <w:rPr>
                <w:sz w:val="20"/>
                <w:szCs w:val="20"/>
              </w:rPr>
            </w:pPr>
            <w:r>
              <w:rPr>
                <w:i/>
                <w:sz w:val="18"/>
                <w:szCs w:val="18"/>
              </w:rPr>
              <w:t>(2</w:t>
            </w:r>
            <w:r w:rsidRPr="00A46D68">
              <w:rPr>
                <w:i/>
                <w:sz w:val="18"/>
                <w:szCs w:val="18"/>
              </w:rPr>
              <w:t xml:space="preserve"> µg/dL</w:t>
            </w:r>
            <w:r w:rsidRPr="00AF5B5B">
              <w:rPr>
                <w:sz w:val="18"/>
                <w:szCs w:val="18"/>
              </w:rPr>
              <w:t>)</w:t>
            </w:r>
          </w:p>
        </w:tc>
        <w:tc>
          <w:tcPr>
            <w:tcW w:w="1984" w:type="dxa"/>
            <w:tcBorders>
              <w:top w:val="single" w:sz="6" w:space="0" w:color="auto"/>
            </w:tcBorders>
            <w:shd w:val="clear" w:color="auto" w:fill="D9D9D9" w:themeFill="background1" w:themeFillShade="D9"/>
          </w:tcPr>
          <w:p w:rsidR="00D37D80" w:rsidRPr="00305567" w:rsidRDefault="003656FA" w:rsidP="002B5D66">
            <w:pPr>
              <w:rPr>
                <w:sz w:val="20"/>
                <w:szCs w:val="20"/>
              </w:rPr>
            </w:pPr>
            <w:r>
              <w:rPr>
                <w:sz w:val="20"/>
                <w:szCs w:val="20"/>
              </w:rPr>
              <w:t>1.54 (0.99, 2.39)</w:t>
            </w:r>
          </w:p>
        </w:tc>
        <w:tc>
          <w:tcPr>
            <w:tcW w:w="3402" w:type="dxa"/>
            <w:vMerge/>
          </w:tcPr>
          <w:p w:rsidR="00D37D80" w:rsidRPr="00305567" w:rsidRDefault="00D37D80" w:rsidP="002B5D66">
            <w:pPr>
              <w:rPr>
                <w:sz w:val="20"/>
                <w:szCs w:val="20"/>
              </w:rPr>
            </w:pPr>
          </w:p>
        </w:tc>
      </w:tr>
      <w:tr w:rsidR="006D5BCF" w:rsidTr="006A5E40">
        <w:trPr>
          <w:trHeight w:val="404"/>
        </w:trPr>
        <w:tc>
          <w:tcPr>
            <w:tcW w:w="1689" w:type="dxa"/>
            <w:vMerge w:val="restart"/>
            <w:vAlign w:val="center"/>
          </w:tcPr>
          <w:p w:rsidR="006D5BCF" w:rsidRPr="00305567" w:rsidRDefault="006D5BCF" w:rsidP="003656FA">
            <w:pPr>
              <w:rPr>
                <w:sz w:val="20"/>
                <w:szCs w:val="20"/>
              </w:rPr>
            </w:pPr>
            <w:r>
              <w:rPr>
                <w:sz w:val="20"/>
                <w:szCs w:val="20"/>
              </w:rPr>
              <w:t>Scinicariello et al. 2010</w:t>
            </w:r>
          </w:p>
        </w:tc>
        <w:tc>
          <w:tcPr>
            <w:tcW w:w="1680" w:type="dxa"/>
            <w:vMerge w:val="restart"/>
            <w:tcBorders>
              <w:right w:val="single" w:sz="6" w:space="0" w:color="auto"/>
            </w:tcBorders>
            <w:vAlign w:val="center"/>
          </w:tcPr>
          <w:p w:rsidR="006D5BCF" w:rsidRDefault="006D5BCF" w:rsidP="003656FA">
            <w:pPr>
              <w:rPr>
                <w:sz w:val="20"/>
                <w:szCs w:val="20"/>
              </w:rPr>
            </w:pPr>
            <w:r>
              <w:rPr>
                <w:sz w:val="20"/>
                <w:szCs w:val="20"/>
              </w:rPr>
              <w:t>NHANES III</w:t>
            </w:r>
          </w:p>
          <w:p w:rsidR="006D5BCF" w:rsidRPr="00305567" w:rsidRDefault="006D5BCF" w:rsidP="003656FA">
            <w:pPr>
              <w:rPr>
                <w:sz w:val="20"/>
                <w:szCs w:val="20"/>
              </w:rPr>
            </w:pPr>
            <w:r>
              <w:rPr>
                <w:sz w:val="20"/>
                <w:szCs w:val="20"/>
              </w:rPr>
              <w:t>(n=6,016)</w:t>
            </w:r>
          </w:p>
        </w:tc>
        <w:tc>
          <w:tcPr>
            <w:tcW w:w="1417" w:type="dxa"/>
            <w:vMerge w:val="restart"/>
            <w:tcBorders>
              <w:left w:val="single" w:sz="6" w:space="0" w:color="auto"/>
            </w:tcBorders>
            <w:vAlign w:val="center"/>
          </w:tcPr>
          <w:p w:rsidR="006D5BCF" w:rsidRPr="00305567" w:rsidRDefault="006D5BCF" w:rsidP="00C033BF">
            <w:pPr>
              <w:rPr>
                <w:sz w:val="20"/>
                <w:szCs w:val="20"/>
              </w:rPr>
            </w:pPr>
            <w:r>
              <w:rPr>
                <w:sz w:val="20"/>
                <w:szCs w:val="20"/>
              </w:rPr>
              <w:t>Non-hispanic whites</w:t>
            </w:r>
          </w:p>
        </w:tc>
        <w:tc>
          <w:tcPr>
            <w:tcW w:w="1985" w:type="dxa"/>
            <w:shd w:val="clear" w:color="auto" w:fill="D9D9D9" w:themeFill="background1" w:themeFillShade="D9"/>
            <w:vAlign w:val="center"/>
          </w:tcPr>
          <w:p w:rsidR="006D5BCF" w:rsidRPr="00DC6F66" w:rsidRDefault="006D5BCF" w:rsidP="00C033BF">
            <w:pPr>
              <w:rPr>
                <w:sz w:val="20"/>
                <w:szCs w:val="20"/>
              </w:rPr>
            </w:pPr>
            <w:r>
              <w:rPr>
                <w:sz w:val="20"/>
                <w:szCs w:val="20"/>
              </w:rPr>
              <w:t>Q1: 0.7-1.4</w:t>
            </w:r>
          </w:p>
        </w:tc>
        <w:tc>
          <w:tcPr>
            <w:tcW w:w="1701" w:type="dxa"/>
            <w:shd w:val="clear" w:color="auto" w:fill="D9D9D9" w:themeFill="background1" w:themeFillShade="D9"/>
            <w:vAlign w:val="center"/>
          </w:tcPr>
          <w:p w:rsidR="006D5BCF" w:rsidRPr="00305567" w:rsidRDefault="006D5BCF" w:rsidP="00C033BF">
            <w:pPr>
              <w:rPr>
                <w:sz w:val="20"/>
                <w:szCs w:val="20"/>
              </w:rPr>
            </w:pPr>
            <w:r>
              <w:rPr>
                <w:sz w:val="20"/>
                <w:szCs w:val="20"/>
              </w:rPr>
              <w:t>Referent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1.0</w:t>
            </w:r>
          </w:p>
        </w:tc>
        <w:tc>
          <w:tcPr>
            <w:tcW w:w="3402" w:type="dxa"/>
            <w:vMerge w:val="restart"/>
            <w:vAlign w:val="center"/>
          </w:tcPr>
          <w:p w:rsidR="006D5BCF" w:rsidRPr="00305567" w:rsidRDefault="006D5BCF" w:rsidP="006D5BCF">
            <w:pPr>
              <w:rPr>
                <w:sz w:val="20"/>
                <w:szCs w:val="20"/>
              </w:rPr>
            </w:pPr>
            <w:r>
              <w:rPr>
                <w:sz w:val="20"/>
                <w:szCs w:val="20"/>
              </w:rPr>
              <w:t xml:space="preserve">Adjusted for age, sex, BMI, alcohol ingestion, smoking status, education, serum creatinine, serum total calcium, glycosylated haemoglobin and haematocrit. </w:t>
            </w:r>
          </w:p>
        </w:tc>
      </w:tr>
      <w:tr w:rsidR="006D5BCF" w:rsidTr="006A5E40">
        <w:trPr>
          <w:trHeight w:val="396"/>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shd w:val="clear" w:color="auto" w:fill="D9D9D9" w:themeFill="background1" w:themeFillShade="D9"/>
            <w:vAlign w:val="center"/>
          </w:tcPr>
          <w:p w:rsidR="006D5BCF" w:rsidRPr="00DC6F66" w:rsidRDefault="006D5BCF" w:rsidP="00C033BF">
            <w:pPr>
              <w:rPr>
                <w:sz w:val="20"/>
                <w:szCs w:val="20"/>
              </w:rPr>
            </w:pPr>
            <w:r>
              <w:rPr>
                <w:sz w:val="20"/>
                <w:szCs w:val="20"/>
              </w:rPr>
              <w:t>Q2: 1.5-2.3</w:t>
            </w:r>
          </w:p>
        </w:tc>
        <w:tc>
          <w:tcPr>
            <w:tcW w:w="1701" w:type="dxa"/>
            <w:shd w:val="clear" w:color="auto" w:fill="D9D9D9" w:themeFill="background1" w:themeFillShade="D9"/>
            <w:vAlign w:val="center"/>
          </w:tcPr>
          <w:p w:rsidR="006D5BCF" w:rsidRDefault="006D5BCF" w:rsidP="00C033BF">
            <w:pPr>
              <w:rPr>
                <w:sz w:val="20"/>
                <w:szCs w:val="20"/>
              </w:rPr>
            </w:pPr>
            <w:r>
              <w:rPr>
                <w:sz w:val="20"/>
                <w:szCs w:val="20"/>
              </w:rPr>
              <w:t>Q2 vs. Q1</w:t>
            </w:r>
          </w:p>
          <w:p w:rsidR="00FD08BD" w:rsidRPr="00305567" w:rsidRDefault="00FD08BD" w:rsidP="00C033BF">
            <w:pPr>
              <w:rPr>
                <w:sz w:val="20"/>
                <w:szCs w:val="20"/>
              </w:rPr>
            </w:pPr>
            <w:r w:rsidRPr="00942D02">
              <w:rPr>
                <w:i/>
                <w:sz w:val="18"/>
                <w:szCs w:val="18"/>
              </w:rPr>
              <w:t>(0.85</w:t>
            </w:r>
            <w:r w:rsidRPr="00A46D68">
              <w:rPr>
                <w:i/>
                <w:sz w:val="18"/>
                <w:szCs w:val="18"/>
              </w:rPr>
              <w:t xml:space="preserve"> µg/dL</w:t>
            </w:r>
            <w:r w:rsidRPr="00AF5B5B">
              <w:rPr>
                <w:sz w:val="18"/>
                <w:szCs w:val="18"/>
              </w:rPr>
              <w: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1.21 (0.66, 2.24)</w:t>
            </w:r>
          </w:p>
        </w:tc>
        <w:tc>
          <w:tcPr>
            <w:tcW w:w="3402" w:type="dxa"/>
            <w:vMerge/>
          </w:tcPr>
          <w:p w:rsidR="006D5BCF" w:rsidRPr="00305567" w:rsidRDefault="006D5BCF" w:rsidP="002B5D66">
            <w:pPr>
              <w:rPr>
                <w:sz w:val="20"/>
                <w:szCs w:val="20"/>
              </w:rPr>
            </w:pPr>
          </w:p>
        </w:tc>
      </w:tr>
      <w:tr w:rsidR="006D5BCF" w:rsidTr="006A5E40">
        <w:trPr>
          <w:trHeight w:val="416"/>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shd w:val="clear" w:color="auto" w:fill="D9D9D9" w:themeFill="background1" w:themeFillShade="D9"/>
            <w:vAlign w:val="center"/>
          </w:tcPr>
          <w:p w:rsidR="006D5BCF" w:rsidRPr="00DC6F66" w:rsidRDefault="006D5BCF" w:rsidP="00C033BF">
            <w:pPr>
              <w:rPr>
                <w:sz w:val="20"/>
                <w:szCs w:val="20"/>
              </w:rPr>
            </w:pPr>
            <w:r w:rsidRPr="00DC6F66">
              <w:rPr>
                <w:sz w:val="20"/>
                <w:szCs w:val="20"/>
              </w:rPr>
              <w:t xml:space="preserve">Q3: </w:t>
            </w:r>
            <w:r>
              <w:rPr>
                <w:sz w:val="20"/>
                <w:szCs w:val="20"/>
              </w:rPr>
              <w:t>2.4-3.7</w:t>
            </w:r>
          </w:p>
        </w:tc>
        <w:tc>
          <w:tcPr>
            <w:tcW w:w="1701" w:type="dxa"/>
            <w:shd w:val="clear" w:color="auto" w:fill="D9D9D9" w:themeFill="background1" w:themeFillShade="D9"/>
            <w:vAlign w:val="center"/>
          </w:tcPr>
          <w:p w:rsidR="006D5BCF" w:rsidRDefault="006D5BCF" w:rsidP="00C033BF">
            <w:pPr>
              <w:rPr>
                <w:sz w:val="20"/>
                <w:szCs w:val="20"/>
              </w:rPr>
            </w:pPr>
            <w:r>
              <w:rPr>
                <w:sz w:val="20"/>
                <w:szCs w:val="20"/>
              </w:rPr>
              <w:t>Q3 vs. Q1</w:t>
            </w:r>
          </w:p>
          <w:p w:rsidR="00FD08BD" w:rsidRPr="00305567" w:rsidRDefault="00FD08BD" w:rsidP="00C033BF">
            <w:pPr>
              <w:rPr>
                <w:sz w:val="20"/>
                <w:szCs w:val="20"/>
              </w:rPr>
            </w:pPr>
            <w:r>
              <w:rPr>
                <w:i/>
                <w:sz w:val="18"/>
                <w:szCs w:val="18"/>
              </w:rPr>
              <w:t>(2</w:t>
            </w:r>
            <w:r w:rsidRPr="00A46D68">
              <w:rPr>
                <w:i/>
                <w:sz w:val="18"/>
                <w:szCs w:val="18"/>
              </w:rPr>
              <w:t xml:space="preserve"> µg/dL</w:t>
            </w:r>
            <w:r w:rsidRPr="00AF5B5B">
              <w:rPr>
                <w:sz w:val="18"/>
                <w:szCs w:val="18"/>
              </w:rPr>
              <w: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1.57 (0.88, 2.8)</w:t>
            </w:r>
          </w:p>
        </w:tc>
        <w:tc>
          <w:tcPr>
            <w:tcW w:w="3402" w:type="dxa"/>
            <w:vMerge/>
          </w:tcPr>
          <w:p w:rsidR="006D5BCF" w:rsidRPr="00305567" w:rsidRDefault="006D5BCF" w:rsidP="002B5D66">
            <w:pPr>
              <w:rPr>
                <w:sz w:val="20"/>
                <w:szCs w:val="20"/>
              </w:rPr>
            </w:pPr>
          </w:p>
        </w:tc>
      </w:tr>
      <w:tr w:rsidR="006D5BCF" w:rsidTr="006A5E40">
        <w:trPr>
          <w:trHeight w:val="394"/>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shd w:val="clear" w:color="auto" w:fill="D9D9D9" w:themeFill="background1" w:themeFillShade="D9"/>
            <w:vAlign w:val="center"/>
          </w:tcPr>
          <w:p w:rsidR="006D5BCF" w:rsidRPr="00D37D80" w:rsidRDefault="006D5BCF" w:rsidP="00C033BF">
            <w:pPr>
              <w:rPr>
                <w:sz w:val="20"/>
                <w:szCs w:val="20"/>
              </w:rPr>
            </w:pPr>
            <w:r w:rsidRPr="00DC6F66">
              <w:rPr>
                <w:sz w:val="20"/>
                <w:szCs w:val="20"/>
              </w:rPr>
              <w:t xml:space="preserve">Q4: </w:t>
            </w:r>
            <w:r w:rsidRPr="003656FA">
              <w:rPr>
                <w:sz w:val="20"/>
                <w:szCs w:val="20"/>
              </w:rPr>
              <w:t>3.8-52.9</w:t>
            </w:r>
          </w:p>
        </w:tc>
        <w:tc>
          <w:tcPr>
            <w:tcW w:w="1701" w:type="dxa"/>
            <w:shd w:val="clear" w:color="auto" w:fill="D9D9D9" w:themeFill="background1" w:themeFillShade="D9"/>
            <w:vAlign w:val="center"/>
          </w:tcPr>
          <w:p w:rsidR="006D5BCF" w:rsidRDefault="006D5BCF" w:rsidP="00C033BF">
            <w:pPr>
              <w:rPr>
                <w:sz w:val="20"/>
                <w:szCs w:val="20"/>
              </w:rPr>
            </w:pPr>
            <w:r>
              <w:rPr>
                <w:sz w:val="20"/>
                <w:szCs w:val="20"/>
              </w:rPr>
              <w:t>Q4 vs. Q1</w:t>
            </w:r>
          </w:p>
          <w:p w:rsidR="00FD08BD" w:rsidRPr="00305567" w:rsidRDefault="00FD08BD" w:rsidP="00C033BF">
            <w:pPr>
              <w:rPr>
                <w:sz w:val="20"/>
                <w:szCs w:val="20"/>
              </w:rPr>
            </w:pPr>
            <w:r>
              <w:rPr>
                <w:i/>
                <w:sz w:val="18"/>
                <w:szCs w:val="18"/>
              </w:rPr>
              <w:t>(27</w:t>
            </w:r>
            <w:r w:rsidRPr="00A46D68">
              <w:rPr>
                <w:i/>
                <w:sz w:val="18"/>
                <w:szCs w:val="18"/>
              </w:rPr>
              <w:t xml:space="preserve"> µg/dL</w:t>
            </w:r>
            <w:r w:rsidRPr="00AF5B5B">
              <w:rPr>
                <w:sz w:val="18"/>
                <w:szCs w:val="18"/>
              </w:rPr>
              <w: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1.52 (0.8, 2.88)</w:t>
            </w:r>
          </w:p>
        </w:tc>
        <w:tc>
          <w:tcPr>
            <w:tcW w:w="3402" w:type="dxa"/>
            <w:vMerge/>
          </w:tcPr>
          <w:p w:rsidR="006D5BCF" w:rsidRPr="00305567" w:rsidRDefault="006D5BCF" w:rsidP="002B5D66">
            <w:pPr>
              <w:rPr>
                <w:sz w:val="20"/>
                <w:szCs w:val="20"/>
              </w:rPr>
            </w:pPr>
          </w:p>
        </w:tc>
      </w:tr>
      <w:tr w:rsidR="006D5BCF" w:rsidTr="006A5E40">
        <w:trPr>
          <w:trHeight w:val="413"/>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val="restart"/>
            <w:tcBorders>
              <w:left w:val="single" w:sz="6" w:space="0" w:color="auto"/>
            </w:tcBorders>
            <w:vAlign w:val="center"/>
          </w:tcPr>
          <w:p w:rsidR="006D5BCF" w:rsidRPr="00305567" w:rsidRDefault="006D5BCF" w:rsidP="00C033BF">
            <w:pPr>
              <w:rPr>
                <w:sz w:val="20"/>
                <w:szCs w:val="20"/>
              </w:rPr>
            </w:pPr>
            <w:r>
              <w:rPr>
                <w:sz w:val="20"/>
                <w:szCs w:val="20"/>
              </w:rPr>
              <w:t>Non-hispanic blacks</w:t>
            </w:r>
          </w:p>
        </w:tc>
        <w:tc>
          <w:tcPr>
            <w:tcW w:w="1985" w:type="dxa"/>
            <w:shd w:val="clear" w:color="auto" w:fill="D9D9D9" w:themeFill="background1" w:themeFillShade="D9"/>
            <w:vAlign w:val="center"/>
          </w:tcPr>
          <w:p w:rsidR="006D5BCF" w:rsidRPr="00DC6F66" w:rsidRDefault="006D5BCF" w:rsidP="00C033BF">
            <w:pPr>
              <w:rPr>
                <w:sz w:val="20"/>
                <w:szCs w:val="20"/>
              </w:rPr>
            </w:pPr>
            <w:r>
              <w:rPr>
                <w:sz w:val="20"/>
                <w:szCs w:val="20"/>
              </w:rPr>
              <w:t>Q1: 0.7-1.4</w:t>
            </w:r>
          </w:p>
        </w:tc>
        <w:tc>
          <w:tcPr>
            <w:tcW w:w="1701" w:type="dxa"/>
            <w:shd w:val="clear" w:color="auto" w:fill="D9D9D9" w:themeFill="background1" w:themeFillShade="D9"/>
            <w:vAlign w:val="center"/>
          </w:tcPr>
          <w:p w:rsidR="006D5BCF" w:rsidRPr="00305567" w:rsidRDefault="006D5BCF" w:rsidP="00C033BF">
            <w:pPr>
              <w:rPr>
                <w:sz w:val="20"/>
                <w:szCs w:val="20"/>
              </w:rPr>
            </w:pPr>
            <w:r>
              <w:rPr>
                <w:sz w:val="20"/>
                <w:szCs w:val="20"/>
              </w:rPr>
              <w:t>Referent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1.0</w:t>
            </w:r>
          </w:p>
        </w:tc>
        <w:tc>
          <w:tcPr>
            <w:tcW w:w="3402" w:type="dxa"/>
            <w:vMerge/>
          </w:tcPr>
          <w:p w:rsidR="006D5BCF" w:rsidRPr="00305567" w:rsidRDefault="006D5BCF" w:rsidP="002B5D66">
            <w:pPr>
              <w:rPr>
                <w:sz w:val="20"/>
                <w:szCs w:val="20"/>
              </w:rPr>
            </w:pPr>
          </w:p>
        </w:tc>
      </w:tr>
      <w:tr w:rsidR="006D5BCF" w:rsidTr="006A5E40">
        <w:trPr>
          <w:trHeight w:val="391"/>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vAlign w:val="center"/>
          </w:tcPr>
          <w:p w:rsidR="006D5BCF" w:rsidRPr="00DC6F66" w:rsidRDefault="006D5BCF" w:rsidP="00C033BF">
            <w:pPr>
              <w:rPr>
                <w:sz w:val="20"/>
                <w:szCs w:val="20"/>
              </w:rPr>
            </w:pPr>
            <w:r>
              <w:rPr>
                <w:sz w:val="20"/>
                <w:szCs w:val="20"/>
              </w:rPr>
              <w:t>Q2: 1.5-2.3</w:t>
            </w:r>
          </w:p>
        </w:tc>
        <w:tc>
          <w:tcPr>
            <w:tcW w:w="1701" w:type="dxa"/>
            <w:vAlign w:val="center"/>
          </w:tcPr>
          <w:p w:rsidR="006D5BCF" w:rsidRDefault="006D5BCF" w:rsidP="00C033BF">
            <w:pPr>
              <w:rPr>
                <w:sz w:val="20"/>
                <w:szCs w:val="20"/>
              </w:rPr>
            </w:pPr>
            <w:r>
              <w:rPr>
                <w:sz w:val="20"/>
                <w:szCs w:val="20"/>
              </w:rPr>
              <w:t>Q2 vs. Q1</w:t>
            </w:r>
          </w:p>
          <w:p w:rsidR="00FD08BD" w:rsidRPr="00305567" w:rsidRDefault="00FD08BD" w:rsidP="00C033BF">
            <w:pPr>
              <w:rPr>
                <w:sz w:val="20"/>
                <w:szCs w:val="20"/>
              </w:rPr>
            </w:pPr>
            <w:r w:rsidRPr="00942D02">
              <w:rPr>
                <w:i/>
                <w:sz w:val="18"/>
                <w:szCs w:val="18"/>
              </w:rPr>
              <w:t>(0.85</w:t>
            </w:r>
            <w:r w:rsidRPr="00A46D68">
              <w:rPr>
                <w:i/>
                <w:sz w:val="18"/>
                <w:szCs w:val="18"/>
              </w:rPr>
              <w:t xml:space="preserve"> µg/dL</w:t>
            </w:r>
            <w:r w:rsidRPr="00AF5B5B">
              <w:rPr>
                <w:sz w:val="18"/>
                <w:szCs w:val="18"/>
              </w:rPr>
              <w:t>)</w:t>
            </w:r>
          </w:p>
        </w:tc>
        <w:tc>
          <w:tcPr>
            <w:tcW w:w="1984" w:type="dxa"/>
          </w:tcPr>
          <w:p w:rsidR="006D5BCF" w:rsidRPr="00305567" w:rsidRDefault="006D5BCF" w:rsidP="002B5D66">
            <w:pPr>
              <w:rPr>
                <w:sz w:val="20"/>
                <w:szCs w:val="20"/>
              </w:rPr>
            </w:pPr>
            <w:r>
              <w:rPr>
                <w:sz w:val="20"/>
                <w:szCs w:val="20"/>
              </w:rPr>
              <w:t>1.83 (1.08, 3.09)</w:t>
            </w:r>
          </w:p>
        </w:tc>
        <w:tc>
          <w:tcPr>
            <w:tcW w:w="3402" w:type="dxa"/>
            <w:vMerge/>
          </w:tcPr>
          <w:p w:rsidR="006D5BCF" w:rsidRPr="00305567" w:rsidRDefault="006D5BCF" w:rsidP="002B5D66">
            <w:pPr>
              <w:rPr>
                <w:sz w:val="20"/>
                <w:szCs w:val="20"/>
              </w:rPr>
            </w:pPr>
          </w:p>
        </w:tc>
      </w:tr>
      <w:tr w:rsidR="006D5BCF" w:rsidTr="006A5E40">
        <w:trPr>
          <w:trHeight w:val="411"/>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vAlign w:val="center"/>
          </w:tcPr>
          <w:p w:rsidR="006D5BCF" w:rsidRPr="00DC6F66" w:rsidRDefault="006D5BCF" w:rsidP="00C033BF">
            <w:pPr>
              <w:rPr>
                <w:sz w:val="20"/>
                <w:szCs w:val="20"/>
              </w:rPr>
            </w:pPr>
            <w:r w:rsidRPr="00DC6F66">
              <w:rPr>
                <w:sz w:val="20"/>
                <w:szCs w:val="20"/>
              </w:rPr>
              <w:t xml:space="preserve">Q3: </w:t>
            </w:r>
            <w:r>
              <w:rPr>
                <w:sz w:val="20"/>
                <w:szCs w:val="20"/>
              </w:rPr>
              <w:t>2.4-3.7</w:t>
            </w:r>
          </w:p>
        </w:tc>
        <w:tc>
          <w:tcPr>
            <w:tcW w:w="1701" w:type="dxa"/>
            <w:vAlign w:val="center"/>
          </w:tcPr>
          <w:p w:rsidR="006D5BCF" w:rsidRDefault="006D5BCF" w:rsidP="00C033BF">
            <w:pPr>
              <w:rPr>
                <w:sz w:val="20"/>
                <w:szCs w:val="20"/>
              </w:rPr>
            </w:pPr>
            <w:r>
              <w:rPr>
                <w:sz w:val="20"/>
                <w:szCs w:val="20"/>
              </w:rPr>
              <w:t>Q3 vs. Q1</w:t>
            </w:r>
          </w:p>
          <w:p w:rsidR="00FD08BD" w:rsidRPr="00305567" w:rsidRDefault="00FD08BD" w:rsidP="00C033BF">
            <w:pPr>
              <w:rPr>
                <w:sz w:val="20"/>
                <w:szCs w:val="20"/>
              </w:rPr>
            </w:pPr>
            <w:r>
              <w:rPr>
                <w:i/>
                <w:sz w:val="18"/>
                <w:szCs w:val="18"/>
              </w:rPr>
              <w:t>(2</w:t>
            </w:r>
            <w:r w:rsidRPr="00A46D68">
              <w:rPr>
                <w:i/>
                <w:sz w:val="18"/>
                <w:szCs w:val="18"/>
              </w:rPr>
              <w:t xml:space="preserve"> µg/dL</w:t>
            </w:r>
            <w:r w:rsidRPr="00AF5B5B">
              <w:rPr>
                <w:sz w:val="18"/>
                <w:szCs w:val="18"/>
              </w:rPr>
              <w:t>)</w:t>
            </w:r>
          </w:p>
        </w:tc>
        <w:tc>
          <w:tcPr>
            <w:tcW w:w="1984" w:type="dxa"/>
          </w:tcPr>
          <w:p w:rsidR="006D5BCF" w:rsidRPr="00305567" w:rsidRDefault="006D5BCF" w:rsidP="002B5D66">
            <w:pPr>
              <w:rPr>
                <w:sz w:val="20"/>
                <w:szCs w:val="20"/>
              </w:rPr>
            </w:pPr>
            <w:r>
              <w:rPr>
                <w:sz w:val="20"/>
                <w:szCs w:val="20"/>
              </w:rPr>
              <w:t>2.38 (1.4, 4.06)</w:t>
            </w:r>
          </w:p>
        </w:tc>
        <w:tc>
          <w:tcPr>
            <w:tcW w:w="3402" w:type="dxa"/>
            <w:vMerge/>
          </w:tcPr>
          <w:p w:rsidR="006D5BCF" w:rsidRPr="00305567" w:rsidRDefault="006D5BCF" w:rsidP="002B5D66">
            <w:pPr>
              <w:rPr>
                <w:sz w:val="20"/>
                <w:szCs w:val="20"/>
              </w:rPr>
            </w:pPr>
          </w:p>
        </w:tc>
      </w:tr>
      <w:tr w:rsidR="006D5BCF" w:rsidTr="006A5E40">
        <w:trPr>
          <w:trHeight w:val="404"/>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vAlign w:val="center"/>
          </w:tcPr>
          <w:p w:rsidR="006D5BCF" w:rsidRPr="00D37D80" w:rsidRDefault="006D5BCF" w:rsidP="00C033BF">
            <w:pPr>
              <w:rPr>
                <w:sz w:val="20"/>
                <w:szCs w:val="20"/>
              </w:rPr>
            </w:pPr>
            <w:r w:rsidRPr="00DC6F66">
              <w:rPr>
                <w:sz w:val="20"/>
                <w:szCs w:val="20"/>
              </w:rPr>
              <w:t xml:space="preserve">Q4: </w:t>
            </w:r>
            <w:r w:rsidRPr="003656FA">
              <w:rPr>
                <w:sz w:val="20"/>
                <w:szCs w:val="20"/>
              </w:rPr>
              <w:t>3.8-52.9</w:t>
            </w:r>
          </w:p>
        </w:tc>
        <w:tc>
          <w:tcPr>
            <w:tcW w:w="1701" w:type="dxa"/>
            <w:vAlign w:val="center"/>
          </w:tcPr>
          <w:p w:rsidR="006D5BCF" w:rsidRDefault="006D5BCF" w:rsidP="00C033BF">
            <w:pPr>
              <w:rPr>
                <w:sz w:val="20"/>
                <w:szCs w:val="20"/>
              </w:rPr>
            </w:pPr>
            <w:r>
              <w:rPr>
                <w:sz w:val="20"/>
                <w:szCs w:val="20"/>
              </w:rPr>
              <w:t>Q4 vs. Q1</w:t>
            </w:r>
          </w:p>
          <w:p w:rsidR="00FD08BD" w:rsidRPr="00305567" w:rsidRDefault="00FD08BD" w:rsidP="00C033BF">
            <w:pPr>
              <w:rPr>
                <w:sz w:val="20"/>
                <w:szCs w:val="20"/>
              </w:rPr>
            </w:pPr>
            <w:r>
              <w:rPr>
                <w:i/>
                <w:sz w:val="18"/>
                <w:szCs w:val="18"/>
              </w:rPr>
              <w:t>(27</w:t>
            </w:r>
            <w:r w:rsidRPr="00A46D68">
              <w:rPr>
                <w:i/>
                <w:sz w:val="18"/>
                <w:szCs w:val="18"/>
              </w:rPr>
              <w:t xml:space="preserve"> µg/dL</w:t>
            </w:r>
            <w:r w:rsidRPr="00AF5B5B">
              <w:rPr>
                <w:sz w:val="18"/>
                <w:szCs w:val="18"/>
              </w:rPr>
              <w:t>)</w:t>
            </w:r>
          </w:p>
        </w:tc>
        <w:tc>
          <w:tcPr>
            <w:tcW w:w="1984" w:type="dxa"/>
          </w:tcPr>
          <w:p w:rsidR="006D5BCF" w:rsidRPr="00305567" w:rsidRDefault="006D5BCF" w:rsidP="002B5D66">
            <w:pPr>
              <w:rPr>
                <w:sz w:val="20"/>
                <w:szCs w:val="20"/>
              </w:rPr>
            </w:pPr>
            <w:r>
              <w:rPr>
                <w:sz w:val="20"/>
                <w:szCs w:val="20"/>
              </w:rPr>
              <w:t>2.92 (1.58, 5.41)</w:t>
            </w:r>
          </w:p>
        </w:tc>
        <w:tc>
          <w:tcPr>
            <w:tcW w:w="3402" w:type="dxa"/>
            <w:vMerge/>
          </w:tcPr>
          <w:p w:rsidR="006D5BCF" w:rsidRPr="00305567" w:rsidRDefault="006D5BCF" w:rsidP="002B5D66">
            <w:pPr>
              <w:rPr>
                <w:sz w:val="20"/>
                <w:szCs w:val="20"/>
              </w:rPr>
            </w:pPr>
          </w:p>
        </w:tc>
      </w:tr>
      <w:tr w:rsidR="006D5BCF" w:rsidTr="006A5E40">
        <w:trPr>
          <w:trHeight w:val="409"/>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val="restart"/>
            <w:tcBorders>
              <w:left w:val="single" w:sz="6" w:space="0" w:color="auto"/>
            </w:tcBorders>
            <w:vAlign w:val="center"/>
          </w:tcPr>
          <w:p w:rsidR="006D5BCF" w:rsidRPr="00305567" w:rsidRDefault="006D5BCF" w:rsidP="00C033BF">
            <w:pPr>
              <w:rPr>
                <w:sz w:val="20"/>
                <w:szCs w:val="20"/>
              </w:rPr>
            </w:pPr>
            <w:r>
              <w:rPr>
                <w:sz w:val="20"/>
                <w:szCs w:val="20"/>
              </w:rPr>
              <w:t>Mexican Americans</w:t>
            </w:r>
          </w:p>
        </w:tc>
        <w:tc>
          <w:tcPr>
            <w:tcW w:w="1985" w:type="dxa"/>
            <w:shd w:val="clear" w:color="auto" w:fill="D9D9D9" w:themeFill="background1" w:themeFillShade="D9"/>
            <w:vAlign w:val="center"/>
          </w:tcPr>
          <w:p w:rsidR="006D5BCF" w:rsidRPr="00DC6F66" w:rsidRDefault="006D5BCF" w:rsidP="00C033BF">
            <w:pPr>
              <w:rPr>
                <w:sz w:val="20"/>
                <w:szCs w:val="20"/>
              </w:rPr>
            </w:pPr>
            <w:r>
              <w:rPr>
                <w:sz w:val="20"/>
                <w:szCs w:val="20"/>
              </w:rPr>
              <w:t>Q1: 0.7-1.4</w:t>
            </w:r>
          </w:p>
        </w:tc>
        <w:tc>
          <w:tcPr>
            <w:tcW w:w="1701" w:type="dxa"/>
            <w:shd w:val="clear" w:color="auto" w:fill="D9D9D9" w:themeFill="background1" w:themeFillShade="D9"/>
            <w:vAlign w:val="center"/>
          </w:tcPr>
          <w:p w:rsidR="006D5BCF" w:rsidRPr="00305567" w:rsidRDefault="006D5BCF" w:rsidP="00C033BF">
            <w:pPr>
              <w:rPr>
                <w:sz w:val="20"/>
                <w:szCs w:val="20"/>
              </w:rPr>
            </w:pPr>
            <w:r>
              <w:rPr>
                <w:sz w:val="20"/>
                <w:szCs w:val="20"/>
              </w:rPr>
              <w:t>Referent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1.0</w:t>
            </w:r>
          </w:p>
        </w:tc>
        <w:tc>
          <w:tcPr>
            <w:tcW w:w="3402" w:type="dxa"/>
            <w:vMerge/>
          </w:tcPr>
          <w:p w:rsidR="006D5BCF" w:rsidRPr="00305567" w:rsidRDefault="006D5BCF" w:rsidP="002B5D66">
            <w:pPr>
              <w:rPr>
                <w:sz w:val="20"/>
                <w:szCs w:val="20"/>
              </w:rPr>
            </w:pPr>
          </w:p>
        </w:tc>
      </w:tr>
      <w:tr w:rsidR="006D5BCF" w:rsidTr="006A5E40">
        <w:trPr>
          <w:trHeight w:val="401"/>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shd w:val="clear" w:color="auto" w:fill="D9D9D9" w:themeFill="background1" w:themeFillShade="D9"/>
            <w:vAlign w:val="center"/>
          </w:tcPr>
          <w:p w:rsidR="006D5BCF" w:rsidRPr="00DC6F66" w:rsidRDefault="006D5BCF" w:rsidP="00C033BF">
            <w:pPr>
              <w:rPr>
                <w:sz w:val="20"/>
                <w:szCs w:val="20"/>
              </w:rPr>
            </w:pPr>
            <w:r>
              <w:rPr>
                <w:sz w:val="20"/>
                <w:szCs w:val="20"/>
              </w:rPr>
              <w:t>Q2: 1.5-2.3</w:t>
            </w:r>
          </w:p>
        </w:tc>
        <w:tc>
          <w:tcPr>
            <w:tcW w:w="1701" w:type="dxa"/>
            <w:shd w:val="clear" w:color="auto" w:fill="D9D9D9" w:themeFill="background1" w:themeFillShade="D9"/>
            <w:vAlign w:val="center"/>
          </w:tcPr>
          <w:p w:rsidR="006D5BCF" w:rsidRDefault="006D5BCF" w:rsidP="00C033BF">
            <w:pPr>
              <w:rPr>
                <w:sz w:val="20"/>
                <w:szCs w:val="20"/>
              </w:rPr>
            </w:pPr>
            <w:r>
              <w:rPr>
                <w:sz w:val="20"/>
                <w:szCs w:val="20"/>
              </w:rPr>
              <w:t>Q2 vs. Q1</w:t>
            </w:r>
          </w:p>
          <w:p w:rsidR="00FD08BD" w:rsidRPr="00305567" w:rsidRDefault="00FD08BD" w:rsidP="00C033BF">
            <w:pPr>
              <w:rPr>
                <w:sz w:val="20"/>
                <w:szCs w:val="20"/>
              </w:rPr>
            </w:pPr>
            <w:r w:rsidRPr="00942D02">
              <w:rPr>
                <w:i/>
                <w:sz w:val="18"/>
                <w:szCs w:val="18"/>
              </w:rPr>
              <w:t>(0.85</w:t>
            </w:r>
            <w:r w:rsidRPr="00A46D68">
              <w:rPr>
                <w:i/>
                <w:sz w:val="18"/>
                <w:szCs w:val="18"/>
              </w:rPr>
              <w:t xml:space="preserve"> µg/dL</w:t>
            </w:r>
            <w:r w:rsidRPr="00AF5B5B">
              <w:rPr>
                <w:sz w:val="18"/>
                <w:szCs w:val="18"/>
              </w:rPr>
              <w: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0.74 (0.24, 2.23)</w:t>
            </w:r>
          </w:p>
        </w:tc>
        <w:tc>
          <w:tcPr>
            <w:tcW w:w="3402" w:type="dxa"/>
            <w:vMerge/>
          </w:tcPr>
          <w:p w:rsidR="006D5BCF" w:rsidRPr="00305567" w:rsidRDefault="006D5BCF" w:rsidP="002B5D66">
            <w:pPr>
              <w:rPr>
                <w:sz w:val="20"/>
                <w:szCs w:val="20"/>
              </w:rPr>
            </w:pPr>
          </w:p>
        </w:tc>
      </w:tr>
      <w:tr w:rsidR="006D5BCF" w:rsidTr="006A5E40">
        <w:trPr>
          <w:trHeight w:val="265"/>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shd w:val="clear" w:color="auto" w:fill="D9D9D9" w:themeFill="background1" w:themeFillShade="D9"/>
            <w:vAlign w:val="center"/>
          </w:tcPr>
          <w:p w:rsidR="006D5BCF" w:rsidRPr="00DC6F66" w:rsidRDefault="006D5BCF" w:rsidP="00C033BF">
            <w:pPr>
              <w:rPr>
                <w:sz w:val="20"/>
                <w:szCs w:val="20"/>
              </w:rPr>
            </w:pPr>
            <w:r w:rsidRPr="00DC6F66">
              <w:rPr>
                <w:sz w:val="20"/>
                <w:szCs w:val="20"/>
              </w:rPr>
              <w:t xml:space="preserve">Q3: </w:t>
            </w:r>
            <w:r>
              <w:rPr>
                <w:sz w:val="20"/>
                <w:szCs w:val="20"/>
              </w:rPr>
              <w:t>2.4-3.7</w:t>
            </w:r>
          </w:p>
        </w:tc>
        <w:tc>
          <w:tcPr>
            <w:tcW w:w="1701" w:type="dxa"/>
            <w:shd w:val="clear" w:color="auto" w:fill="D9D9D9" w:themeFill="background1" w:themeFillShade="D9"/>
            <w:vAlign w:val="center"/>
          </w:tcPr>
          <w:p w:rsidR="006D5BCF" w:rsidRDefault="006D5BCF" w:rsidP="00C033BF">
            <w:pPr>
              <w:rPr>
                <w:sz w:val="20"/>
                <w:szCs w:val="20"/>
              </w:rPr>
            </w:pPr>
            <w:r>
              <w:rPr>
                <w:sz w:val="20"/>
                <w:szCs w:val="20"/>
              </w:rPr>
              <w:t>Q3 vs. Q1</w:t>
            </w:r>
          </w:p>
          <w:p w:rsidR="00FD08BD" w:rsidRPr="00305567" w:rsidRDefault="00FD08BD" w:rsidP="00C033BF">
            <w:pPr>
              <w:rPr>
                <w:sz w:val="20"/>
                <w:szCs w:val="20"/>
              </w:rPr>
            </w:pPr>
            <w:r>
              <w:rPr>
                <w:i/>
                <w:sz w:val="18"/>
                <w:szCs w:val="18"/>
              </w:rPr>
              <w:t>(2</w:t>
            </w:r>
            <w:r w:rsidRPr="00A46D68">
              <w:rPr>
                <w:i/>
                <w:sz w:val="18"/>
                <w:szCs w:val="18"/>
              </w:rPr>
              <w:t xml:space="preserve"> µg/dL</w:t>
            </w:r>
            <w:r w:rsidRPr="00AF5B5B">
              <w:rPr>
                <w:sz w:val="18"/>
                <w:szCs w:val="18"/>
              </w:rPr>
              <w: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1.43 (0.61, 3.38)</w:t>
            </w:r>
          </w:p>
        </w:tc>
        <w:tc>
          <w:tcPr>
            <w:tcW w:w="3402" w:type="dxa"/>
            <w:vMerge/>
          </w:tcPr>
          <w:p w:rsidR="006D5BCF" w:rsidRPr="00305567" w:rsidRDefault="006D5BCF" w:rsidP="002B5D66">
            <w:pPr>
              <w:rPr>
                <w:sz w:val="20"/>
                <w:szCs w:val="20"/>
              </w:rPr>
            </w:pPr>
          </w:p>
        </w:tc>
      </w:tr>
      <w:tr w:rsidR="006D5BCF" w:rsidTr="006A5E40">
        <w:trPr>
          <w:trHeight w:val="412"/>
        </w:trPr>
        <w:tc>
          <w:tcPr>
            <w:tcW w:w="1689" w:type="dxa"/>
            <w:vMerge/>
          </w:tcPr>
          <w:p w:rsidR="006D5BCF" w:rsidRPr="00305567" w:rsidRDefault="006D5BCF" w:rsidP="002B5D66">
            <w:pPr>
              <w:rPr>
                <w:sz w:val="20"/>
                <w:szCs w:val="20"/>
              </w:rPr>
            </w:pPr>
          </w:p>
        </w:tc>
        <w:tc>
          <w:tcPr>
            <w:tcW w:w="1680" w:type="dxa"/>
            <w:vMerge/>
            <w:tcBorders>
              <w:right w:val="single" w:sz="6" w:space="0" w:color="auto"/>
            </w:tcBorders>
          </w:tcPr>
          <w:p w:rsidR="006D5BCF" w:rsidRPr="00305567" w:rsidRDefault="006D5BCF" w:rsidP="002B5D66">
            <w:pPr>
              <w:rPr>
                <w:sz w:val="20"/>
                <w:szCs w:val="20"/>
              </w:rPr>
            </w:pPr>
          </w:p>
        </w:tc>
        <w:tc>
          <w:tcPr>
            <w:tcW w:w="1417" w:type="dxa"/>
            <w:vMerge/>
            <w:tcBorders>
              <w:left w:val="single" w:sz="6" w:space="0" w:color="auto"/>
            </w:tcBorders>
          </w:tcPr>
          <w:p w:rsidR="006D5BCF" w:rsidRPr="00305567" w:rsidRDefault="006D5BCF" w:rsidP="002B5D66">
            <w:pPr>
              <w:rPr>
                <w:sz w:val="20"/>
                <w:szCs w:val="20"/>
              </w:rPr>
            </w:pPr>
          </w:p>
        </w:tc>
        <w:tc>
          <w:tcPr>
            <w:tcW w:w="1985" w:type="dxa"/>
            <w:shd w:val="clear" w:color="auto" w:fill="D9D9D9" w:themeFill="background1" w:themeFillShade="D9"/>
            <w:vAlign w:val="center"/>
          </w:tcPr>
          <w:p w:rsidR="006D5BCF" w:rsidRPr="00D37D80" w:rsidRDefault="006D5BCF" w:rsidP="00C033BF">
            <w:pPr>
              <w:rPr>
                <w:sz w:val="20"/>
                <w:szCs w:val="20"/>
              </w:rPr>
            </w:pPr>
            <w:r w:rsidRPr="00DC6F66">
              <w:rPr>
                <w:sz w:val="20"/>
                <w:szCs w:val="20"/>
              </w:rPr>
              <w:t xml:space="preserve">Q4: </w:t>
            </w:r>
            <w:r w:rsidRPr="003656FA">
              <w:rPr>
                <w:sz w:val="20"/>
                <w:szCs w:val="20"/>
              </w:rPr>
              <w:t>3.8-52.9</w:t>
            </w:r>
          </w:p>
        </w:tc>
        <w:tc>
          <w:tcPr>
            <w:tcW w:w="1701" w:type="dxa"/>
            <w:shd w:val="clear" w:color="auto" w:fill="D9D9D9" w:themeFill="background1" w:themeFillShade="D9"/>
            <w:vAlign w:val="center"/>
          </w:tcPr>
          <w:p w:rsidR="006D5BCF" w:rsidRDefault="006D5BCF" w:rsidP="00C033BF">
            <w:pPr>
              <w:rPr>
                <w:sz w:val="20"/>
                <w:szCs w:val="20"/>
              </w:rPr>
            </w:pPr>
            <w:r>
              <w:rPr>
                <w:sz w:val="20"/>
                <w:szCs w:val="20"/>
              </w:rPr>
              <w:t>Q4 vs. Q1</w:t>
            </w:r>
          </w:p>
          <w:p w:rsidR="00FD08BD" w:rsidRPr="00305567" w:rsidRDefault="00FD08BD" w:rsidP="00C033BF">
            <w:pPr>
              <w:rPr>
                <w:sz w:val="20"/>
                <w:szCs w:val="20"/>
              </w:rPr>
            </w:pPr>
            <w:r>
              <w:rPr>
                <w:i/>
                <w:sz w:val="18"/>
                <w:szCs w:val="18"/>
              </w:rPr>
              <w:t>(27</w:t>
            </w:r>
            <w:r w:rsidRPr="00A46D68">
              <w:rPr>
                <w:i/>
                <w:sz w:val="18"/>
                <w:szCs w:val="18"/>
              </w:rPr>
              <w:t xml:space="preserve"> µg/dL</w:t>
            </w:r>
            <w:r w:rsidRPr="00AF5B5B">
              <w:rPr>
                <w:sz w:val="18"/>
                <w:szCs w:val="18"/>
              </w:rPr>
              <w:t>)</w:t>
            </w:r>
          </w:p>
        </w:tc>
        <w:tc>
          <w:tcPr>
            <w:tcW w:w="1984" w:type="dxa"/>
            <w:shd w:val="clear" w:color="auto" w:fill="D9D9D9" w:themeFill="background1" w:themeFillShade="D9"/>
          </w:tcPr>
          <w:p w:rsidR="006D5BCF" w:rsidRPr="00305567" w:rsidRDefault="006D5BCF" w:rsidP="002B5D66">
            <w:pPr>
              <w:rPr>
                <w:sz w:val="20"/>
                <w:szCs w:val="20"/>
              </w:rPr>
            </w:pPr>
            <w:r>
              <w:rPr>
                <w:sz w:val="20"/>
                <w:szCs w:val="20"/>
              </w:rPr>
              <w:t>1.27 (0.59, 2.75)</w:t>
            </w:r>
          </w:p>
        </w:tc>
        <w:tc>
          <w:tcPr>
            <w:tcW w:w="3402" w:type="dxa"/>
            <w:vMerge/>
          </w:tcPr>
          <w:p w:rsidR="006D5BCF" w:rsidRPr="00305567" w:rsidRDefault="006D5BCF" w:rsidP="002B5D66">
            <w:pPr>
              <w:rPr>
                <w:sz w:val="20"/>
                <w:szCs w:val="20"/>
              </w:rPr>
            </w:pPr>
          </w:p>
        </w:tc>
      </w:tr>
      <w:tr w:rsidR="008B74A8" w:rsidTr="006A5E40">
        <w:trPr>
          <w:trHeight w:val="372"/>
        </w:trPr>
        <w:tc>
          <w:tcPr>
            <w:tcW w:w="1689" w:type="dxa"/>
            <w:vMerge w:val="restart"/>
            <w:vAlign w:val="center"/>
          </w:tcPr>
          <w:p w:rsidR="008B74A8" w:rsidRPr="00305567" w:rsidRDefault="008B74A8" w:rsidP="008B74A8">
            <w:pPr>
              <w:rPr>
                <w:sz w:val="20"/>
                <w:szCs w:val="20"/>
              </w:rPr>
            </w:pPr>
            <w:r>
              <w:rPr>
                <w:sz w:val="20"/>
                <w:szCs w:val="20"/>
              </w:rPr>
              <w:t>Park et al. 2009</w:t>
            </w:r>
          </w:p>
        </w:tc>
        <w:tc>
          <w:tcPr>
            <w:tcW w:w="3097" w:type="dxa"/>
            <w:gridSpan w:val="2"/>
            <w:vMerge w:val="restart"/>
            <w:vAlign w:val="center"/>
          </w:tcPr>
          <w:p w:rsidR="008B74A8" w:rsidRDefault="008B74A8" w:rsidP="008B74A8">
            <w:pPr>
              <w:rPr>
                <w:sz w:val="20"/>
                <w:szCs w:val="20"/>
              </w:rPr>
            </w:pPr>
            <w:r>
              <w:rPr>
                <w:sz w:val="20"/>
                <w:szCs w:val="20"/>
              </w:rPr>
              <w:t xml:space="preserve">NHANES III  </w:t>
            </w:r>
          </w:p>
          <w:p w:rsidR="008B74A8" w:rsidRDefault="008B74A8" w:rsidP="008B74A8">
            <w:pPr>
              <w:rPr>
                <w:sz w:val="20"/>
                <w:szCs w:val="20"/>
              </w:rPr>
            </w:pPr>
            <w:r>
              <w:rPr>
                <w:sz w:val="20"/>
                <w:szCs w:val="20"/>
              </w:rPr>
              <w:t>(n=12,500)</w:t>
            </w:r>
          </w:p>
          <w:p w:rsidR="00812A8E" w:rsidRPr="00305567" w:rsidRDefault="00812A8E" w:rsidP="008B74A8">
            <w:pPr>
              <w:rPr>
                <w:sz w:val="20"/>
                <w:szCs w:val="20"/>
              </w:rPr>
            </w:pPr>
          </w:p>
        </w:tc>
        <w:tc>
          <w:tcPr>
            <w:tcW w:w="1985" w:type="dxa"/>
            <w:vMerge w:val="restart"/>
            <w:vAlign w:val="center"/>
          </w:tcPr>
          <w:p w:rsidR="008B74A8" w:rsidRPr="00305567" w:rsidRDefault="008B74A8" w:rsidP="006D5BCF">
            <w:pPr>
              <w:rPr>
                <w:sz w:val="20"/>
                <w:szCs w:val="20"/>
              </w:rPr>
            </w:pPr>
            <w:r>
              <w:rPr>
                <w:sz w:val="20"/>
                <w:szCs w:val="20"/>
              </w:rPr>
              <w:t>Overall 3.52 (0.1)</w:t>
            </w:r>
          </w:p>
        </w:tc>
        <w:tc>
          <w:tcPr>
            <w:tcW w:w="1701" w:type="dxa"/>
            <w:vMerge w:val="restart"/>
            <w:vAlign w:val="center"/>
          </w:tcPr>
          <w:p w:rsidR="008B74A8" w:rsidRPr="00305567" w:rsidRDefault="008B74A8" w:rsidP="006D5BCF">
            <w:pPr>
              <w:rPr>
                <w:sz w:val="20"/>
                <w:szCs w:val="20"/>
              </w:rPr>
            </w:pPr>
            <w:r>
              <w:rPr>
                <w:sz w:val="20"/>
                <w:szCs w:val="20"/>
              </w:rPr>
              <w:t xml:space="preserve">per 1 </w:t>
            </w:r>
            <w:r w:rsidRPr="00F6549B">
              <w:rPr>
                <w:sz w:val="20"/>
                <w:szCs w:val="20"/>
              </w:rPr>
              <w:t>µg/dL</w:t>
            </w:r>
          </w:p>
        </w:tc>
        <w:tc>
          <w:tcPr>
            <w:tcW w:w="1984" w:type="dxa"/>
            <w:tcBorders>
              <w:bottom w:val="single" w:sz="6" w:space="0" w:color="auto"/>
            </w:tcBorders>
          </w:tcPr>
          <w:p w:rsidR="008B74A8" w:rsidRDefault="008B74A8" w:rsidP="002B5D66">
            <w:pPr>
              <w:rPr>
                <w:sz w:val="20"/>
                <w:szCs w:val="20"/>
              </w:rPr>
            </w:pPr>
            <w:r>
              <w:rPr>
                <w:sz w:val="20"/>
                <w:szCs w:val="20"/>
              </w:rPr>
              <w:t>1.12 (1.03, 1.23)</w:t>
            </w:r>
          </w:p>
          <w:p w:rsidR="008B74A8" w:rsidRPr="006D5BCF" w:rsidRDefault="008B74A8" w:rsidP="002B5D66">
            <w:pPr>
              <w:rPr>
                <w:sz w:val="16"/>
                <w:szCs w:val="16"/>
              </w:rPr>
            </w:pPr>
            <w:r>
              <w:rPr>
                <w:sz w:val="16"/>
                <w:szCs w:val="16"/>
              </w:rPr>
              <w:t>(all subjects)</w:t>
            </w:r>
          </w:p>
        </w:tc>
        <w:tc>
          <w:tcPr>
            <w:tcW w:w="3402" w:type="dxa"/>
            <w:vMerge w:val="restart"/>
            <w:vAlign w:val="center"/>
          </w:tcPr>
          <w:p w:rsidR="008B74A8" w:rsidRPr="008B74A8" w:rsidRDefault="008B74A8" w:rsidP="008B74A8">
            <w:pPr>
              <w:rPr>
                <w:sz w:val="20"/>
                <w:szCs w:val="20"/>
              </w:rPr>
            </w:pPr>
            <w:r>
              <w:rPr>
                <w:sz w:val="20"/>
                <w:szCs w:val="20"/>
              </w:rPr>
              <w:t>Models for all subjects were adjusted for age, age</w:t>
            </w:r>
            <w:r>
              <w:rPr>
                <w:sz w:val="20"/>
                <w:szCs w:val="20"/>
                <w:vertAlign w:val="superscript"/>
              </w:rPr>
              <w:t>2</w:t>
            </w:r>
            <w:r>
              <w:rPr>
                <w:sz w:val="20"/>
                <w:szCs w:val="20"/>
              </w:rPr>
              <w:t xml:space="preserve">, gender, race, education, smoking status, cumulative smoking, BMI, haematocrit, alcohol intake, physical activity, use of antihypertensive medication, and diagnosis of type-2 diabetes. </w:t>
            </w:r>
          </w:p>
        </w:tc>
      </w:tr>
      <w:tr w:rsidR="008B74A8" w:rsidTr="006A5E40">
        <w:trPr>
          <w:trHeight w:val="150"/>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bottom w:val="single" w:sz="6" w:space="0" w:color="auto"/>
            </w:tcBorders>
            <w:shd w:val="clear" w:color="auto" w:fill="D9D9D9" w:themeFill="background1" w:themeFillShade="D9"/>
          </w:tcPr>
          <w:p w:rsidR="008B74A8" w:rsidRDefault="008B74A8" w:rsidP="002B5D66">
            <w:pPr>
              <w:rPr>
                <w:sz w:val="20"/>
                <w:szCs w:val="20"/>
              </w:rPr>
            </w:pPr>
            <w:r>
              <w:rPr>
                <w:sz w:val="20"/>
                <w:szCs w:val="20"/>
              </w:rPr>
              <w:t>1.06 (0.92, 1.22)</w:t>
            </w:r>
          </w:p>
          <w:p w:rsidR="008B74A8" w:rsidRPr="008B74A8" w:rsidRDefault="008B74A8" w:rsidP="002B5D66">
            <w:pPr>
              <w:rPr>
                <w:sz w:val="16"/>
                <w:szCs w:val="16"/>
              </w:rPr>
            </w:pPr>
            <w:r>
              <w:rPr>
                <w:sz w:val="16"/>
                <w:szCs w:val="16"/>
              </w:rPr>
              <w:t>(white men)</w:t>
            </w:r>
          </w:p>
        </w:tc>
        <w:tc>
          <w:tcPr>
            <w:tcW w:w="3402" w:type="dxa"/>
            <w:vMerge/>
          </w:tcPr>
          <w:p w:rsidR="008B74A8" w:rsidRPr="00305567" w:rsidRDefault="008B74A8" w:rsidP="002B5D66">
            <w:pPr>
              <w:rPr>
                <w:sz w:val="20"/>
                <w:szCs w:val="20"/>
              </w:rPr>
            </w:pPr>
          </w:p>
        </w:tc>
      </w:tr>
      <w:tr w:rsidR="008B74A8" w:rsidTr="006A5E40">
        <w:trPr>
          <w:trHeight w:val="120"/>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bottom w:val="single" w:sz="6" w:space="0" w:color="auto"/>
            </w:tcBorders>
            <w:shd w:val="clear" w:color="auto" w:fill="D9D9D9" w:themeFill="background1" w:themeFillShade="D9"/>
          </w:tcPr>
          <w:p w:rsidR="008B74A8" w:rsidRDefault="008B74A8" w:rsidP="002B5D66">
            <w:pPr>
              <w:rPr>
                <w:sz w:val="20"/>
                <w:szCs w:val="20"/>
              </w:rPr>
            </w:pPr>
            <w:r>
              <w:rPr>
                <w:sz w:val="20"/>
                <w:szCs w:val="20"/>
              </w:rPr>
              <w:t>1.17 (0.98, 1.38)</w:t>
            </w:r>
          </w:p>
          <w:p w:rsidR="008B74A8" w:rsidRPr="008B74A8" w:rsidRDefault="008B74A8" w:rsidP="002B5D66">
            <w:pPr>
              <w:rPr>
                <w:sz w:val="16"/>
                <w:szCs w:val="16"/>
              </w:rPr>
            </w:pPr>
            <w:r>
              <w:rPr>
                <w:sz w:val="16"/>
                <w:szCs w:val="16"/>
              </w:rPr>
              <w:t>(black men)</w:t>
            </w:r>
          </w:p>
        </w:tc>
        <w:tc>
          <w:tcPr>
            <w:tcW w:w="3402" w:type="dxa"/>
            <w:vMerge/>
          </w:tcPr>
          <w:p w:rsidR="008B74A8" w:rsidRPr="00305567" w:rsidRDefault="008B74A8" w:rsidP="002B5D66">
            <w:pPr>
              <w:rPr>
                <w:sz w:val="20"/>
                <w:szCs w:val="20"/>
              </w:rPr>
            </w:pPr>
          </w:p>
        </w:tc>
      </w:tr>
      <w:tr w:rsidR="008B74A8" w:rsidTr="006A5E40">
        <w:trPr>
          <w:trHeight w:val="110"/>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bottom w:val="single" w:sz="6" w:space="0" w:color="auto"/>
            </w:tcBorders>
          </w:tcPr>
          <w:p w:rsidR="008B74A8" w:rsidRDefault="008B74A8" w:rsidP="002B5D66">
            <w:pPr>
              <w:rPr>
                <w:sz w:val="20"/>
                <w:szCs w:val="20"/>
              </w:rPr>
            </w:pPr>
            <w:r>
              <w:rPr>
                <w:sz w:val="20"/>
                <w:szCs w:val="20"/>
              </w:rPr>
              <w:t>1.16 (1.04, 1.29)</w:t>
            </w:r>
          </w:p>
          <w:p w:rsidR="008B74A8" w:rsidRPr="008B74A8" w:rsidRDefault="008B74A8" w:rsidP="002B5D66">
            <w:pPr>
              <w:rPr>
                <w:sz w:val="16"/>
                <w:szCs w:val="16"/>
              </w:rPr>
            </w:pPr>
            <w:r>
              <w:rPr>
                <w:sz w:val="16"/>
                <w:szCs w:val="16"/>
              </w:rPr>
              <w:t>(white women)</w:t>
            </w:r>
          </w:p>
        </w:tc>
        <w:tc>
          <w:tcPr>
            <w:tcW w:w="3402" w:type="dxa"/>
            <w:vMerge/>
          </w:tcPr>
          <w:p w:rsidR="008B74A8" w:rsidRPr="00305567" w:rsidRDefault="008B74A8" w:rsidP="002B5D66">
            <w:pPr>
              <w:rPr>
                <w:sz w:val="20"/>
                <w:szCs w:val="20"/>
              </w:rPr>
            </w:pPr>
          </w:p>
        </w:tc>
      </w:tr>
      <w:tr w:rsidR="008B74A8" w:rsidTr="006A5E40">
        <w:trPr>
          <w:trHeight w:val="100"/>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bottom w:val="single" w:sz="6" w:space="0" w:color="auto"/>
            </w:tcBorders>
          </w:tcPr>
          <w:p w:rsidR="008B74A8" w:rsidRDefault="008B74A8" w:rsidP="002B5D66">
            <w:pPr>
              <w:rPr>
                <w:sz w:val="20"/>
                <w:szCs w:val="20"/>
              </w:rPr>
            </w:pPr>
            <w:r>
              <w:rPr>
                <w:sz w:val="20"/>
                <w:szCs w:val="20"/>
              </w:rPr>
              <w:t>1.19 (1.04, 1.38)</w:t>
            </w:r>
          </w:p>
          <w:p w:rsidR="008B74A8" w:rsidRPr="008B74A8" w:rsidRDefault="008B74A8" w:rsidP="002B5D66">
            <w:pPr>
              <w:rPr>
                <w:sz w:val="16"/>
                <w:szCs w:val="16"/>
              </w:rPr>
            </w:pPr>
            <w:r>
              <w:rPr>
                <w:sz w:val="16"/>
                <w:szCs w:val="16"/>
              </w:rPr>
              <w:t>(black women)</w:t>
            </w:r>
          </w:p>
        </w:tc>
        <w:tc>
          <w:tcPr>
            <w:tcW w:w="3402" w:type="dxa"/>
            <w:vMerge/>
          </w:tcPr>
          <w:p w:rsidR="008B74A8" w:rsidRPr="00305567" w:rsidRDefault="008B74A8" w:rsidP="002B5D66">
            <w:pPr>
              <w:rPr>
                <w:sz w:val="20"/>
                <w:szCs w:val="20"/>
              </w:rPr>
            </w:pPr>
          </w:p>
        </w:tc>
      </w:tr>
      <w:tr w:rsidR="008B74A8" w:rsidTr="006A5E40">
        <w:trPr>
          <w:trHeight w:val="110"/>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bottom w:val="single" w:sz="6" w:space="0" w:color="auto"/>
            </w:tcBorders>
            <w:shd w:val="clear" w:color="auto" w:fill="D9D9D9" w:themeFill="background1" w:themeFillShade="D9"/>
          </w:tcPr>
          <w:p w:rsidR="008B74A8" w:rsidRDefault="008B74A8" w:rsidP="002B5D66">
            <w:pPr>
              <w:rPr>
                <w:sz w:val="20"/>
                <w:szCs w:val="20"/>
              </w:rPr>
            </w:pPr>
            <w:r>
              <w:rPr>
                <w:sz w:val="20"/>
                <w:szCs w:val="20"/>
              </w:rPr>
              <w:t>0.98 (0.8, 1.22)</w:t>
            </w:r>
          </w:p>
          <w:p w:rsidR="008B74A8" w:rsidRPr="008B74A8" w:rsidRDefault="008B74A8" w:rsidP="002B5D66">
            <w:pPr>
              <w:rPr>
                <w:sz w:val="16"/>
                <w:szCs w:val="16"/>
              </w:rPr>
            </w:pPr>
            <w:r>
              <w:rPr>
                <w:sz w:val="16"/>
                <w:szCs w:val="16"/>
              </w:rPr>
              <w:t>(men &lt;50 yrs)</w:t>
            </w:r>
          </w:p>
        </w:tc>
        <w:tc>
          <w:tcPr>
            <w:tcW w:w="3402" w:type="dxa"/>
            <w:vMerge/>
          </w:tcPr>
          <w:p w:rsidR="008B74A8" w:rsidRPr="00305567" w:rsidRDefault="008B74A8" w:rsidP="002B5D66">
            <w:pPr>
              <w:rPr>
                <w:sz w:val="20"/>
                <w:szCs w:val="20"/>
              </w:rPr>
            </w:pPr>
          </w:p>
        </w:tc>
      </w:tr>
      <w:tr w:rsidR="008B74A8" w:rsidTr="006A5E40">
        <w:trPr>
          <w:trHeight w:val="150"/>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bottom w:val="single" w:sz="6" w:space="0" w:color="auto"/>
            </w:tcBorders>
          </w:tcPr>
          <w:p w:rsidR="008B74A8" w:rsidRDefault="008B74A8" w:rsidP="002B5D66">
            <w:pPr>
              <w:rPr>
                <w:sz w:val="20"/>
                <w:szCs w:val="20"/>
              </w:rPr>
            </w:pPr>
            <w:r>
              <w:rPr>
                <w:sz w:val="20"/>
                <w:szCs w:val="20"/>
              </w:rPr>
              <w:t>1.2 (1.02, 1.41)</w:t>
            </w:r>
          </w:p>
          <w:p w:rsidR="008B74A8" w:rsidRPr="008B74A8" w:rsidRDefault="008B74A8" w:rsidP="002B5D66">
            <w:pPr>
              <w:rPr>
                <w:sz w:val="16"/>
                <w:szCs w:val="16"/>
              </w:rPr>
            </w:pPr>
            <w:r>
              <w:rPr>
                <w:sz w:val="16"/>
                <w:szCs w:val="16"/>
              </w:rPr>
              <w:t xml:space="preserve">(men </w:t>
            </w:r>
            <w:r>
              <w:rPr>
                <w:sz w:val="16"/>
                <w:szCs w:val="16"/>
                <w:u w:val="single"/>
              </w:rPr>
              <w:t>&gt;</w:t>
            </w:r>
            <w:r>
              <w:rPr>
                <w:sz w:val="16"/>
                <w:szCs w:val="16"/>
              </w:rPr>
              <w:t xml:space="preserve"> 50 yrs)</w:t>
            </w:r>
          </w:p>
        </w:tc>
        <w:tc>
          <w:tcPr>
            <w:tcW w:w="3402" w:type="dxa"/>
            <w:vMerge/>
          </w:tcPr>
          <w:p w:rsidR="008B74A8" w:rsidRPr="00305567" w:rsidRDefault="008B74A8" w:rsidP="002B5D66">
            <w:pPr>
              <w:rPr>
                <w:sz w:val="20"/>
                <w:szCs w:val="20"/>
              </w:rPr>
            </w:pPr>
          </w:p>
        </w:tc>
      </w:tr>
      <w:tr w:rsidR="008B74A8" w:rsidTr="006A5E40">
        <w:trPr>
          <w:trHeight w:val="80"/>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bottom w:val="single" w:sz="6" w:space="0" w:color="auto"/>
            </w:tcBorders>
          </w:tcPr>
          <w:p w:rsidR="008B74A8" w:rsidRDefault="008B74A8" w:rsidP="002B5D66">
            <w:pPr>
              <w:rPr>
                <w:sz w:val="20"/>
                <w:szCs w:val="20"/>
              </w:rPr>
            </w:pPr>
            <w:r>
              <w:rPr>
                <w:sz w:val="20"/>
                <w:szCs w:val="20"/>
              </w:rPr>
              <w:t>1.23 (1.04, 1.46)</w:t>
            </w:r>
          </w:p>
          <w:p w:rsidR="008B74A8" w:rsidRPr="008B74A8" w:rsidRDefault="008B74A8" w:rsidP="002B5D66">
            <w:pPr>
              <w:rPr>
                <w:sz w:val="16"/>
                <w:szCs w:val="16"/>
              </w:rPr>
            </w:pPr>
            <w:r>
              <w:rPr>
                <w:sz w:val="16"/>
                <w:szCs w:val="16"/>
              </w:rPr>
              <w:t>(women &lt;50 yrs)</w:t>
            </w:r>
          </w:p>
        </w:tc>
        <w:tc>
          <w:tcPr>
            <w:tcW w:w="3402" w:type="dxa"/>
            <w:vMerge/>
          </w:tcPr>
          <w:p w:rsidR="008B74A8" w:rsidRPr="00305567" w:rsidRDefault="008B74A8" w:rsidP="002B5D66">
            <w:pPr>
              <w:rPr>
                <w:sz w:val="20"/>
                <w:szCs w:val="20"/>
              </w:rPr>
            </w:pPr>
          </w:p>
        </w:tc>
      </w:tr>
      <w:tr w:rsidR="008B74A8" w:rsidTr="006A5E40">
        <w:trPr>
          <w:trHeight w:val="613"/>
        </w:trPr>
        <w:tc>
          <w:tcPr>
            <w:tcW w:w="1689" w:type="dxa"/>
            <w:vMerge/>
          </w:tcPr>
          <w:p w:rsidR="008B74A8" w:rsidRDefault="008B74A8" w:rsidP="002B5D66">
            <w:pPr>
              <w:rPr>
                <w:sz w:val="20"/>
                <w:szCs w:val="20"/>
              </w:rPr>
            </w:pPr>
          </w:p>
        </w:tc>
        <w:tc>
          <w:tcPr>
            <w:tcW w:w="3097" w:type="dxa"/>
            <w:gridSpan w:val="2"/>
            <w:vMerge/>
          </w:tcPr>
          <w:p w:rsidR="008B74A8" w:rsidRDefault="008B74A8" w:rsidP="002B5D66">
            <w:pPr>
              <w:rPr>
                <w:sz w:val="20"/>
                <w:szCs w:val="20"/>
              </w:rPr>
            </w:pPr>
          </w:p>
        </w:tc>
        <w:tc>
          <w:tcPr>
            <w:tcW w:w="1985" w:type="dxa"/>
            <w:vMerge/>
            <w:vAlign w:val="center"/>
          </w:tcPr>
          <w:p w:rsidR="008B74A8" w:rsidRDefault="008B74A8" w:rsidP="006D5BCF">
            <w:pPr>
              <w:rPr>
                <w:sz w:val="20"/>
                <w:szCs w:val="20"/>
              </w:rPr>
            </w:pPr>
          </w:p>
        </w:tc>
        <w:tc>
          <w:tcPr>
            <w:tcW w:w="1701" w:type="dxa"/>
            <w:vMerge/>
            <w:vAlign w:val="center"/>
          </w:tcPr>
          <w:p w:rsidR="008B74A8" w:rsidRDefault="008B74A8" w:rsidP="006D5BCF">
            <w:pPr>
              <w:rPr>
                <w:sz w:val="20"/>
                <w:szCs w:val="20"/>
              </w:rPr>
            </w:pPr>
          </w:p>
        </w:tc>
        <w:tc>
          <w:tcPr>
            <w:tcW w:w="1984" w:type="dxa"/>
            <w:tcBorders>
              <w:top w:val="single" w:sz="6" w:space="0" w:color="auto"/>
            </w:tcBorders>
            <w:shd w:val="clear" w:color="auto" w:fill="D9D9D9" w:themeFill="background1" w:themeFillShade="D9"/>
          </w:tcPr>
          <w:p w:rsidR="008B74A8" w:rsidRDefault="008B74A8" w:rsidP="002B5D66">
            <w:pPr>
              <w:rPr>
                <w:sz w:val="20"/>
                <w:szCs w:val="20"/>
              </w:rPr>
            </w:pPr>
            <w:r>
              <w:rPr>
                <w:sz w:val="20"/>
                <w:szCs w:val="20"/>
              </w:rPr>
              <w:t>1.09 (0.94, 1.26)</w:t>
            </w:r>
          </w:p>
          <w:p w:rsidR="008B74A8" w:rsidRPr="008B74A8" w:rsidRDefault="008B74A8" w:rsidP="002B5D66">
            <w:pPr>
              <w:rPr>
                <w:sz w:val="16"/>
                <w:szCs w:val="16"/>
              </w:rPr>
            </w:pPr>
            <w:r>
              <w:rPr>
                <w:sz w:val="16"/>
                <w:szCs w:val="16"/>
              </w:rPr>
              <w:t xml:space="preserve">(women </w:t>
            </w:r>
            <w:r>
              <w:rPr>
                <w:sz w:val="16"/>
                <w:szCs w:val="16"/>
                <w:u w:val="single"/>
              </w:rPr>
              <w:t>&gt;</w:t>
            </w:r>
            <w:r>
              <w:rPr>
                <w:sz w:val="16"/>
                <w:szCs w:val="16"/>
              </w:rPr>
              <w:t xml:space="preserve"> 50 yrs)</w:t>
            </w:r>
          </w:p>
        </w:tc>
        <w:tc>
          <w:tcPr>
            <w:tcW w:w="3402" w:type="dxa"/>
            <w:vMerge/>
          </w:tcPr>
          <w:p w:rsidR="008B74A8" w:rsidRPr="00305567" w:rsidRDefault="008B74A8" w:rsidP="002B5D66">
            <w:pPr>
              <w:rPr>
                <w:sz w:val="20"/>
                <w:szCs w:val="20"/>
              </w:rPr>
            </w:pPr>
          </w:p>
        </w:tc>
      </w:tr>
      <w:tr w:rsidR="00812A8E" w:rsidTr="006A5E40">
        <w:trPr>
          <w:trHeight w:val="240"/>
        </w:trPr>
        <w:tc>
          <w:tcPr>
            <w:tcW w:w="1689" w:type="dxa"/>
            <w:vMerge w:val="restart"/>
            <w:vAlign w:val="center"/>
          </w:tcPr>
          <w:p w:rsidR="00812A8E" w:rsidRPr="00305567" w:rsidRDefault="00812A8E" w:rsidP="00812A8E">
            <w:pPr>
              <w:rPr>
                <w:sz w:val="20"/>
                <w:szCs w:val="20"/>
              </w:rPr>
            </w:pPr>
            <w:r>
              <w:rPr>
                <w:sz w:val="20"/>
                <w:szCs w:val="20"/>
              </w:rPr>
              <w:t>Nash et al. 2003</w:t>
            </w:r>
          </w:p>
        </w:tc>
        <w:tc>
          <w:tcPr>
            <w:tcW w:w="3097" w:type="dxa"/>
            <w:gridSpan w:val="2"/>
            <w:vMerge w:val="restart"/>
            <w:vAlign w:val="center"/>
          </w:tcPr>
          <w:p w:rsidR="00812A8E" w:rsidRPr="00305567" w:rsidRDefault="00812A8E" w:rsidP="00812A8E">
            <w:pPr>
              <w:rPr>
                <w:sz w:val="20"/>
                <w:szCs w:val="20"/>
              </w:rPr>
            </w:pPr>
            <w:r>
              <w:rPr>
                <w:sz w:val="20"/>
                <w:szCs w:val="20"/>
              </w:rPr>
              <w:t>Cross-sectional sample of NHANES. Women aged 40-59 yrs (n=2,165)</w:t>
            </w:r>
          </w:p>
        </w:tc>
        <w:tc>
          <w:tcPr>
            <w:tcW w:w="1985" w:type="dxa"/>
            <w:tcBorders>
              <w:bottom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Q1: 0.5 – 1.6</w:t>
            </w:r>
          </w:p>
        </w:tc>
        <w:tc>
          <w:tcPr>
            <w:tcW w:w="1701" w:type="dxa"/>
            <w:tcBorders>
              <w:bottom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Referent</w:t>
            </w:r>
          </w:p>
        </w:tc>
        <w:tc>
          <w:tcPr>
            <w:tcW w:w="1984" w:type="dxa"/>
            <w:tcBorders>
              <w:bottom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1.0</w:t>
            </w:r>
          </w:p>
        </w:tc>
        <w:tc>
          <w:tcPr>
            <w:tcW w:w="3402" w:type="dxa"/>
            <w:vMerge w:val="restart"/>
            <w:vAlign w:val="center"/>
          </w:tcPr>
          <w:p w:rsidR="00812A8E" w:rsidRPr="00305567" w:rsidRDefault="00812A8E" w:rsidP="00812A8E">
            <w:pPr>
              <w:rPr>
                <w:sz w:val="20"/>
                <w:szCs w:val="20"/>
              </w:rPr>
            </w:pPr>
            <w:r>
              <w:rPr>
                <w:sz w:val="20"/>
                <w:szCs w:val="20"/>
              </w:rPr>
              <w:t>Adjusted for age, race, alcohol intake, cigarette smoking status, BMI, and serum creatinine clearance.</w:t>
            </w:r>
          </w:p>
        </w:tc>
      </w:tr>
      <w:tr w:rsidR="00812A8E" w:rsidTr="006A5E40">
        <w:trPr>
          <w:trHeight w:val="130"/>
        </w:trPr>
        <w:tc>
          <w:tcPr>
            <w:tcW w:w="1689" w:type="dxa"/>
            <w:vMerge/>
          </w:tcPr>
          <w:p w:rsidR="00812A8E" w:rsidRDefault="00812A8E" w:rsidP="002B5D66">
            <w:pPr>
              <w:rPr>
                <w:sz w:val="20"/>
                <w:szCs w:val="20"/>
              </w:rPr>
            </w:pPr>
          </w:p>
        </w:tc>
        <w:tc>
          <w:tcPr>
            <w:tcW w:w="3097" w:type="dxa"/>
            <w:gridSpan w:val="2"/>
            <w:vMerge/>
          </w:tcPr>
          <w:p w:rsidR="00812A8E" w:rsidRDefault="00812A8E"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Q2: 1.7 – 2.5</w:t>
            </w:r>
          </w:p>
        </w:tc>
        <w:tc>
          <w:tcPr>
            <w:tcW w:w="1701" w:type="dxa"/>
            <w:tcBorders>
              <w:top w:val="single" w:sz="6" w:space="0" w:color="auto"/>
              <w:bottom w:val="single" w:sz="6" w:space="0" w:color="auto"/>
            </w:tcBorders>
            <w:shd w:val="clear" w:color="auto" w:fill="D9D9D9" w:themeFill="background1" w:themeFillShade="D9"/>
            <w:vAlign w:val="center"/>
          </w:tcPr>
          <w:p w:rsidR="00812A8E" w:rsidRDefault="00812A8E" w:rsidP="00C033BF">
            <w:pPr>
              <w:rPr>
                <w:sz w:val="20"/>
                <w:szCs w:val="20"/>
              </w:rPr>
            </w:pPr>
            <w:r>
              <w:rPr>
                <w:sz w:val="20"/>
                <w:szCs w:val="20"/>
              </w:rPr>
              <w:t>Q2 vs. Q1</w:t>
            </w:r>
          </w:p>
          <w:p w:rsidR="00350B6C" w:rsidRPr="00305567" w:rsidRDefault="00350B6C" w:rsidP="00C033BF">
            <w:pPr>
              <w:rPr>
                <w:sz w:val="20"/>
                <w:szCs w:val="20"/>
              </w:rPr>
            </w:pPr>
            <w:r>
              <w:rPr>
                <w:i/>
                <w:sz w:val="18"/>
                <w:szCs w:val="18"/>
              </w:rPr>
              <w:t>(1</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1.0 (0.63, 1.6)</w:t>
            </w:r>
          </w:p>
        </w:tc>
        <w:tc>
          <w:tcPr>
            <w:tcW w:w="3402" w:type="dxa"/>
            <w:vMerge/>
          </w:tcPr>
          <w:p w:rsidR="00812A8E" w:rsidRPr="00305567" w:rsidRDefault="00812A8E" w:rsidP="002B5D66">
            <w:pPr>
              <w:rPr>
                <w:sz w:val="20"/>
                <w:szCs w:val="20"/>
              </w:rPr>
            </w:pPr>
          </w:p>
        </w:tc>
      </w:tr>
      <w:tr w:rsidR="00812A8E" w:rsidTr="006A5E40">
        <w:trPr>
          <w:trHeight w:val="160"/>
        </w:trPr>
        <w:tc>
          <w:tcPr>
            <w:tcW w:w="1689" w:type="dxa"/>
            <w:vMerge/>
          </w:tcPr>
          <w:p w:rsidR="00812A8E" w:rsidRDefault="00812A8E" w:rsidP="002B5D66">
            <w:pPr>
              <w:rPr>
                <w:sz w:val="20"/>
                <w:szCs w:val="20"/>
              </w:rPr>
            </w:pPr>
          </w:p>
        </w:tc>
        <w:tc>
          <w:tcPr>
            <w:tcW w:w="3097" w:type="dxa"/>
            <w:gridSpan w:val="2"/>
            <w:vMerge/>
          </w:tcPr>
          <w:p w:rsidR="00812A8E" w:rsidRDefault="00812A8E"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Q3: 2.6 – 3.9</w:t>
            </w:r>
          </w:p>
        </w:tc>
        <w:tc>
          <w:tcPr>
            <w:tcW w:w="1701" w:type="dxa"/>
            <w:tcBorders>
              <w:top w:val="single" w:sz="6" w:space="0" w:color="auto"/>
              <w:bottom w:val="single" w:sz="6" w:space="0" w:color="auto"/>
            </w:tcBorders>
            <w:shd w:val="clear" w:color="auto" w:fill="D9D9D9" w:themeFill="background1" w:themeFillShade="D9"/>
            <w:vAlign w:val="center"/>
          </w:tcPr>
          <w:p w:rsidR="00812A8E" w:rsidRDefault="00812A8E" w:rsidP="00C033BF">
            <w:pPr>
              <w:rPr>
                <w:sz w:val="20"/>
                <w:szCs w:val="20"/>
              </w:rPr>
            </w:pPr>
            <w:r>
              <w:rPr>
                <w:sz w:val="20"/>
                <w:szCs w:val="20"/>
              </w:rPr>
              <w:t>Q3 vs. Q1</w:t>
            </w:r>
          </w:p>
          <w:p w:rsidR="00350B6C" w:rsidRPr="00305567" w:rsidRDefault="00350B6C" w:rsidP="00C033BF">
            <w:pPr>
              <w:rPr>
                <w:sz w:val="20"/>
                <w:szCs w:val="20"/>
              </w:rPr>
            </w:pPr>
            <w:r>
              <w:rPr>
                <w:i/>
                <w:sz w:val="18"/>
                <w:szCs w:val="18"/>
              </w:rPr>
              <w:t>(2.2</w:t>
            </w:r>
            <w:r w:rsidRPr="00A46D68">
              <w:rPr>
                <w:i/>
                <w:sz w:val="18"/>
                <w:szCs w:val="18"/>
              </w:rPr>
              <w:t xml:space="preserve"> µg/dL</w:t>
            </w:r>
            <w:r w:rsidRPr="00AF5B5B">
              <w:rPr>
                <w:sz w:val="18"/>
                <w:szCs w:val="18"/>
              </w:rPr>
              <w:t>)</w:t>
            </w:r>
          </w:p>
        </w:tc>
        <w:tc>
          <w:tcPr>
            <w:tcW w:w="1984" w:type="dxa"/>
            <w:tcBorders>
              <w:top w:val="single" w:sz="6" w:space="0" w:color="auto"/>
              <w:bottom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1.3 (0.87, 2.0)</w:t>
            </w:r>
          </w:p>
        </w:tc>
        <w:tc>
          <w:tcPr>
            <w:tcW w:w="3402" w:type="dxa"/>
            <w:vMerge/>
          </w:tcPr>
          <w:p w:rsidR="00812A8E" w:rsidRPr="00305567" w:rsidRDefault="00812A8E" w:rsidP="002B5D66">
            <w:pPr>
              <w:rPr>
                <w:sz w:val="20"/>
                <w:szCs w:val="20"/>
              </w:rPr>
            </w:pPr>
          </w:p>
        </w:tc>
      </w:tr>
      <w:tr w:rsidR="00812A8E" w:rsidTr="006A5E40">
        <w:trPr>
          <w:trHeight w:val="160"/>
        </w:trPr>
        <w:tc>
          <w:tcPr>
            <w:tcW w:w="1689" w:type="dxa"/>
            <w:vMerge/>
          </w:tcPr>
          <w:p w:rsidR="00812A8E" w:rsidRDefault="00812A8E" w:rsidP="002B5D66">
            <w:pPr>
              <w:rPr>
                <w:sz w:val="20"/>
                <w:szCs w:val="20"/>
              </w:rPr>
            </w:pPr>
          </w:p>
        </w:tc>
        <w:tc>
          <w:tcPr>
            <w:tcW w:w="3097" w:type="dxa"/>
            <w:gridSpan w:val="2"/>
            <w:vMerge/>
          </w:tcPr>
          <w:p w:rsidR="00812A8E" w:rsidRDefault="00812A8E" w:rsidP="002B5D66">
            <w:pPr>
              <w:rPr>
                <w:sz w:val="20"/>
                <w:szCs w:val="20"/>
              </w:rPr>
            </w:pPr>
          </w:p>
        </w:tc>
        <w:tc>
          <w:tcPr>
            <w:tcW w:w="1985" w:type="dxa"/>
            <w:tcBorders>
              <w:top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Q4: 4.0 – 31.1</w:t>
            </w:r>
          </w:p>
        </w:tc>
        <w:tc>
          <w:tcPr>
            <w:tcW w:w="1701" w:type="dxa"/>
            <w:tcBorders>
              <w:top w:val="single" w:sz="6" w:space="0" w:color="auto"/>
            </w:tcBorders>
            <w:shd w:val="clear" w:color="auto" w:fill="D9D9D9" w:themeFill="background1" w:themeFillShade="D9"/>
            <w:vAlign w:val="center"/>
          </w:tcPr>
          <w:p w:rsidR="00812A8E" w:rsidRDefault="00812A8E" w:rsidP="00C033BF">
            <w:pPr>
              <w:rPr>
                <w:sz w:val="20"/>
                <w:szCs w:val="20"/>
              </w:rPr>
            </w:pPr>
            <w:r>
              <w:rPr>
                <w:sz w:val="20"/>
                <w:szCs w:val="20"/>
              </w:rPr>
              <w:t>Q4 vs. Q1</w:t>
            </w:r>
          </w:p>
          <w:p w:rsidR="00350B6C" w:rsidRPr="00305567" w:rsidRDefault="00350B6C" w:rsidP="00C033BF">
            <w:pPr>
              <w:rPr>
                <w:sz w:val="20"/>
                <w:szCs w:val="20"/>
              </w:rPr>
            </w:pPr>
            <w:r>
              <w:rPr>
                <w:i/>
                <w:sz w:val="18"/>
                <w:szCs w:val="18"/>
              </w:rPr>
              <w:t>(16.5</w:t>
            </w:r>
            <w:r w:rsidRPr="00A46D68">
              <w:rPr>
                <w:i/>
                <w:sz w:val="18"/>
                <w:szCs w:val="18"/>
              </w:rPr>
              <w:t xml:space="preserve"> µg/dL</w:t>
            </w:r>
            <w:r w:rsidRPr="00AF5B5B">
              <w:rPr>
                <w:sz w:val="18"/>
                <w:szCs w:val="18"/>
              </w:rPr>
              <w:t>)</w:t>
            </w:r>
          </w:p>
        </w:tc>
        <w:tc>
          <w:tcPr>
            <w:tcW w:w="1984" w:type="dxa"/>
            <w:tcBorders>
              <w:top w:val="single" w:sz="6" w:space="0" w:color="auto"/>
            </w:tcBorders>
            <w:shd w:val="clear" w:color="auto" w:fill="D9D9D9" w:themeFill="background1" w:themeFillShade="D9"/>
          </w:tcPr>
          <w:p w:rsidR="00812A8E" w:rsidRPr="00305567" w:rsidRDefault="00812A8E" w:rsidP="002B5D66">
            <w:pPr>
              <w:rPr>
                <w:sz w:val="20"/>
                <w:szCs w:val="20"/>
              </w:rPr>
            </w:pPr>
            <w:r>
              <w:rPr>
                <w:sz w:val="20"/>
                <w:szCs w:val="20"/>
              </w:rPr>
              <w:t>1.4 (0.92, 2.0)</w:t>
            </w:r>
          </w:p>
        </w:tc>
        <w:tc>
          <w:tcPr>
            <w:tcW w:w="3402" w:type="dxa"/>
            <w:vMerge/>
          </w:tcPr>
          <w:p w:rsidR="00812A8E" w:rsidRPr="00305567" w:rsidRDefault="00812A8E" w:rsidP="002B5D66">
            <w:pPr>
              <w:rPr>
                <w:sz w:val="20"/>
                <w:szCs w:val="20"/>
              </w:rPr>
            </w:pPr>
          </w:p>
        </w:tc>
      </w:tr>
      <w:tr w:rsidR="00645FFE" w:rsidTr="006A5E40">
        <w:trPr>
          <w:trHeight w:val="170"/>
        </w:trPr>
        <w:tc>
          <w:tcPr>
            <w:tcW w:w="1689" w:type="dxa"/>
            <w:vMerge w:val="restart"/>
            <w:vAlign w:val="center"/>
          </w:tcPr>
          <w:p w:rsidR="00645FFE" w:rsidRPr="00305567" w:rsidRDefault="00645FFE" w:rsidP="00645FFE">
            <w:pPr>
              <w:rPr>
                <w:sz w:val="20"/>
                <w:szCs w:val="20"/>
              </w:rPr>
            </w:pPr>
            <w:r>
              <w:rPr>
                <w:sz w:val="20"/>
                <w:szCs w:val="20"/>
              </w:rPr>
              <w:t>Vupputuri et al. 2003</w:t>
            </w:r>
          </w:p>
        </w:tc>
        <w:tc>
          <w:tcPr>
            <w:tcW w:w="3097" w:type="dxa"/>
            <w:gridSpan w:val="2"/>
            <w:vMerge w:val="restart"/>
            <w:vAlign w:val="center"/>
          </w:tcPr>
          <w:p w:rsidR="00645FFE" w:rsidRPr="00305567" w:rsidRDefault="00645FFE" w:rsidP="00645FFE">
            <w:pPr>
              <w:rPr>
                <w:sz w:val="20"/>
                <w:szCs w:val="20"/>
              </w:rPr>
            </w:pPr>
            <w:r>
              <w:rPr>
                <w:sz w:val="20"/>
                <w:szCs w:val="20"/>
              </w:rPr>
              <w:t>NHANES III, whites and black (n=14,952)</w:t>
            </w:r>
          </w:p>
        </w:tc>
        <w:tc>
          <w:tcPr>
            <w:tcW w:w="1985" w:type="dxa"/>
            <w:tcBorders>
              <w:bottom w:val="single" w:sz="6" w:space="0" w:color="auto"/>
            </w:tcBorders>
            <w:shd w:val="clear" w:color="auto" w:fill="D9D9D9" w:themeFill="background1" w:themeFillShade="D9"/>
          </w:tcPr>
          <w:p w:rsidR="00645FFE" w:rsidRDefault="00645FFE" w:rsidP="002B5D66">
            <w:pPr>
              <w:rPr>
                <w:sz w:val="20"/>
                <w:szCs w:val="20"/>
              </w:rPr>
            </w:pPr>
            <w:r>
              <w:rPr>
                <w:sz w:val="20"/>
                <w:szCs w:val="20"/>
              </w:rPr>
              <w:t>4.4 (0.1)</w:t>
            </w:r>
          </w:p>
          <w:p w:rsidR="00645FFE" w:rsidRPr="00645FFE" w:rsidRDefault="00645FFE" w:rsidP="002B5D66">
            <w:pPr>
              <w:rPr>
                <w:sz w:val="16"/>
                <w:szCs w:val="16"/>
              </w:rPr>
            </w:pPr>
            <w:r>
              <w:rPr>
                <w:sz w:val="16"/>
                <w:szCs w:val="16"/>
              </w:rPr>
              <w:t>(white men)</w:t>
            </w:r>
          </w:p>
        </w:tc>
        <w:tc>
          <w:tcPr>
            <w:tcW w:w="1701" w:type="dxa"/>
            <w:vMerge w:val="restart"/>
            <w:vAlign w:val="center"/>
          </w:tcPr>
          <w:p w:rsidR="00645FFE" w:rsidRDefault="00645FFE" w:rsidP="00645FFE">
            <w:pPr>
              <w:rPr>
                <w:sz w:val="20"/>
                <w:szCs w:val="20"/>
              </w:rPr>
            </w:pPr>
            <w:r>
              <w:rPr>
                <w:sz w:val="20"/>
                <w:szCs w:val="20"/>
              </w:rPr>
              <w:t>1 SD increase in PbB</w:t>
            </w:r>
          </w:p>
          <w:p w:rsidR="00350B6C" w:rsidRDefault="00350B6C" w:rsidP="00645FFE">
            <w:pPr>
              <w:rPr>
                <w:sz w:val="20"/>
                <w:szCs w:val="20"/>
              </w:rPr>
            </w:pPr>
          </w:p>
          <w:p w:rsidR="00350B6C" w:rsidRPr="00305567" w:rsidRDefault="00350B6C" w:rsidP="00645FFE">
            <w:pPr>
              <w:rPr>
                <w:sz w:val="20"/>
                <w:szCs w:val="20"/>
              </w:rPr>
            </w:pPr>
            <w:r>
              <w:rPr>
                <w:sz w:val="20"/>
                <w:szCs w:val="20"/>
              </w:rPr>
              <w:t xml:space="preserve">(i.e. 0.1 or 0.2 </w:t>
            </w:r>
            <w:r w:rsidRPr="00350B6C">
              <w:rPr>
                <w:rFonts w:cs="Arial"/>
                <w:sz w:val="20"/>
                <w:szCs w:val="20"/>
              </w:rPr>
              <w:t>µg</w:t>
            </w:r>
            <w:r>
              <w:rPr>
                <w:sz w:val="20"/>
                <w:szCs w:val="20"/>
              </w:rPr>
              <w:t>/dL)</w:t>
            </w:r>
          </w:p>
        </w:tc>
        <w:tc>
          <w:tcPr>
            <w:tcW w:w="1984" w:type="dxa"/>
            <w:tcBorders>
              <w:bottom w:val="single" w:sz="6" w:space="0" w:color="auto"/>
            </w:tcBorders>
            <w:shd w:val="clear" w:color="auto" w:fill="D9D9D9" w:themeFill="background1" w:themeFillShade="D9"/>
            <w:vAlign w:val="center"/>
          </w:tcPr>
          <w:p w:rsidR="00645FFE" w:rsidRPr="00305567" w:rsidRDefault="00645FFE" w:rsidP="00645FFE">
            <w:pPr>
              <w:rPr>
                <w:sz w:val="20"/>
                <w:szCs w:val="20"/>
              </w:rPr>
            </w:pPr>
            <w:r>
              <w:rPr>
                <w:sz w:val="20"/>
                <w:szCs w:val="20"/>
              </w:rPr>
              <w:t>1.04 (0.93, 1.16)</w:t>
            </w:r>
          </w:p>
        </w:tc>
        <w:tc>
          <w:tcPr>
            <w:tcW w:w="3402" w:type="dxa"/>
            <w:vMerge w:val="restart"/>
            <w:vAlign w:val="center"/>
          </w:tcPr>
          <w:p w:rsidR="00645FFE" w:rsidRPr="00305567" w:rsidRDefault="00645FFE" w:rsidP="00645FFE">
            <w:pPr>
              <w:rPr>
                <w:sz w:val="20"/>
                <w:szCs w:val="20"/>
              </w:rPr>
            </w:pPr>
            <w:r>
              <w:rPr>
                <w:sz w:val="20"/>
                <w:szCs w:val="20"/>
              </w:rPr>
              <w:t xml:space="preserve">Adjusted for age, education, BMI, alcohol consumption, physical activity, sodium, potassium, and total calories. </w:t>
            </w:r>
          </w:p>
        </w:tc>
      </w:tr>
      <w:tr w:rsidR="00645FFE" w:rsidTr="006A5E40">
        <w:trPr>
          <w:trHeight w:val="140"/>
        </w:trPr>
        <w:tc>
          <w:tcPr>
            <w:tcW w:w="1689" w:type="dxa"/>
            <w:vMerge/>
          </w:tcPr>
          <w:p w:rsidR="00645FFE" w:rsidRDefault="00645FFE" w:rsidP="002B5D66">
            <w:pPr>
              <w:rPr>
                <w:sz w:val="20"/>
                <w:szCs w:val="20"/>
              </w:rPr>
            </w:pPr>
          </w:p>
        </w:tc>
        <w:tc>
          <w:tcPr>
            <w:tcW w:w="3097" w:type="dxa"/>
            <w:gridSpan w:val="2"/>
            <w:vMerge/>
          </w:tcPr>
          <w:p w:rsidR="00645FFE" w:rsidRDefault="00645FFE" w:rsidP="002B5D66">
            <w:pPr>
              <w:rPr>
                <w:sz w:val="20"/>
                <w:szCs w:val="20"/>
              </w:rPr>
            </w:pPr>
          </w:p>
        </w:tc>
        <w:tc>
          <w:tcPr>
            <w:tcW w:w="1985" w:type="dxa"/>
            <w:tcBorders>
              <w:top w:val="single" w:sz="6" w:space="0" w:color="auto"/>
              <w:bottom w:val="single" w:sz="6" w:space="0" w:color="auto"/>
            </w:tcBorders>
            <w:shd w:val="clear" w:color="auto" w:fill="D9D9D9" w:themeFill="background1" w:themeFillShade="D9"/>
          </w:tcPr>
          <w:p w:rsidR="00645FFE" w:rsidRDefault="00645FFE" w:rsidP="002B5D66">
            <w:pPr>
              <w:rPr>
                <w:sz w:val="20"/>
                <w:szCs w:val="20"/>
              </w:rPr>
            </w:pPr>
            <w:r>
              <w:rPr>
                <w:sz w:val="20"/>
                <w:szCs w:val="20"/>
              </w:rPr>
              <w:t>5.4 (0.2)</w:t>
            </w:r>
          </w:p>
          <w:p w:rsidR="00645FFE" w:rsidRPr="00645FFE" w:rsidRDefault="00645FFE" w:rsidP="002B5D66">
            <w:pPr>
              <w:rPr>
                <w:sz w:val="16"/>
                <w:szCs w:val="16"/>
              </w:rPr>
            </w:pPr>
            <w:r>
              <w:rPr>
                <w:sz w:val="16"/>
                <w:szCs w:val="16"/>
              </w:rPr>
              <w:t>(black men)</w:t>
            </w:r>
          </w:p>
        </w:tc>
        <w:tc>
          <w:tcPr>
            <w:tcW w:w="1701" w:type="dxa"/>
            <w:vMerge/>
          </w:tcPr>
          <w:p w:rsidR="00645FFE" w:rsidRPr="00305567" w:rsidRDefault="00645FFE" w:rsidP="002B5D66">
            <w:pPr>
              <w:rPr>
                <w:sz w:val="20"/>
                <w:szCs w:val="20"/>
              </w:rPr>
            </w:pPr>
          </w:p>
        </w:tc>
        <w:tc>
          <w:tcPr>
            <w:tcW w:w="1984" w:type="dxa"/>
            <w:tcBorders>
              <w:top w:val="single" w:sz="6" w:space="0" w:color="auto"/>
              <w:bottom w:val="single" w:sz="6" w:space="0" w:color="auto"/>
            </w:tcBorders>
            <w:shd w:val="clear" w:color="auto" w:fill="D9D9D9" w:themeFill="background1" w:themeFillShade="D9"/>
            <w:vAlign w:val="center"/>
          </w:tcPr>
          <w:p w:rsidR="00645FFE" w:rsidRPr="00305567" w:rsidRDefault="00645FFE" w:rsidP="00645FFE">
            <w:pPr>
              <w:rPr>
                <w:sz w:val="20"/>
                <w:szCs w:val="20"/>
              </w:rPr>
            </w:pPr>
            <w:r>
              <w:rPr>
                <w:sz w:val="20"/>
                <w:szCs w:val="20"/>
              </w:rPr>
              <w:t>1.08 (0.99, 1.19)</w:t>
            </w:r>
          </w:p>
        </w:tc>
        <w:tc>
          <w:tcPr>
            <w:tcW w:w="3402" w:type="dxa"/>
            <w:vMerge/>
          </w:tcPr>
          <w:p w:rsidR="00645FFE" w:rsidRPr="00305567" w:rsidRDefault="00645FFE" w:rsidP="002B5D66">
            <w:pPr>
              <w:rPr>
                <w:sz w:val="20"/>
                <w:szCs w:val="20"/>
              </w:rPr>
            </w:pPr>
          </w:p>
        </w:tc>
      </w:tr>
      <w:tr w:rsidR="00645FFE" w:rsidTr="006A5E40">
        <w:trPr>
          <w:trHeight w:val="90"/>
        </w:trPr>
        <w:tc>
          <w:tcPr>
            <w:tcW w:w="1689" w:type="dxa"/>
            <w:vMerge/>
          </w:tcPr>
          <w:p w:rsidR="00645FFE" w:rsidRDefault="00645FFE" w:rsidP="002B5D66">
            <w:pPr>
              <w:rPr>
                <w:sz w:val="20"/>
                <w:szCs w:val="20"/>
              </w:rPr>
            </w:pPr>
          </w:p>
        </w:tc>
        <w:tc>
          <w:tcPr>
            <w:tcW w:w="3097" w:type="dxa"/>
            <w:gridSpan w:val="2"/>
            <w:vMerge/>
          </w:tcPr>
          <w:p w:rsidR="00645FFE" w:rsidRDefault="00645FFE" w:rsidP="002B5D66">
            <w:pPr>
              <w:rPr>
                <w:sz w:val="20"/>
                <w:szCs w:val="20"/>
              </w:rPr>
            </w:pPr>
          </w:p>
        </w:tc>
        <w:tc>
          <w:tcPr>
            <w:tcW w:w="1985" w:type="dxa"/>
            <w:tcBorders>
              <w:top w:val="single" w:sz="6" w:space="0" w:color="auto"/>
              <w:bottom w:val="single" w:sz="6" w:space="0" w:color="auto"/>
            </w:tcBorders>
          </w:tcPr>
          <w:p w:rsidR="00645FFE" w:rsidRDefault="00645FFE" w:rsidP="002B5D66">
            <w:pPr>
              <w:rPr>
                <w:sz w:val="20"/>
                <w:szCs w:val="20"/>
              </w:rPr>
            </w:pPr>
            <w:r>
              <w:rPr>
                <w:sz w:val="20"/>
                <w:szCs w:val="20"/>
              </w:rPr>
              <w:t>3.0 (0.1)</w:t>
            </w:r>
          </w:p>
          <w:p w:rsidR="00645FFE" w:rsidRPr="00645FFE" w:rsidRDefault="00645FFE" w:rsidP="002B5D66">
            <w:pPr>
              <w:rPr>
                <w:sz w:val="16"/>
                <w:szCs w:val="16"/>
              </w:rPr>
            </w:pPr>
            <w:r>
              <w:rPr>
                <w:sz w:val="16"/>
                <w:szCs w:val="16"/>
              </w:rPr>
              <w:t>(white women)</w:t>
            </w:r>
          </w:p>
        </w:tc>
        <w:tc>
          <w:tcPr>
            <w:tcW w:w="1701" w:type="dxa"/>
            <w:vMerge/>
          </w:tcPr>
          <w:p w:rsidR="00645FFE" w:rsidRPr="00305567" w:rsidRDefault="00645FFE" w:rsidP="002B5D66">
            <w:pPr>
              <w:rPr>
                <w:sz w:val="20"/>
                <w:szCs w:val="20"/>
              </w:rPr>
            </w:pPr>
          </w:p>
        </w:tc>
        <w:tc>
          <w:tcPr>
            <w:tcW w:w="1984" w:type="dxa"/>
            <w:tcBorders>
              <w:top w:val="single" w:sz="6" w:space="0" w:color="auto"/>
              <w:bottom w:val="single" w:sz="6" w:space="0" w:color="auto"/>
            </w:tcBorders>
            <w:vAlign w:val="center"/>
          </w:tcPr>
          <w:p w:rsidR="00645FFE" w:rsidRPr="00305567" w:rsidRDefault="00645FFE" w:rsidP="00645FFE">
            <w:pPr>
              <w:rPr>
                <w:sz w:val="20"/>
                <w:szCs w:val="20"/>
              </w:rPr>
            </w:pPr>
            <w:r>
              <w:rPr>
                <w:sz w:val="20"/>
                <w:szCs w:val="20"/>
              </w:rPr>
              <w:t>1.32 (1.14, 1.52)</w:t>
            </w:r>
          </w:p>
        </w:tc>
        <w:tc>
          <w:tcPr>
            <w:tcW w:w="3402" w:type="dxa"/>
            <w:vMerge/>
          </w:tcPr>
          <w:p w:rsidR="00645FFE" w:rsidRPr="00305567" w:rsidRDefault="00645FFE" w:rsidP="002B5D66">
            <w:pPr>
              <w:rPr>
                <w:sz w:val="20"/>
                <w:szCs w:val="20"/>
              </w:rPr>
            </w:pPr>
          </w:p>
        </w:tc>
      </w:tr>
      <w:tr w:rsidR="00645FFE" w:rsidTr="006A5E40">
        <w:trPr>
          <w:trHeight w:val="130"/>
        </w:trPr>
        <w:tc>
          <w:tcPr>
            <w:tcW w:w="1689" w:type="dxa"/>
            <w:vMerge/>
          </w:tcPr>
          <w:p w:rsidR="00645FFE" w:rsidRDefault="00645FFE" w:rsidP="002B5D66">
            <w:pPr>
              <w:rPr>
                <w:sz w:val="20"/>
                <w:szCs w:val="20"/>
              </w:rPr>
            </w:pPr>
          </w:p>
        </w:tc>
        <w:tc>
          <w:tcPr>
            <w:tcW w:w="3097" w:type="dxa"/>
            <w:gridSpan w:val="2"/>
            <w:vMerge/>
          </w:tcPr>
          <w:p w:rsidR="00645FFE" w:rsidRDefault="00645FFE" w:rsidP="002B5D66">
            <w:pPr>
              <w:rPr>
                <w:sz w:val="20"/>
                <w:szCs w:val="20"/>
              </w:rPr>
            </w:pPr>
          </w:p>
        </w:tc>
        <w:tc>
          <w:tcPr>
            <w:tcW w:w="1985" w:type="dxa"/>
            <w:tcBorders>
              <w:top w:val="single" w:sz="6" w:space="0" w:color="auto"/>
            </w:tcBorders>
          </w:tcPr>
          <w:p w:rsidR="00645FFE" w:rsidRDefault="00645FFE" w:rsidP="002B5D66">
            <w:pPr>
              <w:rPr>
                <w:sz w:val="20"/>
                <w:szCs w:val="20"/>
              </w:rPr>
            </w:pPr>
            <w:r>
              <w:rPr>
                <w:sz w:val="20"/>
                <w:szCs w:val="20"/>
              </w:rPr>
              <w:t>3.4 (0.1)</w:t>
            </w:r>
          </w:p>
          <w:p w:rsidR="00645FFE" w:rsidRPr="00645FFE" w:rsidRDefault="00645FFE" w:rsidP="002B5D66">
            <w:pPr>
              <w:rPr>
                <w:sz w:val="16"/>
                <w:szCs w:val="16"/>
              </w:rPr>
            </w:pPr>
            <w:r>
              <w:rPr>
                <w:sz w:val="16"/>
                <w:szCs w:val="16"/>
              </w:rPr>
              <w:t>(black women)</w:t>
            </w:r>
          </w:p>
        </w:tc>
        <w:tc>
          <w:tcPr>
            <w:tcW w:w="1701" w:type="dxa"/>
            <w:vMerge/>
          </w:tcPr>
          <w:p w:rsidR="00645FFE" w:rsidRPr="00305567" w:rsidRDefault="00645FFE" w:rsidP="002B5D66">
            <w:pPr>
              <w:rPr>
                <w:sz w:val="20"/>
                <w:szCs w:val="20"/>
              </w:rPr>
            </w:pPr>
          </w:p>
        </w:tc>
        <w:tc>
          <w:tcPr>
            <w:tcW w:w="1984" w:type="dxa"/>
            <w:tcBorders>
              <w:top w:val="single" w:sz="6" w:space="0" w:color="auto"/>
            </w:tcBorders>
            <w:vAlign w:val="center"/>
          </w:tcPr>
          <w:p w:rsidR="00645FFE" w:rsidRPr="00305567" w:rsidRDefault="00645FFE" w:rsidP="00645FFE">
            <w:pPr>
              <w:rPr>
                <w:sz w:val="20"/>
                <w:szCs w:val="20"/>
              </w:rPr>
            </w:pPr>
            <w:r>
              <w:rPr>
                <w:sz w:val="20"/>
                <w:szCs w:val="20"/>
              </w:rPr>
              <w:t>1.39 (1.21, 1.61)</w:t>
            </w:r>
          </w:p>
        </w:tc>
        <w:tc>
          <w:tcPr>
            <w:tcW w:w="3402" w:type="dxa"/>
            <w:vMerge/>
          </w:tcPr>
          <w:p w:rsidR="00645FFE" w:rsidRPr="00305567" w:rsidRDefault="00645FFE" w:rsidP="002B5D66">
            <w:pPr>
              <w:rPr>
                <w:sz w:val="20"/>
                <w:szCs w:val="20"/>
              </w:rPr>
            </w:pPr>
          </w:p>
        </w:tc>
      </w:tr>
    </w:tbl>
    <w:p w:rsidR="00305567" w:rsidRPr="00A861C6" w:rsidRDefault="00305567" w:rsidP="00B93B2F">
      <w:pPr>
        <w:shd w:val="clear" w:color="auto" w:fill="FFFFFF" w:themeFill="background1"/>
        <w:spacing w:line="240" w:lineRule="auto"/>
        <w:rPr>
          <w:sz w:val="16"/>
          <w:szCs w:val="16"/>
        </w:rPr>
      </w:pPr>
      <w:r w:rsidRPr="00A861C6">
        <w:rPr>
          <w:sz w:val="16"/>
          <w:szCs w:val="16"/>
        </w:rPr>
        <w:t>OR = odds ratio; 95% CI = 95% confidence interval around odds ratio</w:t>
      </w:r>
      <w:r w:rsidR="00F6549B" w:rsidRPr="00A861C6">
        <w:rPr>
          <w:sz w:val="16"/>
          <w:szCs w:val="16"/>
        </w:rPr>
        <w:t>, SD = standard deviation</w:t>
      </w:r>
      <w:r w:rsidR="008217EA" w:rsidRPr="00A861C6">
        <w:rPr>
          <w:sz w:val="16"/>
          <w:szCs w:val="16"/>
        </w:rPr>
        <w:t>; Q = quintile; T = tertile.</w:t>
      </w:r>
      <w:r w:rsidR="00141177">
        <w:rPr>
          <w:sz w:val="16"/>
          <w:szCs w:val="16"/>
        </w:rPr>
        <w:t xml:space="preserve"> TWA = Time weighted Average; BMI = Body Mass Index.</w:t>
      </w:r>
    </w:p>
    <w:p w:rsidR="00350B6C" w:rsidRDefault="00B93B2F" w:rsidP="00350B6C">
      <w:pPr>
        <w:shd w:val="clear" w:color="auto" w:fill="FFFFFF" w:themeFill="background1"/>
        <w:spacing w:line="240" w:lineRule="auto"/>
        <w:rPr>
          <w:sz w:val="18"/>
          <w:szCs w:val="18"/>
        </w:rPr>
      </w:pPr>
      <w:r>
        <w:rPr>
          <w:sz w:val="24"/>
          <w:szCs w:val="24"/>
          <w:vertAlign w:val="superscript"/>
        </w:rPr>
        <w:t>a</w:t>
      </w:r>
      <w:r>
        <w:rPr>
          <w:sz w:val="18"/>
          <w:szCs w:val="18"/>
        </w:rPr>
        <w:t xml:space="preserve"> </w:t>
      </w:r>
      <w:r w:rsidR="00A46D68" w:rsidRPr="00A861C6">
        <w:rPr>
          <w:sz w:val="16"/>
          <w:szCs w:val="18"/>
        </w:rPr>
        <w:t xml:space="preserve">Hypertension is defined as systolic blood pressure </w:t>
      </w:r>
      <w:r w:rsidR="00A46D68" w:rsidRPr="00A861C6">
        <w:rPr>
          <w:sz w:val="16"/>
          <w:szCs w:val="18"/>
          <w:u w:val="single"/>
        </w:rPr>
        <w:t>&gt;</w:t>
      </w:r>
      <w:r w:rsidR="00A46D68" w:rsidRPr="00A861C6">
        <w:rPr>
          <w:sz w:val="16"/>
          <w:szCs w:val="18"/>
        </w:rPr>
        <w:t xml:space="preserve"> 160 mmHg and/or under treatment for hypertension. </w:t>
      </w:r>
      <w:r w:rsidR="00770FC9">
        <w:rPr>
          <w:sz w:val="16"/>
          <w:szCs w:val="18"/>
        </w:rPr>
        <w:t xml:space="preserve">Grey shading indicates not </w:t>
      </w:r>
      <w:r w:rsidR="00AB7AE2">
        <w:rPr>
          <w:sz w:val="16"/>
          <w:szCs w:val="18"/>
        </w:rPr>
        <w:t>statistically</w:t>
      </w:r>
      <w:r w:rsidR="00770FC9">
        <w:rPr>
          <w:sz w:val="16"/>
          <w:szCs w:val="18"/>
        </w:rPr>
        <w:t xml:space="preserve"> significant. </w:t>
      </w:r>
      <w:r w:rsidR="00770FC9" w:rsidRPr="00770FC9">
        <w:rPr>
          <w:sz w:val="16"/>
          <w:szCs w:val="18"/>
        </w:rPr>
        <w:t>Note that not all studies investigating associations between PbB and hypertension are reported in Table 4.6, there are many studies showing an association that do not calculate ORs.</w:t>
      </w:r>
    </w:p>
    <w:p w:rsidR="00A46D68" w:rsidRDefault="00A46D68" w:rsidP="00350B6C">
      <w:pPr>
        <w:shd w:val="clear" w:color="auto" w:fill="FFFFFF" w:themeFill="background1"/>
        <w:spacing w:line="240" w:lineRule="auto"/>
        <w:ind w:left="142" w:hanging="142"/>
        <w:rPr>
          <w:sz w:val="18"/>
          <w:szCs w:val="18"/>
        </w:rPr>
      </w:pPr>
      <w:r>
        <w:rPr>
          <w:sz w:val="24"/>
          <w:szCs w:val="24"/>
          <w:vertAlign w:val="superscript"/>
        </w:rPr>
        <w:t>b</w:t>
      </w:r>
      <w:r>
        <w:rPr>
          <w:sz w:val="18"/>
          <w:szCs w:val="18"/>
        </w:rPr>
        <w:t xml:space="preserve"> </w:t>
      </w:r>
      <w:r w:rsidRPr="00A861C6">
        <w:rPr>
          <w:sz w:val="16"/>
          <w:szCs w:val="16"/>
        </w:rPr>
        <w:t>Where ORs are expressed for a comparison between exposed and non-exposed (i.e. control) groups</w:t>
      </w:r>
      <w:r w:rsidR="00942D02" w:rsidRPr="00A861C6">
        <w:rPr>
          <w:sz w:val="16"/>
          <w:szCs w:val="16"/>
        </w:rPr>
        <w:t>, or a comparison between quartiles within the same cohort</w:t>
      </w:r>
      <w:r w:rsidRPr="00A861C6">
        <w:rPr>
          <w:sz w:val="16"/>
          <w:szCs w:val="16"/>
        </w:rPr>
        <w:t xml:space="preserve"> rather than as a per unit increase in PbB, the difference between the mean PbB of the exposed and non-exposed groups </w:t>
      </w:r>
      <w:r w:rsidR="00942D02" w:rsidRPr="00A861C6">
        <w:rPr>
          <w:sz w:val="16"/>
          <w:szCs w:val="16"/>
        </w:rPr>
        <w:t xml:space="preserve">or the difference between the approximate mid-points of each quartile </w:t>
      </w:r>
      <w:r w:rsidRPr="00A861C6">
        <w:rPr>
          <w:sz w:val="16"/>
          <w:szCs w:val="16"/>
        </w:rPr>
        <w:t xml:space="preserve">has been provided in this column. </w:t>
      </w:r>
      <w:r w:rsidR="00FD08BD" w:rsidRPr="00A861C6">
        <w:rPr>
          <w:sz w:val="16"/>
          <w:szCs w:val="16"/>
        </w:rPr>
        <w:t>If a quartile is reported as greater than a PbB concentration with no maximum reported, the comparison was made using the lower bound of that quartile.</w:t>
      </w:r>
      <w:r w:rsidR="00FD08BD">
        <w:rPr>
          <w:sz w:val="18"/>
          <w:szCs w:val="18"/>
        </w:rPr>
        <w:t xml:space="preserve"> </w:t>
      </w:r>
    </w:p>
    <w:p w:rsidR="00305567" w:rsidRDefault="00305567" w:rsidP="00A861C6">
      <w:pPr>
        <w:shd w:val="clear" w:color="auto" w:fill="FFFFFF" w:themeFill="background1"/>
        <w:sectPr w:rsidR="00305567" w:rsidSect="00305567">
          <w:pgSz w:w="16838" w:h="11906" w:orient="landscape"/>
          <w:pgMar w:top="1134" w:right="1418" w:bottom="849" w:left="1440" w:header="284" w:footer="697" w:gutter="0"/>
          <w:cols w:space="708"/>
          <w:docGrid w:linePitch="360"/>
        </w:sectPr>
      </w:pPr>
    </w:p>
    <w:p w:rsidR="007F6110" w:rsidRDefault="007F6110"/>
    <w:p w:rsidR="007F6110" w:rsidRDefault="00685FBE">
      <w:pPr>
        <w:rPr>
          <w:rFonts w:eastAsiaTheme="majorEastAsia" w:cstheme="majorBidi"/>
          <w:b/>
          <w:bCs/>
        </w:rPr>
      </w:pPr>
      <w:r>
        <w:rPr>
          <w:noProof/>
          <w:lang w:eastAsia="en-AU"/>
        </w:rPr>
        <mc:AlternateContent>
          <mc:Choice Requires="wpc">
            <w:drawing>
              <wp:inline distT="0" distB="0" distL="0" distR="0" wp14:anchorId="6ADA34E2" wp14:editId="502BB591">
                <wp:extent cx="6096000" cy="8585200"/>
                <wp:effectExtent l="0" t="0" r="0" b="6350"/>
                <wp:docPr id="54" name="Canvas 72" title="Figure 4.1: Odds ratios (95% CI) for association of PbB with hypertension incidence or prevalence in non-occupational studies"/>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17" name="Group 217"/>
                        <wpg:cNvGrpSpPr/>
                        <wpg:grpSpPr>
                          <a:xfrm>
                            <a:off x="0" y="63500"/>
                            <a:ext cx="6096000" cy="8470900"/>
                            <a:chOff x="0" y="63500"/>
                            <a:chExt cx="6096000" cy="8470900"/>
                          </a:xfrm>
                        </wpg:grpSpPr>
                        <pic:pic xmlns:pic="http://schemas.openxmlformats.org/drawingml/2006/picture">
                          <pic:nvPicPr>
                            <pic:cNvPr id="73" name="Picture 73" title="Graph"/>
                            <pic:cNvPicPr>
                              <a:picLocks noChangeAspect="1"/>
                            </pic:cNvPicPr>
                          </pic:nvPicPr>
                          <pic:blipFill rotWithShape="1">
                            <a:blip r:embed="rId17"/>
                            <a:srcRect l="1820" t="9341" r="7147"/>
                            <a:stretch/>
                          </pic:blipFill>
                          <pic:spPr>
                            <a:xfrm>
                              <a:off x="1708150" y="355600"/>
                              <a:ext cx="4387850" cy="7518400"/>
                            </a:xfrm>
                            <a:prstGeom prst="rect">
                              <a:avLst/>
                            </a:prstGeom>
                          </pic:spPr>
                        </pic:pic>
                        <wps:wsp>
                          <wps:cNvPr id="74" name="Straight Connector 74"/>
                          <wps:cNvCnPr/>
                          <wps:spPr>
                            <a:xfrm flipH="1" flipV="1">
                              <a:off x="2355850" y="412750"/>
                              <a:ext cx="69850" cy="687070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5" name="Text Box 75"/>
                          <wps:cNvSpPr txBox="1"/>
                          <wps:spPr>
                            <a:xfrm>
                              <a:off x="27940" y="82550"/>
                              <a:ext cx="4572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E54845" w:rsidRDefault="00723BD5" w:rsidP="007F6110">
                                <w:pPr>
                                  <w:spacing w:line="240" w:lineRule="auto"/>
                                  <w:rPr>
                                    <w:b/>
                                    <w:sz w:val="20"/>
                                    <w:szCs w:val="20"/>
                                    <w:u w:val="single"/>
                                  </w:rPr>
                                </w:pPr>
                                <w:r w:rsidRPr="00E54845">
                                  <w:rPr>
                                    <w:b/>
                                    <w:sz w:val="20"/>
                                    <w:szCs w:val="20"/>
                                    <w:u w:val="single"/>
                                  </w:rPr>
                                  <w:t>Ref.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5"/>
                          <wps:cNvSpPr txBox="1"/>
                          <wps:spPr>
                            <a:xfrm>
                              <a:off x="1287100" y="63500"/>
                              <a:ext cx="104555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E54845" w:rsidRDefault="00723BD5" w:rsidP="007F6110">
                                <w:pPr>
                                  <w:pStyle w:val="NormalWeb"/>
                                  <w:spacing w:before="0" w:beforeAutospacing="0" w:after="0" w:afterAutospacing="0" w:line="360" w:lineRule="auto"/>
                                  <w:rPr>
                                    <w:u w:val="single"/>
                                  </w:rPr>
                                </w:pPr>
                                <w:r w:rsidRPr="00E54845">
                                  <w:rPr>
                                    <w:rFonts w:ascii="Arial" w:eastAsia="PMingLiU" w:hAnsi="Arial"/>
                                    <w:b/>
                                    <w:bCs/>
                                    <w:sz w:val="20"/>
                                    <w:szCs w:val="20"/>
                                    <w:u w:val="single"/>
                                  </w:rPr>
                                  <w:t>Comparison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Text Box 75"/>
                          <wps:cNvSpPr txBox="1"/>
                          <wps:spPr>
                            <a:xfrm>
                              <a:off x="34290" y="323850"/>
                              <a:ext cx="9884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990D41" w:rsidRDefault="00723BD5" w:rsidP="007F6110">
                                <w:pPr>
                                  <w:pStyle w:val="NormalWeb"/>
                                  <w:spacing w:before="0" w:beforeAutospacing="0" w:after="0" w:afterAutospacing="0" w:line="360" w:lineRule="auto"/>
                                  <w:ind w:left="-113"/>
                                  <w:rPr>
                                    <w:rFonts w:ascii="Arial" w:hAnsi="Arial" w:cs="Arial"/>
                                    <w:sz w:val="16"/>
                                    <w:szCs w:val="16"/>
                                  </w:rPr>
                                </w:pPr>
                                <w:r w:rsidRPr="00990D41">
                                  <w:rPr>
                                    <w:rFonts w:ascii="Arial" w:hAnsi="Arial" w:cs="Arial"/>
                                    <w:sz w:val="16"/>
                                    <w:szCs w:val="16"/>
                                  </w:rPr>
                                  <w:t>Martin et al. 2006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Text Box 75"/>
                          <wps:cNvSpPr txBox="1"/>
                          <wps:spPr>
                            <a:xfrm>
                              <a:off x="1305900" y="304800"/>
                              <a:ext cx="8150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990D41" w:rsidRDefault="00723BD5" w:rsidP="007F6110">
                                <w:pPr>
                                  <w:pStyle w:val="NormalWeb"/>
                                  <w:spacing w:before="0" w:beforeAutospacing="0" w:after="0" w:afterAutospacing="0" w:line="360" w:lineRule="auto"/>
                                  <w:rPr>
                                    <w:rFonts w:ascii="Arial" w:hAnsi="Arial" w:cs="Arial"/>
                                  </w:rPr>
                                </w:pPr>
                                <w:r w:rsidRPr="00990D41">
                                  <w:rPr>
                                    <w:rFonts w:ascii="Arial" w:eastAsia="PMingLiU" w:hAnsi="Arial" w:cs="Arial"/>
                                    <w:sz w:val="16"/>
                                    <w:szCs w:val="16"/>
                                  </w:rPr>
                                  <w:t xml:space="preserve">per </w:t>
                                </w:r>
                                <w:r>
                                  <w:rPr>
                                    <w:rFonts w:ascii="Arial" w:eastAsia="PMingLiU" w:hAnsi="Arial" w:cs="Arial"/>
                                    <w:sz w:val="16"/>
                                    <w:szCs w:val="16"/>
                                  </w:rPr>
                                  <w:t>2.5</w:t>
                                </w:r>
                                <w:r w:rsidRPr="00990D41">
                                  <w:rPr>
                                    <w:rFonts w:ascii="Arial" w:eastAsia="PMingLiU" w:hAnsi="Arial" w:cs="Arial"/>
                                    <w:sz w:val="16"/>
                                    <w:szCs w:val="16"/>
                                  </w:rPr>
                                  <w:t xml:space="preserve"> µg/dL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Straight Connector 80"/>
                          <wps:cNvCnPr/>
                          <wps:spPr>
                            <a:xfrm flipH="1">
                              <a:off x="2355850" y="488950"/>
                              <a:ext cx="20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2425700" y="618150"/>
                              <a:ext cx="9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a:off x="2421550" y="764200"/>
                              <a:ext cx="8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flipH="1">
                              <a:off x="2290400" y="1043600"/>
                              <a:ext cx="2307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H="1">
                              <a:off x="2332650" y="1183300"/>
                              <a:ext cx="273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H="1">
                              <a:off x="2470150" y="1335700"/>
                              <a:ext cx="328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H="1">
                              <a:off x="2332650" y="1621450"/>
                              <a:ext cx="41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flipH="1">
                              <a:off x="2290400" y="1761150"/>
                              <a:ext cx="37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H="1">
                              <a:off x="2351700" y="1900850"/>
                              <a:ext cx="35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H="1">
                              <a:off x="2197350" y="2186600"/>
                              <a:ext cx="666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flipH="1">
                              <a:off x="2290400" y="2319950"/>
                              <a:ext cx="54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H="1">
                              <a:off x="2377100" y="2459650"/>
                              <a:ext cx="89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H="1">
                              <a:off x="2266950" y="2745400"/>
                              <a:ext cx="1250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H="1">
                              <a:off x="2358050" y="2891450"/>
                              <a:ext cx="1020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flipH="1">
                              <a:off x="2421550" y="3031150"/>
                              <a:ext cx="89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flipH="1">
                              <a:off x="2218350" y="3310550"/>
                              <a:ext cx="1013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H="1">
                              <a:off x="2358050" y="3443900"/>
                              <a:ext cx="1210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flipH="1">
                              <a:off x="2305050" y="3596300"/>
                              <a:ext cx="1327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H="1">
                              <a:off x="2470150" y="3869350"/>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H="1">
                              <a:off x="2694600" y="4015400"/>
                              <a:ext cx="168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H="1">
                              <a:off x="2796200" y="4161450"/>
                              <a:ext cx="245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H="1">
                              <a:off x="1938950" y="4440850"/>
                              <a:ext cx="129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H="1">
                              <a:off x="2186600" y="4586900"/>
                              <a:ext cx="176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2167550" y="4720250"/>
                              <a:ext cx="1401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H="1">
                              <a:off x="2457450" y="4866300"/>
                              <a:ext cx="133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H="1">
                              <a:off x="2377100" y="4999650"/>
                              <a:ext cx="20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2421550" y="5145700"/>
                              <a:ext cx="23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flipH="1">
                              <a:off x="2457450" y="5291750"/>
                              <a:ext cx="16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H="1">
                              <a:off x="2463800" y="5425100"/>
                              <a:ext cx="20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H="1">
                              <a:off x="2305050" y="5560650"/>
                              <a:ext cx="275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H="1">
                              <a:off x="2451100" y="570450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H="1">
                              <a:off x="2463800" y="5846400"/>
                              <a:ext cx="28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flipH="1">
                              <a:off x="2389800" y="5996600"/>
                              <a:ext cx="20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H="1">
                              <a:off x="2197350" y="6276000"/>
                              <a:ext cx="634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H="1">
                              <a:off x="2355850" y="6422050"/>
                              <a:ext cx="71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flipH="1">
                              <a:off x="2389800" y="6561750"/>
                              <a:ext cx="677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H="1">
                              <a:off x="2391750" y="6695100"/>
                              <a:ext cx="12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H="1">
                              <a:off x="2425700" y="6834800"/>
                              <a:ext cx="133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H="1">
                              <a:off x="2525100" y="6976700"/>
                              <a:ext cx="224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flipH="1">
                              <a:off x="2559050" y="7114200"/>
                              <a:ext cx="27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Text Box 75"/>
                          <wps:cNvSpPr txBox="1"/>
                          <wps:spPr>
                            <a:xfrm>
                              <a:off x="1302045" y="541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990D41">
                                <w:pPr>
                                  <w:pStyle w:val="NormalWeb"/>
                                  <w:spacing w:before="0" w:beforeAutospacing="0" w:after="0" w:afterAutospacing="0" w:line="360" w:lineRule="auto"/>
                                </w:pPr>
                                <w:r>
                                  <w:rPr>
                                    <w:rFonts w:ascii="Arial" w:eastAsia="PMingLiU" w:hAnsi="Arial" w:cs="Arial"/>
                                    <w:sz w:val="16"/>
                                    <w:szCs w:val="16"/>
                                  </w:rPr>
                                  <w:t>per 1 µg/dL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Text Box 75"/>
                          <wps:cNvSpPr txBox="1"/>
                          <wps:spPr>
                            <a:xfrm>
                              <a:off x="34290" y="556850"/>
                              <a:ext cx="13881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990D41">
                                <w:pPr>
                                  <w:pStyle w:val="NormalWeb"/>
                                  <w:spacing w:before="0" w:beforeAutospacing="0" w:after="0" w:afterAutospacing="0" w:line="360" w:lineRule="auto"/>
                                  <w:ind w:left="-113"/>
                                </w:pPr>
                                <w:r>
                                  <w:rPr>
                                    <w:rFonts w:ascii="Arial" w:eastAsia="PMingLiU" w:hAnsi="Arial" w:cs="Arial"/>
                                    <w:sz w:val="16"/>
                                    <w:szCs w:val="16"/>
                                  </w:rPr>
                                  <w:t>Elmarsafawy et al. 2006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Left Brace 122"/>
                          <wps:cNvSpPr/>
                          <wps:spPr>
                            <a:xfrm>
                              <a:off x="2116750" y="541950"/>
                              <a:ext cx="50800" cy="2943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75"/>
                          <wps:cNvSpPr txBox="1"/>
                          <wps:spPr>
                            <a:xfrm>
                              <a:off x="2565400" y="5082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0867">
                                <w:pPr>
                                  <w:pStyle w:val="NormalWeb"/>
                                  <w:spacing w:before="0" w:beforeAutospacing="0" w:after="0" w:afterAutospacing="0" w:line="360" w:lineRule="auto"/>
                                </w:pPr>
                                <w:r>
                                  <w:rPr>
                                    <w:rFonts w:ascii="Calibri" w:eastAsia="PMingLiU" w:hAnsi="Calibri" w:cs="Arial"/>
                                    <w:sz w:val="16"/>
                                    <w:szCs w:val="16"/>
                                  </w:rPr>
                                  <w:t>↓</w:t>
                                </w:r>
                                <w:r>
                                  <w:rPr>
                                    <w:rFonts w:ascii="Arial" w:eastAsia="PMingLiU" w:hAnsi="Arial" w:cs="Arial"/>
                                    <w:sz w:val="16"/>
                                    <w:szCs w:val="16"/>
                                  </w:rPr>
                                  <w:t xml:space="preserve"> Ca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Text Box 75"/>
                          <wps:cNvSpPr txBox="1"/>
                          <wps:spPr>
                            <a:xfrm>
                              <a:off x="2569845" y="6435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0867">
                                <w:pPr>
                                  <w:pStyle w:val="NormalWeb"/>
                                  <w:spacing w:before="0" w:beforeAutospacing="0" w:after="0" w:afterAutospacing="0" w:line="360" w:lineRule="auto"/>
                                </w:pPr>
                                <w:r>
                                  <w:rPr>
                                    <w:rFonts w:ascii="Calibri" w:eastAsia="PMingLiU" w:hAnsi="Calibri" w:cs="Arial"/>
                                    <w:sz w:val="16"/>
                                    <w:szCs w:val="16"/>
                                  </w:rPr>
                                  <w:t>↑</w:t>
                                </w:r>
                                <w:r>
                                  <w:rPr>
                                    <w:rFonts w:ascii="Arial" w:eastAsia="PMingLiU" w:hAnsi="Arial" w:cs="Arial"/>
                                    <w:sz w:val="16"/>
                                    <w:szCs w:val="16"/>
                                  </w:rPr>
                                  <w:t xml:space="preserve"> Ca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Text Box 75"/>
                          <wps:cNvSpPr txBox="1"/>
                          <wps:spPr>
                            <a:xfrm>
                              <a:off x="27940" y="1043600"/>
                              <a:ext cx="13881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ind w:left="-113"/>
                                </w:pPr>
                                <w:r>
                                  <w:rPr>
                                    <w:rFonts w:ascii="Arial" w:eastAsia="PMingLiU" w:hAnsi="Arial" w:cs="Arial"/>
                                    <w:sz w:val="16"/>
                                    <w:szCs w:val="16"/>
                                  </w:rPr>
                                  <w:t>Yazbeck et al. 2009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0" name="Group 130"/>
                          <wpg:cNvGrpSpPr/>
                          <wpg:grpSpPr>
                            <a:xfrm>
                              <a:off x="1314450" y="804500"/>
                              <a:ext cx="827700" cy="673350"/>
                              <a:chOff x="1314450" y="804500"/>
                              <a:chExt cx="827700" cy="673350"/>
                            </a:xfrm>
                          </wpg:grpSpPr>
                          <wps:wsp>
                            <wps:cNvPr id="126" name="Text Box 75"/>
                            <wps:cNvSpPr txBox="1"/>
                            <wps:spPr>
                              <a:xfrm>
                                <a:off x="1314450" y="8045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Text Box 75"/>
                            <wps:cNvSpPr txBox="1"/>
                            <wps:spPr>
                              <a:xfrm>
                                <a:off x="1320800" y="9251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Text Box 75"/>
                            <wps:cNvSpPr txBox="1"/>
                            <wps:spPr>
                              <a:xfrm>
                                <a:off x="1321095" y="10585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Text Box 75"/>
                            <wps:cNvSpPr txBox="1"/>
                            <wps:spPr>
                              <a:xfrm>
                                <a:off x="1327445" y="11984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1" name="Group 131"/>
                          <wpg:cNvGrpSpPr/>
                          <wpg:grpSpPr>
                            <a:xfrm>
                              <a:off x="1324906" y="1388950"/>
                              <a:ext cx="827406" cy="673099"/>
                              <a:chOff x="0" y="0"/>
                              <a:chExt cx="827700" cy="673350"/>
                            </a:xfrm>
                          </wpg:grpSpPr>
                          <wps:wsp>
                            <wps:cNvPr id="132" name="Text Box 75"/>
                            <wps:cNvSpPr txBox="1"/>
                            <wps:spPr>
                              <a:xfrm>
                                <a:off x="0" y="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Text Box 75"/>
                            <wps:cNvSpPr txBox="1"/>
                            <wps:spPr>
                              <a:xfrm>
                                <a:off x="6350" y="1206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Text Box 75"/>
                            <wps:cNvSpPr txBox="1"/>
                            <wps:spPr>
                              <a:xfrm>
                                <a:off x="6645" y="2540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Text Box 75"/>
                            <wps:cNvSpPr txBox="1"/>
                            <wps:spPr>
                              <a:xfrm>
                                <a:off x="12995" y="393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36" name="Text Box 75"/>
                          <wps:cNvSpPr txBox="1"/>
                          <wps:spPr>
                            <a:xfrm>
                              <a:off x="27940" y="2110400"/>
                              <a:ext cx="13881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ind w:left="-113"/>
                                </w:pPr>
                                <w:r>
                                  <w:rPr>
                                    <w:rFonts w:ascii="Arial" w:eastAsia="PMingLiU" w:hAnsi="Arial" w:cs="Arial"/>
                                    <w:sz w:val="16"/>
                                    <w:szCs w:val="16"/>
                                  </w:rPr>
                                  <w:t>Muntner et al. 2005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Left Brace 137"/>
                          <wps:cNvSpPr/>
                          <wps:spPr>
                            <a:xfrm>
                              <a:off x="1276644" y="842600"/>
                              <a:ext cx="69555" cy="5400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23BD5" w:rsidRDefault="00723BD5" w:rsidP="00277FB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38" name="Group 138"/>
                          <wpg:cNvGrpSpPr/>
                          <wpg:grpSpPr>
                            <a:xfrm>
                              <a:off x="1337314" y="1957633"/>
                              <a:ext cx="827406" cy="672466"/>
                              <a:chOff x="0" y="0"/>
                              <a:chExt cx="827700" cy="673350"/>
                            </a:xfrm>
                          </wpg:grpSpPr>
                          <wps:wsp>
                            <wps:cNvPr id="139" name="Text Box 75"/>
                            <wps:cNvSpPr txBox="1"/>
                            <wps:spPr>
                              <a:xfrm>
                                <a:off x="0" y="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Text Box 75"/>
                            <wps:cNvSpPr txBox="1"/>
                            <wps:spPr>
                              <a:xfrm>
                                <a:off x="6350" y="1206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75"/>
                            <wps:cNvSpPr txBox="1"/>
                            <wps:spPr>
                              <a:xfrm>
                                <a:off x="6645" y="2540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75"/>
                            <wps:cNvSpPr txBox="1"/>
                            <wps:spPr>
                              <a:xfrm>
                                <a:off x="12995" y="393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3" name="Group 143"/>
                          <wpg:cNvGrpSpPr/>
                          <wpg:grpSpPr>
                            <a:xfrm>
                              <a:off x="1358900" y="2529500"/>
                              <a:ext cx="827406" cy="672466"/>
                              <a:chOff x="0" y="0"/>
                              <a:chExt cx="827700" cy="673350"/>
                            </a:xfrm>
                          </wpg:grpSpPr>
                          <wps:wsp>
                            <wps:cNvPr id="144" name="Text Box 75"/>
                            <wps:cNvSpPr txBox="1"/>
                            <wps:spPr>
                              <a:xfrm>
                                <a:off x="0" y="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Text Box 75"/>
                            <wps:cNvSpPr txBox="1"/>
                            <wps:spPr>
                              <a:xfrm>
                                <a:off x="6350" y="1206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Text Box 75"/>
                            <wps:cNvSpPr txBox="1"/>
                            <wps:spPr>
                              <a:xfrm>
                                <a:off x="6645" y="2540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75"/>
                            <wps:cNvSpPr txBox="1"/>
                            <wps:spPr>
                              <a:xfrm>
                                <a:off x="12995" y="393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8" name="Left Brace 148"/>
                          <wps:cNvSpPr/>
                          <wps:spPr>
                            <a:xfrm>
                              <a:off x="1226480" y="1424232"/>
                              <a:ext cx="157820" cy="167456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23BD5" w:rsidRDefault="00723BD5" w:rsidP="00277FB6">
                                <w:pPr>
                                  <w:pStyle w:val="NormalWeb"/>
                                  <w:spacing w:before="0" w:beforeAutospacing="0" w:after="0" w:afterAutospacing="0" w:line="360" w:lineRule="auto"/>
                                </w:pPr>
                                <w:r>
                                  <w:rPr>
                                    <w:rFonts w:ascii="Arial" w:eastAsia="Times New Roman" w:hAnsi="Arial"/>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Text Box 75"/>
                          <wps:cNvSpPr txBox="1"/>
                          <wps:spPr>
                            <a:xfrm>
                              <a:off x="2713650" y="1511903"/>
                              <a:ext cx="5058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277FB6" w:rsidRDefault="00723BD5" w:rsidP="00277FB6">
                                <w:pPr>
                                  <w:pStyle w:val="NormalWeb"/>
                                  <w:spacing w:before="0" w:beforeAutospacing="0" w:after="0" w:afterAutospacing="0" w:line="360" w:lineRule="auto"/>
                                  <w:rPr>
                                    <w:sz w:val="14"/>
                                    <w:szCs w:val="14"/>
                                  </w:rPr>
                                </w:pPr>
                                <w:r w:rsidRPr="00277FB6">
                                  <w:rPr>
                                    <w:rFonts w:ascii="Arial" w:eastAsia="PMingLiU" w:hAnsi="Arial" w:cs="Arial"/>
                                    <w:sz w:val="14"/>
                                    <w:szCs w:val="14"/>
                                  </w:rPr>
                                  <w:t>N-H 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75"/>
                          <wps:cNvSpPr txBox="1"/>
                          <wps:spPr>
                            <a:xfrm>
                              <a:off x="2641600" y="1653333"/>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277FB6" w:rsidRDefault="00723BD5" w:rsidP="00277FB6">
                                <w:pPr>
                                  <w:pStyle w:val="NormalWeb"/>
                                  <w:spacing w:before="0" w:beforeAutospacing="0" w:after="0" w:afterAutospacing="0" w:line="360" w:lineRule="auto"/>
                                  <w:rPr>
                                    <w:sz w:val="14"/>
                                    <w:szCs w:val="14"/>
                                  </w:rPr>
                                </w:pPr>
                                <w:r w:rsidRPr="00277FB6">
                                  <w:rPr>
                                    <w:rFonts w:ascii="Arial" w:eastAsia="PMingLiU" w:hAnsi="Arial" w:cs="Arial"/>
                                    <w:sz w:val="14"/>
                                    <w:szCs w:val="14"/>
                                  </w:rPr>
                                  <w:t>N-H 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Text Box 75"/>
                          <wps:cNvSpPr txBox="1"/>
                          <wps:spPr>
                            <a:xfrm>
                              <a:off x="2673350" y="1799250"/>
                              <a:ext cx="4864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277FB6" w:rsidRDefault="00723BD5" w:rsidP="00277FB6">
                                <w:pPr>
                                  <w:pStyle w:val="NormalWeb"/>
                                  <w:spacing w:before="0" w:beforeAutospacing="0" w:after="0" w:afterAutospacing="0"/>
                                  <w:rPr>
                                    <w:sz w:val="14"/>
                                    <w:szCs w:val="14"/>
                                  </w:rPr>
                                </w:pPr>
                                <w:r w:rsidRPr="00277FB6">
                                  <w:rPr>
                                    <w:rFonts w:ascii="Arial" w:eastAsia="PMingLiU" w:hAnsi="Arial" w:cs="Arial"/>
                                    <w:sz w:val="14"/>
                                    <w:szCs w:val="14"/>
                                  </w:rPr>
                                  <w:t>N-H 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Text Box 152" title="Figure 4.1: Odds ratios (95% CI) for association of PbB with hypertension incidence or prevalence in non-occupational studies"/>
                          <wps:cNvSpPr txBox="1"/>
                          <wps:spPr>
                            <a:xfrm>
                              <a:off x="247650" y="7797800"/>
                              <a:ext cx="5461000" cy="736600"/>
                            </a:xfrm>
                            <a:prstGeom prst="rect">
                              <a:avLst/>
                            </a:prstGeom>
                            <a:solidFill>
                              <a:srgbClr val="FFFFCC"/>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277FB6">
                                <w:pPr>
                                  <w:spacing w:line="240" w:lineRule="auto"/>
                                  <w:rPr>
                                    <w:b/>
                                  </w:rPr>
                                </w:pPr>
                                <w:r>
                                  <w:rPr>
                                    <w:b/>
                                  </w:rPr>
                                  <w:t>Figure 4.1: Odds ratios (95% CI) for association of PbB with hypertension incidence or prevalence in non-occupational studies</w:t>
                                </w:r>
                              </w:p>
                              <w:p w:rsidR="00723BD5" w:rsidRDefault="00723BD5" w:rsidP="00277FB6">
                                <w:pPr>
                                  <w:spacing w:line="240" w:lineRule="auto"/>
                                  <w:rPr>
                                    <w:sz w:val="18"/>
                                    <w:szCs w:val="18"/>
                                  </w:rPr>
                                </w:pPr>
                                <w:r>
                                  <w:rPr>
                                    <w:sz w:val="18"/>
                                    <w:szCs w:val="18"/>
                                  </w:rPr>
                                  <w:t xml:space="preserve">Q = quartile, PW = pregnant women, N-H-W = Non-Hispanic White, N-H-B = Non-Hispanic Black, </w:t>
                                </w:r>
                              </w:p>
                              <w:p w:rsidR="00723BD5" w:rsidRPr="001E7E70" w:rsidRDefault="00723BD5" w:rsidP="00277FB6">
                                <w:pPr>
                                  <w:spacing w:line="240" w:lineRule="auto"/>
                                  <w:rPr>
                                    <w:sz w:val="18"/>
                                    <w:szCs w:val="18"/>
                                  </w:rPr>
                                </w:pPr>
                                <w:r>
                                  <w:rPr>
                                    <w:sz w:val="18"/>
                                    <w:szCs w:val="18"/>
                                  </w:rPr>
                                  <w:t>MA = Mexican American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75"/>
                          <wps:cNvSpPr txBox="1"/>
                          <wps:spPr>
                            <a:xfrm>
                              <a:off x="34290" y="3837600"/>
                              <a:ext cx="13881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ind w:left="-113"/>
                                </w:pPr>
                                <w:r>
                                  <w:rPr>
                                    <w:rFonts w:ascii="Arial" w:eastAsia="PMingLiU" w:hAnsi="Arial" w:cs="Arial"/>
                                    <w:sz w:val="16"/>
                                    <w:szCs w:val="16"/>
                                  </w:rPr>
                                  <w:t>Scinicariello et al. 2010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Text Box 75"/>
                          <wps:cNvSpPr txBox="1"/>
                          <wps:spPr>
                            <a:xfrm>
                              <a:off x="2794000" y="222470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Text Box 75"/>
                          <wps:cNvSpPr txBox="1"/>
                          <wps:spPr>
                            <a:xfrm>
                              <a:off x="2796540" y="207865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Text Box 75"/>
                          <wps:cNvSpPr txBox="1"/>
                          <wps:spPr>
                            <a:xfrm>
                              <a:off x="3221650" y="235170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Text Box 75"/>
                          <wps:cNvSpPr txBox="1"/>
                          <wps:spPr>
                            <a:xfrm>
                              <a:off x="4597400" y="94005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PW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Text Box 75"/>
                          <wps:cNvSpPr txBox="1"/>
                          <wps:spPr>
                            <a:xfrm>
                              <a:off x="5018700" y="108635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PW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Text Box 75"/>
                          <wps:cNvSpPr txBox="1"/>
                          <wps:spPr>
                            <a:xfrm>
                              <a:off x="5692140" y="1228353"/>
                              <a:ext cx="4038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PW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Text Box 75"/>
                          <wps:cNvSpPr txBox="1"/>
                          <wps:spPr>
                            <a:xfrm>
                              <a:off x="3479800" y="2637183"/>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Text Box 75"/>
                          <wps:cNvSpPr txBox="1"/>
                          <wps:spPr>
                            <a:xfrm>
                              <a:off x="3333750" y="278985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Text Box 75"/>
                          <wps:cNvSpPr txBox="1"/>
                          <wps:spPr>
                            <a:xfrm>
                              <a:off x="3270250" y="293590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63" name="Group 163"/>
                          <wpg:cNvGrpSpPr/>
                          <wpg:grpSpPr>
                            <a:xfrm>
                              <a:off x="1367744" y="3088300"/>
                              <a:ext cx="827406" cy="672466"/>
                              <a:chOff x="0" y="0"/>
                              <a:chExt cx="827700" cy="673350"/>
                            </a:xfrm>
                          </wpg:grpSpPr>
                          <wps:wsp>
                            <wps:cNvPr id="164" name="Text Box 75"/>
                            <wps:cNvSpPr txBox="1"/>
                            <wps:spPr>
                              <a:xfrm>
                                <a:off x="0" y="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Text Box 75"/>
                            <wps:cNvSpPr txBox="1"/>
                            <wps:spPr>
                              <a:xfrm>
                                <a:off x="6350" y="1206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75"/>
                            <wps:cNvSpPr txBox="1"/>
                            <wps:spPr>
                              <a:xfrm>
                                <a:off x="6645" y="2540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Text Box 75"/>
                            <wps:cNvSpPr txBox="1"/>
                            <wps:spPr>
                              <a:xfrm>
                                <a:off x="12995" y="393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68" name="Group 168"/>
                          <wpg:cNvGrpSpPr/>
                          <wpg:grpSpPr>
                            <a:xfrm>
                              <a:off x="1373800" y="3647100"/>
                              <a:ext cx="827406" cy="672466"/>
                              <a:chOff x="0" y="0"/>
                              <a:chExt cx="827700" cy="673350"/>
                            </a:xfrm>
                          </wpg:grpSpPr>
                          <wps:wsp>
                            <wps:cNvPr id="169" name="Text Box 75"/>
                            <wps:cNvSpPr txBox="1"/>
                            <wps:spPr>
                              <a:xfrm>
                                <a:off x="0" y="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Text Box 75"/>
                            <wps:cNvSpPr txBox="1"/>
                            <wps:spPr>
                              <a:xfrm>
                                <a:off x="6350" y="1206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Text Box 75"/>
                            <wps:cNvSpPr txBox="1"/>
                            <wps:spPr>
                              <a:xfrm>
                                <a:off x="6645" y="2540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Text Box 75"/>
                            <wps:cNvSpPr txBox="1"/>
                            <wps:spPr>
                              <a:xfrm>
                                <a:off x="12995" y="393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3" name="Group 173"/>
                          <wpg:cNvGrpSpPr/>
                          <wpg:grpSpPr>
                            <a:xfrm>
                              <a:off x="1321094" y="4195133"/>
                              <a:ext cx="827406" cy="672466"/>
                              <a:chOff x="0" y="0"/>
                              <a:chExt cx="827700" cy="673350"/>
                            </a:xfrm>
                          </wpg:grpSpPr>
                          <wps:wsp>
                            <wps:cNvPr id="174" name="Text Box 75"/>
                            <wps:cNvSpPr txBox="1"/>
                            <wps:spPr>
                              <a:xfrm>
                                <a:off x="0" y="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Text Box 75"/>
                            <wps:cNvSpPr txBox="1"/>
                            <wps:spPr>
                              <a:xfrm>
                                <a:off x="6350" y="1206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 name="Text Box 75"/>
                            <wps:cNvSpPr txBox="1"/>
                            <wps:spPr>
                              <a:xfrm>
                                <a:off x="6645" y="2540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Text Box 75"/>
                            <wps:cNvSpPr txBox="1"/>
                            <wps:spPr>
                              <a:xfrm>
                                <a:off x="12995" y="393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78" name="Left Brace 178"/>
                          <wps:cNvSpPr/>
                          <wps:spPr>
                            <a:xfrm>
                              <a:off x="1227113" y="3132750"/>
                              <a:ext cx="157480" cy="167449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23BD5" w:rsidRDefault="00723BD5" w:rsidP="001E7E70">
                                <w:pPr>
                                  <w:pStyle w:val="NormalWeb"/>
                                  <w:spacing w:before="0" w:beforeAutospacing="0" w:after="0" w:afterAutospacing="0" w:line="360" w:lineRule="auto"/>
                                </w:pPr>
                                <w:r>
                                  <w:rPr>
                                    <w:rFonts w:ascii="Arial" w:eastAsia="Times New Roman" w:hAnsi="Arial"/>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75"/>
                          <wps:cNvSpPr txBox="1"/>
                          <wps:spPr>
                            <a:xfrm>
                              <a:off x="3177540" y="320480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Text Box 75"/>
                          <wps:cNvSpPr txBox="1"/>
                          <wps:spPr>
                            <a:xfrm>
                              <a:off x="3530600" y="333595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5"/>
                          <wps:cNvSpPr txBox="1"/>
                          <wps:spPr>
                            <a:xfrm>
                              <a:off x="3577590" y="349055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5"/>
                          <wps:cNvSpPr txBox="1"/>
                          <wps:spPr>
                            <a:xfrm>
                              <a:off x="3733800" y="3767592"/>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Text Box 75"/>
                          <wps:cNvSpPr txBox="1"/>
                          <wps:spPr>
                            <a:xfrm>
                              <a:off x="4334510" y="3907083"/>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5"/>
                          <wps:cNvSpPr txBox="1"/>
                          <wps:spPr>
                            <a:xfrm>
                              <a:off x="5205730" y="4053342"/>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Text Box 75"/>
                          <wps:cNvSpPr txBox="1"/>
                          <wps:spPr>
                            <a:xfrm>
                              <a:off x="3177540" y="4341292"/>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75"/>
                          <wps:cNvSpPr txBox="1"/>
                          <wps:spPr>
                            <a:xfrm>
                              <a:off x="3940810" y="4485595"/>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75"/>
                          <wps:cNvSpPr txBox="1"/>
                          <wps:spPr>
                            <a:xfrm>
                              <a:off x="3511550" y="4625000"/>
                              <a:ext cx="50546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75"/>
                          <wps:cNvSpPr txBox="1"/>
                          <wps:spPr>
                            <a:xfrm>
                              <a:off x="0" y="5291750"/>
                              <a:ext cx="13881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7E66E9">
                                <w:pPr>
                                  <w:pStyle w:val="NormalWeb"/>
                                  <w:spacing w:before="0" w:beforeAutospacing="0" w:after="0" w:afterAutospacing="0" w:line="360" w:lineRule="auto"/>
                                  <w:ind w:left="-113"/>
                                </w:pPr>
                                <w:r>
                                  <w:rPr>
                                    <w:rFonts w:ascii="Arial" w:eastAsia="PMingLiU" w:hAnsi="Arial" w:cs="Arial"/>
                                    <w:sz w:val="16"/>
                                    <w:szCs w:val="16"/>
                                  </w:rPr>
                                  <w:t>Park et al. 2009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75"/>
                          <wps:cNvSpPr txBox="1"/>
                          <wps:spPr>
                            <a:xfrm>
                              <a:off x="1352844" y="53235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7E66E9">
                                <w:pPr>
                                  <w:pStyle w:val="NormalWeb"/>
                                  <w:spacing w:before="0" w:beforeAutospacing="0" w:after="0" w:afterAutospacing="0" w:line="360" w:lineRule="auto"/>
                                </w:pPr>
                                <w:r>
                                  <w:rPr>
                                    <w:rFonts w:ascii="Arial" w:eastAsia="PMingLiU" w:hAnsi="Arial" w:cs="Arial"/>
                                    <w:sz w:val="16"/>
                                    <w:szCs w:val="16"/>
                                  </w:rPr>
                                  <w:t>per 1 µg/dL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Left Brace 190"/>
                          <wps:cNvSpPr/>
                          <wps:spPr>
                            <a:xfrm>
                              <a:off x="2065950" y="4807245"/>
                              <a:ext cx="152400" cy="126335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23BD5" w:rsidRDefault="00723BD5" w:rsidP="00C033B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Text Box 75"/>
                          <wps:cNvSpPr txBox="1"/>
                          <wps:spPr>
                            <a:xfrm>
                              <a:off x="2556850" y="4769145"/>
                              <a:ext cx="9547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All subjects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75"/>
                          <wps:cNvSpPr txBox="1"/>
                          <wps:spPr>
                            <a:xfrm>
                              <a:off x="2560955" y="490440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White 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75"/>
                          <wps:cNvSpPr txBox="1"/>
                          <wps:spPr>
                            <a:xfrm>
                              <a:off x="2641600" y="504410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Black 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Text Box 75"/>
                          <wps:cNvSpPr txBox="1"/>
                          <wps:spPr>
                            <a:xfrm>
                              <a:off x="2647950" y="519675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White women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Text Box 75"/>
                          <wps:cNvSpPr txBox="1"/>
                          <wps:spPr>
                            <a:xfrm>
                              <a:off x="2635250" y="532350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Black women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75"/>
                          <wps:cNvSpPr txBox="1"/>
                          <wps:spPr>
                            <a:xfrm>
                              <a:off x="2635250" y="547615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Men &lt;50 yrs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75"/>
                          <wps:cNvSpPr txBox="1"/>
                          <wps:spPr>
                            <a:xfrm>
                              <a:off x="2641600" y="560290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 xml:space="preserve">Men </w:t>
                                </w:r>
                                <w:r>
                                  <w:rPr>
                                    <w:rFonts w:ascii="Arial" w:eastAsia="PMingLiU" w:hAnsi="Arial" w:cs="Arial"/>
                                    <w:sz w:val="14"/>
                                    <w:szCs w:val="14"/>
                                    <w:u w:val="single"/>
                                  </w:rPr>
                                  <w:t>&gt;</w:t>
                                </w:r>
                                <w:r>
                                  <w:rPr>
                                    <w:rFonts w:ascii="Arial" w:eastAsia="PMingLiU" w:hAnsi="Arial" w:cs="Arial"/>
                                    <w:sz w:val="14"/>
                                    <w:szCs w:val="14"/>
                                  </w:rPr>
                                  <w:t>50 yrs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75"/>
                          <wps:cNvSpPr txBox="1"/>
                          <wps:spPr>
                            <a:xfrm>
                              <a:off x="2559050" y="589720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 xml:space="preserve">Men </w:t>
                                </w:r>
                                <w:r>
                                  <w:rPr>
                                    <w:rFonts w:ascii="Arial" w:eastAsia="PMingLiU" w:hAnsi="Arial" w:cs="Arial"/>
                                    <w:sz w:val="14"/>
                                    <w:szCs w:val="14"/>
                                    <w:u w:val="single"/>
                                  </w:rPr>
                                  <w:t>&gt;</w:t>
                                </w:r>
                                <w:r>
                                  <w:rPr>
                                    <w:rFonts w:ascii="Arial" w:eastAsia="PMingLiU" w:hAnsi="Arial" w:cs="Arial"/>
                                    <w:sz w:val="14"/>
                                    <w:szCs w:val="14"/>
                                  </w:rPr>
                                  <w:t>50 yrs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Text Box 75"/>
                          <wps:cNvSpPr txBox="1"/>
                          <wps:spPr>
                            <a:xfrm>
                              <a:off x="2698750" y="575945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Men &lt;50 yrs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Text Box 75"/>
                          <wps:cNvSpPr txBox="1"/>
                          <wps:spPr>
                            <a:xfrm>
                              <a:off x="2905760" y="6151200"/>
                              <a:ext cx="13970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Women aged 40-59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01" name="Group 201"/>
                          <wpg:cNvGrpSpPr/>
                          <wpg:grpSpPr>
                            <a:xfrm>
                              <a:off x="1372184" y="6060100"/>
                              <a:ext cx="827406" cy="672466"/>
                              <a:chOff x="0" y="0"/>
                              <a:chExt cx="827700" cy="673350"/>
                            </a:xfrm>
                          </wpg:grpSpPr>
                          <wps:wsp>
                            <wps:cNvPr id="202" name="Text Box 75"/>
                            <wps:cNvSpPr txBox="1"/>
                            <wps:spPr>
                              <a:xfrm>
                                <a:off x="0" y="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Referent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 name="Text Box 75"/>
                            <wps:cNvSpPr txBox="1"/>
                            <wps:spPr>
                              <a:xfrm>
                                <a:off x="6350" y="1206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Q2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75"/>
                            <wps:cNvSpPr txBox="1"/>
                            <wps:spPr>
                              <a:xfrm>
                                <a:off x="6645" y="25400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Q3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 name="Text Box 75"/>
                            <wps:cNvSpPr txBox="1"/>
                            <wps:spPr>
                              <a:xfrm>
                                <a:off x="12995" y="393950"/>
                                <a:ext cx="8147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Q4 vs. Q1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6" name="Text Box 75"/>
                          <wps:cNvSpPr txBox="1"/>
                          <wps:spPr>
                            <a:xfrm>
                              <a:off x="27940" y="6288333"/>
                              <a:ext cx="13881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ind w:left="-113"/>
                                </w:pPr>
                                <w:r>
                                  <w:rPr>
                                    <w:rFonts w:ascii="Arial" w:eastAsia="PMingLiU" w:hAnsi="Arial" w:cs="Arial"/>
                                    <w:sz w:val="16"/>
                                    <w:szCs w:val="16"/>
                                  </w:rPr>
                                  <w:t>Nash et al. 2003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Left Brace 207"/>
                          <wps:cNvSpPr/>
                          <wps:spPr>
                            <a:xfrm>
                              <a:off x="1335698" y="6070600"/>
                              <a:ext cx="69215" cy="5397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23BD5" w:rsidRDefault="00723BD5" w:rsidP="00C033BF">
                                <w:pPr>
                                  <w:pStyle w:val="NormalWeb"/>
                                  <w:spacing w:before="0" w:beforeAutospacing="0" w:after="0" w:afterAutospacing="0" w:line="360" w:lineRule="auto"/>
                                </w:pPr>
                                <w:r>
                                  <w:rPr>
                                    <w:rFonts w:ascii="Arial" w:eastAsia="Times New Roman" w:hAnsi="Arial"/>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Text Box 75"/>
                          <wps:cNvSpPr txBox="1"/>
                          <wps:spPr>
                            <a:xfrm>
                              <a:off x="3068320" y="6322317"/>
                              <a:ext cx="13970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Women aged 40-59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Text Box 75"/>
                          <wps:cNvSpPr txBox="1"/>
                          <wps:spPr>
                            <a:xfrm>
                              <a:off x="3041650" y="6468433"/>
                              <a:ext cx="139700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Women aged 40-59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Text Box 75"/>
                          <wps:cNvSpPr txBox="1"/>
                          <wps:spPr>
                            <a:xfrm>
                              <a:off x="0" y="6824033"/>
                              <a:ext cx="1388110"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C033BF">
                                <w:pPr>
                                  <w:pStyle w:val="NormalWeb"/>
                                  <w:spacing w:before="0" w:beforeAutospacing="0" w:after="0" w:afterAutospacing="0" w:line="360" w:lineRule="auto"/>
                                  <w:ind w:left="-113"/>
                                </w:pPr>
                                <w:r>
                                  <w:rPr>
                                    <w:rFonts w:ascii="Arial" w:eastAsia="PMingLiU" w:hAnsi="Arial" w:cs="Arial"/>
                                    <w:sz w:val="16"/>
                                    <w:szCs w:val="16"/>
                                  </w:rPr>
                                  <w:t>Vupputuri et al. 2003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 name="Text Box 75"/>
                          <wps:cNvSpPr txBox="1"/>
                          <wps:spPr>
                            <a:xfrm>
                              <a:off x="1404913" y="6743416"/>
                              <a:ext cx="850899" cy="36221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D248C0">
                                <w:pPr>
                                  <w:pStyle w:val="NormalWeb"/>
                                  <w:spacing w:before="0" w:beforeAutospacing="0" w:after="0" w:afterAutospacing="0"/>
                                  <w:rPr>
                                    <w:rFonts w:ascii="Arial" w:eastAsia="PMingLiU" w:hAnsi="Arial" w:cs="Arial"/>
                                    <w:sz w:val="16"/>
                                    <w:szCs w:val="16"/>
                                  </w:rPr>
                                </w:pPr>
                                <w:r>
                                  <w:rPr>
                                    <w:rFonts w:ascii="Arial" w:eastAsia="PMingLiU" w:hAnsi="Arial" w:cs="Arial"/>
                                    <w:sz w:val="16"/>
                                    <w:szCs w:val="16"/>
                                  </w:rPr>
                                  <w:t xml:space="preserve">1 SD increase </w:t>
                                </w:r>
                              </w:p>
                              <w:p w:rsidR="00723BD5" w:rsidRDefault="00723BD5" w:rsidP="00D248C0">
                                <w:pPr>
                                  <w:pStyle w:val="NormalWeb"/>
                                  <w:spacing w:before="0" w:beforeAutospacing="0" w:after="0" w:afterAutospacing="0"/>
                                </w:pPr>
                                <w:r>
                                  <w:rPr>
                                    <w:rFonts w:ascii="Arial" w:eastAsia="PMingLiU" w:hAnsi="Arial" w:cs="Arial"/>
                                    <w:sz w:val="16"/>
                                    <w:szCs w:val="16"/>
                                  </w:rPr>
                                  <w:t>in PbB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Left Brace 212"/>
                          <wps:cNvSpPr/>
                          <wps:spPr>
                            <a:xfrm>
                              <a:off x="2255812" y="6650283"/>
                              <a:ext cx="69215" cy="5397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23BD5" w:rsidRDefault="00723BD5" w:rsidP="00D248C0">
                                <w:pPr>
                                  <w:pStyle w:val="NormalWeb"/>
                                  <w:spacing w:before="0" w:beforeAutospacing="0" w:after="0" w:afterAutospacing="0" w:line="360" w:lineRule="auto"/>
                                </w:pPr>
                                <w:r>
                                  <w:rPr>
                                    <w:rFonts w:ascii="Arial" w:eastAsia="Times New Roman" w:hAnsi="Arial"/>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75"/>
                          <wps:cNvSpPr txBox="1"/>
                          <wps:spPr>
                            <a:xfrm>
                              <a:off x="2491400" y="6599366"/>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White 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75"/>
                          <wps:cNvSpPr txBox="1"/>
                          <wps:spPr>
                            <a:xfrm>
                              <a:off x="2565400" y="6735133"/>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Black 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75"/>
                          <wps:cNvSpPr txBox="1"/>
                          <wps:spPr>
                            <a:xfrm>
                              <a:off x="2751455" y="6878883"/>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White women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75"/>
                          <wps:cNvSpPr txBox="1"/>
                          <wps:spPr>
                            <a:xfrm>
                              <a:off x="2766695" y="7031650"/>
                              <a:ext cx="954405" cy="279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Black women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72" o:spid="_x0000_s1026" editas="canvas" alt="Title: Figure 4.1: Odds ratios (95% CI) for association of PbB with hypertension incidence or prevalence in non-occupational studies" style="width:480pt;height:676pt;mso-position-horizontal-relative:char;mso-position-vertical-relative:line" coordsize="60960,858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0;height:85852;visibility:visible;mso-wrap-style:square">
                  <v:fill o:detectmouseclick="t"/>
                  <v:path o:connecttype="none"/>
                </v:shape>
                <v:group id="Group 217" o:spid="_x0000_s1028" style="position:absolute;top:635;width:60960;height:84709" coordorigin=",635" coordsize="60960,84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Picture 73" o:spid="_x0000_s1029" type="#_x0000_t75" style="position:absolute;left:17081;top:3556;width:43879;height:7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CfDAAAA2wAAAA8AAABkcnMvZG93bnJldi54bWxEj1FrwkAQhN8F/8Oxhb7pRQvVpp4ihYLF&#10;gsT2Byy5NReb2wu5VdP++p4g+DjMzDfMYtX7Rp2pi3VgA5NxBoq4DLbmysD31/toDioKssUmMBn4&#10;pQir5XCwwNyGCxd03kulEoRjjgacSJtrHUtHHuM4tMTJO4TOoyTZVdp2eElw3+hplj1rjzWnBYct&#10;vTkqf/Ynb6Dgv+3us5h+TF78nLfRyXG2E2MeH/r1KyihXu7hW3tjDcye4Pol/Q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4UJ8MAAADbAAAADwAAAAAAAAAAAAAAAACf&#10;AgAAZHJzL2Rvd25yZXYueG1sUEsFBgAAAAAEAAQA9wAAAI8DAAAAAA==&#10;">
                    <v:imagedata r:id="rId18" o:title="" croptop="6122f" cropleft="1193f" cropright="4684f"/>
                    <v:path arrowok="t"/>
                  </v:shape>
                  <v:line id="Straight Connector 74" o:spid="_x0000_s1030" style="position:absolute;flip:x y;visibility:visible;mso-wrap-style:square" from="23558,4127" to="24257,7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PrMQAAADbAAAADwAAAGRycy9kb3ducmV2LnhtbESPQWvCQBSE74L/YXmFXqTZVEqUmFVE&#10;EARP0dbzI/uaxGbfprurpv76bqHgcZiZb5hiNZhOXMn51rKC1yQFQVxZ3XKt4P24fZmD8AFZY2eZ&#10;FPyQh9VyPCow1/bGJV0PoRYRwj5HBU0IfS6lrxoy6BPbE0fv0zqDIUpXS+3wFuGmk9M0zaTBluNC&#10;gz1tGqq+Dhej4P49P5b3j2yS7SezjSvlic77k1LPT8N6ASLQEB7h//ZOK5i9wd+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A+sxAAAANsAAAAPAAAAAAAAAAAA&#10;AAAAAKECAABkcnMvZG93bnJldi54bWxQSwUGAAAAAAQABAD5AAAAkgMAAAAA&#10;" strokecolor="#a5a5a5 [2092]">
                    <v:stroke dashstyle="dash"/>
                  </v:line>
                  <v:shapetype id="_x0000_t202" coordsize="21600,21600" o:spt="202" path="m,l,21600r21600,l21600,xe">
                    <v:stroke joinstyle="miter"/>
                    <v:path gradientshapeok="t" o:connecttype="rect"/>
                  </v:shapetype>
                  <v:shape id="Text Box 75" o:spid="_x0000_s1031" type="#_x0000_t202" style="position:absolute;left:279;top:825;width:457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ckccA&#10;AADbAAAADwAAAGRycy9kb3ducmV2LnhtbESPT2sCMRTE74V+h/AKvdVsBa2sRimtgmBb8c/B3h6b&#10;193o5mVNUt320zcFweMwM79hRpPW1uJEPhjHCh47GQjiwmnDpYLtZvYwABEissbaMSn4oQCT8e3N&#10;CHPtzryi0zqWIkE45KigirHJpQxFRRZDxzXEyfty3mJM0pdSezwnuK1lN8v60qLhtFBhQy8VFYf1&#10;t1Xwdtwte/vX3bYefPzO303hzed0odT9Xfs8BBGpjdfwpT3XCp568P8l/QA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3JHHAAAA2wAAAA8AAAAAAAAAAAAAAAAAmAIAAGRy&#10;cy9kb3ducmV2LnhtbFBLBQYAAAAABAAEAPUAAACMAwAAAAA=&#10;" fillcolor="white [3201]" stroked="f" strokeweight=".5pt">
                    <v:fill opacity="0"/>
                    <v:textbox>
                      <w:txbxContent>
                        <w:p w:rsidR="00723BD5" w:rsidRPr="00E54845" w:rsidRDefault="00723BD5" w:rsidP="007F6110">
                          <w:pPr>
                            <w:spacing w:line="240" w:lineRule="auto"/>
                            <w:rPr>
                              <w:b/>
                              <w:sz w:val="20"/>
                              <w:szCs w:val="20"/>
                              <w:u w:val="single"/>
                            </w:rPr>
                          </w:pPr>
                          <w:r w:rsidRPr="00E54845">
                            <w:rPr>
                              <w:b/>
                              <w:sz w:val="20"/>
                              <w:szCs w:val="20"/>
                              <w:u w:val="single"/>
                            </w:rPr>
                            <w:t>Ref.</w:t>
                          </w:r>
                        </w:p>
                      </w:txbxContent>
                    </v:textbox>
                  </v:shape>
                  <v:shape id="Text Box 75" o:spid="_x0000_s1032" type="#_x0000_t202" style="position:absolute;left:12871;top:635;width:104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nfccA&#10;AADbAAAADwAAAGRycy9kb3ducmV2LnhtbESPQWsCMRSE74L/ITzBm2YrtMpqlNJaEFotVQ/29ti8&#10;7qbdvGyTVNf+eiMUehxm5htmtmhtLY7kg3Gs4GaYgSAunDZcKtjvngYTECEia6wdk4IzBVjMu50Z&#10;5tqd+I2O21iKBOGQo4IqxiaXMhQVWQxD1xAn78N5izFJX0rt8ZTgtpajLLuTFg2nhQobeqio+Nr+&#10;WAUv34fX28/Hw76ebH5Xa1N48758Vqrfa++nICK18T/8115pBeMxXL+k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533HAAAA2wAAAA8AAAAAAAAAAAAAAAAAmAIAAGRy&#10;cy9kb3ducmV2LnhtbFBLBQYAAAAABAAEAPUAAACMAwAAAAA=&#10;" fillcolor="white [3201]" stroked="f" strokeweight=".5pt">
                    <v:fill opacity="0"/>
                    <v:textbox>
                      <w:txbxContent>
                        <w:p w:rsidR="00723BD5" w:rsidRPr="00E54845" w:rsidRDefault="00723BD5" w:rsidP="007F6110">
                          <w:pPr>
                            <w:pStyle w:val="NormalWeb"/>
                            <w:spacing w:before="0" w:beforeAutospacing="0" w:after="0" w:afterAutospacing="0" w:line="360" w:lineRule="auto"/>
                            <w:rPr>
                              <w:u w:val="single"/>
                            </w:rPr>
                          </w:pPr>
                          <w:r w:rsidRPr="00E54845">
                            <w:rPr>
                              <w:rFonts w:ascii="Arial" w:eastAsia="PMingLiU" w:hAnsi="Arial"/>
                              <w:b/>
                              <w:bCs/>
                              <w:sz w:val="20"/>
                              <w:szCs w:val="20"/>
                              <w:u w:val="single"/>
                            </w:rPr>
                            <w:t>Comparison</w:t>
                          </w:r>
                        </w:p>
                      </w:txbxContent>
                    </v:textbox>
                  </v:shape>
                  <v:shape id="Text Box 75" o:spid="_x0000_s1033" type="#_x0000_t202" style="position:absolute;left:342;top:3238;width:988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zD8QA&#10;AADbAAAADwAAAGRycy9kb3ducmV2LnhtbERPW0vDMBR+F/wP4Qh7s6kDdXTNhjiFgTrZ5aF7OzTH&#10;Ntqc1CTbqr/ePAx8/Pju5XywnTiSD8axgpssB0FcO224UbDbPl9PQISIrLFzTAp+KMB8dnlRYqHd&#10;idd03MRGpBAOBSpoY+wLKUPdksWQuZ44cR/OW4wJ+kZqj6cUbjs5zvM7adFwamixp8eW6q/NwSp4&#10;/a7ebz8X1a6brH6Xb6b2Zv/0otToaniYgog0xH/x2b3UCu7T2PQ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cw/EAAAA2wAAAA8AAAAAAAAAAAAAAAAAmAIAAGRycy9k&#10;b3ducmV2LnhtbFBLBQYAAAAABAAEAPUAAACJAwAAAAA=&#10;" fillcolor="white [3201]" stroked="f" strokeweight=".5pt">
                    <v:fill opacity="0"/>
                    <v:textbox>
                      <w:txbxContent>
                        <w:p w:rsidR="00723BD5" w:rsidRPr="00990D41" w:rsidRDefault="00723BD5" w:rsidP="007F6110">
                          <w:pPr>
                            <w:pStyle w:val="NormalWeb"/>
                            <w:spacing w:before="0" w:beforeAutospacing="0" w:after="0" w:afterAutospacing="0" w:line="360" w:lineRule="auto"/>
                            <w:ind w:left="-113"/>
                            <w:rPr>
                              <w:rFonts w:ascii="Arial" w:hAnsi="Arial" w:cs="Arial"/>
                              <w:sz w:val="16"/>
                              <w:szCs w:val="16"/>
                            </w:rPr>
                          </w:pPr>
                          <w:r w:rsidRPr="00990D41">
                            <w:rPr>
                              <w:rFonts w:ascii="Arial" w:hAnsi="Arial" w:cs="Arial"/>
                              <w:sz w:val="16"/>
                              <w:szCs w:val="16"/>
                            </w:rPr>
                            <w:t>Martin et al. 2006</w:t>
                          </w:r>
                        </w:p>
                      </w:txbxContent>
                    </v:textbox>
                  </v:shape>
                  <v:shape id="Text Box 75" o:spid="_x0000_s1034" type="#_x0000_t202" style="position:absolute;left:13059;top:3048;width:815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WlMcA&#10;AADbAAAADwAAAGRycy9kb3ducmV2LnhtbESPQU8CMRSE7yb+h+aZcJMuJCCsFGIEEhIVInDA28v2&#10;sVvdvq5thcVfb01MPE5m5pvMZNbaWpzIB+NYQa+bgSAunDZcKtjvlrcjECEia6wdk4ILBZhNr68m&#10;mGt35lc6bWMpEoRDjgqqGJtcylBUZDF0XUOcvKPzFmOSvpTa4znBbS37WTaUFg2nhQobeqyo+Nh+&#10;WQXPn4fN4H1+2Nej9ffqxRTevC2elOrctA/3ICK18T/8115pBXdj+P2Sf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1pTHAAAA2wAAAA8AAAAAAAAAAAAAAAAAmAIAAGRy&#10;cy9kb3ducmV2LnhtbFBLBQYAAAAABAAEAPUAAACMAwAAAAA=&#10;" fillcolor="white [3201]" stroked="f" strokeweight=".5pt">
                    <v:fill opacity="0"/>
                    <v:textbox>
                      <w:txbxContent>
                        <w:p w:rsidR="00723BD5" w:rsidRPr="00990D41" w:rsidRDefault="00723BD5" w:rsidP="007F6110">
                          <w:pPr>
                            <w:pStyle w:val="NormalWeb"/>
                            <w:spacing w:before="0" w:beforeAutospacing="0" w:after="0" w:afterAutospacing="0" w:line="360" w:lineRule="auto"/>
                            <w:rPr>
                              <w:rFonts w:ascii="Arial" w:hAnsi="Arial" w:cs="Arial"/>
                            </w:rPr>
                          </w:pPr>
                          <w:r w:rsidRPr="00990D41">
                            <w:rPr>
                              <w:rFonts w:ascii="Arial" w:eastAsia="PMingLiU" w:hAnsi="Arial" w:cs="Arial"/>
                              <w:sz w:val="16"/>
                              <w:szCs w:val="16"/>
                            </w:rPr>
                            <w:t xml:space="preserve">per </w:t>
                          </w:r>
                          <w:r>
                            <w:rPr>
                              <w:rFonts w:ascii="Arial" w:eastAsia="PMingLiU" w:hAnsi="Arial" w:cs="Arial"/>
                              <w:sz w:val="16"/>
                              <w:szCs w:val="16"/>
                            </w:rPr>
                            <w:t>2.5</w:t>
                          </w:r>
                          <w:r w:rsidRPr="00990D41">
                            <w:rPr>
                              <w:rFonts w:ascii="Arial" w:eastAsia="PMingLiU" w:hAnsi="Arial" w:cs="Arial"/>
                              <w:sz w:val="16"/>
                              <w:szCs w:val="16"/>
                            </w:rPr>
                            <w:t xml:space="preserve"> µg/dL</w:t>
                          </w:r>
                        </w:p>
                      </w:txbxContent>
                    </v:textbox>
                  </v:shape>
                  <v:line id="Straight Connector 80" o:spid="_x0000_s1035" style="position:absolute;flip:x;visibility:visible;mso-wrap-style:square" from="23558,4889" to="2559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sEAAADbAAAADwAAAGRycy9kb3ducmV2LnhtbERP3WrCMBS+H+wdwhF2N1PHlK4aZRMG&#10;Yzdi9QEOzVlTbE66JGtrn365ELz8+P43u9G2oicfGscKFvMMBHHldMO1gvPp8zkHESKyxtYxKbhS&#10;gN328WGDhXYDH6kvYy1SCIcCFZgYu0LKUBmyGOauI07cj/MWY4K+ltrjkMJtK1+ybCUtNpwaDHa0&#10;N1Rdyj+roJ3ieXr72Jsp+3296sNh5fzyW6mn2fi+BhFpjHfxzf2lFeRpffq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NjJOwQAAANsAAAAPAAAAAAAAAAAAAAAA&#10;AKECAABkcnMvZG93bnJldi54bWxQSwUGAAAAAAQABAD5AAAAjwMAAAAA&#10;" strokecolor="black [3213]"/>
                  <v:line id="Straight Connector 81" o:spid="_x0000_s1036" style="position:absolute;flip:x;visibility:visible;mso-wrap-style:square" from="24257,6181" to="25209,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X1cMAAADbAAAADwAAAGRycy9kb3ducmV2LnhtbESP0WoCMRRE34X+Q7iFvmlWqaJbo6hQ&#10;EF+k6gdcNtfN0s3NmqS67tcbQejjMDNnmPmytbW4kg+VYwXDQQaCuHC64lLB6fjdn4IIEVlj7ZgU&#10;3CnAcvHWm2Ou3Y1/6HqIpUgQDjkqMDE2uZShMGQxDFxDnLyz8xZjkr6U2uMtwW0tR1k2kRYrTgsG&#10;G9oYKn4Pf1ZB3cVTN1tvTJddPu96v584P94p9fHerr5ARGrjf/jV3moF0yE8v6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6l9XDAAAA2wAAAA8AAAAAAAAAAAAA&#10;AAAAoQIAAGRycy9kb3ducmV2LnhtbFBLBQYAAAAABAAEAPkAAACRAwAAAAA=&#10;" strokecolor="black [3213]"/>
                  <v:line id="Straight Connector 82" o:spid="_x0000_s1037" style="position:absolute;flip:x;visibility:visible;mso-wrap-style:square" from="24215,7642" to="25082,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JosMAAADbAAAADwAAAGRycy9kb3ducmV2LnhtbESP3WoCMRSE7wXfIZxC7zRbqaJbo7RC&#10;QbwRfx7gsDlulm5O1iTVdZ/eCIKXw8x8w8yXra3FhXyoHCv4GGYgiAunKy4VHA+/gymIEJE11o5J&#10;wY0CLBf93hxz7a68o8s+liJBOOSowMTY5FKGwpDFMHQNcfJOzluMSfpSao/XBLe1HGXZRFqsOC0Y&#10;bGhlqPjb/1sFdReP3exnZbrs/HnT2+3E+fFGqfe39vsLRKQ2vsLP9lormI7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oCaLDAAAA2wAAAA8AAAAAAAAAAAAA&#10;AAAAoQIAAGRycy9kb3ducmV2LnhtbFBLBQYAAAAABAAEAPkAAACRAwAAAAA=&#10;" strokecolor="black [3213]"/>
                  <v:line id="Straight Connector 83" o:spid="_x0000_s1038" style="position:absolute;flip:x;visibility:visible;mso-wrap-style:square" from="22904,10436" to="45974,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sOcQAAADbAAAADwAAAGRycy9kb3ducmV2LnhtbESP3WoCMRSE74W+QziF3mm2VsWuRrFC&#10;oXgj/jzAYXO6WdycbJNU1316IwheDjPzDTNftrYWZ/KhcqzgfZCBIC6crrhUcDx896cgQkTWWDsm&#10;BVcKsFy89OaYa3fhHZ33sRQJwiFHBSbGJpcyFIYshoFriJP367zFmKQvpfZ4SXBby2GWTaTFitOC&#10;wYbWhorT/t8qqLt47D6/1qbL/kZXvd1OnB9vlHp7bVczEJHa+Aw/2j9awfQD7l/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Kw5xAAAANsAAAAPAAAAAAAAAAAA&#10;AAAAAKECAABkcnMvZG93bnJldi54bWxQSwUGAAAAAAQABAD5AAAAkgMAAAAA&#10;" strokecolor="black [3213]"/>
                  <v:line id="Straight Connector 84" o:spid="_x0000_s1039" style="position:absolute;flip:x;visibility:visible;mso-wrap-style:square" from="23326,11833" to="50673,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0TcQAAADbAAAADwAAAGRycy9kb3ducmV2LnhtbESPUWvCMBSF3wf+h3AHe5vphhPXmRYV&#10;BrIXsfoDLs1dU9bc1CTT2l9vBgMfD+ec73CW5WA7cSYfWscKXqYZCOLa6ZYbBcfD5/MCRIjIGjvH&#10;pOBKAcpi8rDEXLsL7+lcxUYkCIccFZgY+1zKUBuyGKauJ07et/MWY5K+kdrjJcFtJ1+zbC4ttpwW&#10;DPa0MVT/VL9WQTfG4/i+3pgxO82uerebO//2pdTT47D6ABFpiPfwf3urFSxm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TRNxAAAANsAAAAPAAAAAAAAAAAA&#10;AAAAAKECAABkcnMvZG93bnJldi54bWxQSwUGAAAAAAQABAD5AAAAkgMAAAAA&#10;" strokecolor="black [3213]"/>
                  <v:line id="Straight Connector 85" o:spid="_x0000_s1040" style="position:absolute;flip:x;visibility:visible;mso-wrap-style:square" from="24701,13357" to="57594,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R1sMAAADbAAAADwAAAGRycy9kb3ducmV2LnhtbESP0WoCMRRE3wv+Q7gF32q2RcVujaKC&#10;IH0RVz/gsrndLN3crEmq6359Iwg+DjNzhpkvO9uIC/lQO1bwPspAEJdO11wpOB23bzMQISJrbByT&#10;ghsFWC4GL3PMtbvygS5FrESCcMhRgYmxzaUMpSGLYeRa4uT9OG8xJukrqT1eE9w28iPLptJizWnB&#10;YEsbQ+Vv8WcVNH089Z/rjemz8/im9/up85NvpYav3eoLRKQuPsOP9k4rmE3g/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BkdbDAAAA2wAAAA8AAAAAAAAAAAAA&#10;AAAAoQIAAGRycy9kb3ducmV2LnhtbFBLBQYAAAAABAAEAPkAAACRAwAAAAA=&#10;" strokecolor="black [3213]"/>
                  <v:line id="Straight Connector 86" o:spid="_x0000_s1041" style="position:absolute;flip:x;visibility:visible;mso-wrap-style:square" from="23326,16214" to="27495,1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PocMAAADbAAAADwAAAGRycy9kb3ducmV2LnhtbESP0WoCMRRE3wv+Q7iCbzVrsYtdjWIF&#10;QfoitX7AZXPdLG5u1iTqul9vCoU+DjNzhlmsOtuIG/lQO1YwGWcgiEuna64UHH+2rzMQISJrbByT&#10;ggcFWC0HLwsstLvzN90OsRIJwqFABSbGtpAylIYshrFriZN3ct5iTNJXUnu8J7ht5FuW5dJizWnB&#10;YEsbQ+X5cLUKmj4e+4/Pjemzy/Sh9/vc+fcvpUbDbj0HEamL/+G/9k4rmOXw+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TD6HDAAAA2wAAAA8AAAAAAAAAAAAA&#10;AAAAoQIAAGRycy9kb3ducmV2LnhtbFBLBQYAAAAABAAEAPkAAACRAwAAAAA=&#10;" strokecolor="black [3213]"/>
                  <v:line id="Straight Connector 87" o:spid="_x0000_s1042" style="position:absolute;flip:x;visibility:visible;mso-wrap-style:square" from="22904,17611" to="26606,1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sQAAADbAAAADwAAAGRycy9kb3ducmV2LnhtbESPzWrDMBCE74W+g9hCb43c0PzUsRzS&#10;QKHkEvLzAIu1tUyslSupieOnjwKFHoeZ+YYplr1txZl8aBwreB1lIIgrpxuuFRwPny9zECEia2wd&#10;k4IrBViWjw8F5tpdeEfnfaxFgnDIUYGJsculDJUhi2HkOuLkfTtvMSbpa6k9XhLctnKcZVNpseG0&#10;YLCjtaHqtP+1CtohHof3j7UZsp+3q95up85PNko9P/WrBYhIffwP/7W/tIL5DO5f0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6o6xAAAANsAAAAPAAAAAAAAAAAA&#10;AAAAAKECAABkcnMvZG93bnJldi54bWxQSwUGAAAAAAQABAD5AAAAkgMAAAAA&#10;" strokecolor="black [3213]"/>
                  <v:line id="Straight Connector 88" o:spid="_x0000_s1043" style="position:absolute;flip:x;visibility:visible;mso-wrap-style:square" from="23517,19008" to="27051,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SMEAAADbAAAADwAAAGRycy9kb3ducmV2LnhtbERP3WrCMBS+H+wdwhF2N1PHlK4aZRMG&#10;Yzdi9QEOzVlTbE66JGtrn365ELz8+P43u9G2oicfGscKFvMMBHHldMO1gvPp8zkHESKyxtYxKbhS&#10;gN328WGDhXYDH6kvYy1SCIcCFZgYu0LKUBmyGOauI07cj/MWY4K+ltrjkMJtK1+ybCUtNpwaDHa0&#10;N1Rdyj+roJ3ieXr72Jsp+3296sNh5fzyW6mn2fi+BhFpjHfxzf2lFeRpbPq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D5IwQAAANsAAAAPAAAAAAAAAAAAAAAA&#10;AKECAABkcnMvZG93bnJldi54bWxQSwUGAAAAAAQABAD5AAAAjwMAAAAA&#10;" strokecolor="black [3213]"/>
                  <v:line id="Straight Connector 89" o:spid="_x0000_s1044" style="position:absolute;flip:x;visibility:visible;mso-wrap-style:square" from="21973,21866" to="28638,2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b08MAAADbAAAADwAAAGRycy9kb3ducmV2LnhtbESP0WoCMRRE34X+Q7iFvmlWqaKrUVQo&#10;FF+k6gdcNtfN4uZmTVJd9+sbQejjMDNnmMWqtbW4kQ+VYwXDQQaCuHC64lLB6fjVn4IIEVlj7ZgU&#10;PCjAavnWW2Cu3Z1/6HaIpUgQDjkqMDE2uZShMGQxDFxDnLyz8xZjkr6U2uM9wW0tR1k2kRYrTgsG&#10;G9oaKi6HX6ug7uKpm222psuunw+930+cH++U+nhv13MQkdr4H361v7WC6QyeX9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m9PDAAAA2wAAAA8AAAAAAAAAAAAA&#10;AAAAoQIAAGRycy9kb3ducmV2LnhtbFBLBQYAAAAABAAEAPkAAACRAwAAAAA=&#10;" strokecolor="black [3213]"/>
                  <v:line id="Straight Connector 90" o:spid="_x0000_s1045" style="position:absolute;flip:x;visibility:visible;mso-wrap-style:square" from="22904,23199" to="28321,2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kk8EAAADbAAAADwAAAGRycy9kb3ducmV2LnhtbERP3WrCMBS+H+wdwhF2t6aOKbMaZRMG&#10;Yzdi9QEOzVlTbE66JGtrn365ELz8+P43u9G2oicfGscK5lkOgrhyuuFawfn0+fwGIkRkja1jUnCl&#10;ALvt48MGC+0GPlJfxlqkEA4FKjAxdoWUoTJkMWSuI07cj/MWY4K+ltrjkMJtK1/yfCktNpwaDHa0&#10;N1Rdyj+roJ3ieVp97M2U/75e9eGwdH7xrdTTbHxfg4g0xrv45v7SClZpffq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76STwQAAANsAAAAPAAAAAAAAAAAAAAAA&#10;AKECAABkcnMvZG93bnJldi54bWxQSwUGAAAAAAQABAD5AAAAjwMAAAAA&#10;" strokecolor="black [3213]"/>
                  <v:line id="Straight Connector 91" o:spid="_x0000_s1046" style="position:absolute;flip:x;visibility:visible;mso-wrap-style:square" from="23771,24596" to="32702,2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BCMMAAADbAAAADwAAAGRycy9kb3ducmV2LnhtbESP0WoCMRRE34X+Q7iFvmlWqaJbo6hQ&#10;EF+k6gdcNtfN0s3NmqS67tcbQejjMDNnmPmytbW4kg+VYwXDQQaCuHC64lLB6fjdn4IIEVlj7ZgU&#10;3CnAcvHWm2Ou3Y1/6HqIpUgQDjkqMDE2uZShMGQxDFxDnLyz8xZjkr6U2uMtwW0tR1k2kRYrTgsG&#10;G9oYKn4Pf1ZB3cVTN1tvTJddPu96v584P94p9fHerr5ARGrjf/jV3moFsyE8v6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AQjDAAAA2wAAAA8AAAAAAAAAAAAA&#10;AAAAoQIAAGRycy9kb3ducmV2LnhtbFBLBQYAAAAABAAEAPkAAACRAwAAAAA=&#10;" strokecolor="black [3213]"/>
                  <v:line id="Straight Connector 92" o:spid="_x0000_s1047" style="position:absolute;flip:x;visibility:visible;mso-wrap-style:square" from="22669,27454" to="35179,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ff8MAAADbAAAADwAAAGRycy9kb3ducmV2LnhtbESP3WoCMRSE7wXfIZxC7zRbqaJbo7RC&#10;QbwRfx7gsDlulm5O1iTVdZ/eCIKXw8x8w8yXra3FhXyoHCv4GGYgiAunKy4VHA+/gymIEJE11o5J&#10;wY0CLBf93hxz7a68o8s+liJBOOSowMTY5FKGwpDFMHQNcfJOzluMSfpSao/XBLe1HGXZRFqsOC0Y&#10;bGhlqPjb/1sFdReP3exnZbrs/HnT2+3E+fFGqfe39vsLRKQ2vsLP9lormI3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xn3/DAAAA2wAAAA8AAAAAAAAAAAAA&#10;AAAAoQIAAGRycy9kb3ducmV2LnhtbFBLBQYAAAAABAAEAPkAAACRAwAAAAA=&#10;" strokecolor="black [3213]"/>
                  <v:line id="Straight Connector 93" o:spid="_x0000_s1048" style="position:absolute;flip:x;visibility:visible;mso-wrap-style:square" from="23580,28914" to="33782,2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65MMAAADbAAAADwAAAGRycy9kb3ducmV2LnhtbESP3WoCMRSE7wu+QzhC72rW/oiuRqlC&#10;oXgj/jzAYXPcLG5O1iTquk/fCAUvh5n5hpktWluLK/lQOVYwHGQgiAunKy4VHPY/b2MQISJrrB2T&#10;gjsFWMx7LzPMtbvxlq67WIoE4ZCjAhNjk0sZCkMWw8A1xMk7Om8xJulLqT3eEtzW8j3LRtJixWnB&#10;YEMrQ8Vpd7EK6i4euslyZbrs/HnXm83I+a+1Uq/99nsKIlIbn+H/9q9WMPmAx5f0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9OuTDAAAA2wAAAA8AAAAAAAAAAAAA&#10;AAAAoQIAAGRycy9kb3ducmV2LnhtbFBLBQYAAAAABAAEAPkAAACRAwAAAAA=&#10;" strokecolor="black [3213]"/>
                  <v:line id="Straight Connector 94" o:spid="_x0000_s1049" style="position:absolute;flip:x;visibility:visible;mso-wrap-style:square" from="24215,30311" to="33147,3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ikMQAAADbAAAADwAAAGRycy9kb3ducmV2LnhtbESPUWvCMBSF3wf+h3AHe5vphpPZmRYV&#10;BrIXsfoDLs1dU9bc1CTT2l9vBgMfD+ec73CW5WA7cSYfWscKXqYZCOLa6ZYbBcfD5/M7iBCRNXaO&#10;ScGVApTF5GGJuXYX3tO5io1IEA45KjAx9rmUoTZkMUxdT5y8b+ctxiR9I7XHS4LbTr5m2VxabDkt&#10;GOxpY6j+qX6tgm6Mx3Gx3pgxO82uerebO//2pdTT47D6ABFpiPfwf3urFSxm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KKQxAAAANsAAAAPAAAAAAAAAAAA&#10;AAAAAKECAABkcnMvZG93bnJldi54bWxQSwUGAAAAAAQABAD5AAAAkgMAAAAA&#10;" strokecolor="black [3213]"/>
                  <v:line id="Straight Connector 95" o:spid="_x0000_s1050" style="position:absolute;flip:x;visibility:visible;mso-wrap-style:square" from="22183,33105" to="32321,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HC8MAAADbAAAADwAAAGRycy9kb3ducmV2LnhtbESP0WoCMRRE3wv+Q7gF32q2RaVujaKC&#10;IH0RVz/gsrndLN3crEmq6359Iwg+DjNzhpkvO9uIC/lQO1bwPspAEJdO11wpOB23b58gQkTW2Dgm&#10;BTcKsFwMXuaYa3flA12KWIkE4ZCjAhNjm0sZSkMWw8i1xMn7cd5iTNJXUnu8Jrht5EeWTaXFmtOC&#10;wZY2hsrf4s8qaPp46mfrjemz8/im9/up85NvpYav3eoLRKQuPsOP9k4rmE3g/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BwvDAAAA2wAAAA8AAAAAAAAAAAAA&#10;AAAAoQIAAGRycy9kb3ducmV2LnhtbFBLBQYAAAAABAAEAPkAAACRAwAAAAA=&#10;" strokecolor="black [3213]"/>
                  <v:line id="Straight Connector 96" o:spid="_x0000_s1051" style="position:absolute;flip:x;visibility:visible;mso-wrap-style:square" from="23580,34439" to="35687,3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ZfMMAAADbAAAADwAAAGRycy9kb3ducmV2LnhtbESP0WoCMRRE3wv+Q7iCbzVrsUtdjWIF&#10;QfoitX7AZXPdLG5u1iTqul9vCoU+DjNzhlmsOtuIG/lQO1YwGWcgiEuna64UHH+2rx8gQkTW2Dgm&#10;BQ8KsFoOXhZYaHfnb7odYiUShEOBCkyMbSFlKA1ZDGPXEifv5LzFmKSvpPZ4T3DbyLcsy6XFmtOC&#10;wZY2hsrz4WoVNH089rPPjemzy/Sh9/vc+fcvpUbDbj0HEamL/+G/9k4rmOXw+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KmXzDAAAA2wAAAA8AAAAAAAAAAAAA&#10;AAAAoQIAAGRycy9kb3ducmV2LnhtbFBLBQYAAAAABAAEAPkAAACRAwAAAAA=&#10;" strokecolor="black [3213]"/>
                  <v:line id="Straight Connector 97" o:spid="_x0000_s1052" style="position:absolute;flip:x;visibility:visible;mso-wrap-style:square" from="23050,35963" to="36322,3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858UAAADbAAAADwAAAGRycy9kb3ducmV2LnhtbESPzWrDMBCE74W+g9hCb43c0CSNYzmk&#10;gULJJeTnARZra5lYK1dSE8dPHwUKPQ4z8w1TLHvbijP50DhW8DrKQBBXTjdcKzgePl/eQYSIrLF1&#10;TAquFGBZPj4UmGt34R2d97EWCcIhRwUmxi6XMlSGLIaR64iT9+28xZikr6X2eElw28pxlk2lxYbT&#10;gsGO1oaq0/7XKmiHeBzmH2szZD9vV73dTp2fbJR6fupXCxCR+vgf/mt/aQXzGdy/pB8g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Y858UAAADbAAAADwAAAAAAAAAA&#10;AAAAAAChAgAAZHJzL2Rvd25yZXYueG1sUEsFBgAAAAAEAAQA+QAAAJMDAAAAAA==&#10;" strokecolor="black [3213]"/>
                  <v:line id="Straight Connector 98" o:spid="_x0000_s1053" style="position:absolute;flip:x;visibility:visible;mso-wrap-style:square" from="24701,38693" to="37655,3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olcEAAADbAAAADwAAAGRycy9kb3ducmV2LnhtbERP3WrCMBS+H+wdwhF2t6aOKbMaZRMG&#10;Yzdi9QEOzVlTbE66JGtrn365ELz8+P43u9G2oicfGscK5lkOgrhyuuFawfn0+fwGIkRkja1jUnCl&#10;ALvt48MGC+0GPlJfxlqkEA4FKjAxdoWUoTJkMWSuI07cj/MWY4K+ltrjkMJtK1/yfCktNpwaDHa0&#10;N1Rdyj+roJ3ieVp97M2U/75e9eGwdH7xrdTTbHxfg4g0xrv45v7SClZpbPq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aiVwQAAANsAAAAPAAAAAAAAAAAAAAAA&#10;AKECAABkcnMvZG93bnJldi54bWxQSwUGAAAAAAQABAD5AAAAjwMAAAAA&#10;" strokecolor="black [3213]"/>
                  <v:line id="Straight Connector 99" o:spid="_x0000_s1054" style="position:absolute;flip:x;visibility:visible;mso-wrap-style:square" from="26946,40154" to="43815,4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NDsMAAADbAAAADwAAAGRycy9kb3ducmV2LnhtbESP0WoCMRRE34X+Q7gF3zRbseKuRqmC&#10;UPoiVT/gsrlulm5utknUdb++EYQ+DjNzhlmuO9uIK/lQO1bwNs5AEJdO11wpOB13ozmIEJE1No5J&#10;wZ0CrFcvgyUW2t34m66HWIkE4VCgAhNjW0gZSkMWw9i1xMk7O28xJukrqT3eEtw2cpJlM2mx5rRg&#10;sKWtofLncLEKmj6e+nyzNX32O73r/X7m/PuXUsPX7mMBIlIX/8PP9qdWkOfw+J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VDQ7DAAAA2wAAAA8AAAAAAAAAAAAA&#10;AAAAoQIAAGRycy9kb3ducmV2LnhtbFBLBQYAAAAABAAEAPkAAACRAwAAAAA=&#10;" strokecolor="black [3213]"/>
                  <v:line id="Straight Connector 100" o:spid="_x0000_s1055" style="position:absolute;flip:x;visibility:visible;mso-wrap-style:square" from="27962,41614" to="52514,4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MDMUAAADcAAAADwAAAGRycy9kb3ducmV2LnhtbESPQUsDMRCF70L/QxihN5soWnTbtGhB&#10;KF6KtT9g2IybpZvJNontdn+9cxC8zfDevPfNcj2ETp0p5TayhfuZAUVcR9dyY+Hw9X73DCoXZIdd&#10;ZLJwpQzr1eRmiZWLF/6k8740SkI4V2jBl9JXWufaU8A8iz2xaN8xBSyypka7hBcJD51+MGauA7Ys&#10;DR572niqj/ufYKEby2F8edv40Zwer263m8f09GHt9HZ4XYAqNJR/89/11gm+EX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MDMUAAADcAAAADwAAAAAAAAAA&#10;AAAAAAChAgAAZHJzL2Rvd25yZXYueG1sUEsFBgAAAAAEAAQA+QAAAJMDAAAAAA==&#10;" strokecolor="black [3213]"/>
                  <v:line id="Straight Connector 101" o:spid="_x0000_s1056" style="position:absolute;flip:x;visibility:visible;mso-wrap-style:square" from="19389,44408" to="32321,4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pl8EAAADcAAAADwAAAGRycy9kb3ducmV2LnhtbERPzWoCMRC+C75DGKE3TSyt1K1RrCCU&#10;XqTWBxg242bpZrImUdd9+kYQepuP73cWq8414kIh1p41TCcKBHHpTc2VhsPPdvwGIiZkg41n0nCj&#10;CKvlcLDAwvgrf9NlnyqRQzgWqMGm1BZSxtKSwzjxLXHmjj44TBmGSpqA1xzuGvms1Ew6rDk3WGxp&#10;Y6n83Z+dhqZPh37+sbG9Or3czG438+H1S+unUbd+B5GoS//ih/vT5PlqCvdn8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nOmXwQAAANwAAAAPAAAAAAAAAAAAAAAA&#10;AKECAABkcnMvZG93bnJldi54bWxQSwUGAAAAAAQABAD5AAAAjwMAAAAA&#10;" strokecolor="black [3213]"/>
                  <v:line id="Straight Connector 102" o:spid="_x0000_s1057" style="position:absolute;flip:x;visibility:visible;mso-wrap-style:square" from="21866,45869" to="39497,4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34MEAAADcAAAADwAAAGRycy9kb3ducmV2LnhtbERPzWoCMRC+C75DGMGbJoqVujVKKxRK&#10;L1LrAwybcbN0M1mTVNd9+kYQepuP73fW28414kIh1p41zKYKBHHpTc2VhuP3++QZREzIBhvPpOFG&#10;Ebab4WCNhfFX/qLLIVUih3AsUINNqS2kjKUlh3HqW+LMnXxwmDIMlTQBrzncNXKu1FI6rDk3WGxp&#10;Z6n8Ofw6DU2fjv3qbWd7dV7czH6/9OHpU+vxqHt9AZGoS//ih/vD5PlqDvdn8gV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TnfgwQAAANwAAAAPAAAAAAAAAAAAAAAA&#10;AKECAABkcnMvZG93bnJldi54bWxQSwUGAAAAAAQABAD5AAAAjwMAAAAA&#10;" strokecolor="black [3213]"/>
                  <v:line id="Straight Connector 103" o:spid="_x0000_s1058" style="position:absolute;flip:x;visibility:visible;mso-wrap-style:square" from="21675,47202" to="35687,4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Se8IAAADcAAAADwAAAGRycy9kb3ducmV2LnhtbERPzWoCMRC+C75DmEJvmrS10m6N0gqC&#10;eBGtDzBsppulm8mapLru0xuh4G0+vt+ZLTrXiBOFWHvW8DRWIIhLb2quNBy+V6M3EDEhG2w8k4YL&#10;RVjMh4MZFsafeUenfapEDuFYoAabUltIGUtLDuPYt8SZ+/HBYcowVNIEPOdw18hnpabSYc25wWJL&#10;S0vl7/7PaWj6dOjfv5a2V8fJxWy3Ux9eN1o/PnSfHyASdeku/nevTZ6vXuD2TL5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LSe8IAAADcAAAADwAAAAAAAAAAAAAA&#10;AAChAgAAZHJzL2Rvd25yZXYueG1sUEsFBgAAAAAEAAQA+QAAAJADAAAAAA==&#10;" strokecolor="black [3213]"/>
                  <v:line id="Straight Connector 104" o:spid="_x0000_s1059" style="position:absolute;flip:x;visibility:visible;mso-wrap-style:square" from="24574,48663" to="25908,4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KD8EAAADcAAAADwAAAGRycy9kb3ducmV2LnhtbERPzWoCMRC+C75DmEJvmrRYaVejtEJB&#10;ehGtDzBsppvFzWRNUl336Y0geJuP73fmy8414kQh1p41vIwVCOLSm5orDfvf79E7iJiQDTaeScOF&#10;IiwXw8EcC+PPvKXTLlUih3AsUINNqS2kjKUlh3HsW+LM/fngMGUYKmkCnnO4a+SrUlPpsObcYLGl&#10;laXysPt3Gpo+7fuPr5Xt1XFyMZvN1Ie3H62fn7rPGYhEXXqI7+61yfPVBG7P5Avk4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60oPwQAAANwAAAAPAAAAAAAAAAAAAAAA&#10;AKECAABkcnMvZG93bnJldi54bWxQSwUGAAAAAAQABAD5AAAAjwMAAAAA&#10;" strokecolor="black [3213]"/>
                  <v:line id="Straight Connector 105" o:spid="_x0000_s1060" style="position:absolute;flip:x;visibility:visible;mso-wrap-style:square" from="23771,49996" to="25803,4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vlMEAAADcAAAADwAAAGRycy9kb3ducmV2LnhtbERPzWoCMRC+F3yHMAVvNWlRsVujtIIg&#10;XqTqAwyb6WbpZrImqa779EYQepuP73fmy8414kwh1p41vI4UCOLSm5orDcfD+mUGIiZkg41n0nCl&#10;CMvF4GmOhfEX/qbzPlUih3AsUINNqS2kjKUlh3HkW+LM/fjgMGUYKmkCXnK4a+SbUlPpsObcYLGl&#10;laXyd//nNDR9OvbvXyvbq9P4ana7qQ+TrdbD5+7zA0SiLv2LH+6NyfPVB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p++UwQAAANwAAAAPAAAAAAAAAAAAAAAA&#10;AKECAABkcnMvZG93bnJldi54bWxQSwUGAAAAAAQABAD5AAAAjwMAAAAA&#10;" strokecolor="black [3213]"/>
                  <v:line id="Straight Connector 106" o:spid="_x0000_s1061" style="position:absolute;flip:x;visibility:visible;mso-wrap-style:square" from="24215,51457" to="26606,5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x48IAAADcAAAADwAAAGRycy9kb3ducmV2LnhtbERP22oCMRB9L/QfwhT6VhNLu+jWKK0g&#10;lL6Ilw8YNtPN4mayTaKu+/WNIPg2h3Od2aJ3rThRiI1nDeORAkFcedNwrWG/W71MQMSEbLD1TBou&#10;FGExf3yYYWn8mTd02qZa5BCOJWqwKXWllLGy5DCOfEecuV8fHKYMQy1NwHMOd618VaqQDhvODRY7&#10;WlqqDtuj09AOaT9Mv5Z2UH9vF7NeFz68/2j9/NR/foBI1Ke7+Ob+Nnm+KuD6TL5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Vx48IAAADcAAAADwAAAAAAAAAAAAAA&#10;AAChAgAAZHJzL2Rvd25yZXYueG1sUEsFBgAAAAAEAAQA+QAAAJADAAAAAA==&#10;" strokecolor="black [3213]"/>
                  <v:line id="Straight Connector 107" o:spid="_x0000_s1062" style="position:absolute;flip:x;visibility:visible;mso-wrap-style:square" from="24574,52917" to="26225,5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eMIAAADcAAAADwAAAGRycy9kb3ducmV2LnhtbERPzWoCMRC+C75DmEJvmrS0tq5GaYVC&#10;8SK1PsCwGTeLm8mapLru0zeC4G0+vt+ZLzvXiBOFWHvW8DRWIIhLb2quNOx+v0bvIGJCNth4Jg0X&#10;irBcDAdzLIw/8w+dtqkSOYRjgRpsSm0hZSwtOYxj3xJnbu+Dw5RhqKQJeM7hrpHPSk2kw5pzg8WW&#10;VpbKw/bPaWj6tOunnyvbq+PLxWw2Ex9e11o/PnQfMxCJunQX39zfJs9Xb3B9Jl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UeMIAAADcAAAADwAAAAAAAAAAAAAA&#10;AAChAgAAZHJzL2Rvd25yZXYueG1sUEsFBgAAAAAEAAQA+QAAAJADAAAAAA==&#10;" strokecolor="black [3213]"/>
                  <v:line id="Straight Connector 108" o:spid="_x0000_s1063" style="position:absolute;flip:x;visibility:visible;mso-wrap-style:square" from="24638,54251" to="26670,5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ACsUAAADcAAAADwAAAGRycy9kb3ducmV2LnhtbESPQUsDMRCF70L/QxihN5soWnTbtGhB&#10;KF6KtT9g2IybpZvJNontdn+9cxC8zfDevPfNcj2ETp0p5TayhfuZAUVcR9dyY+Hw9X73DCoXZIdd&#10;ZLJwpQzr1eRmiZWLF/6k8740SkI4V2jBl9JXWufaU8A8iz2xaN8xBSyypka7hBcJD51+MGauA7Ys&#10;DR572niqj/ufYKEby2F8edv40Zwer263m8f09GHt9HZ4XYAqNJR/89/11gm+EV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ACsUAAADcAAAADwAAAAAAAAAA&#10;AAAAAAChAgAAZHJzL2Rvd25yZXYueG1sUEsFBgAAAAAEAAQA+QAAAJMDAAAAAA==&#10;" strokecolor="black [3213]"/>
                  <v:line id="Straight Connector 109" o:spid="_x0000_s1064" style="position:absolute;flip:x;visibility:visible;mso-wrap-style:square" from="23050,55606" to="25803,5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kcEAAADcAAAADwAAAGRycy9kb3ducmV2LnhtbERPzWoCMRC+C75DGKE3TVpaqVujWEGQ&#10;XqTWBxg2083SzWRNoq779EYQepuP73fmy8414kwh1p41PE8UCOLSm5orDYefzfgdREzIBhvPpOFK&#10;EZaL4WCOhfEX/qbzPlUih3AsUINNqS2kjKUlh3HiW+LM/frgMGUYKmkCXnK4a+SLUlPpsObcYLGl&#10;taXyb39yGpo+HfrZ59r26vh6Nbvd1Ie3L62fRt3qA0SiLv2LH+6tyfPVD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uWRwQAAANwAAAAPAAAAAAAAAAAAAAAA&#10;AKECAABkcnMvZG93bnJldi54bWxQSwUGAAAAAAQABAD5AAAAjwMAAAAA&#10;" strokecolor="black [3213]"/>
                  <v:line id="Straight Connector 110" o:spid="_x0000_s1065" style="position:absolute;flip:x;visibility:visible;mso-wrap-style:square" from="24511,57045" to="27051,5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a0cUAAADcAAAADwAAAGRycy9kb3ducmV2LnhtbESPQWsCMRCF70L/Q5hCb5pVWmm3RlGh&#10;ULxI1R8wbKabpZvJNom67q93DoXeZnhv3vtmsep9qy4UUxPYwHRSgCKugm24NnA6foxfQaWMbLEN&#10;TAZulGC1fBgtsLThyl90OeRaSQinEg24nLtS61Q58pgmoSMW7TtEj1nWWGsb8SrhvtWzophrjw1L&#10;g8OOto6qn8PZG2iHfBreNls3FL/PN7vfz0N82Rnz9Niv30Fl6vO/+e/60w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na0cUAAADcAAAADwAAAAAAAAAA&#10;AAAAAAChAgAAZHJzL2Rvd25yZXYueG1sUEsFBgAAAAAEAAQA+QAAAJMDAAAAAA==&#10;" strokecolor="black [3213]"/>
                  <v:line id="Straight Connector 111" o:spid="_x0000_s1066" style="position:absolute;flip:x;visibility:visible;mso-wrap-style:square" from="24638,58464" to="27495,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SsIAAADcAAAADwAAAGRycy9kb3ducmV2LnhtbERPzWoCMRC+C75DGKE3zW5pRVejWKEg&#10;vUjVBxg242ZxM1mTVNd9elMo9DYf3+8s151txI18qB0ryCcZCOLS6ZorBafj53gGIkRkjY1jUvCg&#10;AOvVcLDEQrs7f9PtECuRQjgUqMDE2BZShtKQxTBxLXHizs5bjAn6SmqP9xRuG/maZVNpsebUYLCl&#10;raHycvixCpo+nvr5x9b02fXtoff7qfPvX0q9jLrNAkSkLv6L/9w7nebnOfw+ky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V/SsIAAADcAAAADwAAAAAAAAAAAAAA&#10;AAChAgAAZHJzL2Rvd25yZXYueG1sUEsFBgAAAAAEAAQA+QAAAJADAAAAAA==&#10;" strokecolor="black [3213]"/>
                  <v:line id="Straight Connector 112" o:spid="_x0000_s1067" style="position:absolute;flip:x;visibility:visible;mso-wrap-style:square" from="23898,59966" to="25930,5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hPcEAAADcAAAADwAAAGRycy9kb3ducmV2LnhtbERP22oCMRB9F/oPYQq+aVZRabdGaQVB&#10;fBEvHzBsppulm8k2ibru1xtB8G0O5zrzZWtrcSEfKscKRsMMBHHhdMWlgtNxPfgAESKyxtoxKbhR&#10;gOXirTfHXLsr7+lyiKVIIRxyVGBibHIpQ2HIYhi6hjhxv85bjAn6UmqP1xRuaznOspm0WHFqMNjQ&#10;ylDxdzhbBXUXT93nz8p02f/kpne7mfPTrVL99/b7C0SkNr7ET/dGp/mjMTyeSR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l+E9wQAAANwAAAAPAAAAAAAAAAAAAAAA&#10;AKECAABkcnMvZG93bnJldi54bWxQSwUGAAAAAAQABAD5AAAAjwMAAAAA&#10;" strokecolor="black [3213]"/>
                  <v:line id="Straight Connector 113" o:spid="_x0000_s1068" style="position:absolute;flip:x;visibility:visible;mso-wrap-style:square" from="21973,62760" to="28321,6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EpsIAAADcAAAADwAAAGRycy9kb3ducmV2LnhtbERPzWoCMRC+C32HMEJvmtWqtKtRrFAo&#10;XqTWBxg242ZxM9kmqa779EYQvM3H9zuLVWtrcSYfKscKRsMMBHHhdMWlgsPv1+AdRIjIGmvHpOBK&#10;AVbLl94Cc+0u/EPnfSxFCuGQowITY5NLGQpDFsPQNcSJOzpvMSboS6k9XlK4reU4y2bSYsWpwWBD&#10;G0PFaf9vFdRdPHQfnxvTZX+Tq97tZs5Pt0q99tv1HESkNj7FD/e3TvNHb3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tEpsIAAADcAAAADwAAAAAAAAAAAAAA&#10;AAChAgAAZHJzL2Rvd25yZXYueG1sUEsFBgAAAAAEAAQA+QAAAJADAAAAAA==&#10;" strokecolor="black [3213]"/>
                  <v:line id="Straight Connector 114" o:spid="_x0000_s1069" style="position:absolute;flip:x;visibility:visible;mso-wrap-style:square" from="23558,64220" to="30670,6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c0sIAAADcAAAADwAAAGRycy9kb3ducmV2LnhtbERP3WrCMBS+H+wdwhnsbqYOJ9o1FRUG&#10;shux+gCH5qwpa066JNPapzeDgXfn4/s9xWqwnTiTD61jBdNJBoK4drrlRsHp+PGyABEissbOMSm4&#10;UoBV+fhQYK7dhQ90rmIjUgiHHBWYGPtcylAbshgmridO3JfzFmOCvpHa4yWF206+ZtlcWmw5NRjs&#10;aWuo/q5+rYJujKdxudmaMfuZXfV+P3f+7VOp56dh/Q4i0hDv4n/3Tqf50xn8PZMu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Lc0sIAAADcAAAADwAAAAAAAAAAAAAA&#10;AAChAgAAZHJzL2Rvd25yZXYueG1sUEsFBgAAAAAEAAQA+QAAAJADAAAAAA==&#10;" strokecolor="black [3213]"/>
                  <v:line id="Straight Connector 115" o:spid="_x0000_s1070" style="position:absolute;flip:x;visibility:visible;mso-wrap-style:square" from="23898,65617" to="30670,6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55ScIAAADcAAAADwAAAGRycy9kb3ducmV2LnhtbERPzWoCMRC+C75DmEJvmrWotFujqCCU&#10;XsTVBxg2083SzWRNUl336RtB8DYf3+8sVp1txIV8qB0rmIwzEMSl0zVXCk7H3egdRIjIGhvHpOBG&#10;AVbL4WCBuXZXPtCliJVIIRxyVGBibHMpQ2nIYhi7ljhxP85bjAn6SmqP1xRuG/mWZXNpsebUYLCl&#10;raHyt/izCpo+nvqPzdb02Xl60/v93PnZt1KvL936E0SkLj7FD/eXTvMnM7g/k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55ScIAAADcAAAADwAAAAAAAAAAAAAA&#10;AAChAgAAZHJzL2Rvd25yZXYueG1sUEsFBgAAAAAEAAQA+QAAAJADAAAAAA==&#10;" strokecolor="black [3213]"/>
                  <v:line id="Straight Connector 116" o:spid="_x0000_s1071" style="position:absolute;flip:x;visibility:visible;mso-wrap-style:square" from="23917,66951" to="25209,6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nPsIAAADcAAAADwAAAGRycy9kb3ducmV2LnhtbERPzWoCMRC+F3yHMEJvNavUxa5GUaFQ&#10;vEjVBxg2083iZrImqa779I0g9DYf3+8sVp1txJV8qB0rGI8yEMSl0zVXCk7Hz7cZiBCRNTaOScGd&#10;AqyWg5cFFtrd+Juuh1iJFMKhQAUmxraQMpSGLIaRa4kT9+O8xZigr6T2eEvhtpGTLMulxZpTg8GW&#10;tobK8+HXKmj6eOo/NlvTZ5f3u97vc+enO6Veh916DiJSF//FT/eXTvPHOTyeSR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znPsIAAADcAAAADwAAAAAAAAAAAAAA&#10;AAChAgAAZHJzL2Rvd25yZXYueG1sUEsFBgAAAAAEAAQA+QAAAJADAAAAAA==&#10;" strokecolor="black [3213]"/>
                  <v:line id="Straight Connector 117" o:spid="_x0000_s1072" style="position:absolute;flip:x;visibility:visible;mso-wrap-style:square" from="24257,68348" to="25590,6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CpcMAAADcAAAADwAAAGRycy9kb3ducmV2LnhtbERP3WrCMBS+H+wdwhF2N9PKdFs1FScM&#10;hjei8wEOzbEpNiddkmnt0xthsLvz8f2exbK3rTiTD41jBfk4A0FcOd1wreDw/fn8BiJEZI2tY1Jw&#10;pQDL8vFhgYV2F97ReR9rkUI4FKjAxNgVUobKkMUwdh1x4o7OW4wJ+lpqj5cUbls5ybKZtNhwajDY&#10;0dpQddr/WgXtEA/D+8faDNnPy1VvtzPnpxulnkb9ag4iUh//xX/uL53m569wfyZd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QqXDAAAA3AAAAA8AAAAAAAAAAAAA&#10;AAAAoQIAAGRycy9kb3ducmV2LnhtbFBLBQYAAAAABAAEAPkAAACRAwAAAAA=&#10;" strokecolor="black [3213]"/>
                  <v:line id="Straight Connector 118" o:spid="_x0000_s1073" style="position:absolute;flip:x;visibility:visible;mso-wrap-style:square" from="25251,69767" to="27495,6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18UAAADcAAAADwAAAGRycy9kb3ducmV2LnhtbESPQWsCMRCF70L/Q5hCb5pVWmm3RlGh&#10;ULxI1R8wbKabpZvJNom67q93DoXeZnhv3vtmsep9qy4UUxPYwHRSgCKugm24NnA6foxfQaWMbLEN&#10;TAZulGC1fBgtsLThyl90OeRaSQinEg24nLtS61Q58pgmoSMW7TtEj1nWWGsb8SrhvtWzophrjw1L&#10;g8OOto6qn8PZG2iHfBreNls3FL/PN7vfz0N82Rnz9Niv30Fl6vO/+e/60wr+V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W18UAAADcAAAADwAAAAAAAAAA&#10;AAAAAAChAgAAZHJzL2Rvd25yZXYueG1sUEsFBgAAAAAEAAQA+QAAAJMDAAAAAA==&#10;" strokecolor="black [3213]"/>
                  <v:line id="Straight Connector 119" o:spid="_x0000_s1074" style="position:absolute;flip:x;visibility:visible;mso-wrap-style:square" from="25590,71142" to="28321,7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zTMEAAADcAAAADwAAAGRycy9kb3ducmV2LnhtbERPzWoCMRC+F3yHMIK3mrVY0dUoVhCk&#10;F6n6AMNm3CxuJmsSdd2nN4VCb/Px/c5i1dpa3MmHyrGC0TADQVw4XXGp4HTcvk9BhIissXZMCp4U&#10;YLXsvS0w1+7BP3Q/xFKkEA45KjAxNrmUoTBkMQxdQ5y4s/MWY4K+lNrjI4XbWn5k2URarDg1GGxo&#10;Y6i4HG5WQd3FUzf72pguu46fer+fOP/5rdSg367nICK18V/8597pNH80g99n0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M3NMwQAAANwAAAAPAAAAAAAAAAAAAAAA&#10;AKECAABkcnMvZG93bnJldi54bWxQSwUGAAAAAAQABAD5AAAAjwMAAAAA&#10;" strokecolor="black [3213]"/>
                  <v:shape id="Text Box 75" o:spid="_x0000_s1075" type="#_x0000_t202" style="position:absolute;left:13020;top:5419;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P+cgA&#10;AADcAAAADwAAAGRycy9kb3ducmV2LnhtbESPT0sDMRDF7wW/Q5iCtzbbglLWpkX8AwWtYu2h3obN&#10;uBvdTNYkttt++s5B8DbDe/Peb+bL3rdqTzG5wAYm4wIUcRWs49rA9v1xNAOVMrLFNjAZOFKC5eJi&#10;MMfShgO/0X6TayUhnEo00OTclVqnqiGPaRw6YtE+Q/SYZY21thEPEu5bPS2Ka+3RsTQ02NFdQ9X3&#10;5tcbeP7ZvV593e+27ezltFq7KrqPhydjLof97Q2oTH3+N/9dr6zgTwVfnpEJ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s/5yAAAANwAAAAPAAAAAAAAAAAAAAAAAJgCAABk&#10;cnMvZG93bnJldi54bWxQSwUGAAAAAAQABAD1AAAAjQMAAAAA&#10;" fillcolor="white [3201]" stroked="f" strokeweight=".5pt">
                    <v:fill opacity="0"/>
                    <v:textbox>
                      <w:txbxContent>
                        <w:p w:rsidR="00723BD5" w:rsidRDefault="00723BD5" w:rsidP="00990D41">
                          <w:pPr>
                            <w:pStyle w:val="NormalWeb"/>
                            <w:spacing w:before="0" w:beforeAutospacing="0" w:after="0" w:afterAutospacing="0" w:line="360" w:lineRule="auto"/>
                          </w:pPr>
                          <w:r>
                            <w:rPr>
                              <w:rFonts w:ascii="Arial" w:eastAsia="PMingLiU" w:hAnsi="Arial" w:cs="Arial"/>
                              <w:sz w:val="16"/>
                              <w:szCs w:val="16"/>
                            </w:rPr>
                            <w:t>per 1 µg/dL</w:t>
                          </w:r>
                        </w:p>
                      </w:txbxContent>
                    </v:textbox>
                  </v:shape>
                  <v:shape id="Text Box 75" o:spid="_x0000_s1076" type="#_x0000_t202" style="position:absolute;left:342;top:5568;width:1388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qYsUA&#10;AADcAAAADwAAAGRycy9kb3ducmV2LnhtbERPTWsCMRC9F/wPYQq91axCi2yNUqqCoG2p9aC3YTPu&#10;pm4maxJ17a83QqG3ebzPGY5bW4sT+WAcK+h1MxDEhdOGSwXr79njAESIyBprx6TgQgHGo87dEHPt&#10;zvxFp1UsRQrhkKOCKsYmlzIUFVkMXdcQJ27nvMWYoC+l9nhO4baW/Sx7lhYNp4YKG3qrqNivjlbB&#10;8rD5fPqZbNb14ON3/m4Kb7bThVIP9+3rC4hIbfwX/7nnOs3v9+D2TLpAj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mpixQAAANwAAAAPAAAAAAAAAAAAAAAAAJgCAABkcnMv&#10;ZG93bnJldi54bWxQSwUGAAAAAAQABAD1AAAAigMAAAAA&#10;" fillcolor="white [3201]" stroked="f" strokeweight=".5pt">
                    <v:fill opacity="0"/>
                    <v:textbox>
                      <w:txbxContent>
                        <w:p w:rsidR="00723BD5" w:rsidRDefault="00723BD5" w:rsidP="00990D41">
                          <w:pPr>
                            <w:pStyle w:val="NormalWeb"/>
                            <w:spacing w:before="0" w:beforeAutospacing="0" w:after="0" w:afterAutospacing="0" w:line="360" w:lineRule="auto"/>
                            <w:ind w:left="-113"/>
                          </w:pPr>
                          <w:r>
                            <w:rPr>
                              <w:rFonts w:ascii="Arial" w:eastAsia="PMingLiU" w:hAnsi="Arial" w:cs="Arial"/>
                              <w:sz w:val="16"/>
                              <w:szCs w:val="16"/>
                            </w:rPr>
                            <w:t>Elmarsafawy et al. 2006</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2" o:spid="_x0000_s1077" type="#_x0000_t87" style="position:absolute;left:21167;top:5419;width:508;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8IA&#10;AADcAAAADwAAAGRycy9kb3ducmV2LnhtbERPTWvCQBC9C/6HZYTedGOgNqTZiAgJLYJQFXodsmMS&#10;zM6G7FZTf70rFHqbx/ucbD2aTlxpcK1lBctFBIK4srrlWsHpWMwTEM4ja+wsk4JfcrDOp5MMU21v&#10;/EXXg69FCGGXooLG+z6V0lUNGXQL2xMH7mwHgz7AoZZ6wFsIN52Mo2glDbYcGhrsadtQdTn8GAXd&#10;Z7H71sl9L1/L5M3LJdpyt1LqZTZu3kF4Gv2/+M/9ocP8OIbnM+EC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4TwgAAANwAAAAPAAAAAAAAAAAAAAAAAJgCAABkcnMvZG93&#10;bnJldi54bWxQSwUGAAAAAAQABAD1AAAAhwMAAAAA&#10;" adj="311" strokecolor="black [3213]"/>
                  <v:shape id="Text Box 75" o:spid="_x0000_s1078" type="#_x0000_t202" style="position:absolute;left:25654;top:5082;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RjsYA&#10;AADcAAAADwAAAGRycy9kb3ducmV2LnhtbERPS2sCMRC+C/0PYQq9abaWiqxGKa0FobXi46C3YTPu&#10;pt1M1iTVbX99UxC8zcf3nPG0tbU4kQ/GsYL7XgaCuHDacKlgu3ntDkGEiKyxdkwKfijAdHLTGWOu&#10;3ZlXdFrHUqQQDjkqqGJscilDUZHF0HMNceIOzluMCfpSao/nFG5r2c+ygbRoODVU2NBzRcXX+tsq&#10;eD/ulo+fL7ttPfz4nS9M4c1+9qbU3W37NAIRqY1X8cU912l+/wH+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BRjsYAAADcAAAADwAAAAAAAAAAAAAAAACYAgAAZHJz&#10;L2Rvd25yZXYueG1sUEsFBgAAAAAEAAQA9QAAAIsDAAAAAA==&#10;" fillcolor="white [3201]" stroked="f" strokeweight=".5pt">
                    <v:fill opacity="0"/>
                    <v:textbox>
                      <w:txbxContent>
                        <w:p w:rsidR="00723BD5" w:rsidRDefault="00723BD5" w:rsidP="001E0867">
                          <w:pPr>
                            <w:pStyle w:val="NormalWeb"/>
                            <w:spacing w:before="0" w:beforeAutospacing="0" w:after="0" w:afterAutospacing="0" w:line="360" w:lineRule="auto"/>
                          </w:pPr>
                          <w:r>
                            <w:rPr>
                              <w:rFonts w:ascii="Calibri" w:eastAsia="PMingLiU" w:hAnsi="Calibri" w:cs="Arial"/>
                              <w:sz w:val="16"/>
                              <w:szCs w:val="16"/>
                            </w:rPr>
                            <w:t>↓</w:t>
                          </w:r>
                          <w:r>
                            <w:rPr>
                              <w:rFonts w:ascii="Arial" w:eastAsia="PMingLiU" w:hAnsi="Arial" w:cs="Arial"/>
                              <w:sz w:val="16"/>
                              <w:szCs w:val="16"/>
                            </w:rPr>
                            <w:t xml:space="preserve"> Ca</w:t>
                          </w:r>
                        </w:p>
                      </w:txbxContent>
                    </v:textbox>
                  </v:shape>
                  <v:shape id="Text Box 75" o:spid="_x0000_s1079" type="#_x0000_t202" style="position:absolute;left:25698;top:6435;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J+sYA&#10;AADcAAAADwAAAGRycy9kb3ducmV2LnhtbERPS2sCMRC+C/0PYQq9abbSiqxGKa0FobXi46C3YTPu&#10;pt1M1iTVbX99UxC8zcf3nPG0tbU4kQ/GsYL7XgaCuHDacKlgu3ntDkGEiKyxdkwKfijAdHLTGWOu&#10;3ZlXdFrHUqQQDjkqqGJscilDUZHF0HMNceIOzluMCfpSao/nFG5r2c+ygbRoODVU2NBzRcXX+tsq&#10;eD/ulo+fL7ttPfz4nS9M4c1+9qbU3W37NAIRqY1X8cU912l+/wH+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J+sYAAADcAAAADwAAAAAAAAAAAAAAAACYAgAAZHJz&#10;L2Rvd25yZXYueG1sUEsFBgAAAAAEAAQA9QAAAIsDAAAAAA==&#10;" fillcolor="white [3201]" stroked="f" strokeweight=".5pt">
                    <v:fill opacity="0"/>
                    <v:textbox>
                      <w:txbxContent>
                        <w:p w:rsidR="00723BD5" w:rsidRDefault="00723BD5" w:rsidP="001E0867">
                          <w:pPr>
                            <w:pStyle w:val="NormalWeb"/>
                            <w:spacing w:before="0" w:beforeAutospacing="0" w:after="0" w:afterAutospacing="0" w:line="360" w:lineRule="auto"/>
                          </w:pPr>
                          <w:r>
                            <w:rPr>
                              <w:rFonts w:ascii="Calibri" w:eastAsia="PMingLiU" w:hAnsi="Calibri" w:cs="Arial"/>
                              <w:sz w:val="16"/>
                              <w:szCs w:val="16"/>
                            </w:rPr>
                            <w:t>↑</w:t>
                          </w:r>
                          <w:r>
                            <w:rPr>
                              <w:rFonts w:ascii="Arial" w:eastAsia="PMingLiU" w:hAnsi="Arial" w:cs="Arial"/>
                              <w:sz w:val="16"/>
                              <w:szCs w:val="16"/>
                            </w:rPr>
                            <w:t xml:space="preserve"> Ca</w:t>
                          </w:r>
                        </w:p>
                      </w:txbxContent>
                    </v:textbox>
                  </v:shape>
                  <v:shape id="Text Box 75" o:spid="_x0000_s1080" type="#_x0000_t202" style="position:absolute;left:279;top:10436;width:1388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sYcUA&#10;AADcAAAADwAAAGRycy9kb3ducmV2LnhtbERPTWsCMRC9F/wPYQRvNatgka1RirYgtLXUetDbsBl3&#10;UzeTNUl19dc3QqG3ebzPmcxaW4sT+WAcKxj0MxDEhdOGSwWbr5f7MYgQkTXWjknBhQLMpp27Ceba&#10;nfmTTutYihTCIUcFVYxNLmUoKrIY+q4hTtzeeYsxQV9K7fGcwm0th1n2IC0aTg0VNjSvqDisf6yC&#10;t+P2Y/S92G7q8eq6fDeFN7vnV6V63fbpEUSkNv6L/9xLneYPR3B7Jl0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WxhxQAAANwAAAAPAAAAAAAAAAAAAAAAAJgCAABkcnMv&#10;ZG93bnJldi54bWxQSwUGAAAAAAQABAD1AAAAigMAAAAA&#10;" fillcolor="white [3201]" stroked="f" strokeweight=".5pt">
                    <v:fill opacity="0"/>
                    <v:textbox>
                      <w:txbxContent>
                        <w:p w:rsidR="00723BD5" w:rsidRDefault="00723BD5" w:rsidP="00277FB6">
                          <w:pPr>
                            <w:pStyle w:val="NormalWeb"/>
                            <w:spacing w:before="0" w:beforeAutospacing="0" w:after="0" w:afterAutospacing="0" w:line="360" w:lineRule="auto"/>
                            <w:ind w:left="-113"/>
                          </w:pPr>
                          <w:r>
                            <w:rPr>
                              <w:rFonts w:ascii="Arial" w:eastAsia="PMingLiU" w:hAnsi="Arial" w:cs="Arial"/>
                              <w:sz w:val="16"/>
                              <w:szCs w:val="16"/>
                            </w:rPr>
                            <w:t>Yazbeck et al. 2009</w:t>
                          </w:r>
                        </w:p>
                      </w:txbxContent>
                    </v:textbox>
                  </v:shape>
                  <v:group id="Group 130" o:spid="_x0000_s1081" style="position:absolute;left:13144;top:8045;width:8277;height:6733" coordorigin="13144,8045"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 Box 75" o:spid="_x0000_s1082" type="#_x0000_t202" style="position:absolute;left:13144;top:8045;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yFsUA&#10;AADcAAAADwAAAGRycy9kb3ducmV2LnhtbERPTWsCMRC9F/wPYQRvNaugyNYoRVsQbC21HvQ2bMbd&#10;1M1kTVLd+uubQqG3ebzPmc5bW4sL+WAcKxj0MxDEhdOGSwW7j+f7CYgQkTXWjknBNwWYzzp3U8y1&#10;u/I7XbaxFCmEQ44KqhibXMpQVGQx9F1DnLij8xZjgr6U2uM1hdtaDrNsLC0aTg0VNrSoqDhtv6yC&#10;l/P+bfS53O/qyea2ejWFN4entVK9bvv4ACJSG//Ff+6VTvOHY/h9Jl0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IWxQAAANwAAAAPAAAAAAAAAAAAAAAAAJgCAABkcnMv&#10;ZG93bnJldi54bWxQSwUGAAAAAAQABAD1AAAAigM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083" type="#_x0000_t202" style="position:absolute;left:13208;top:9251;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XjcYA&#10;AADcAAAADwAAAGRycy9kb3ducmV2LnhtbERPS2sCMRC+C/0PYQq9abZCq6xGKa0FobXi46C3YTPu&#10;pt1M1iTVbX99UxC8zcf3nPG0tbU4kQ/GsYL7XgaCuHDacKlgu3ntDkGEiKyxdkwKfijAdHLTGWOu&#10;3ZlXdFrHUqQQDjkqqGJscilDUZHF0HMNceIOzluMCfpSao/nFG5r2c+yR2nRcGqosKHnioqv9bdV&#10;8H7cLR8+X3bbevjxO1+Ywpv97E2pu9v2aQQiUhuv4ot7rtP8/gD+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Xjc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084" type="#_x0000_t202" style="position:absolute;left:13210;top:10585;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D/8gA&#10;AADcAAAADwAAAGRycy9kb3ducmV2LnhtbESPT0sDMRDF7wW/Q5iCtzbbglLWpkX8AwWtYu2h3obN&#10;uBvdTNYkttt++s5B8DbDe/Peb+bL3rdqTzG5wAYm4wIUcRWs49rA9v1xNAOVMrLFNjAZOFKC5eJi&#10;MMfShgO/0X6TayUhnEo00OTclVqnqiGPaRw6YtE+Q/SYZY21thEPEu5bPS2Ka+3RsTQ02NFdQ9X3&#10;5tcbeP7ZvV593e+27ezltFq7KrqPhydjLof97Q2oTH3+N/9dr6zgT4VWnpEJ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ZMP/yAAAANwAAAAPAAAAAAAAAAAAAAAAAJgCAABk&#10;cnMvZG93bnJldi54bWxQSwUGAAAAAAQABAD1AAAAjQM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085" type="#_x0000_t202" style="position:absolute;left:13274;top:11984;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mZMYA&#10;AADcAAAADwAAAGRycy9kb3ducmV2LnhtbERPS2sCMRC+F/ofwhR6q9kKLboapagFobXFx0Fvw2bc&#10;TbuZrEmqa399UxC8zcf3nOG4tbU4kg/GsYLHTgaCuHDacKlgs3596IEIEVlj7ZgUnCnAeHR7M8Rc&#10;uxMv6biKpUghHHJUUMXY5FKGoiKLoeMa4sTtnbcYE/Sl1B5PKdzWsptlz9Ki4dRQYUOTiorv1Y9V&#10;8H7Yfj59TbebuvfxO1+Ywpvd7E2p+7v2ZQAiUhuv4ot7rtP8bh/+n0kX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mZM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v:textbox>
                    </v:shape>
                  </v:group>
                  <v:group id="Group 131" o:spid="_x0000_s1086" style="position:absolute;left:13249;top:13889;width:8274;height:6731"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75" o:spid="_x0000_s1087" type="#_x0000_t202" style="position:absolute;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iyMYA&#10;AADcAAAADwAAAGRycy9kb3ducmV2LnhtbERPS2sCMRC+C/0PYQq9abaWiqxGKa0FobXi46C3YTPu&#10;pt1M1iTVbX99UxC8zcf3nPG0tbU4kQ/GsYL7XgaCuHDacKlgu3ntDkGEiKyxdkwKfijAdHLTGWOu&#10;3ZlXdFrHUqQQDjkqqGJscilDUZHF0HMNceIOzluMCfpSao/nFG5r2c+ygbRoODVU2NBzRcXX+tsq&#10;eD/ulo+fL7ttPfz4nS9M4c1+9qbU3W37NAIRqY1X8cU912n+Qx/+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ViyM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088" type="#_x0000_t202" style="position:absolute;left:63;top:1206;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HU8YA&#10;AADcAAAADwAAAGRycy9kb3ducmV2LnhtbERPS2sCMRC+F/ofwhR6q9kqFlmNUloFwbbi42Bvw2a6&#10;G91M1iTVbX99UxC8zcf3nNGktbU4kQ/GsYLHTgaCuHDacKlgu5k9DECEiKyxdkwKfijAZHx7M8Jc&#10;uzOv6LSOpUghHHJUUMXY5FKGoiKLoeMa4sR9OW8xJuhLqT2eU7itZTfLnqRFw6mhwoZeKioO62+r&#10;4O24W/b3r7ttPfj4nb+bwpvP6UKp+7v2eQgiUhuv4ot7rtP8Xg/+n0kX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HU8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089" type="#_x0000_t202" style="position:absolute;left:66;top:2540;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fJ8YA&#10;AADcAAAADwAAAGRycy9kb3ducmV2LnhtbERPS2sCMRC+C/0PYQreNNtqRVajlKog9CFVD/Y2bKa7&#10;aTeTbZLq1l9vCoXe5uN7znTe2locyQfjWMFNPwNBXDhtuFSw3616YxAhImusHZOCHwown111pphr&#10;d+JXOm5jKVIIhxwVVDE2uZShqMhi6LuGOHHvzluMCfpSao+nFG5reZtlI2nRcGqosKGHiorP7bdV&#10;8PR12Nx9LA77evxyXj+bwpu35aNS3ev2fgIiUhv/xX/utU7zB0P4fSZ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BfJ8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090" type="#_x0000_t202" style="position:absolute;left:129;top:3939;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6vMYA&#10;AADcAAAADwAAAGRycy9kb3ducmV2LnhtbERPS2sCMRC+C/0PYQq9abYWRVajlNaC0FrxcdDbsBl3&#10;024m2yTVbX99UxC8zcf3nMmstbU4kQ/GsYL7XgaCuHDacKlgt33pjkCEiKyxdkwKfijAbHrTmWCu&#10;3ZnXdNrEUqQQDjkqqGJscilDUZHF0HMNceKOzluMCfpSao/nFG5r2c+yobRoODVU2NBTRcXn5tsq&#10;ePvarwYfz/tdPXr/XSxN4c1h/qrU3W37OAYRqY1X8cW90Gn+wwD+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z6vM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v:textbox>
                    </v:shape>
                  </v:group>
                  <v:shape id="Text Box 75" o:spid="_x0000_s1091" type="#_x0000_t202" style="position:absolute;left:279;top:21104;width:1388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ky8UA&#10;AADcAAAADwAAAGRycy9kb3ducmV2LnhtbERPTWsCMRC9C/6HMII3zdZSkdUopbUgtFqqHuxt2Ex3&#10;024m2yTVtb/eCIXe5vE+Z7ZobS2O5INxrOBmmIEgLpw2XCrY754GExAhImusHZOCMwVYzLudGeba&#10;nfiNjttYihTCIUcFVYxNLmUoKrIYhq4hTtyH8xZjgr6U2uMphdtajrJsLC0aTg0VNvRQUfG1/bEK&#10;Xr4Pr3efj4d9Pdn8rtam8OZ9+axUv9feT0FEauO/+M+90mn+7Riuz6QL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mTLxQAAANwAAAAPAAAAAAAAAAAAAAAAAJgCAABkcnMv&#10;ZG93bnJldi54bWxQSwUGAAAAAAQABAD1AAAAigMAAAAA&#10;" fillcolor="white [3201]" stroked="f" strokeweight=".5pt">
                    <v:fill opacity="0"/>
                    <v:textbox>
                      <w:txbxContent>
                        <w:p w:rsidR="00723BD5" w:rsidRDefault="00723BD5" w:rsidP="00277FB6">
                          <w:pPr>
                            <w:pStyle w:val="NormalWeb"/>
                            <w:spacing w:before="0" w:beforeAutospacing="0" w:after="0" w:afterAutospacing="0" w:line="360" w:lineRule="auto"/>
                            <w:ind w:left="-113"/>
                          </w:pPr>
                          <w:r>
                            <w:rPr>
                              <w:rFonts w:ascii="Arial" w:eastAsia="PMingLiU" w:hAnsi="Arial" w:cs="Arial"/>
                              <w:sz w:val="16"/>
                              <w:szCs w:val="16"/>
                            </w:rPr>
                            <w:t>Muntner et al. 2005</w:t>
                          </w:r>
                        </w:p>
                      </w:txbxContent>
                    </v:textbox>
                  </v:shape>
                  <v:shape id="Left Brace 137" o:spid="_x0000_s1092" type="#_x0000_t87" style="position:absolute;left:12766;top:8426;width:695;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UcIA&#10;AADcAAAADwAAAGRycy9kb3ducmV2LnhtbERP3WrCMBS+H+wdwhnsZsxUB3bURtHJwJsJVh/gkJw2&#10;xeakNJnt3n4ZDLw7H9/vKTeT68SNhtB6VjCfZSCItTctNwou58/XdxAhIhvsPJOCHwqwWT8+lFgY&#10;P/KJblVsRArhUKACG2NfSBm0JYdh5nvixNV+cBgTHBppBhxTuOvkIsuW0mHLqcFiTx+W9LX6dgqm&#10;3MqXqtNL/XWsx8t+1xyyfKvU89O0XYGINMW7+N99MGn+Ww5/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H9RwgAAANwAAAAPAAAAAAAAAAAAAAAAAJgCAABkcnMvZG93&#10;bnJldi54bWxQSwUGAAAAAAQABAD1AAAAhwMAAAAA&#10;" adj="232" strokecolor="black [3213]">
                    <v:textbox>
                      <w:txbxContent>
                        <w:p w:rsidR="00723BD5" w:rsidRDefault="00723BD5" w:rsidP="00277FB6">
                          <w:pPr>
                            <w:rPr>
                              <w:rFonts w:eastAsia="Times New Roman"/>
                            </w:rPr>
                          </w:pPr>
                        </w:p>
                      </w:txbxContent>
                    </v:textbox>
                  </v:shape>
                  <v:group id="Group 138" o:spid="_x0000_s1093" style="position:absolute;left:13373;top:19576;width:8274;height:6724"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75" o:spid="_x0000_s1094" type="#_x0000_t202" style="position:absolute;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ucYA&#10;AADcAAAADwAAAGRycy9kb3ducmV2LnhtbERPTU8CMRC9m/gfmjHhJl0gGFgpxAgkJCpE4IC3yXbY&#10;rW6na1th8ddbExNv8/I+ZzJrbS1O5INxrKDXzUAQF04bLhXsd8vbEYgQkTXWjknBhQLMptdXE8y1&#10;O/MrnbaxFCmEQ44KqhibXMpQVGQxdF1DnLij8xZjgr6U2uM5hdta9rPsTlo0nBoqbOixouJj+2UV&#10;PH8eNsP3+WFfj9bfqxdTePO2eFKqc9M+3IOI1MZ/8Z97pdP8wRh+n0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wuc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095" type="#_x0000_t202" style="position:absolute;left:63;top:1206;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qWcgA&#10;AADcAAAADwAAAGRycy9kb3ducmV2LnhtbESPQU8CMRCF7yb+h2ZMvElXo4SsFGJQExJAI3LA22Q7&#10;7la207WtsPDrnYOJt5m8N+99M572vlV7iskFNnA9KEARV8E6rg1s3p+vRqBSRrbYBiYDR0ownZyf&#10;jbG04cBvtF/nWkkIpxINNDl3pdapashjGoSOWLTPED1mWWOtbcSDhPtW3xTFUHt0LA0NdjRrqNqt&#10;f7yB5ff29e7rcbtpRy+n+cpV0X08LYy5vOgf7kFl6vO/+e96bgX/VvDlGZlAT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SpZyAAAANwAAAAPAAAAAAAAAAAAAAAAAJgCAABk&#10;cnMvZG93bnJldi54bWxQSwUGAAAAAAQABAD1AAAAjQM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096" type="#_x0000_t202" style="position:absolute;left:66;top:2540;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PwsUA&#10;AADcAAAADwAAAGRycy9kb3ducmV2LnhtbERPS2sCMRC+C/6HMIXeNGtpRVajlD5AqFaqHuxt2Ex3&#10;YzeTbRJ17a83BaG3+fieM5m1thZH8sE4VjDoZyCIC6cNlwq2m9feCESIyBprx6TgTAFm025ngrl2&#10;J/6g4zqWIoVwyFFBFWOTSxmKiiyGvmuIE/flvMWYoC+l9nhK4baWd1k2lBYNp4YKG3qqqPheH6yC&#10;xc9u9bB/3m3r0fvvfGkKbz5f3pS6vWkfxyAitfFffHXPdZp/P4C/Z9IF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Y/CxQAAANwAAAAPAAAAAAAAAAAAAAAAAJgCAABkcnMv&#10;ZG93bnJldi54bWxQSwUGAAAAAAQABAD1AAAAigM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097" type="#_x0000_t202" style="position:absolute;left:129;top:3939;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RtcYA&#10;AADcAAAADwAAAGRycy9kb3ducmV2LnhtbERPS2sCMRC+C/0PYQq9abbSiqxGKa0FobXi46C3YTPu&#10;pt1M1iTVbX99UxC8zcf3nPG0tbU4kQ/GsYL7XgaCuHDacKlgu3ntDkGEiKyxdkwKfijAdHLTGWOu&#10;3ZlXdFrHUqQQDjkqqGJscilDUZHF0HMNceIOzluMCfpSao/nFG5r2c+ygbRoODVU2NBzRcXX+tsq&#10;eD/ulo+fL7ttPfz4nS9M4c1+9qbU3W37NAIRqY1X8cU912n+Qx/+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Rtc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v:textbox>
                    </v:shape>
                  </v:group>
                  <v:group id="Group 143" o:spid="_x0000_s1098" style="position:absolute;left:13589;top:25295;width:8274;height:6724"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Text Box 75" o:spid="_x0000_s1099" type="#_x0000_t202" style="position:absolute;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sWsYA&#10;AADcAAAADwAAAGRycy9kb3ducmV2LnhtbERPS2sCMRC+F/ofwhR6q9mKFlmNUloFwbbi42Bvw2a6&#10;G91M1iTVbX99UxC8zcf3nNGktbU4kQ/GsYLHTgaCuHDacKlgu5k9DECEiKyxdkwKfijAZHx7M8Jc&#10;uzOv6LSOpUghHHJUUMXY5FKGoiKLoeMa4sR9OW8xJuhLqT2eU7itZTfLnqRFw6mhwoZeKioO62+r&#10;4O24W/b3r7ttPfj4nb+bwpvP6UKp+7v2eQgiUhuv4ot7rtP8Xg/+n0kX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YsWs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100" type="#_x0000_t202" style="position:absolute;left:63;top:1206;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JwcYA&#10;AADcAAAADwAAAGRycy9kb3ducmV2LnhtbERPS2sCMRC+C/0PYQq9abZSRVajlNaC0FrxcdDbsBl3&#10;024m2yTVbX99UxC8zcf3nMmstbU4kQ/GsYL7XgaCuHDacKlgt33pjkCEiKyxdkwKfijAbHrTmWCu&#10;3ZnXdNrEUqQQDjkqqGJscilDUZHF0HMNceKOzluMCfpSao/nFG5r2c+yobRoODVU2NBTRcXn5tsq&#10;ePvarwYfz/tdPXr/XSxN4c1h/qrU3W37OAYRqY1X8cW90Gn+wwD+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qJwc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101" type="#_x0000_t202" style="position:absolute;left:66;top:2540;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XtsUA&#10;AADcAAAADwAAAGRycy9kb3ducmV2LnhtbERPTWsCMRC9C/6HMII3zVZakdUopbUgtFqqHuxt2Ex3&#10;024m2yTVtb/eCIXe5vE+Z7ZobS2O5INxrOBmmIEgLpw2XCrY754GExAhImusHZOCMwVYzLudGeba&#10;nfiNjttYihTCIUcFVYxNLmUoKrIYhq4hTtyH8xZjgr6U2uMphdtajrJsLC0aTg0VNvRQUfG1/bEK&#10;Xr4Pr3efj4d9Pdn8rtam8OZ9+axUv9feT0FEauO/+M+90mn+7Riuz6QL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Be2xQAAANwAAAAPAAAAAAAAAAAAAAAAAJgCAABkcnMv&#10;ZG93bnJldi54bWxQSwUGAAAAAAQABAD1AAAAigM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102" type="#_x0000_t202" style="position:absolute;left:129;top:3939;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yLcYA&#10;AADcAAAADwAAAGRycy9kb3ducmV2LnhtbERPS2sCMRC+C/0PYQreNNuiVVajlKog9CFVD/Y2bKa7&#10;aTeTbZLq1l9vCoXe5uN7znTe2locyQfjWMFNPwNBXDhtuFSw3616YxAhImusHZOCHwown111pphr&#10;d+JXOm5jKVIIhxwVVDE2uZShqMhi6LuGOHHvzluMCfpSao+nFG5reZtld9Ki4dRQYUMPFRWf22+r&#10;4OnrsBl+LA77evxyXj+bwpu35aNS3ev2fgIiUhv/xX/utU7zByP4fSZ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yLcYAAADcAAAADwAAAAAAAAAAAAAAAACYAgAAZHJz&#10;L2Rvd25yZXYueG1sUEsFBgAAAAAEAAQA9QAAAIsDAAAAAA==&#10;" fillcolor="white [3201]" stroked="f" strokeweight=".5pt">
                      <v:fill opacity="0"/>
                      <v:textbox>
                        <w:txbxContent>
                          <w:p w:rsidR="00723BD5" w:rsidRDefault="00723BD5" w:rsidP="00277FB6">
                            <w:pPr>
                              <w:pStyle w:val="NormalWeb"/>
                              <w:spacing w:before="0" w:beforeAutospacing="0" w:after="0" w:afterAutospacing="0" w:line="360" w:lineRule="auto"/>
                            </w:pPr>
                            <w:r>
                              <w:rPr>
                                <w:rFonts w:ascii="Arial" w:eastAsia="PMingLiU" w:hAnsi="Arial" w:cs="Arial"/>
                                <w:sz w:val="16"/>
                                <w:szCs w:val="16"/>
                              </w:rPr>
                              <w:t>Q4 vs. Q1</w:t>
                            </w:r>
                          </w:p>
                        </w:txbxContent>
                      </v:textbox>
                    </v:shape>
                  </v:group>
                  <v:shape id="Left Brace 148" o:spid="_x0000_s1103" type="#_x0000_t87" style="position:absolute;left:12264;top:14242;width:1579;height:16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IqcYA&#10;AADcAAAADwAAAGRycy9kb3ducmV2LnhtbESPQWvCQBCF74X+h2UKvRSzUVqV1FXEUlovglHwOmTH&#10;JDQ7G7JrjP31nYPQ2wzvzXvfLFaDa1RPXag9GxgnKSjiwtuaSwPHw+doDipEZIuNZzJwowCr5ePD&#10;AjPrr7ynPo+lkhAOGRqoYmwzrUNRkcOQ+JZYtLPvHEZZu1LbDq8S7ho9SdOpdlizNFTY0qai4ie/&#10;OAP+901fXm5fO5t/9OftLJzWbsLGPD8N63dQkYb4b75ff1vBfxV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NIqcYAAADcAAAADwAAAAAAAAAAAAAAAACYAgAAZHJz&#10;L2Rvd25yZXYueG1sUEsFBgAAAAAEAAQA9QAAAIsDAAAAAA==&#10;" adj="170" strokecolor="black [3213]">
                    <v:textbox>
                      <w:txbxContent>
                        <w:p w:rsidR="00723BD5" w:rsidRDefault="00723BD5" w:rsidP="00277FB6">
                          <w:pPr>
                            <w:pStyle w:val="NormalWeb"/>
                            <w:spacing w:before="0" w:beforeAutospacing="0" w:after="0" w:afterAutospacing="0" w:line="360" w:lineRule="auto"/>
                          </w:pPr>
                          <w:r>
                            <w:rPr>
                              <w:rFonts w:ascii="Arial" w:eastAsia="Times New Roman" w:hAnsi="Arial"/>
                              <w:sz w:val="22"/>
                              <w:szCs w:val="22"/>
                            </w:rPr>
                            <w:t> </w:t>
                          </w:r>
                        </w:p>
                      </w:txbxContent>
                    </v:textbox>
                  </v:shape>
                  <v:shape id="Text Box 75" o:spid="_x0000_s1104" type="#_x0000_t202" style="position:absolute;left:27136;top:15119;width:505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xMYA&#10;AADcAAAADwAAAGRycy9kb3ducmV2LnhtbERPTU8CMRC9m/gfmjHhJl0IGFgpxAgkJCpE4IC3yXbY&#10;rW6na1th8ddbExNv8/I+ZzJrbS1O5INxrKDXzUAQF04bLhXsd8vbEYgQkTXWjknBhQLMptdXE8y1&#10;O/MrnbaxFCmEQ44KqhibXMpQVGQxdF1DnLij8xZjgr6U2uM5hdta9rPsTlo0nBoqbOixouJj+2UV&#10;PH8eNsP3+WFfj9bfqxdTePO2eFKqc9M+3IOI1MZ/8Z97pdP8wRh+n0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DxMYAAADcAAAADwAAAAAAAAAAAAAAAACYAgAAZHJz&#10;L2Rvd25yZXYueG1sUEsFBgAAAAAEAAQA9QAAAIsDAAAAAA==&#10;" fillcolor="white [3201]" stroked="f" strokeweight=".5pt">
                    <v:fill opacity="0"/>
                    <v:textbox>
                      <w:txbxContent>
                        <w:p w:rsidR="00723BD5" w:rsidRPr="00277FB6" w:rsidRDefault="00723BD5" w:rsidP="00277FB6">
                          <w:pPr>
                            <w:pStyle w:val="NormalWeb"/>
                            <w:spacing w:before="0" w:beforeAutospacing="0" w:after="0" w:afterAutospacing="0" w:line="360" w:lineRule="auto"/>
                            <w:rPr>
                              <w:sz w:val="14"/>
                              <w:szCs w:val="14"/>
                            </w:rPr>
                          </w:pPr>
                          <w:r w:rsidRPr="00277FB6">
                            <w:rPr>
                              <w:rFonts w:ascii="Arial" w:eastAsia="PMingLiU" w:hAnsi="Arial" w:cs="Arial"/>
                              <w:sz w:val="14"/>
                              <w:szCs w:val="14"/>
                            </w:rPr>
                            <w:t>N-H W</w:t>
                          </w:r>
                        </w:p>
                      </w:txbxContent>
                    </v:textbox>
                  </v:shape>
                  <v:shape id="Text Box 75" o:spid="_x0000_s1105" type="#_x0000_t202" style="position:absolute;left:26416;top:16533;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GE8YA&#10;AADaAAAADwAAAGRycy9kb3ducmV2LnhtbESPT2sCMRTE7wW/Q3hCbzVrocVujVJaC0LV4p+DvT02&#10;r7uxm5c1ibr20xuh0OMwM79hhuPW1uJIPhjHCvq9DARx4bThUsFm/X43ABEissbaMSk4U4DxqHMz&#10;xFy7Ey/puIqlSBAOOSqoYmxyKUNRkcXQcw1x8r6dtxiT9KXUHk8Jbmt5n2WP0qLhtFBhQ68VFT+r&#10;g1Uw228/H3Zv2009WPxO56bw5mvyodRtt315BhGpjf/hv/ZUK3iC65V0A+To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GE8YAAADaAAAADwAAAAAAAAAAAAAAAACYAgAAZHJz&#10;L2Rvd25yZXYueG1sUEsFBgAAAAAEAAQA9QAAAIsDAAAAAA==&#10;" fillcolor="white [3201]" stroked="f" strokeweight=".5pt">
                    <v:fill opacity="0"/>
                    <v:textbox>
                      <w:txbxContent>
                        <w:p w:rsidR="00723BD5" w:rsidRPr="00277FB6" w:rsidRDefault="00723BD5" w:rsidP="00277FB6">
                          <w:pPr>
                            <w:pStyle w:val="NormalWeb"/>
                            <w:spacing w:before="0" w:beforeAutospacing="0" w:after="0" w:afterAutospacing="0" w:line="360" w:lineRule="auto"/>
                            <w:rPr>
                              <w:sz w:val="14"/>
                              <w:szCs w:val="14"/>
                            </w:rPr>
                          </w:pPr>
                          <w:r w:rsidRPr="00277FB6">
                            <w:rPr>
                              <w:rFonts w:ascii="Arial" w:eastAsia="PMingLiU" w:hAnsi="Arial" w:cs="Arial"/>
                              <w:sz w:val="14"/>
                              <w:szCs w:val="14"/>
                            </w:rPr>
                            <w:t>N-H W</w:t>
                          </w:r>
                        </w:p>
                      </w:txbxContent>
                    </v:textbox>
                  </v:shape>
                  <v:shape id="Text Box 75" o:spid="_x0000_s1106" type="#_x0000_t202" style="position:absolute;left:26733;top:17992;width:486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8UA&#10;AADcAAAADwAAAGRycy9kb3ducmV2LnhtbERPS2sCMRC+F/wPYYTeataCRVajiG1BsA98HPQ2bMbd&#10;6GayTaJu++ubQsHbfHzPGU9bW4sL+WAcK+j3MhDEhdOGSwXbzevDEESIyBprx6TgmwJMJ527Meba&#10;XXlFl3UsRQrhkKOCKsYmlzIUFVkMPdcQJ+7gvMWYoC+l9nhN4baWj1n2JC0aTg0VNjSvqDitz1bB&#10;29fuc3B83m3r4cfP4t0U3uxflkrdd9vZCESkNt7E/+6FTvMHffh7Jl0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BkfxQAAANwAAAAPAAAAAAAAAAAAAAAAAJgCAABkcnMv&#10;ZG93bnJldi54bWxQSwUGAAAAAAQABAD1AAAAigMAAAAA&#10;" fillcolor="white [3201]" stroked="f" strokeweight=".5pt">
                    <v:fill opacity="0"/>
                    <v:textbox>
                      <w:txbxContent>
                        <w:p w:rsidR="00723BD5" w:rsidRPr="00277FB6" w:rsidRDefault="00723BD5" w:rsidP="00277FB6">
                          <w:pPr>
                            <w:pStyle w:val="NormalWeb"/>
                            <w:spacing w:before="0" w:beforeAutospacing="0" w:after="0" w:afterAutospacing="0"/>
                            <w:rPr>
                              <w:sz w:val="14"/>
                              <w:szCs w:val="14"/>
                            </w:rPr>
                          </w:pPr>
                          <w:r w:rsidRPr="00277FB6">
                            <w:rPr>
                              <w:rFonts w:ascii="Arial" w:eastAsia="PMingLiU" w:hAnsi="Arial" w:cs="Arial"/>
                              <w:sz w:val="14"/>
                              <w:szCs w:val="14"/>
                            </w:rPr>
                            <w:t>N-H W</w:t>
                          </w:r>
                        </w:p>
                      </w:txbxContent>
                    </v:textbox>
                  </v:shape>
                  <v:shape id="Text Box 152" o:spid="_x0000_s1107" type="#_x0000_t202" style="position:absolute;left:2476;top:77978;width:54610;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oacIA&#10;AADcAAAADwAAAGRycy9kb3ducmV2LnhtbERPTWvCQBC9F/wPyxS81Y3RSkhdRQoFxVNVBG/T7JgN&#10;zc6G7JrEf+8Khd7m8T5nuR5sLTpqfeVYwXSSgCAunK64VHA6fr1lIHxA1lg7JgV38rBejV6WmGvX&#10;8zd1h1CKGMI+RwUmhCaX0heGLPqJa4gjd3WtxRBhW0rdYh/DbS3TJFlIixXHBoMNfRoqfg83q+CS&#10;dT+7vaHZZdiV0zlfz92tT5Uavw6bDxCBhvAv/nNvdZz/nsLz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KhpwgAAANwAAAAPAAAAAAAAAAAAAAAAAJgCAABkcnMvZG93&#10;bnJldi54bWxQSwUGAAAAAAQABAD1AAAAhwMAAAAA&#10;" fillcolor="#ffc" strokeweight="1.5pt">
                    <v:textbox>
                      <w:txbxContent>
                        <w:p w:rsidR="00723BD5" w:rsidRDefault="00723BD5" w:rsidP="00277FB6">
                          <w:pPr>
                            <w:spacing w:line="240" w:lineRule="auto"/>
                            <w:rPr>
                              <w:b/>
                            </w:rPr>
                          </w:pPr>
                          <w:r>
                            <w:rPr>
                              <w:b/>
                            </w:rPr>
                            <w:t>Figure 4.1: Odds ratios (95% CI) for association of PbB with hypertension incidence or prevalence in non-occupational studies</w:t>
                          </w:r>
                        </w:p>
                        <w:p w:rsidR="00723BD5" w:rsidRDefault="00723BD5" w:rsidP="00277FB6">
                          <w:pPr>
                            <w:spacing w:line="240" w:lineRule="auto"/>
                            <w:rPr>
                              <w:sz w:val="18"/>
                              <w:szCs w:val="18"/>
                            </w:rPr>
                          </w:pPr>
                          <w:r>
                            <w:rPr>
                              <w:sz w:val="18"/>
                              <w:szCs w:val="18"/>
                            </w:rPr>
                            <w:t xml:space="preserve">Q = quartile, PW = pregnant women, N-H-W = Non-Hispanic White, N-H-B = Non-Hispanic Black, </w:t>
                          </w:r>
                        </w:p>
                        <w:p w:rsidR="00723BD5" w:rsidRPr="001E7E70" w:rsidRDefault="00723BD5" w:rsidP="00277FB6">
                          <w:pPr>
                            <w:spacing w:line="240" w:lineRule="auto"/>
                            <w:rPr>
                              <w:sz w:val="18"/>
                              <w:szCs w:val="18"/>
                            </w:rPr>
                          </w:pPr>
                          <w:r>
                            <w:rPr>
                              <w:sz w:val="18"/>
                              <w:szCs w:val="18"/>
                            </w:rPr>
                            <w:t>MA = Mexican American</w:t>
                          </w:r>
                        </w:p>
                      </w:txbxContent>
                    </v:textbox>
                  </v:shape>
                  <v:shape id="Text Box 75" o:spid="_x0000_s1108" type="#_x0000_t202" style="position:absolute;left:342;top:38376;width:1388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i88YA&#10;AADcAAAADwAAAGRycy9kb3ducmV2LnhtbERPS2sCMRC+C/0PYQq9abYWRVajlNaC0FrxcdDbsBl3&#10;024m2yTVbX99UxC8zcf3nMmstbU4kQ/GsYL7XgaCuHDacKlgt33pjkCEiKyxdkwKfijAbHrTmWCu&#10;3ZnXdNrEUqQQDjkqqGJscilDUZHF0HMNceKOzluMCfpSao/nFG5r2c+yobRoODVU2NBTRcXn5tsq&#10;ePvarwYfz/tdPXr/XSxN4c1h/qrU3W37OAYRqY1X8cW90Gn+4AH+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Yi88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ind w:left="-113"/>
                          </w:pPr>
                          <w:r>
                            <w:rPr>
                              <w:rFonts w:ascii="Arial" w:eastAsia="PMingLiU" w:hAnsi="Arial" w:cs="Arial"/>
                              <w:sz w:val="16"/>
                              <w:szCs w:val="16"/>
                            </w:rPr>
                            <w:t>Scinicariello et al. 2010</w:t>
                          </w:r>
                        </w:p>
                      </w:txbxContent>
                    </v:textbox>
                  </v:shape>
                  <v:shape id="Text Box 75" o:spid="_x0000_s1109" type="#_x0000_t202" style="position:absolute;left:27940;top:22247;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h8YA&#10;AADcAAAADwAAAGRycy9kb3ducmV2LnhtbERPS2sCMRC+C/0PYQq9abZSRVajlNaC0FrxcdDbsBl3&#10;024m2yTVbX99UxC8zcf3nMmstbU4kQ/GsYL7XgaCuHDacKlgt33pjkCEiKyxdkwKfijAbHrTmWCu&#10;3ZnXdNrEUqQQDjkqqGJscilDUZHF0HMNceKOzluMCfpSao/nFG5r2c+yobRoODVU2NBTRcXn5tsq&#10;ePvarwYfz/tdPXr/XSxN4c1h/qrU3W37OAYRqY1X8cW90Gn+4AH+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6h8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v:textbox>
                  </v:shape>
                  <v:shape id="Text Box 75" o:spid="_x0000_s1110" type="#_x0000_t202" style="position:absolute;left:27965;top:20786;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fHMUA&#10;AADcAAAADwAAAGRycy9kb3ducmV2LnhtbERPS2sCMRC+C/0PYQRvmrWwIlujlD5AaFW0Huxt2Ex3&#10;024ma5Lq1l/fFITe5uN7zmzR2UacyAfjWMF4lIEgLp02XCnYvz0PpyBCRNbYOCYFPxRgMb/pzbDQ&#10;7sxbOu1iJVIIhwIV1DG2hZShrMliGLmWOHEfzluMCfpKao/nFG4beZtlE2nRcGqosaWHmsqv3bdV&#10;8Ho8bPLPx8O+ma4vy5UpvXl/elFq0O/u70BE6uK/+Ope6jQ/z+HvmXS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x8c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v:textbox>
                  </v:shape>
                  <v:shape id="Text Box 75" o:spid="_x0000_s1111" type="#_x0000_t202" style="position:absolute;left:32216;top:23517;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Ba8UA&#10;AADcAAAADwAAAGRycy9kb3ducmV2LnhtbERPTWsCMRC9F/wPYQRvNduCIlujlFpBsLXUetDbsBl3&#10;UzeTNYm69debQqG3ebzPGU9bW4sz+WAcK3joZyCIC6cNlwo2X/P7EYgQkTXWjknBDwWYTjp3Y8y1&#10;u/AnndexFCmEQ44KqhibXMpQVGQx9F1DnLi98xZjgr6U2uMlhdtaPmbZUFo0nBoqbOilouKwPlkF&#10;b8ftx+B7tt3Uo9V18W4Kb3avS6V63fb5CUSkNv6L/9wLneYPhvD7TLp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YFr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v:textbox>
                  </v:shape>
                  <v:shape id="Text Box 75" o:spid="_x0000_s1112" type="#_x0000_t202" style="position:absolute;left:45974;top:9400;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k8MYA&#10;AADcAAAADwAAAGRycy9kb3ducmV2LnhtbERPS2sCMRC+F/ofwhR6q9kKWlmNUloFwbbi42Bvw2a6&#10;G91M1iTVbX99UxC8zcf3nNGktbU4kQ/GsYLHTgaCuHDacKlgu5k9DECEiKyxdkwKfijAZHx7M8Jc&#10;uzOv6LSOpUghHHJUUMXY5FKGoiKLoeMa4sR9OW8xJuhLqT2eU7itZTfL+tKi4dRQYUMvFRWH9bdV&#10;8HbcLXv71922Hnz8zt9N4c3ndKHU/V37PAQRqY1X8cU912l+7wn+n0kX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k8M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PW</w:t>
                          </w:r>
                        </w:p>
                      </w:txbxContent>
                    </v:textbox>
                  </v:shape>
                  <v:shape id="Text Box 75" o:spid="_x0000_s1113" type="#_x0000_t202" style="position:absolute;left:50187;top:10863;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wgsgA&#10;AADcAAAADwAAAGRycy9kb3ducmV2LnhtbESPT0sDMRDF74LfIYzgzWYtVMq2aSlqoVD/YO2hvQ2b&#10;6W50M1mTtF399M5B8DbDe/Peb6bz3rfqRDG5wAZuBwUo4ipYx7WB7fvyZgwqZWSLbWAy8E0J5rPL&#10;iymWNpz5jU6bXCsJ4VSigSbnrtQ6VQ15TIPQEYt2CNFjljXW2kY8S7hv9bAo7rRHx9LQYEf3DVWf&#10;m6M38PS1ex19POy27fjlZ/Xsquj2j2tjrq/6xQRUpj7/m/+uV1bwR0Irz8gE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rCCyAAAANwAAAAPAAAAAAAAAAAAAAAAAJgCAABk&#10;cnMvZG93bnJldi54bWxQSwUGAAAAAAQABAD1AAAAjQ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PW</w:t>
                          </w:r>
                        </w:p>
                      </w:txbxContent>
                    </v:textbox>
                  </v:shape>
                  <v:shape id="Text Box 75" o:spid="_x0000_s1114" type="#_x0000_t202" style="position:absolute;left:56921;top:12283;width:403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VGcYA&#10;AADcAAAADwAAAGRycy9kb3ducmV2LnhtbERPS2sCMRC+F/ofwhR6q9kKiq5GKa2CYG3xcbC3YTPd&#10;TbuZrEmqa399UxC8zcf3nPG0tbU4kg/GsYLHTgaCuHDacKlgt50/DECEiKyxdkwKzhRgOrm9GWOu&#10;3YnXdNzEUqQQDjkqqGJscilDUZHF0HENceI+nbcYE/Sl1B5PKdzWsptlfWnRcGqosKHniorvzY9V&#10;8HrYv/e+Xva7evD2u1iZwpuP2VKp+7v2aQQiUhuv4ot7odP83hD+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4VGc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PW</w:t>
                          </w:r>
                        </w:p>
                      </w:txbxContent>
                    </v:textbox>
                  </v:shape>
                  <v:shape id="Text Box 75" o:spid="_x0000_s1115" type="#_x0000_t202" style="position:absolute;left:34798;top:26371;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2OcgA&#10;AADcAAAADwAAAGRycy9kb3ducmV2LnhtbESPzWsCMRDF74X+D2EEbzVrQZGtUUo/QLAf1Hqwt2Ez&#10;3U27maxJqqt/fedQ6G2G9+a938yXvW/VgWJygQ2MRwUo4ipYx7WB7fvj1QxUysgW28Bk4EQJlovL&#10;izmWNhz5jQ6bXCsJ4VSigSbnrtQ6VQ15TKPQEYv2GaLHLGustY14lHDf6uuimGqPjqWhwY7uGqq+&#10;Nz/ewNN+9zr5ut9t29nLefXsqug+HtbGDAf97Q2oTH3+N/9dr6zgTwVfnpEJ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HY5yAAAANwAAAAPAAAAAAAAAAAAAAAAAJgCAABk&#10;cnMvZG93bnJldi54bWxQSwUGAAAAAAQABAD1AAAAjQ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v:textbox>
                  </v:shape>
                  <v:shape id="Text Box 75" o:spid="_x0000_s1116" type="#_x0000_t202" style="position:absolute;left:33337;top:27898;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TosUA&#10;AADcAAAADwAAAGRycy9kb3ducmV2LnhtbERPTWsCMRC9C/6HMEJvmrWgyNYoxbYgtLXUetDbsBl3&#10;UzeTNUl19dc3QqG3ebzPmc5bW4sT+WAcKxgOMhDEhdOGSwWbr5f+BESIyBprx6TgQgHms25nirl2&#10;Z/6k0zqWIoVwyFFBFWOTSxmKiiyGgWuIE7d33mJM0JdSezyncFvL+ywbS4uGU0OFDS0qKg7rH6vg&#10;7bj9GH0/bTf1ZHVdvpvCm93zq1J3vfbxAUSkNv6L/9xLneaPh3B7Jl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NOi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v:textbox>
                  </v:shape>
                  <v:shape id="Text Box 75" o:spid="_x0000_s1117" type="#_x0000_t202" style="position:absolute;left:32702;top:29359;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N1cUA&#10;AADcAAAADwAAAGRycy9kb3ducmV2LnhtbERPTWsCMRC9F/wPYQRvNaugyNYoRVsQbC21HvQ2bMbd&#10;1M1kTVLd+uubQqG3ebzPmc5bW4sL+WAcKxj0MxDEhdOGSwW7j+f7CYgQkTXWjknBNwWYzzp3U8y1&#10;u/I7XbaxFCmEQ44KqhibXMpQVGQx9F1DnLij8xZjgr6U2uM1hdtaDrNsLC0aTg0VNrSoqDhtv6yC&#10;l/P+bfS53O/qyea2ejWFN4entVK9bvv4ACJSG//Ff+6VTvPHQ/h9Jl0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k3V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v:textbox>
                  </v:shape>
                  <v:group id="Group 163" o:spid="_x0000_s1118" style="position:absolute;left:13677;top:30883;width:8274;height:6724"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Text Box 75" o:spid="_x0000_s1119" type="#_x0000_t202" style="position:absolute;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wOsUA&#10;AADcAAAADwAAAGRycy9kb3ducmV2LnhtbERPTWsCMRC9C/6HMII3zVZakdUopbUgtFqqHuxt2Ex3&#10;024m2yTVtb/eCIXe5vE+Z7ZobS2O5INxrOBmmIEgLpw2XCrY754GExAhImusHZOCMwVYzLudGeba&#10;nfiNjttYihTCIUcFVYxNLmUoKrIYhq4hTtyH8xZjgr6U2uMphdtajrJsLC0aTg0VNvRQUfG1/bEK&#10;Xr4Pr3efj4d9Pdn8rtam8OZ9+axUv9feT0FEauO/+M+90mn++Bauz6QL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3A6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120" type="#_x0000_t202" style="position:absolute;left:63;top:1206;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ocUA&#10;AADcAAAADwAAAGRycy9kb3ducmV2LnhtbERPTWsCMRC9F/wPYQRvNduCIlujlFpBsLXUetDbsBl3&#10;UzeTNYm69debQqG3ebzPGU9bW4sz+WAcK3joZyCIC6cNlwo2X/P7EYgQkTXWjknBDwWYTjp3Y8y1&#10;u/AnndexFCmEQ44KqhibXMpQVGQx9F1DnLi98xZjgr6U2uMlhdtaPmbZUFo0nBoqbOilouKwPlkF&#10;b8ftx+B7tt3Uo9V18W4Kb3avS6V63fb5CUSkNv6L/9wLneYPB/D7TLp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9Wh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121" type="#_x0000_t202" style="position:absolute;left:66;top:2540;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L1sUA&#10;AADcAAAADwAAAGRycy9kb3ducmV2LnhtbERPTWsCMRC9C/0PYQreNNtCF9kapagFQa1oPdjbsJnu&#10;xm4m2yTVbX99UxB6m8f7nPG0s404kw/GsYK7YQaCuHTacKXg8Po8GIEIEVlj45gUfFOA6eSmN8ZC&#10;uwvv6LyPlUghHApUUMfYFlKGsiaLYeha4sS9O28xJugrqT1eUrht5H2W5dKi4dRQY0uzmsqP/ZdV&#10;sP48bh9O8+OhGb38LDem9OZtsVKqf9s9PYKI1MV/8dW91Gl+nsPfM+kC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UvW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122" type="#_x0000_t202" style="position:absolute;left:129;top:3939;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uTcYA&#10;AADcAAAADwAAAGRycy9kb3ducmV2LnhtbERPS2sCMRC+C/0PYQq9abZCVVajlNaC0FrxcdDbsBl3&#10;024m2yTVbX99UxC8zcf3nMmstbU4kQ/GsYL7XgaCuHDacKlgt33pjkCEiKyxdkwKfijAbHrTmWCu&#10;3ZnXdNrEUqQQDjkqqGJscilDUZHF0HMNceKOzluMCfpSao/nFG5r2c+ygbRoODVU2NBTRcXn5tsq&#10;ePvarx4+nve7evT+u1iawpvD/FWpu9v2cQwiUhuv4ot7odP8wRD+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HuTc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Q4 vs. Q1</w:t>
                            </w:r>
                          </w:p>
                        </w:txbxContent>
                      </v:textbox>
                    </v:shape>
                  </v:group>
                  <v:group id="Group 168" o:spid="_x0000_s1123" style="position:absolute;left:13738;top:36471;width:8274;height:6724"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75" o:spid="_x0000_s1124" type="#_x0000_t202" style="position:absolute;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fpMUA&#10;AADcAAAADwAAAGRycy9kb3ducmV2LnhtbERPTWsCMRC9C/6HMII3zVao2NUopbUgtCpVD/Y2bKa7&#10;aTeTbZLq2l9vCoXe5vE+Z7ZobS1O5INxrOBmmIEgLpw2XCo47J8GExAhImusHZOCCwVYzLudGeba&#10;nfmVTrtYihTCIUcFVYxNLmUoKrIYhq4hTty78xZjgr6U2uM5hdtajrJsLC0aTg0VNvRQUfG5+7YK&#10;Xr6O29uPx+Ohnmx+VmtTePO2fFaq32vvpyAitfFf/Ode6TR/fAe/z6QL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t+k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125" type="#_x0000_t202" style="position:absolute;left:63;top:1206;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g5MgA&#10;AADcAAAADwAAAGRycy9kb3ducmV2LnhtbESPQU8CMRCF7yb+h2ZMvElXE4WsFGJQExJAI3LA22Q7&#10;7la207WtsPDrnYOJt5m8N+99M572vlV7iskFNnA9KEARV8E6rg1s3p+vRqBSRrbYBiYDR0ownZyf&#10;jbG04cBvtF/nWkkIpxINNDl3pdapashjGoSOWLTPED1mWWOtbcSDhPtW3xTFnfboWBoa7GjWULVb&#10;/3gDy+/t6+3X43bTjl5O85Wrovt4WhhzedE/3IPK1Od/89/13Ar+UPDlGZlAT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eDkyAAAANwAAAAPAAAAAAAAAAAAAAAAAJgCAABk&#10;cnMvZG93bnJldi54bWxQSwUGAAAAAAQABAD1AAAAjQ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126" type="#_x0000_t202" style="position:absolute;left:66;top:2540;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f8UA&#10;AADcAAAADwAAAGRycy9kb3ducmV2LnhtbERPS2sCMRC+C/6HMIXeNGuhVVajlD5AqFaqHuxt2Ex3&#10;YzeTbRJ17a83BaG3+fieM5m1thZH8sE4VjDoZyCIC6cNlwq2m9feCESIyBprx6TgTAFm025ngrl2&#10;J/6g4zqWIoVwyFFBFWOTSxmKiiyGvmuIE/flvMWYoC+l9nhK4baWd1n2IC0aTg0VNvRUUfG9PlgF&#10;i5/d6n7/vNvWo/ff+dIU3ny+vCl1e9M+jkFEauO/+Oqe6zR/OIC/Z9IF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UV/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127" type="#_x0000_t202" style="position:absolute;left:129;top:3939;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CMYA&#10;AADcAAAADwAAAGRycy9kb3ducmV2LnhtbERPS2sCMRC+C/0PYQq9abZCq6xGKa0FobXi46C3YTPu&#10;pt1M1iTVbX99UxC8zcf3nPG0tbU4kQ/GsYL7XgaCuHDacKlgu3ntDkGEiKyxdkwKfijAdHLTGWOu&#10;3ZlXdFrHUqQQDjkqqGJscilDUZHF0HMNceIOzluMCfpSao/nFG5r2c+yR2nRcGqosKHnioqv9bdV&#10;8H7cLR8+X3bbevjxO1+Ywpv97E2pu9v2aQQiUhuv4ot7rtP8QR/+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CM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Q4 vs. Q1</w:t>
                            </w:r>
                          </w:p>
                        </w:txbxContent>
                      </v:textbox>
                    </v:shape>
                  </v:group>
                  <v:group id="Group 173" o:spid="_x0000_s1128" style="position:absolute;left:13210;top:41951;width:8275;height:6724"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75" o:spid="_x0000_s1129" type="#_x0000_t202" style="position:absolute;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m58YA&#10;AADcAAAADwAAAGRycy9kb3ducmV2LnhtbERPS2sCMRC+C/0PYQreNNuiVVajlKog9CFVD/Y2bKa7&#10;aTeTbZLq1l9vCoXe5uN7znTe2locyQfjWMFNPwNBXDhtuFSw3616YxAhImusHZOCHwown111pphr&#10;d+JXOm5jKVIIhxwVVDE2uZShqMhi6LuGOHHvzluMCfpSao+nFG5reZtld9Ki4dRQYUMPFRWf22+r&#10;4OnrsBl+LA77evxyXj+bwpu35aNS3ev2fgIiUhv/xX/utU7zRwP4fSZ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rm58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130" type="#_x0000_t202" style="position:absolute;left:63;top:1206;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DfMYA&#10;AADcAAAADwAAAGRycy9kb3ducmV2LnhtbERPS2sCMRC+F/ofwhR6q9kKWlmNUloFwbbi42Bvw2a6&#10;G91M1iTVbX99UxC8zcf3nNGktbU4kQ/GsYLHTgaCuHDacKlgu5k9DECEiKyxdkwKfijAZHx7M8Jc&#10;uzOv6LSOpUghHHJUUMXY5FKGoiKLoeMa4sR9OW8xJuhLqT2eU7itZTfL+tKi4dRQYUMvFRWH9bdV&#10;8HbcLXv71922Hnz8zt9N4c3ndKHU/V37PAQRqY1X8cU912n+Uw/+n0kX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ZDfM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131" type="#_x0000_t202" style="position:absolute;left:66;top:2540;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dC8YA&#10;AADcAAAADwAAAGRycy9kb3ducmV2LnhtbERPS2sCMRC+C/0PYQq9abZCVVajlNaC0FrxcdDbsBl3&#10;024m2yTVbX99UxC8zcf3nMmstbU4kQ/GsYL7XgaCuHDacKlgt33pjkCEiKyxdkwKfijAbHrTmWCu&#10;3ZnXdNrEUqQQDjkqqGJscilDUZHF0HMNceKOzluMCfpSao/nFG5r2c+ygbRoODVU2NBTRcXn5tsq&#10;ePvarx4+nve7evT+u1iawpvD/FWpu9v2cQwiUhuv4ot7odP84QD+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dC8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132" type="#_x0000_t202" style="position:absolute;left:129;top:3939;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4kMUA&#10;AADcAAAADwAAAGRycy9kb3ducmV2LnhtbERPTWsCMRC9C/6HMII3zVZoldUopbUgtFqqHuxt2Ex3&#10;024m2yTVtb/eCIXe5vE+Z7ZobS2O5INxrOBmmIEgLpw2XCrY754GExAhImusHZOCMwVYzLudGeba&#10;nfiNjttYihTCIUcFVYxNLmUoKrIYhq4hTtyH8xZjgr6U2uMphdtajrLsTlo0nBoqbOihouJr+2MV&#10;vHwfXm8/Hw/7erL5Xa1N4c378lmpfq+9n4KI1MZ/8Z97pdP88Riuz6QL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HiQ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6"/>
                                <w:szCs w:val="16"/>
                              </w:rPr>
                              <w:t>Q4 vs. Q1</w:t>
                            </w:r>
                          </w:p>
                        </w:txbxContent>
                      </v:textbox>
                    </v:shape>
                  </v:group>
                  <v:shape id="Left Brace 178" o:spid="_x0000_s1133" type="#_x0000_t87" style="position:absolute;left:12271;top:31327;width:1574;height:16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d4ccA&#10;AADcAAAADwAAAGRycy9kb3ducmV2LnhtbESPQUsDMRCF74L/IUzBm82uhypr0yIFoR5ErC2tt+lm&#10;ullMJssmdtf+eucgeJvhvXnvm/lyDF6dqU9tZAPltABFXEfbcmNg+/F8+wAqZWSLPjIZ+KEEy8X1&#10;1RwrGwd+p/MmN0pCOFVowOXcVVqn2lHANI0dsWin2AfMsvaNtj0OEh68viuKmQ7YsjQ47GjlqP7a&#10;fAcDs5Hf9uvjcPj05Uv5etnv3MV6Y24m49MjqExj/jf/Xa+t4N8L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neHHAAAA3AAAAA8AAAAAAAAAAAAAAAAAmAIAAGRy&#10;cy9kb3ducmV2LnhtbFBLBQYAAAAABAAEAPUAAACMAwAAAAA=&#10;" adj="169" strokecolor="black [3213]">
                    <v:textbox>
                      <w:txbxContent>
                        <w:p w:rsidR="00723BD5" w:rsidRDefault="00723BD5" w:rsidP="001E7E70">
                          <w:pPr>
                            <w:pStyle w:val="NormalWeb"/>
                            <w:spacing w:before="0" w:beforeAutospacing="0" w:after="0" w:afterAutospacing="0" w:line="360" w:lineRule="auto"/>
                          </w:pPr>
                          <w:r>
                            <w:rPr>
                              <w:rFonts w:ascii="Arial" w:eastAsia="Times New Roman" w:hAnsi="Arial"/>
                              <w:sz w:val="22"/>
                              <w:szCs w:val="22"/>
                            </w:rPr>
                            <w:t> </w:t>
                          </w:r>
                        </w:p>
                      </w:txbxContent>
                    </v:textbox>
                  </v:shape>
                  <v:shape id="Text Box 75" o:spid="_x0000_s1134" type="#_x0000_t202" style="position:absolute;left:31775;top:32048;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1tMQA&#10;AADbAAAADwAAAGRycy9kb3ducmV2LnhtbERPW0vDMBR+F/wP4Qh7s6lDZXTNhjiFgTrZ5aF7OzTH&#10;Ntqc1CTbqr/ePAx8/Pju5XywnTiSD8axgpssB0FcO224UbDbPl9PQISIrLFzTAp+KMB8dnlRYqHd&#10;idd03MRGpBAOBSpoY+wLKUPdksWQuZ44cR/OW4wJ+kZqj6cUbjs5zvN7adFwamixp8eW6q/NwSp4&#10;/a7e7z4X1a6brH6Xb6b2Zv/0otToaniYgog0xH/x2b3UCm7T+vQ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7tbTEAAAA2wAAAA8AAAAAAAAAAAAAAAAAmAIAAGRycy9k&#10;b3ducmV2LnhtbFBLBQYAAAAABAAEAPUAAACJAw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W</w:t>
                          </w:r>
                        </w:p>
                      </w:txbxContent>
                    </v:textbox>
                  </v:shape>
                  <v:shape id="Text Box 75" o:spid="_x0000_s1135" type="#_x0000_t202" style="position:absolute;left:35306;top:33359;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Qw8gA&#10;AADcAAAADwAAAGRycy9kb3ducmV2LnhtbESPT0sDMRDF7wW/QxjBW5utoCxr0yJVoeCfYu2hvQ2b&#10;6W50M1mT2K5+eucgeJvhvXnvN7PF4Dt1pJhcYAPTSQGKuA7WcWNg+/YwLkGljGyxC0wGvinBYn42&#10;mmFlw4lf6bjJjZIQThUaaHPuK61T3ZLHNAk9sWiHED1mWWOjbcSThPtOXxbFtfboWBpa7GnZUv2x&#10;+fIGnj5366v3u922K19+Vs+ujm5//2jMxflwewMq05D/zX/XKyv4peDLMzKB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JDDyAAAANwAAAAPAAAAAAAAAAAAAAAAAJgCAABk&#10;cnMvZG93bnJldi54bWxQSwUGAAAAAAQABAD1AAAAjQ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W</w:t>
                          </w:r>
                        </w:p>
                      </w:txbxContent>
                    </v:textbox>
                  </v:shape>
                  <v:shape id="Text Box 75" o:spid="_x0000_s1136" type="#_x0000_t202" style="position:absolute;left:35775;top:34905;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1WMUA&#10;AADcAAAADwAAAGRycy9kb3ducmV2LnhtbERPTWsCMRC9F/ofwhS81ayCsmyNUqqC0KrUerC3YTPd&#10;Td1M1iTVrb++KRR6m8f7nMmss404kw/GsYJBPwNBXDptuFKwf1ve5yBCRNbYOCYF3xRgNr29mWCh&#10;3YVf6byLlUghHApUUMfYFlKGsiaLoe9a4sR9OG8xJugrqT1eUrht5DDLxtKi4dRQY0tPNZXH3ZdV&#10;8HI6bEef88O+yTfX1dqU3rwvnpXq3XWPDyAidfFf/Ode6TQ/H8DvM+kC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DVY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W</w:t>
                          </w:r>
                        </w:p>
                      </w:txbxContent>
                    </v:textbox>
                  </v:shape>
                  <v:shape id="Text Box 75" o:spid="_x0000_s1137" type="#_x0000_t202" style="position:absolute;left:37338;top:37675;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rL8UA&#10;AADcAAAADwAAAGRycy9kb3ducmV2LnhtbERPS2sCMRC+C/0PYQRvmlVQlq1RSh8gtCpaD/Y2bKa7&#10;aTeTbZLq1l/fFITe5uN7znzZ2UacyAfjWMF4lIEgLp02XCk4vD4NcxAhImtsHJOCHwqwXNz05lho&#10;d+YdnfaxEimEQ4EK6hjbQspQ1mQxjFxLnLh35y3GBH0ltcdzCreNnGTZTFo0nBpqbOm+pvJz/20V&#10;vHwdt9OPh+OhyTeX1dqU3rw9Pis16Hd3tyAidfFffHWvdJqfT+DvmXS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qsv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v:textbox>
                  </v:shape>
                  <v:shape id="Text Box 75" o:spid="_x0000_s1138" type="#_x0000_t202" style="position:absolute;left:43345;top:39070;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OtMYA&#10;AADcAAAADwAAAGRycy9kb3ducmV2LnhtbERPTU8CMRC9k/gfmjHxBl0lmM1KIUYhIUEhIge8Tbbj&#10;bnU7XdoCq7+ekph4m5f3OeNpZxtxJB+MYwW3gwwEcem04UrB9n3ez0GEiKyxcUwKfijAdHLVG2Oh&#10;3Ynf6LiJlUghHApUUMfYFlKGsiaLYeBa4sR9Om8xJugrqT2eUrht5F2W3UuLhlNDjS091VR+bw5W&#10;wct+tx59Pe+2Tb76Xbya0puP2VKpm+vu8QFEpC7+i//cC53m50O4PJMu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YOtM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v:textbox>
                  </v:shape>
                  <v:shape id="Text Box 75" o:spid="_x0000_s1139" type="#_x0000_t202" style="position:absolute;left:52057;top:40533;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wMYA&#10;AADcAAAADwAAAGRycy9kb3ducmV2LnhtbERPTU8CMRC9k/gfmjHxBl0NmM1KIUYhIUEhIge8Tbbj&#10;bnU7XdoCq7+ekph4m5f3OeNpZxtxJB+MYwW3gwwEcem04UrB9n3ez0GEiKyxcUwKfijAdHLVG2Oh&#10;3Ynf6LiJlUghHApUUMfYFlKGsiaLYeBa4sR9Om8xJugrqT2eUrht5F2W3UuLhlNDjS091VR+bw5W&#10;wct+tx59Pe+2Tb76Xbya0puP2VKpm+vu8QFEpC7+i//cC53m50O4PJMu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WwM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N-H B</w:t>
                          </w:r>
                        </w:p>
                      </w:txbxContent>
                    </v:textbox>
                  </v:shape>
                  <v:shape id="Text Box 75" o:spid="_x0000_s1140" type="#_x0000_t202" style="position:absolute;left:31775;top:43412;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W8UA&#10;AADcAAAADwAAAGRycy9kb3ducmV2LnhtbERPTWsCMRC9F/ofwhS81WwFy7I1SrEVhLaK1oO9DZvp&#10;buxmsiaprv76RhB6m8f7nNGks404kA/GsYKHfgaCuHTacKVg8zm7z0GEiKyxcUwKThRgMr69GWGh&#10;3ZFXdFjHSqQQDgUqqGNsCylDWZPF0HctceK+nbcYE/SV1B6PKdw2cpBlj9Ki4dRQY0vTmsqf9a9V&#10;8L7fLoe7l+2myRfn+Ycpvfl6fVOqd9c9P4GI1MV/8dU912l+PoTLM+kC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zNb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v:textbox>
                  </v:shape>
                  <v:shape id="Text Box 75" o:spid="_x0000_s1141" type="#_x0000_t202" style="position:absolute;left:39408;top:44855;width:50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tLMUA&#10;AADcAAAADwAAAGRycy9kb3ducmV2LnhtbERPTWsCMRC9C/6HMIXeNNtCZdkapdgWhLaK1oO9DZvp&#10;bnQz2Saprv76RhB6m8f7nPG0s404kA/GsYK7YQaCuHTacKVg8/k6yEGEiKyxcUwKThRgOun3xlho&#10;d+QVHdaxEimEQ4EK6hjbQspQ1mQxDF1LnLhv5y3GBH0ltcdjCreNvM+ykbRoODXU2NKspnK//rUK&#10;3n+2y4fd83bT5Ivz/MOU3ny9vCl1e9M9PYKI1MV/8dU912l+PoLLM+kC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a0sxQAAANwAAAAPAAAAAAAAAAAAAAAAAJgCAABkcnMv&#10;ZG93bnJldi54bWxQSwUGAAAAAAQABAD1AAAAigM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v:textbox>
                  </v:shape>
                  <v:shape id="Text Box 75" o:spid="_x0000_s1142" type="#_x0000_t202" style="position:absolute;left:35115;top:46250;width:50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It8YA&#10;AADcAAAADwAAAGRycy9kb3ducmV2LnhtbERPTU8CMRC9k/gfmjHxBl1NwM1KIUYhIUEhIge8Tbbj&#10;bnU7XdoCq7+ekph4m5f3OeNpZxtxJB+MYwW3gwwEcem04UrB9n3ez0GEiKyxcUwKfijAdHLVG2Oh&#10;3Ynf6LiJlUghHApUUMfYFlKGsiaLYeBa4sR9Om8xJugrqT2eUrht5F2WjaRFw6mhxpaeaiq/Nwer&#10;4GW/Ww+/nnfbJl/9Ll5N6c3HbKnUzXX3+AAiUhf/xX/uhU7z83u4PJMu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0It8YAAADcAAAADwAAAAAAAAAAAAAAAACYAgAAZHJz&#10;L2Rvd25yZXYueG1sUEsFBgAAAAAEAAQA9QAAAIsDAAAAAA==&#10;" fillcolor="white [3201]" stroked="f" strokeweight=".5pt">
                    <v:fill opacity="0"/>
                    <v:textbox>
                      <w:txbxContent>
                        <w:p w:rsidR="00723BD5" w:rsidRDefault="00723BD5" w:rsidP="001E7E70">
                          <w:pPr>
                            <w:pStyle w:val="NormalWeb"/>
                            <w:spacing w:before="0" w:beforeAutospacing="0" w:after="0" w:afterAutospacing="0" w:line="360" w:lineRule="auto"/>
                          </w:pPr>
                          <w:r>
                            <w:rPr>
                              <w:rFonts w:ascii="Arial" w:eastAsia="PMingLiU" w:hAnsi="Arial" w:cs="Arial"/>
                              <w:sz w:val="14"/>
                              <w:szCs w:val="14"/>
                            </w:rPr>
                            <w:t>MA</w:t>
                          </w:r>
                        </w:p>
                      </w:txbxContent>
                    </v:textbox>
                  </v:shape>
                  <v:shape id="Text Box 75" o:spid="_x0000_s1143" type="#_x0000_t202" style="position:absolute;top:52917;width:1388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cxcgA&#10;AADcAAAADwAAAGRycy9kb3ducmV2LnhtbESPT0sDMRDF7wW/QxjBW5utoCxr0yJVoeCfYu2hvQ2b&#10;6W50M1mT2K5+eucgeJvhvXnvN7PF4Dt1pJhcYAPTSQGKuA7WcWNg+/YwLkGljGyxC0wGvinBYn42&#10;mmFlw4lf6bjJjZIQThUaaHPuK61T3ZLHNAk9sWiHED1mWWOjbcSThPtOXxbFtfboWBpa7GnZUv2x&#10;+fIGnj5366v3u922K19+Vs+ujm5//2jMxflwewMq05D/zX/XKyv4pdDKMzKB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pzFyAAAANwAAAAPAAAAAAAAAAAAAAAAAJgCAABk&#10;cnMvZG93bnJldi54bWxQSwUGAAAAAAQABAD1AAAAjQMAAAAA&#10;" fillcolor="white [3201]" stroked="f" strokeweight=".5pt">
                    <v:fill opacity="0"/>
                    <v:textbox>
                      <w:txbxContent>
                        <w:p w:rsidR="00723BD5" w:rsidRDefault="00723BD5" w:rsidP="007E66E9">
                          <w:pPr>
                            <w:pStyle w:val="NormalWeb"/>
                            <w:spacing w:before="0" w:beforeAutospacing="0" w:after="0" w:afterAutospacing="0" w:line="360" w:lineRule="auto"/>
                            <w:ind w:left="-113"/>
                          </w:pPr>
                          <w:r>
                            <w:rPr>
                              <w:rFonts w:ascii="Arial" w:eastAsia="PMingLiU" w:hAnsi="Arial" w:cs="Arial"/>
                              <w:sz w:val="16"/>
                              <w:szCs w:val="16"/>
                            </w:rPr>
                            <w:t>Park et al. 2009</w:t>
                          </w:r>
                        </w:p>
                      </w:txbxContent>
                    </v:textbox>
                  </v:shape>
                  <v:shape id="Text Box 75" o:spid="_x0000_s1144" type="#_x0000_t202" style="position:absolute;left:13528;top:53235;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5XsYA&#10;AADcAAAADwAAAGRycy9kb3ducmV2LnhtbERPS2sCMRC+F/wPYYTeatZCZd0apfQBglWp9WBvw2a6&#10;G7uZbJOoa3+9KRR6m4/vOZNZZxtxJB+MYwXDQQaCuHTacKVg+/5yk4MIEVlj45gUnCnAbNq7mmCh&#10;3Ynf6LiJlUghHApUUMfYFlKGsiaLYeBa4sR9Om8xJugrqT2eUrht5G2WjaRFw6mhxpYeayq/Nger&#10;4PV7t77bP+22Tb76mS9N6c3H80Kp6373cA8iUhf/xX/uuU7z8zH8PpMu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45XsYAAADcAAAADwAAAAAAAAAAAAAAAACYAgAAZHJz&#10;L2Rvd25yZXYueG1sUEsFBgAAAAAEAAQA9QAAAIsDAAAAAA==&#10;" fillcolor="white [3201]" stroked="f" strokeweight=".5pt">
                    <v:fill opacity="0"/>
                    <v:textbox>
                      <w:txbxContent>
                        <w:p w:rsidR="00723BD5" w:rsidRDefault="00723BD5" w:rsidP="007E66E9">
                          <w:pPr>
                            <w:pStyle w:val="NormalWeb"/>
                            <w:spacing w:before="0" w:beforeAutospacing="0" w:after="0" w:afterAutospacing="0" w:line="360" w:lineRule="auto"/>
                          </w:pPr>
                          <w:r>
                            <w:rPr>
                              <w:rFonts w:ascii="Arial" w:eastAsia="PMingLiU" w:hAnsi="Arial" w:cs="Arial"/>
                              <w:sz w:val="16"/>
                              <w:szCs w:val="16"/>
                            </w:rPr>
                            <w:t>per 1 µg/dL</w:t>
                          </w:r>
                        </w:p>
                      </w:txbxContent>
                    </v:textbox>
                  </v:shape>
                  <v:shape id="Left Brace 190" o:spid="_x0000_s1145" type="#_x0000_t87" style="position:absolute;left:20659;top:48072;width:1524;height:1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46MUA&#10;AADcAAAADwAAAGRycy9kb3ducmV2LnhtbESPQWvCQBCF7wX/wzKFXopuVCiauooIlYAXjW3PQ3aa&#10;bJudDdmtxn/fOQi9zfDevPfNajP4Vl2ojy6wgekkA0VcBeu4NvB+fhsvQMWEbLENTAZuFGGzHj2s&#10;MLfhyie6lKlWEsIxRwNNSl2udawa8hgnoSMW7Sv0HpOsfa1tj1cJ962eZdmL9uhYGhrsaNdQ9VP+&#10;egOL423+4ezh86C/52V52hfP0RXGPD0O21dQiYb0b75fF1bwl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vjoxQAAANwAAAAPAAAAAAAAAAAAAAAAAJgCAABkcnMv&#10;ZG93bnJldi54bWxQSwUGAAAAAAQABAD1AAAAigMAAAAA&#10;" adj="217" strokecolor="black [3213]">
                    <v:textbox>
                      <w:txbxContent>
                        <w:p w:rsidR="00723BD5" w:rsidRDefault="00723BD5" w:rsidP="00C033BF">
                          <w:pPr>
                            <w:rPr>
                              <w:rFonts w:eastAsia="Times New Roman"/>
                            </w:rPr>
                          </w:pPr>
                        </w:p>
                      </w:txbxContent>
                    </v:textbox>
                  </v:shape>
                  <v:shape id="Text Box 75" o:spid="_x0000_s1146" type="#_x0000_t202" style="position:absolute;left:25568;top:47691;width:95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hcUA&#10;AADcAAAADwAAAGRycy9kb3ducmV2LnhtbERPTWsCMRC9F/wPYQq91awFxa5GKa2CYG2perC3YTPd&#10;jd1M1iTq2l9vCoXe5vE+ZzxtbS1O5INxrKDXzUAQF04bLhVsN/P7IYgQkTXWjknBhQJMJ52bMeba&#10;nfmDTutYihTCIUcFVYxNLmUoKrIYuq4hTtyX8xZjgr6U2uM5hdtaPmTZQFo0nBoqbOi5ouJ7fbQK&#10;Xg+79/7+Zbeth28/i5UpvPmcLZW6u22fRiAitfFf/Ode6DT/sQe/z6QL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aOFxQAAANwAAAAPAAAAAAAAAAAAAAAAAJgCAABkcnMv&#10;ZG93bnJldi54bWxQSwUGAAAAAAQABAD1AAAAigM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All subjects</w:t>
                          </w:r>
                        </w:p>
                      </w:txbxContent>
                    </v:textbox>
                  </v:shape>
                  <v:shape id="Text Box 75" o:spid="_x0000_s1147" type="#_x0000_t202" style="position:absolute;left:25609;top:49044;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98sYA&#10;AADcAAAADwAAAGRycy9kb3ducmV2LnhtbERPS2sCMRC+F/ofwhR6q9kKLboapagFobXFx0Fvw2bc&#10;TbuZrEmqa399UxC8zcf3nOG4tbU4kg/GsYLHTgaCuHDacKlgs3596IEIEVlj7ZgUnCnAeHR7M8Rc&#10;uxMv6biKpUghHHJUUMXY5FKGoiKLoeMa4sTtnbcYE/Sl1B5PKdzWsptlz9Ki4dRQYUOTiorv1Y9V&#10;8H7Yfj59TbebuvfxO1+Ywpvd7E2p+7v2ZQAiUhuv4ot7rtP8fhf+n0kX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M98sYAAADcAAAADwAAAAAAAAAAAAAAAACYAgAAZHJz&#10;L2Rvd25yZXYueG1sUEsFBgAAAAAEAAQA9QAAAIsDA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White men</w:t>
                          </w:r>
                        </w:p>
                      </w:txbxContent>
                    </v:textbox>
                  </v:shape>
                  <v:shape id="Text Box 75" o:spid="_x0000_s1148" type="#_x0000_t202" style="position:absolute;left:26416;top:50441;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acYA&#10;AADcAAAADwAAAGRycy9kb3ducmV2LnhtbERPTU8CMRC9m/gfmjHhJl0gGFgpxAgkJCpE4IC3yXbY&#10;rW6na1th8ddbExNv8/I+ZzJrbS1O5INxrKDXzUAQF04bLhXsd8vbEYgQkTXWjknBhQLMptdXE8y1&#10;O/MrnbaxFCmEQ44KqhibXMpQVGQxdF1DnLij8xZjgr6U2uM5hdta9rPsTlo0nBoqbOixouJj+2UV&#10;PH8eNsP3+WFfj9bfqxdTePO2eFKqc9M+3IOI1MZ/8Z97pdP88QB+n0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YacYAAADcAAAADwAAAAAAAAAAAAAAAACYAgAAZHJz&#10;L2Rvd25yZXYueG1sUEsFBgAAAAAEAAQA9QAAAIsDA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Black men</w:t>
                          </w:r>
                        </w:p>
                      </w:txbxContent>
                    </v:textbox>
                  </v:shape>
                  <v:shape id="Text Box 75" o:spid="_x0000_s1149" type="#_x0000_t202" style="position:absolute;left:26479;top:51967;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AHcYA&#10;AADcAAAADwAAAGRycy9kb3ducmV2LnhtbERPTU8CMRC9m/gfmjHhJl0IGFgpxAgkJCpE4IC3yXbY&#10;rW6na1th8ddbExNv8/I+ZzJrbS1O5INxrKDXzUAQF04bLhXsd8vbEYgQkTXWjknBhQLMptdXE8y1&#10;O/MrnbaxFCmEQ44KqhibXMpQVGQxdF1DnLij8xZjgr6U2uM5hdta9rPsTlo0nBoqbOixouJj+2UV&#10;PH8eNsP3+WFfj9bfqxdTePO2eFKqc9M+3IOI1MZ/8Z97pdP88QB+n0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YAHcYAAADcAAAADwAAAAAAAAAAAAAAAACYAgAAZHJz&#10;L2Rvd25yZXYueG1sUEsFBgAAAAAEAAQA9QAAAIsDA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White women</w:t>
                          </w:r>
                        </w:p>
                      </w:txbxContent>
                    </v:textbox>
                  </v:shape>
                  <v:shape id="Text Box 75" o:spid="_x0000_s1150" type="#_x0000_t202" style="position:absolute;left:26352;top:53235;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lhsYA&#10;AADcAAAADwAAAGRycy9kb3ducmV2LnhtbERPS2sCMRC+F/ofwhR6q9kKiq5GKa2CYG3xcbC3YTPd&#10;TbuZrEmqa399UxC8zcf3nPG0tbU4kg/GsYLHTgaCuHDacKlgt50/DECEiKyxdkwKzhRgOrm9GWOu&#10;3YnXdNzEUqQQDjkqqGJscilDUZHF0HENceI+nbcYE/Sl1B5PKdzWsptlfWnRcGqosKHniorvzY9V&#10;8HrYv/e+Xva7evD2u1iZwpuP2VKp+7v2aQQiUhuv4ot7odP8YQ/+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lhsYAAADcAAAADwAAAAAAAAAAAAAAAACYAgAAZHJz&#10;L2Rvd25yZXYueG1sUEsFBgAAAAAEAAQA9QAAAIsDA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Black women</w:t>
                          </w:r>
                        </w:p>
                      </w:txbxContent>
                    </v:textbox>
                  </v:shape>
                  <v:shape id="Text Box 75" o:spid="_x0000_s1151" type="#_x0000_t202" style="position:absolute;left:26352;top:54761;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78cUA&#10;AADcAAAADwAAAGRycy9kb3ducmV2LnhtbERPTWsCMRC9C/6HMII3zVao2NUopbUgtCpVD/Y2bKa7&#10;aTeTbZLq2l9vCoXe5vE+Z7ZobS1O5INxrOBmmIEgLpw2XCo47J8GExAhImusHZOCCwVYzLudGeba&#10;nfmVTrtYihTCIUcFVYxNLmUoKrIYhq4hTty78xZjgr6U2uM5hdtajrJsLC0aTg0VNvRQUfG5+7YK&#10;Xr6O29uPx+Ohnmx+VmtTePO2fFaq32vvpyAitfFf/Ode6TT/bgy/z6QL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DvxxQAAANwAAAAPAAAAAAAAAAAAAAAAAJgCAABkcnMv&#10;ZG93bnJldi54bWxQSwUGAAAAAAQABAD1AAAAigM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Men &lt;50 yrs</w:t>
                          </w:r>
                        </w:p>
                      </w:txbxContent>
                    </v:textbox>
                  </v:shape>
                  <v:shape id="Text Box 75" o:spid="_x0000_s1152" type="#_x0000_t202" style="position:absolute;left:26416;top:56029;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SeasYA&#10;AADcAAAADwAAAGRycy9kb3ducmV2LnhtbERPTU8CMRC9m/gfmjHhJl1IQFgpxAgkJCpE4IC3yXbY&#10;rW6na1th8ddbExNv8/I+ZzJrbS1O5INxrKDXzUAQF04bLhXsd8vbEYgQkTXWjknBhQLMptdXE8y1&#10;O/MrnbaxFCmEQ44KqhibXMpQVGQxdF1DnLij8xZjgr6U2uM5hdta9rNsKC0aTg0VNvRYUfGx/bIK&#10;nj8Pm8H7/LCvR+vv1YspvHlbPCnVuWkf7kFEauO/+M+90mn++A5+n0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SeasYAAADcAAAADwAAAAAAAAAAAAAAAACYAgAAZHJz&#10;L2Rvd25yZXYueG1sUEsFBgAAAAAEAAQA9QAAAIsDA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 xml:space="preserve">Men </w:t>
                          </w:r>
                          <w:r>
                            <w:rPr>
                              <w:rFonts w:ascii="Arial" w:eastAsia="PMingLiU" w:hAnsi="Arial" w:cs="Arial"/>
                              <w:sz w:val="14"/>
                              <w:szCs w:val="14"/>
                              <w:u w:val="single"/>
                            </w:rPr>
                            <w:t>&gt;</w:t>
                          </w:r>
                          <w:r>
                            <w:rPr>
                              <w:rFonts w:ascii="Arial" w:eastAsia="PMingLiU" w:hAnsi="Arial" w:cs="Arial"/>
                              <w:sz w:val="14"/>
                              <w:szCs w:val="14"/>
                            </w:rPr>
                            <w:t>50 yrs</w:t>
                          </w:r>
                        </w:p>
                      </w:txbxContent>
                    </v:textbox>
                  </v:shape>
                  <v:shape id="Text Box 75" o:spid="_x0000_s1153" type="#_x0000_t202" style="position:absolute;left:25590;top:58972;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KGMgA&#10;AADcAAAADwAAAGRycy9kb3ducmV2LnhtbESPQU8CMRCF7yb+h2ZMvElXEw2uFEIUExJBI3LA22Q7&#10;7Fa306WtsPjrnQOJt5m8N+99M5r0vlV7iskFNnA9KEARV8E6rg2sP56vhqBSRrbYBiYDR0owGZ+f&#10;jbC04cDvtF/lWkkIpxINNDl3pdapashjGoSOWLRtiB6zrLHWNuJBwn2rb4riTnt0LA0NdvTYUPW9&#10;+vEGFrvN2+3X02bdDl9/50tXRfc5ezHm8qKfPoDK1Od/8+l6bgX/XmjlGZlA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2woYyAAAANwAAAAPAAAAAAAAAAAAAAAAAJgCAABk&#10;cnMvZG93bnJldi54bWxQSwUGAAAAAAQABAD1AAAAjQM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 xml:space="preserve">Men </w:t>
                          </w:r>
                          <w:r>
                            <w:rPr>
                              <w:rFonts w:ascii="Arial" w:eastAsia="PMingLiU" w:hAnsi="Arial" w:cs="Arial"/>
                              <w:sz w:val="14"/>
                              <w:szCs w:val="14"/>
                              <w:u w:val="single"/>
                            </w:rPr>
                            <w:t>&gt;</w:t>
                          </w:r>
                          <w:r>
                            <w:rPr>
                              <w:rFonts w:ascii="Arial" w:eastAsia="PMingLiU" w:hAnsi="Arial" w:cs="Arial"/>
                              <w:sz w:val="14"/>
                              <w:szCs w:val="14"/>
                            </w:rPr>
                            <w:t>50 yrs</w:t>
                          </w:r>
                        </w:p>
                      </w:txbxContent>
                    </v:textbox>
                  </v:shape>
                  <v:shape id="Text Box 75" o:spid="_x0000_s1154" type="#_x0000_t202" style="position:absolute;left:26987;top:57594;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g8UA&#10;AADcAAAADwAAAGRycy9kb3ducmV2LnhtbERPTWsCMRC9C/6HMII3zVZo0dUopbUgtFqqHuxt2Ex3&#10;024m2yTVtb/eCIXe5vE+Z7ZobS2O5INxrOBmmIEgLpw2XCrY754GYxAhImusHZOCMwVYzLudGeba&#10;nfiNjttYihTCIUcFVYxNLmUoKrIYhq4hTtyH8xZjgr6U2uMphdtajrLsTlo0nBoqbOihouJr+2MV&#10;vHwfXm8/Hw/7erz5Xa1N4c378lmpfq+9n4KI1MZ/8Z97pdP8yQSuz6QL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6+DxQAAANwAAAAPAAAAAAAAAAAAAAAAAJgCAABkcnMv&#10;ZG93bnJldi54bWxQSwUGAAAAAAQABAD1AAAAigM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Men &lt;50 yrs</w:t>
                          </w:r>
                        </w:p>
                      </w:txbxContent>
                    </v:textbox>
                  </v:shape>
                  <v:shape id="Text Box 75" o:spid="_x0000_s1155" type="#_x0000_t202" style="position:absolute;left:29057;top:61512;width:1397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y5ccA&#10;AADcAAAADwAAAGRycy9kb3ducmV2LnhtbESPT0vDQBTE70K/w/IK3uymglJit6FUhYD/aM0h3h7Z&#10;Z7I1+zburm3007uC0OMwM79hlsVoe3EgH4xjBfNZBoK4cdpwq6B6vb9YgAgRWWPvmBR8U4BiNTlb&#10;Yq7dkbd02MVWJAiHHBV0MQ65lKHpyGKYuYE4ee/OW4xJ+lZqj8cEt728zLJradFwWuhwoE1Hzcfu&#10;yyp4/Kxfrva3ddUvnn/KJ9N483b3oNT5dFzfgIg0xlP4v11qBYkIf2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C8uXHAAAA3AAAAA8AAAAAAAAAAAAAAAAAmAIAAGRy&#10;cy9kb3ducmV2LnhtbFBLBQYAAAAABAAEAPUAAACMAw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Women aged 40-59</w:t>
                          </w:r>
                        </w:p>
                      </w:txbxContent>
                    </v:textbox>
                  </v:shape>
                  <v:group id="Group 201" o:spid="_x0000_s1156" style="position:absolute;left:13721;top:60601;width:8274;height:6724" coordsize="8277,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75" o:spid="_x0000_s1157" type="#_x0000_t202" style="position:absolute;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JCccA&#10;AADcAAAADwAAAGRycy9kb3ducmV2LnhtbESPT2sCMRTE74V+h/AEbzXrgkVWo0j/gNBW0XrQ22Pz&#10;3E27edkmqW799E1B6HGYmd8w03lnG3EiH4xjBcNBBoK4dNpwpWD3/nw3BhEissbGMSn4oQDz2e3N&#10;FAvtzryh0zZWIkE4FKigjrEtpAxlTRbDwLXEyTs6bzEm6SupPZ4T3DYyz7J7adFwWqixpYeays/t&#10;t1Xw+rVfjz4e97tmvLos30zpzeHpRal+r1tMQETq4n/42l5qBXmWw9+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yQnHAAAA3AAAAA8AAAAAAAAAAAAAAAAAmAIAAGRy&#10;cy9kb3ducmV2LnhtbFBLBQYAAAAABAAEAPUAAACMAw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Referent (Q1)</w:t>
                            </w:r>
                          </w:p>
                        </w:txbxContent>
                      </v:textbox>
                    </v:shape>
                    <v:shape id="Text Box 75" o:spid="_x0000_s1158" type="#_x0000_t202" style="position:absolute;left:63;top:1206;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sksgA&#10;AADcAAAADwAAAGRycy9kb3ducmV2LnhtbESPT2sCMRTE70K/Q3iF3jRbS0VWo5TWgtBa8c9Bb4/N&#10;czft5mVNUt320zcFweMwM79hxtPW1uJEPhjHCu57GQjiwmnDpYLt5rU7BBEissbaMSn4oQDTyU1n&#10;jLl2Z17RaR1LkSAcclRQxdjkUoaiIouh5xri5B2ctxiT9KXUHs8JbmvZz7KBtGg4LVTY0HNFxdf6&#10;2yp4P+6Wj58vu209/PidL0zhzX72ptTdbfs0AhGpjdfwpT3XCvrZA/yfSU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GySyAAAANwAAAAPAAAAAAAAAAAAAAAAAJgCAABk&#10;cnMvZG93bnJldi54bWxQSwUGAAAAAAQABAD1AAAAjQM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Q2 vs. Q1</w:t>
                            </w:r>
                          </w:p>
                        </w:txbxContent>
                      </v:textbox>
                    </v:shape>
                    <v:shape id="Text Box 75" o:spid="_x0000_s1159" type="#_x0000_t202" style="position:absolute;left:66;top:2540;width:81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05sgA&#10;AADcAAAADwAAAGRycy9kb3ducmV2LnhtbESPT2sCMRTE70K/Q3iF3jRbaUVWo5TWgtBa8c9Bb4/N&#10;czft5mVNUt320zcFweMwM79hxtPW1uJEPhjHCu57GQjiwmnDpYLt5rU7BBEissbaMSn4oQDTyU1n&#10;jLl2Z17RaR1LkSAcclRQxdjkUoaiIouh5xri5B2ctxiT9KXUHs8JbmvZz7KBtGg4LVTY0HNFxdf6&#10;2yp4P+6Wj58vu209/PidL0zhzX72ptTdbfs0AhGpjdfwpT3XCvrZA/yfSU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fTmyAAAANwAAAAPAAAAAAAAAAAAAAAAAJgCAABk&#10;cnMvZG93bnJldi54bWxQSwUGAAAAAAQABAD1AAAAjQM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Q3 vs. Q1</w:t>
                            </w:r>
                          </w:p>
                        </w:txbxContent>
                      </v:textbox>
                    </v:shape>
                    <v:shape id="Text Box 75" o:spid="_x0000_s1160" type="#_x0000_t202" style="position:absolute;left:129;top:3939;width:814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fccA&#10;AADcAAAADwAAAGRycy9kb3ducmV2LnhtbESPQWsCMRSE7wX/Q3iCt5pVsMhqFLEtCG0tVQ96e2ye&#10;u7GblzVJdeuvbwqFHoeZ+YaZzltbiwv5YBwrGPQzEMSF04ZLBbvt8/0YRIjIGmvHpOCbAsxnnbsp&#10;5tpd+YMum1iKBOGQo4IqxiaXMhQVWQx91xAn7+i8xZikL6X2eE1wW8thlj1Ii4bTQoUNLSsqPjdf&#10;VsHref8+Oj3ud/V4fVu9mcKbw9OLUr1uu5iAiNTG//Bfe6UVDLMR/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1UX3HAAAA3AAAAA8AAAAAAAAAAAAAAAAAmAIAAGRy&#10;cy9kb3ducmV2LnhtbFBLBQYAAAAABAAEAPUAAACMAw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6"/>
                                <w:szCs w:val="16"/>
                              </w:rPr>
                              <w:t>Q4 vs. Q1</w:t>
                            </w:r>
                          </w:p>
                        </w:txbxContent>
                      </v:textbox>
                    </v:shape>
                  </v:group>
                  <v:shape id="Text Box 75" o:spid="_x0000_s1161" type="#_x0000_t202" style="position:absolute;left:279;top:62883;width:1388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PCscA&#10;AADcAAAADwAAAGRycy9kb3ducmV2LnhtbESPQWsCMRSE7wX/Q3iCt5pVUGRrlKItCLaWWg96e2ye&#10;u6mblzVJdeuvbwqFHoeZ+YaZzltbiwv5YBwrGPQzEMSF04ZLBbuP5/sJiBCRNdaOScE3BZjPOndT&#10;zLW78jtdtrEUCcIhRwVVjE0uZSgqshj6riFO3tF5izFJX0rt8ZrgtpbDLBtLi4bTQoUNLSoqTtsv&#10;q+DlvH8bfS73u3qyua1eTeHN4WmtVK/bPj6AiNTG//Bfe6UVDLMx/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zwrHAAAA3AAAAA8AAAAAAAAAAAAAAAAAmAIAAGRy&#10;cy9kb3ducmV2LnhtbFBLBQYAAAAABAAEAPUAAACMAwAAAAA=&#10;" fillcolor="white [3201]" stroked="f" strokeweight=".5pt">
                    <v:fill opacity="0"/>
                    <v:textbox>
                      <w:txbxContent>
                        <w:p w:rsidR="00723BD5" w:rsidRDefault="00723BD5" w:rsidP="00C033BF">
                          <w:pPr>
                            <w:pStyle w:val="NormalWeb"/>
                            <w:spacing w:before="0" w:beforeAutospacing="0" w:after="0" w:afterAutospacing="0" w:line="360" w:lineRule="auto"/>
                            <w:ind w:left="-113"/>
                          </w:pPr>
                          <w:r>
                            <w:rPr>
                              <w:rFonts w:ascii="Arial" w:eastAsia="PMingLiU" w:hAnsi="Arial" w:cs="Arial"/>
                              <w:sz w:val="16"/>
                              <w:szCs w:val="16"/>
                            </w:rPr>
                            <w:t>Nash et al. 2003</w:t>
                          </w:r>
                        </w:p>
                      </w:txbxContent>
                    </v:textbox>
                  </v:shape>
                  <v:shape id="Left Brace 207" o:spid="_x0000_s1162" type="#_x0000_t87" style="position:absolute;left:13356;top:60706;width:693;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4W8cA&#10;AADcAAAADwAAAGRycy9kb3ducmV2LnhtbESPT2vCQBTE74V+h+UVvJS62xxaia5SCq2lB8FYEW+P&#10;7Mufmn0bstuYfHtXKHgcZuY3zGI12Eb01PnasYbnqQJBnDtTc6nhZ/fxNAPhA7LBxjFpGMnDanl/&#10;t8DUuDNvqc9CKSKEfYoaqhDaVEqfV2TRT11LHL3CdRZDlF0pTYfnCLeNTJR6kRZrjgsVtvReUX7K&#10;/qwGdTh+Ph42WfE7jvJ7X/T79SlptJ48DG9zEIGGcAv/t7+MhkS9wvVMP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OFvHAAAA3AAAAA8AAAAAAAAAAAAAAAAAmAIAAGRy&#10;cy9kb3ducmV2LnhtbFBLBQYAAAAABAAEAPUAAACMAwAAAAA=&#10;" adj="231" strokecolor="black [3213]">
                    <v:textbox>
                      <w:txbxContent>
                        <w:p w:rsidR="00723BD5" w:rsidRDefault="00723BD5" w:rsidP="00C033BF">
                          <w:pPr>
                            <w:pStyle w:val="NormalWeb"/>
                            <w:spacing w:before="0" w:beforeAutospacing="0" w:after="0" w:afterAutospacing="0" w:line="360" w:lineRule="auto"/>
                          </w:pPr>
                          <w:r>
                            <w:rPr>
                              <w:rFonts w:ascii="Arial" w:eastAsia="Times New Roman" w:hAnsi="Arial"/>
                              <w:sz w:val="22"/>
                              <w:szCs w:val="22"/>
                            </w:rPr>
                            <w:t> </w:t>
                          </w:r>
                        </w:p>
                      </w:txbxContent>
                    </v:textbox>
                  </v:shape>
                  <v:shape id="Text Box 75" o:spid="_x0000_s1163" type="#_x0000_t202" style="position:absolute;left:30683;top:63223;width:1397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48QA&#10;AADcAAAADwAAAGRycy9kb3ducmV2LnhtbERPy2oCMRTdF/yHcAvuaqaCIlOjFLUg1Co+FnZ3mdzO&#10;RCc30yTVab++WQguD+c9nra2FhfywThW8NzLQBAXThsuFRz2b08jECEia6wdk4JfCjCddB7GmGt3&#10;5S1ddrEUKYRDjgqqGJtcylBUZDH0XEOcuC/nLcYEfSm1x2sKt7XsZ9lQWjScGipsaFZRcd79WAWr&#10;7+NmcJofD/Vo/bf8MIU3n4t3pbqP7esLiEhtvItv7qVW0M/S2nQ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uPEAAAA3AAAAA8AAAAAAAAAAAAAAAAAmAIAAGRycy9k&#10;b3ducmV2LnhtbFBLBQYAAAAABAAEAPUAAACJAw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Women aged 40-59</w:t>
                          </w:r>
                        </w:p>
                      </w:txbxContent>
                    </v:textbox>
                  </v:shape>
                  <v:shape id="Text Box 75" o:spid="_x0000_s1164" type="#_x0000_t202" style="position:absolute;left:30416;top:64684;width:1397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beMgA&#10;AADcAAAADwAAAGRycy9kb3ducmV2LnhtbESPT2sCMRTE74V+h/AKvdVshRZdjVLUgtDa4p+D3h6b&#10;527azcuapLr20zcFweMwM79hhuPW1uJIPhjHCh47GQjiwmnDpYLN+vWhByJEZI21Y1JwpgDj0e3N&#10;EHPtTryk4yqWIkE45KigirHJpQxFRRZDxzXEyds7bzEm6UupPZ4S3Naym2XP0qLhtFBhQ5OKiu/V&#10;j1Xwfth+Pn1Nt5u69/E7X5jCm93sTan7u/ZlACJSG6/hS3uuFXSzPvyfSUdAj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Ft4yAAAANwAAAAPAAAAAAAAAAAAAAAAAJgCAABk&#10;cnMvZG93bnJldi54bWxQSwUGAAAAAAQABAD1AAAAjQMAAAAA&#10;" fillcolor="white [3201]" stroked="f" strokeweight=".5pt">
                    <v:fill opacity="0"/>
                    <v:textbox>
                      <w:txbxContent>
                        <w:p w:rsidR="00723BD5" w:rsidRDefault="00723BD5" w:rsidP="00C033BF">
                          <w:pPr>
                            <w:pStyle w:val="NormalWeb"/>
                            <w:spacing w:before="0" w:beforeAutospacing="0" w:after="0" w:afterAutospacing="0" w:line="360" w:lineRule="auto"/>
                          </w:pPr>
                          <w:r>
                            <w:rPr>
                              <w:rFonts w:ascii="Arial" w:eastAsia="PMingLiU" w:hAnsi="Arial" w:cs="Arial"/>
                              <w:sz w:val="14"/>
                              <w:szCs w:val="14"/>
                            </w:rPr>
                            <w:t>Women aged 40-59</w:t>
                          </w:r>
                        </w:p>
                      </w:txbxContent>
                    </v:textbox>
                  </v:shape>
                  <v:shape id="Text Box 75" o:spid="_x0000_s1165" type="#_x0000_t202" style="position:absolute;top:68240;width:1388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kOMQA&#10;AADcAAAADwAAAGRycy9kb3ducmV2LnhtbERPy2oCMRTdC/2HcAvuNKNgkdEo0lYQ+hAfC91dJteZ&#10;2MnNmKQ67dc3i4LLw3lP562txZV8MI4VDPoZCOLCacOlgv1u2RuDCBFZY+2YFPxQgPnsoTPFXLsb&#10;b+i6jaVIIRxyVFDF2ORShqIii6HvGuLEnZy3GBP0pdQebync1nKYZU/SouHUUGFDzxUVX9tvq+D9&#10;cliPzi+HfT3+/F19mMKb4+ubUt3HdjEBEamNd/G/e6UVDAdpfjq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ZDjEAAAA3AAAAA8AAAAAAAAAAAAAAAAAmAIAAGRycy9k&#10;b3ducmV2LnhtbFBLBQYAAAAABAAEAPUAAACJAwAAAAA=&#10;" fillcolor="white [3201]" stroked="f" strokeweight=".5pt">
                    <v:fill opacity="0"/>
                    <v:textbox>
                      <w:txbxContent>
                        <w:p w:rsidR="00723BD5" w:rsidRDefault="00723BD5" w:rsidP="00C033BF">
                          <w:pPr>
                            <w:pStyle w:val="NormalWeb"/>
                            <w:spacing w:before="0" w:beforeAutospacing="0" w:after="0" w:afterAutospacing="0" w:line="360" w:lineRule="auto"/>
                            <w:ind w:left="-113"/>
                          </w:pPr>
                          <w:r>
                            <w:rPr>
                              <w:rFonts w:ascii="Arial" w:eastAsia="PMingLiU" w:hAnsi="Arial" w:cs="Arial"/>
                              <w:sz w:val="16"/>
                              <w:szCs w:val="16"/>
                            </w:rPr>
                            <w:t>Vupputuri et al. 2003</w:t>
                          </w:r>
                        </w:p>
                      </w:txbxContent>
                    </v:textbox>
                  </v:shape>
                  <v:shape id="Text Box 75" o:spid="_x0000_s1166" type="#_x0000_t202" style="position:absolute;left:14049;top:67434;width:8509;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Bo8gA&#10;AADcAAAADwAAAGRycy9kb3ducmV2LnhtbESPT2sCMRTE74LfITyhN82u0CKrUYptQbB/qHrQ22Pz&#10;3E3dvGyTqNt++qZQ6HGYmd8ws0VnG3EhH4xjBfkoA0FcOm24UrDbPg0nIEJE1tg4JgVfFGAx7/dm&#10;WGh35Xe6bGIlEoRDgQrqGNtCylDWZDGMXEucvKPzFmOSvpLa4zXBbSPHWXYnLRpOCzW2tKypPG3O&#10;VsHz5/7t9uNhv2smr9+rF1N6c3hcK3Uz6O6nICJ18T/8115pBeM8h98z6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8GjyAAAANwAAAAPAAAAAAAAAAAAAAAAAJgCAABk&#10;cnMvZG93bnJldi54bWxQSwUGAAAAAAQABAD1AAAAjQMAAAAA&#10;" fillcolor="white [3201]" stroked="f" strokeweight=".5pt">
                    <v:fill opacity="0"/>
                    <v:textbox>
                      <w:txbxContent>
                        <w:p w:rsidR="00723BD5" w:rsidRDefault="00723BD5" w:rsidP="00D248C0">
                          <w:pPr>
                            <w:pStyle w:val="NormalWeb"/>
                            <w:spacing w:before="0" w:beforeAutospacing="0" w:after="0" w:afterAutospacing="0"/>
                            <w:rPr>
                              <w:rFonts w:ascii="Arial" w:eastAsia="PMingLiU" w:hAnsi="Arial" w:cs="Arial"/>
                              <w:sz w:val="16"/>
                              <w:szCs w:val="16"/>
                            </w:rPr>
                          </w:pPr>
                          <w:r>
                            <w:rPr>
                              <w:rFonts w:ascii="Arial" w:eastAsia="PMingLiU" w:hAnsi="Arial" w:cs="Arial"/>
                              <w:sz w:val="16"/>
                              <w:szCs w:val="16"/>
                            </w:rPr>
                            <w:t xml:space="preserve">1 SD increase </w:t>
                          </w:r>
                        </w:p>
                        <w:p w:rsidR="00723BD5" w:rsidRDefault="00723BD5" w:rsidP="00D248C0">
                          <w:pPr>
                            <w:pStyle w:val="NormalWeb"/>
                            <w:spacing w:before="0" w:beforeAutospacing="0" w:after="0" w:afterAutospacing="0"/>
                          </w:pPr>
                          <w:r>
                            <w:rPr>
                              <w:rFonts w:ascii="Arial" w:eastAsia="PMingLiU" w:hAnsi="Arial" w:cs="Arial"/>
                              <w:sz w:val="16"/>
                              <w:szCs w:val="16"/>
                            </w:rPr>
                            <w:t>in PbB</w:t>
                          </w:r>
                        </w:p>
                      </w:txbxContent>
                    </v:textbox>
                  </v:shape>
                  <v:shape id="Left Brace 212" o:spid="_x0000_s1167" type="#_x0000_t87" style="position:absolute;left:22558;top:66502;width:692;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NHsYA&#10;AADcAAAADwAAAGRycy9kb3ducmV2LnhtbESPT2vCQBTE7wW/w/KEXopuzEFKdBURbKUHoVERb4/s&#10;yx/Nvg3ZNSbfvlso9DjMzG+Y5bo3teiodZVlBbNpBII4s7riQsHpuJu8g3AeWWNtmRQM5GC9Gr0s&#10;MdH2yd/Upb4QAcIuQQWl900ipctKMuimtiEOXm5bgz7ItpC6xWeAm1rGUTSXBisOCyU2tC0pu6cP&#10;oyC6XD/eLoc0vw2D/Drn3fnzHtdKvY77zQKEp97/h//ae60gnsX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0NHsYAAADcAAAADwAAAAAAAAAAAAAAAACYAgAAZHJz&#10;L2Rvd25yZXYueG1sUEsFBgAAAAAEAAQA9QAAAIsDAAAAAA==&#10;" adj="231" strokecolor="black [3213]">
                    <v:textbox>
                      <w:txbxContent>
                        <w:p w:rsidR="00723BD5" w:rsidRDefault="00723BD5" w:rsidP="00D248C0">
                          <w:pPr>
                            <w:pStyle w:val="NormalWeb"/>
                            <w:spacing w:before="0" w:beforeAutospacing="0" w:after="0" w:afterAutospacing="0" w:line="360" w:lineRule="auto"/>
                          </w:pPr>
                          <w:r>
                            <w:rPr>
                              <w:rFonts w:ascii="Arial" w:eastAsia="Times New Roman" w:hAnsi="Arial"/>
                              <w:sz w:val="22"/>
                              <w:szCs w:val="22"/>
                            </w:rPr>
                            <w:t> </w:t>
                          </w:r>
                        </w:p>
                      </w:txbxContent>
                    </v:textbox>
                  </v:shape>
                  <v:shape id="Text Box 75" o:spid="_x0000_s1168" type="#_x0000_t202" style="position:absolute;left:24914;top:65993;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6T8gA&#10;AADcAAAADwAAAGRycy9kb3ducmV2LnhtbESPT2sCMRTE74V+h/AK3mpWi0W2RpH+AUFrqfVgb4/N&#10;cze6edkmUVc/vSkUehxm5jfMaNLaWhzJB+NYQa+bgSAunDZcKlh/vd0PQYSIrLF2TArOFGAyvr0Z&#10;Ya7diT/puIqlSBAOOSqoYmxyKUNRkcXQdQ1x8rbOW4xJ+lJqj6cEt7XsZ9mjtGg4LVTY0HNFxX51&#10;sAoWP5uPwe5ls66Hy8vs3RTefL/OlerctdMnEJHa+B/+a8+0gn7vAX7PpCM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fpPyAAAANwAAAAPAAAAAAAAAAAAAAAAAJgCAABk&#10;cnMvZG93bnJldi54bWxQSwUGAAAAAAQABAD1AAAAjQMAAAAA&#10;" fillcolor="white [3201]" stroked="f" strokeweight=".5pt">
                    <v:fill opacity="0"/>
                    <v:textbo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White men</w:t>
                          </w:r>
                        </w:p>
                      </w:txbxContent>
                    </v:textbox>
                  </v:shape>
                  <v:shape id="Text Box 75" o:spid="_x0000_s1169" type="#_x0000_t202" style="position:absolute;left:25654;top:67351;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iO8gA&#10;AADcAAAADwAAAGRycy9kb3ducmV2LnhtbESPT2sCMRTE74V+h/AK3mpWqUW2RpH+AUFrqfVgb4/N&#10;cze6edkmUVc/vSkUehxm5jfMaNLaWhzJB+NYQa+bgSAunDZcKlh/vd0PQYSIrLF2TArOFGAyvr0Z&#10;Ya7diT/puIqlSBAOOSqoYmxyKUNRkcXQdQ1x8rbOW4xJ+lJqj6cEt7XsZ9mjtGg4LVTY0HNFxX51&#10;sAoWP5uPwe5ls66Hy8vs3RTefL/OlerctdMnEJHa+B/+a8+0gn7vAX7PpCM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GI7yAAAANwAAAAPAAAAAAAAAAAAAAAAAJgCAABk&#10;cnMvZG93bnJldi54bWxQSwUGAAAAAAQABAD1AAAAjQMAAAAA&#10;" fillcolor="white [3201]" stroked="f" strokeweight=".5pt">
                    <v:fill opacity="0"/>
                    <v:textbo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Black men</w:t>
                          </w:r>
                        </w:p>
                      </w:txbxContent>
                    </v:textbox>
                  </v:shape>
                  <v:shape id="Text Box 75" o:spid="_x0000_s1170" type="#_x0000_t202" style="position:absolute;left:27514;top:68788;width:954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HoMcA&#10;AADcAAAADwAAAGRycy9kb3ducmV2LnhtbESPQWsCMRSE74X+h/AK3mpWwSJbo5SqILRVtB7s7bF5&#10;3U3dvKxJqqu/vhGEHoeZ+YYZTVpbiyP5YBwr6HUzEMSF04ZLBdvP+eMQRIjIGmvHpOBMASbj+7sR&#10;5tqdeE3HTSxFgnDIUUEVY5NLGYqKLIaua4iT9+28xZikL6X2eEpwW8t+lj1Ji4bTQoUNvVZU7De/&#10;VsH7Ybca/Ex323q4vCw+TOHN1+xNqc5D+/IMIlIb/8O39kIr6PcGcD2Tj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sx6DHAAAA3AAAAA8AAAAAAAAAAAAAAAAAmAIAAGRy&#10;cy9kb3ducmV2LnhtbFBLBQYAAAAABAAEAPUAAACMAwAAAAA=&#10;" fillcolor="white [3201]" stroked="f" strokeweight=".5pt">
                    <v:fill opacity="0"/>
                    <v:textbo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White women</w:t>
                          </w:r>
                        </w:p>
                      </w:txbxContent>
                    </v:textbox>
                  </v:shape>
                  <v:shape id="Text Box 75" o:spid="_x0000_s1171" type="#_x0000_t202" style="position:absolute;left:27666;top:70316;width:954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Z18cA&#10;AADcAAAADwAAAGRycy9kb3ducmV2LnhtbESPQWsCMRSE70L/Q3iF3jSroMjWKMW2ILRVtB7s7bF5&#10;3Y3dvKxJqqu/vhGEHoeZ+YaZzFpbiyP5YBwr6PcyEMSF04ZLBdvP1+4YRIjIGmvHpOBMAWbTu84E&#10;c+1OvKbjJpYiQTjkqKCKscmlDEVFFkPPNcTJ+3beYkzSl1J7PCW4reUgy0bSouG0UGFD84qKn82v&#10;VfB+2K2G++fdth4vL4sPU3jz9fKm1MN9+/QIIlIb/8O39kIrGPRHcD2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WdfHAAAA3AAAAA8AAAAAAAAAAAAAAAAAmAIAAGRy&#10;cy9kb3ducmV2LnhtbFBLBQYAAAAABAAEAPUAAACMAwAAAAA=&#10;" fillcolor="white [3201]" stroked="f" strokeweight=".5pt">
                    <v:fill opacity="0"/>
                    <v:textbox>
                      <w:txbxContent>
                        <w:p w:rsidR="00723BD5" w:rsidRDefault="00723BD5" w:rsidP="00D248C0">
                          <w:pPr>
                            <w:pStyle w:val="NormalWeb"/>
                            <w:spacing w:before="0" w:beforeAutospacing="0" w:after="0" w:afterAutospacing="0" w:line="360" w:lineRule="auto"/>
                          </w:pPr>
                          <w:r>
                            <w:rPr>
                              <w:rFonts w:ascii="Arial" w:eastAsia="PMingLiU" w:hAnsi="Arial" w:cs="Arial"/>
                              <w:sz w:val="14"/>
                              <w:szCs w:val="14"/>
                            </w:rPr>
                            <w:t>Black women</w:t>
                          </w:r>
                        </w:p>
                      </w:txbxContent>
                    </v:textbox>
                  </v:shape>
                </v:group>
                <w10:anchorlock/>
              </v:group>
            </w:pict>
          </mc:Fallback>
        </mc:AlternateContent>
      </w:r>
      <w:r w:rsidR="007F6110">
        <w:br w:type="page"/>
      </w:r>
    </w:p>
    <w:p w:rsidR="0080182D" w:rsidRDefault="00DB05CC" w:rsidP="0080182D">
      <w:pPr>
        <w:pStyle w:val="Heading3"/>
      </w:pPr>
      <w:bookmarkStart w:id="28" w:name="_Toc391288236"/>
      <w:r>
        <w:lastRenderedPageBreak/>
        <w:t>4</w:t>
      </w:r>
      <w:r w:rsidR="00A818B0">
        <w:t>.4</w:t>
      </w:r>
      <w:r w:rsidR="0080182D">
        <w:t>.3 Reproductive effects</w:t>
      </w:r>
      <w:bookmarkEnd w:id="28"/>
    </w:p>
    <w:p w:rsidR="0080182D" w:rsidRDefault="00496143" w:rsidP="0080182D">
      <w:r>
        <w:t>General population studies indicate</w:t>
      </w:r>
      <w:r w:rsidR="0080182D">
        <w:t xml:space="preserve"> </w:t>
      </w:r>
      <w:r w:rsidR="00BE2EAA">
        <w:t>l</w:t>
      </w:r>
      <w:r w:rsidR="00637B4C">
        <w:t>ead</w:t>
      </w:r>
      <w:r w:rsidR="00BE2EAA">
        <w:t xml:space="preserve"> </w:t>
      </w:r>
      <w:r w:rsidR="0080182D">
        <w:t xml:space="preserve">can delay female sexual maturation, and increase the risk of spontaneous abortion. Although there are many methodological problems </w:t>
      </w:r>
      <w:r w:rsidR="00D561D1">
        <w:t>with</w:t>
      </w:r>
      <w:r w:rsidR="0080182D">
        <w:t xml:space="preserve"> studies</w:t>
      </w:r>
      <w:r w:rsidR="00D561D1">
        <w:t xml:space="preserve"> of this kind, the literature suggests</w:t>
      </w:r>
      <w:r w:rsidR="0080182D">
        <w:t xml:space="preserve"> such effects may occur at maternal PbB concentrations of </w:t>
      </w:r>
      <w:r w:rsidR="00D561D1">
        <w:t xml:space="preserve">around </w:t>
      </w:r>
      <w:r w:rsidR="0080182D">
        <w:t xml:space="preserve">10 </w:t>
      </w:r>
      <w:r w:rsidR="0080182D" w:rsidRPr="005B7728">
        <w:rPr>
          <w:rFonts w:cs="Arial"/>
        </w:rPr>
        <w:t>µ</w:t>
      </w:r>
      <w:r w:rsidR="0080182D">
        <w:t xml:space="preserve">g/dL (NIWL 2005). The findings for birth defects, preterm births, and low birth weight/foetal growth are inconsistent. </w:t>
      </w:r>
    </w:p>
    <w:p w:rsidR="00A6640C" w:rsidRDefault="00A6640C" w:rsidP="0080182D"/>
    <w:p w:rsidR="00137053" w:rsidRDefault="0020564D" w:rsidP="0080182D">
      <w:r>
        <w:t>There are a few</w:t>
      </w:r>
      <w:r w:rsidR="00A6640C">
        <w:t xml:space="preserve"> studies reporting ORs for female reproductive endpoints in relation to PbB</w:t>
      </w:r>
      <w:r w:rsidR="00D561D1">
        <w:t xml:space="preserve">, these include </w:t>
      </w:r>
      <w:r w:rsidR="00A6640C">
        <w:t>spontaneous abortion (</w:t>
      </w:r>
      <w:r w:rsidR="00A6640C" w:rsidRPr="00505519">
        <w:t>Borja-Aburto et al. 1999)</w:t>
      </w:r>
      <w:r w:rsidR="00ED5DA8">
        <w:rPr>
          <w:rStyle w:val="FootnoteReference"/>
        </w:rPr>
        <w:footnoteReference w:id="21"/>
      </w:r>
      <w:r w:rsidR="00A6640C" w:rsidRPr="00505519">
        <w:t xml:space="preserve">, </w:t>
      </w:r>
      <w:r w:rsidR="00A6640C" w:rsidRPr="00ED5DA8">
        <w:t>pre</w:t>
      </w:r>
      <w:r w:rsidR="00A6640C" w:rsidRPr="0020564D">
        <w:t>term delivery</w:t>
      </w:r>
      <w:r w:rsidR="00ED5DA8" w:rsidRPr="0020564D">
        <w:rPr>
          <w:rStyle w:val="FootnoteReference"/>
        </w:rPr>
        <w:footnoteReference w:id="22"/>
      </w:r>
      <w:r w:rsidRPr="0020564D">
        <w:t xml:space="preserve"> (McMichael et al. 1986),</w:t>
      </w:r>
      <w:r w:rsidR="00A6640C" w:rsidRPr="0020564D">
        <w:t xml:space="preserve"> and low infant birth weight (Irgens et al. 1998)</w:t>
      </w:r>
      <w:r>
        <w:rPr>
          <w:rStyle w:val="FootnoteReference"/>
        </w:rPr>
        <w:footnoteReference w:id="23"/>
      </w:r>
      <w:r w:rsidR="00A6640C" w:rsidRPr="0020564D">
        <w:t>.</w:t>
      </w:r>
      <w:r w:rsidR="00A6640C">
        <w:t xml:space="preserve"> </w:t>
      </w:r>
    </w:p>
    <w:p w:rsidR="00137053" w:rsidRDefault="00137053" w:rsidP="0080182D"/>
    <w:p w:rsidR="00A6640C" w:rsidRDefault="004C4E96" w:rsidP="0080182D">
      <w:r>
        <w:t xml:space="preserve">Of these three studies, </w:t>
      </w:r>
      <w:r w:rsidR="00137053">
        <w:t xml:space="preserve">Borja-Aburto et al. (1999) </w:t>
      </w:r>
      <w:r>
        <w:t xml:space="preserve">provides the </w:t>
      </w:r>
      <w:r w:rsidR="00754780" w:rsidRPr="00BB3167">
        <w:t>most</w:t>
      </w:r>
      <w:r>
        <w:t xml:space="preserve"> useful information for judging the potential health benefit of reducing </w:t>
      </w:r>
      <w:r w:rsidR="00314205">
        <w:t>BLRL</w:t>
      </w:r>
      <w:r>
        <w:t xml:space="preserve"> in the workplace. The authors report</w:t>
      </w:r>
      <w:r w:rsidR="00137053">
        <w:t xml:space="preserve"> an OR for spontaneous abortion of 1.8 (95% CI: 1.1, 3.1) for every 5 </w:t>
      </w:r>
      <w:r w:rsidR="00137053" w:rsidRPr="003D60BD">
        <w:rPr>
          <w:rFonts w:cs="Arial"/>
        </w:rPr>
        <w:t>µ</w:t>
      </w:r>
      <w:r w:rsidR="00137053">
        <w:t>g/dL increase in PbB</w:t>
      </w:r>
      <w:r>
        <w:t xml:space="preserve"> in a cohort of 668 women in Mexico City (Borja-Aburto et al. 1999)</w:t>
      </w:r>
      <w:r w:rsidR="00137053">
        <w:t xml:space="preserve">. </w:t>
      </w:r>
      <w:r>
        <w:t xml:space="preserve">These data suggest </w:t>
      </w:r>
      <w:r w:rsidR="00137053">
        <w:t xml:space="preserve">if the </w:t>
      </w:r>
      <w:r w:rsidR="00314205">
        <w:t>BLRL</w:t>
      </w:r>
      <w:r w:rsidR="00137053">
        <w:t xml:space="preserve"> were to be reduced from 15 </w:t>
      </w:r>
      <w:r w:rsidR="00137053" w:rsidRPr="003D60BD">
        <w:rPr>
          <w:rFonts w:cs="Arial"/>
        </w:rPr>
        <w:t>µ</w:t>
      </w:r>
      <w:r w:rsidR="00137053">
        <w:t xml:space="preserve">g/dL to 10 </w:t>
      </w:r>
      <w:r w:rsidR="00137053" w:rsidRPr="003D60BD">
        <w:rPr>
          <w:rFonts w:cs="Arial"/>
        </w:rPr>
        <w:t>µ</w:t>
      </w:r>
      <w:r w:rsidR="00137053">
        <w:t xml:space="preserve">g/dL for females of reproductive capacity and females who are pregnant in the workforce, this would be associated with an </w:t>
      </w:r>
      <w:r w:rsidR="00E737AE">
        <w:t xml:space="preserve">approximate </w:t>
      </w:r>
      <w:r w:rsidR="00137053">
        <w:t xml:space="preserve">80% reduced risk of spontaneous abortion. It should be noted there is considerable uncertainty with using the information in this manner. </w:t>
      </w:r>
    </w:p>
    <w:p w:rsidR="00A6640C" w:rsidRDefault="00A6640C" w:rsidP="0080182D"/>
    <w:p w:rsidR="003D60BD" w:rsidRPr="003D60BD" w:rsidRDefault="00E737AE" w:rsidP="0080182D">
      <w:r>
        <w:t>A</w:t>
      </w:r>
      <w:r w:rsidR="003D60BD">
        <w:t xml:space="preserve"> sensitive reproductive endpoint in males for which there is </w:t>
      </w:r>
      <w:r w:rsidR="00D561D1">
        <w:t xml:space="preserve">reasonable </w:t>
      </w:r>
      <w:r w:rsidR="003D60BD">
        <w:t xml:space="preserve">information is </w:t>
      </w:r>
      <w:r>
        <w:t xml:space="preserve">reduced </w:t>
      </w:r>
      <w:r w:rsidR="003D60BD">
        <w:t>sperm quality. Bonde et al. (2002) conducted a cross sectional sur</w:t>
      </w:r>
      <w:r w:rsidR="00D561D1">
        <w:t xml:space="preserve">vey of semen from 503 men, 362 of </w:t>
      </w:r>
      <w:r w:rsidR="003D60BD">
        <w:t xml:space="preserve">which had occupational exposure to lead (mean PbB 31 </w:t>
      </w:r>
      <w:r w:rsidR="003D60BD" w:rsidRPr="003D60BD">
        <w:rPr>
          <w:rFonts w:cs="Arial"/>
        </w:rPr>
        <w:t>µ</w:t>
      </w:r>
      <w:r w:rsidR="003D60BD">
        <w:t xml:space="preserve">g/dL, range 4.6 – 64.5 </w:t>
      </w:r>
      <w:r w:rsidR="003D60BD" w:rsidRPr="003D60BD">
        <w:rPr>
          <w:rFonts w:cs="Arial"/>
        </w:rPr>
        <w:t>µ</w:t>
      </w:r>
      <w:r w:rsidR="003D60BD">
        <w:t xml:space="preserve">g/dL) and 141 reference workers (mean PbB 4.4 </w:t>
      </w:r>
      <w:r w:rsidR="003D60BD" w:rsidRPr="003D60BD">
        <w:rPr>
          <w:rFonts w:cs="Arial"/>
        </w:rPr>
        <w:t>µ</w:t>
      </w:r>
      <w:r w:rsidR="003D60BD">
        <w:t>g/dL, range &lt;</w:t>
      </w:r>
      <w:r w:rsidR="00780CE8">
        <w:t xml:space="preserve"> detection limit (</w:t>
      </w:r>
      <w:r w:rsidR="003D60BD">
        <w:t>DL</w:t>
      </w:r>
      <w:r w:rsidR="00780CE8">
        <w:t>)</w:t>
      </w:r>
      <w:r w:rsidR="003D60BD">
        <w:t xml:space="preserve"> – 19.8 </w:t>
      </w:r>
      <w:r w:rsidR="003D60BD" w:rsidRPr="003D60BD">
        <w:rPr>
          <w:rFonts w:cs="Arial"/>
        </w:rPr>
        <w:t>µ</w:t>
      </w:r>
      <w:r w:rsidR="003D60BD">
        <w:t xml:space="preserve">g/dL). Semen volume and sperm concentration were determined. </w:t>
      </w:r>
      <w:r w:rsidR="00D561D1">
        <w:t>The a</w:t>
      </w:r>
      <w:r w:rsidR="003D60BD">
        <w:t xml:space="preserve">uthors found the median sperm concentration was 49% </w:t>
      </w:r>
      <w:r w:rsidR="00D561D1">
        <w:t xml:space="preserve">lower </w:t>
      </w:r>
      <w:r w:rsidR="003D60BD">
        <w:t xml:space="preserve">in men with PbB &gt;50 </w:t>
      </w:r>
      <w:r w:rsidR="003D60BD" w:rsidRPr="003D60BD">
        <w:rPr>
          <w:rFonts w:cs="Arial"/>
        </w:rPr>
        <w:t>µ</w:t>
      </w:r>
      <w:r w:rsidR="00D561D1">
        <w:t>g/dL.</w:t>
      </w:r>
      <w:r w:rsidR="003D60BD">
        <w:t xml:space="preserve"> </w:t>
      </w:r>
      <w:r w:rsidR="00D561D1">
        <w:t>There was no indication of a trend for</w:t>
      </w:r>
      <w:r w:rsidR="003D60BD">
        <w:t xml:space="preserve"> lower sperm concentration with increasing PbB. However threshold slope least square regression identified a PbB of 44 </w:t>
      </w:r>
      <w:r w:rsidR="003D60BD" w:rsidRPr="003D60BD">
        <w:rPr>
          <w:rFonts w:cs="Arial"/>
        </w:rPr>
        <w:t>µ</w:t>
      </w:r>
      <w:r w:rsidR="00D561D1">
        <w:t>g/dL as a possible</w:t>
      </w:r>
      <w:r w:rsidR="003D60BD">
        <w:t xml:space="preserve"> threshold. The OR for total sperm count at the PbB range of 40.1-50 </w:t>
      </w:r>
      <w:r w:rsidR="003D60BD" w:rsidRPr="003D60BD">
        <w:rPr>
          <w:rFonts w:cs="Arial"/>
        </w:rPr>
        <w:t>µ</w:t>
      </w:r>
      <w:r w:rsidR="003D60BD">
        <w:t xml:space="preserve">g/dL was 0.9 (95% CI: 0.4, 2.1), and at </w:t>
      </w:r>
      <w:r w:rsidR="003D60BD">
        <w:rPr>
          <w:u w:val="single"/>
        </w:rPr>
        <w:t>&gt;</w:t>
      </w:r>
      <w:r w:rsidR="003D60BD">
        <w:t xml:space="preserve">50.1 </w:t>
      </w:r>
      <w:r w:rsidR="003D60BD" w:rsidRPr="003D60BD">
        <w:rPr>
          <w:rFonts w:cs="Arial"/>
        </w:rPr>
        <w:t>µ</w:t>
      </w:r>
      <w:r w:rsidR="003D60BD">
        <w:t xml:space="preserve">g/dL the OR was 4.4 (95% CI: 1.6, 11.6). </w:t>
      </w:r>
      <w:r w:rsidR="004C4E96">
        <w:t xml:space="preserve">This study suggests that reducing the current </w:t>
      </w:r>
      <w:r w:rsidR="00314205">
        <w:t>BLRL</w:t>
      </w:r>
      <w:r w:rsidR="004C4E96">
        <w:t xml:space="preserve"> for men from 50 </w:t>
      </w:r>
      <w:r w:rsidR="004C4E96" w:rsidRPr="003D60BD">
        <w:rPr>
          <w:rFonts w:cs="Arial"/>
        </w:rPr>
        <w:t>µ</w:t>
      </w:r>
      <w:r w:rsidR="004C4E96">
        <w:t xml:space="preserve">g/dL to 30 </w:t>
      </w:r>
      <w:r w:rsidR="004C4E96" w:rsidRPr="003D60BD">
        <w:rPr>
          <w:rFonts w:cs="Arial"/>
        </w:rPr>
        <w:t>µ</w:t>
      </w:r>
      <w:r w:rsidR="0050192C">
        <w:t>g/dL c</w:t>
      </w:r>
      <w:r w:rsidR="004C4E96">
        <w:t xml:space="preserve">ould </w:t>
      </w:r>
      <w:r>
        <w:t xml:space="preserve">perhaps </w:t>
      </w:r>
      <w:r w:rsidR="004C4E96">
        <w:t>eliminate the</w:t>
      </w:r>
      <w:r w:rsidR="0050192C">
        <w:t xml:space="preserve"> adverse</w:t>
      </w:r>
      <w:r w:rsidR="004C4E96">
        <w:t xml:space="preserve"> effects of </w:t>
      </w:r>
      <w:r w:rsidR="00BE2EAA">
        <w:t>l</w:t>
      </w:r>
      <w:r w:rsidR="00637B4C">
        <w:t>ead</w:t>
      </w:r>
      <w:r w:rsidR="00BE2EAA">
        <w:t xml:space="preserve"> </w:t>
      </w:r>
      <w:r w:rsidR="004C4E96">
        <w:t xml:space="preserve">on sperm quality. </w:t>
      </w:r>
      <w:r w:rsidR="00A86664">
        <w:t xml:space="preserve">It is noted that effects on sperm quality begin to appear at PbB levels of 25 – 30 </w:t>
      </w:r>
      <w:r w:rsidR="00A86664">
        <w:rPr>
          <w:rFonts w:cs="Arial"/>
        </w:rPr>
        <w:t>µ</w:t>
      </w:r>
      <w:r w:rsidR="00A86664">
        <w:t>g/dL (Section 4.3).</w:t>
      </w:r>
    </w:p>
    <w:p w:rsidR="00584FDC" w:rsidRDefault="00584FDC" w:rsidP="0080182D"/>
    <w:p w:rsidR="00584FDC" w:rsidRDefault="00584FDC" w:rsidP="0080182D">
      <w:r>
        <w:t xml:space="preserve">The US EPA (2013) has determined there is a causal </w:t>
      </w:r>
      <w:r w:rsidR="00AB7AE2">
        <w:t>relationship</w:t>
      </w:r>
      <w:r>
        <w:t xml:space="preserve"> between PbB and reduced sperm quality. The state key</w:t>
      </w:r>
      <w:r w:rsidRPr="00584FDC">
        <w:t xml:space="preserve"> evidence is provided by toxicological studies in rodents, non-human primates, and rabbits showing detrimental effects on semen quality, sperm and fecundity/fertility with supporting evidence in epidemiologic studies. Toxicological studies with relevant Pb exposure routes leading to blood Pb concentrations ranging from 5-43 μg/dL reported effects on sperm quality and sperm production rate, sperm DNA damage, and histological or ultra</w:t>
      </w:r>
      <w:r w:rsidR="00EE2C4F">
        <w:t>-</w:t>
      </w:r>
      <w:r w:rsidRPr="00584FDC">
        <w:t xml:space="preserve">structural damage to the male reproductive organs. Consistent associations in studies of occupational populations with concurrent </w:t>
      </w:r>
      <w:r>
        <w:t>PbB</w:t>
      </w:r>
      <w:r w:rsidRPr="00584FDC">
        <w:t xml:space="preserve"> levels of 25 μg/dL and greater, report detrimental effects of Pb on sperm; however, uncertainties remain regarding the timing, frequency, duration and level of Pb exposures contributing to the effects observed in epidemiologic studies.</w:t>
      </w:r>
      <w:r>
        <w:t xml:space="preserve"> </w:t>
      </w:r>
    </w:p>
    <w:p w:rsidR="00A86664" w:rsidRDefault="00A86664" w:rsidP="0080182D"/>
    <w:p w:rsidR="00A86664" w:rsidRDefault="00A86664" w:rsidP="0080182D">
      <w:r w:rsidRPr="00A86664">
        <w:t xml:space="preserve">Alexander et al. </w:t>
      </w:r>
      <w:r>
        <w:t>(</w:t>
      </w:r>
      <w:r w:rsidRPr="00A86664">
        <w:t>1996b</w:t>
      </w:r>
      <w:r>
        <w:t>)</w:t>
      </w:r>
      <w:r w:rsidRPr="00A86664">
        <w:t xml:space="preserve"> found no association with male PbB and spontane</w:t>
      </w:r>
      <w:r>
        <w:t>ous abortion in their partners</w:t>
      </w:r>
      <w:r w:rsidRPr="00A86664">
        <w:t>. The associations for male PbB with preterm births and congenital abnormalities are inconsistent, with some studies reporting a small association (Min et al. 1996, Lin et al. 1998, Salim et al. 1992), and others reporting no association (Irgens et al. 1998, Kristensen et al. 1993).</w:t>
      </w:r>
    </w:p>
    <w:p w:rsidR="00BC5CED" w:rsidRDefault="00BC5CED" w:rsidP="0080182D"/>
    <w:p w:rsidR="004C4E96" w:rsidRDefault="00DB05CC" w:rsidP="004C4E96">
      <w:pPr>
        <w:pStyle w:val="Heading3"/>
      </w:pPr>
      <w:bookmarkStart w:id="29" w:name="_Toc391288237"/>
      <w:r>
        <w:t>4</w:t>
      </w:r>
      <w:r w:rsidR="004C4E96" w:rsidRPr="00195C1B">
        <w:t>.4.4 Cancer</w:t>
      </w:r>
      <w:bookmarkEnd w:id="29"/>
    </w:p>
    <w:p w:rsidR="006E78BA" w:rsidRDefault="00390E1B" w:rsidP="006E78BA">
      <w:r>
        <w:t xml:space="preserve">In 2006, IARC undertook a review of epidemiological and experimental animal toxicology information in which the carcinogenic effects of </w:t>
      </w:r>
      <w:r w:rsidR="00BE2EAA">
        <w:t>l</w:t>
      </w:r>
      <w:r w:rsidR="00637B4C">
        <w:t>ead</w:t>
      </w:r>
      <w:r w:rsidR="00BE2EAA">
        <w:t xml:space="preserve"> </w:t>
      </w:r>
      <w:r>
        <w:t xml:space="preserve">exposure were investigated (IARC 2006). They </w:t>
      </w:r>
      <w:r w:rsidR="00440F6B">
        <w:t xml:space="preserve">changed </w:t>
      </w:r>
      <w:r>
        <w:t xml:space="preserve">the classification of inorganic </w:t>
      </w:r>
      <w:r w:rsidR="00BE2EAA">
        <w:t>l</w:t>
      </w:r>
      <w:r w:rsidR="00637B4C">
        <w:t>ead</w:t>
      </w:r>
      <w:r w:rsidR="00BE2EAA">
        <w:t xml:space="preserve"> </w:t>
      </w:r>
      <w:r>
        <w:t xml:space="preserve">compounds from 2B (possibly carcinogenic; evidence of carcinogenicity in animal or </w:t>
      </w:r>
      <w:r>
        <w:rPr>
          <w:i/>
        </w:rPr>
        <w:t>in vitro</w:t>
      </w:r>
      <w:r>
        <w:t xml:space="preserve"> studies) to </w:t>
      </w:r>
      <w:r w:rsidR="00DE53A0">
        <w:t>G</w:t>
      </w:r>
      <w:r>
        <w:t xml:space="preserve">roup 2A (probably carcinogenic in humans) on the basis there </w:t>
      </w:r>
      <w:r w:rsidRPr="002C7749">
        <w:t>was now</w:t>
      </w:r>
      <w:r w:rsidR="002C7749">
        <w:t>, in addition to sufficient evidence in experimental animals,</w:t>
      </w:r>
      <w:r w:rsidRPr="002C7749">
        <w:t xml:space="preserve"> limited evidence of carcinogenicity </w:t>
      </w:r>
      <w:r w:rsidR="00074D1A" w:rsidRPr="002C7749">
        <w:t>in humans</w:t>
      </w:r>
      <w:r w:rsidR="00DE53A0">
        <w:t>.</w:t>
      </w:r>
      <w:r w:rsidR="00074D1A" w:rsidRPr="002C7749">
        <w:t xml:space="preserve"> </w:t>
      </w:r>
      <w:r w:rsidR="0045219D">
        <w:t xml:space="preserve">From the occupational studies </w:t>
      </w:r>
      <w:r w:rsidR="00650668">
        <w:t xml:space="preserve">described by IARC </w:t>
      </w:r>
      <w:r w:rsidR="0045219D">
        <w:t xml:space="preserve">there does not appear to be an association with lung cancer, but there are </w:t>
      </w:r>
      <w:r w:rsidR="004429A1">
        <w:t xml:space="preserve">inconsistent findings </w:t>
      </w:r>
      <w:r w:rsidR="0045219D">
        <w:t>suggestive o</w:t>
      </w:r>
      <w:r w:rsidR="00DD262A">
        <w:t>f</w:t>
      </w:r>
      <w:r w:rsidR="000C1C87">
        <w:t xml:space="preserve"> weak associations with stomach</w:t>
      </w:r>
      <w:r w:rsidR="00650668">
        <w:t xml:space="preserve">, </w:t>
      </w:r>
      <w:r w:rsidR="0045219D">
        <w:t>kidney</w:t>
      </w:r>
      <w:r w:rsidR="00D42ED4">
        <w:t xml:space="preserve"> </w:t>
      </w:r>
      <w:r w:rsidR="00650668">
        <w:t xml:space="preserve">and brain </w:t>
      </w:r>
      <w:r w:rsidR="00D42ED4">
        <w:t>cancer</w:t>
      </w:r>
      <w:r w:rsidR="00DE53A0">
        <w:t>.</w:t>
      </w:r>
      <w:r w:rsidR="00D42ED4">
        <w:t xml:space="preserve"> The key studies considered by IARC, together with </w:t>
      </w:r>
      <w:r w:rsidR="00F73360">
        <w:t xml:space="preserve">some </w:t>
      </w:r>
      <w:r w:rsidR="00D42ED4">
        <w:t>recent investigations not available to IARC</w:t>
      </w:r>
      <w:r w:rsidR="00DD262A">
        <w:t>,</w:t>
      </w:r>
      <w:r w:rsidR="00D42ED4">
        <w:t xml:space="preserve"> are briefly discussed below. </w:t>
      </w:r>
      <w:r w:rsidR="0045219D">
        <w:t xml:space="preserve"> </w:t>
      </w:r>
    </w:p>
    <w:p w:rsidR="00390E1B" w:rsidRDefault="00390E1B" w:rsidP="006E78BA"/>
    <w:p w:rsidR="0045219D" w:rsidRDefault="00BF4A49" w:rsidP="000C1C87">
      <w:pPr>
        <w:pStyle w:val="Heading4"/>
      </w:pPr>
      <w:r>
        <w:t xml:space="preserve">4.4.4.1 </w:t>
      </w:r>
      <w:r w:rsidR="0045219D">
        <w:t>Epidemiological studies</w:t>
      </w:r>
    </w:p>
    <w:p w:rsidR="00D30B62" w:rsidRDefault="00800B43" w:rsidP="006E78BA">
      <w:r>
        <w:t xml:space="preserve">IARC (2006) found there was no or a slight excess of lung cancer in occupational cohorts of battery and smelter workers compared with external reference populations. </w:t>
      </w:r>
      <w:r w:rsidR="00C65744">
        <w:t xml:space="preserve">IARC considered the </w:t>
      </w:r>
      <w:r>
        <w:t xml:space="preserve">excesses were quite small and well within the range that might be explained by chance or confounding by smoking. </w:t>
      </w:r>
      <w:r w:rsidR="00345E3F">
        <w:t>In a smelter cohort a statistically significant twofold excess of lung cancer</w:t>
      </w:r>
      <w:r w:rsidR="00D30B62">
        <w:t xml:space="preserve"> was found but</w:t>
      </w:r>
      <w:r w:rsidR="00345E3F">
        <w:t xml:space="preserve"> confounded by arsenic</w:t>
      </w:r>
      <w:r w:rsidR="00D30B62">
        <w:t xml:space="preserve"> exposures</w:t>
      </w:r>
      <w:r w:rsidR="00345E3F">
        <w:t xml:space="preserve">. </w:t>
      </w:r>
    </w:p>
    <w:p w:rsidR="00D30B62" w:rsidRDefault="00D30B62" w:rsidP="006E78BA"/>
    <w:p w:rsidR="00C65744" w:rsidRDefault="00A55636" w:rsidP="000C7BD8">
      <w:r>
        <w:lastRenderedPageBreak/>
        <w:t xml:space="preserve">In a recent </w:t>
      </w:r>
      <w:r w:rsidR="008E3AC5">
        <w:t xml:space="preserve">case-control </w:t>
      </w:r>
      <w:r>
        <w:t xml:space="preserve">study not reviewed by IARC (2006), occupational factors </w:t>
      </w:r>
      <w:r w:rsidR="00D30B62">
        <w:t xml:space="preserve">were investigated for possible associations with </w:t>
      </w:r>
      <w:r>
        <w:t xml:space="preserve">lung cancer </w:t>
      </w:r>
      <w:r w:rsidR="00D30B62">
        <w:t>in</w:t>
      </w:r>
      <w:r>
        <w:t xml:space="preserve"> 1,593 men </w:t>
      </w:r>
      <w:r w:rsidR="00BA4227" w:rsidRPr="00BA4227">
        <w:t xml:space="preserve">in Quebec </w:t>
      </w:r>
      <w:r>
        <w:t xml:space="preserve">with histologically confirmed </w:t>
      </w:r>
      <w:r w:rsidR="00D30B62">
        <w:t xml:space="preserve"> </w:t>
      </w:r>
      <w:r w:rsidR="00BA4227">
        <w:t>disease</w:t>
      </w:r>
      <w:r w:rsidR="000C7BD8">
        <w:t xml:space="preserve">; </w:t>
      </w:r>
      <w:r w:rsidRPr="000C7BD8">
        <w:t xml:space="preserve">1,426 controls </w:t>
      </w:r>
      <w:r w:rsidR="000C7BD8">
        <w:t xml:space="preserve">were randomly selected </w:t>
      </w:r>
      <w:r w:rsidRPr="000C7BD8">
        <w:t>from</w:t>
      </w:r>
      <w:r>
        <w:t xml:space="preserve"> the general population. A blinded expert-based assessment of lifetime occupational exposure (no PbB meas</w:t>
      </w:r>
      <w:r w:rsidR="000C7BD8">
        <w:t>u</w:t>
      </w:r>
      <w:r>
        <w:t xml:space="preserve">rements) </w:t>
      </w:r>
      <w:r w:rsidR="000C7BD8">
        <w:t xml:space="preserve">was undertaken that included </w:t>
      </w:r>
      <w:r>
        <w:t>adjustment for several potential confounders</w:t>
      </w:r>
      <w:r w:rsidR="000C7BD8">
        <w:t xml:space="preserve">. No associations with lung cancer were </w:t>
      </w:r>
      <w:r w:rsidR="000C7BD8" w:rsidRPr="000C7BD8">
        <w:t xml:space="preserve">observed when comparing </w:t>
      </w:r>
      <w:r w:rsidR="00DE53A0">
        <w:t>‘</w:t>
      </w:r>
      <w:r w:rsidR="000C7BD8" w:rsidRPr="000C7BD8">
        <w:t>ever</w:t>
      </w:r>
      <w:r w:rsidR="00DE53A0">
        <w:t>’</w:t>
      </w:r>
      <w:r w:rsidR="000C7BD8" w:rsidRPr="000C7BD8">
        <w:t xml:space="preserve"> to </w:t>
      </w:r>
      <w:r w:rsidR="00DE53A0">
        <w:t>‘</w:t>
      </w:r>
      <w:r w:rsidR="000C7BD8" w:rsidRPr="000C7BD8">
        <w:t>never</w:t>
      </w:r>
      <w:r w:rsidR="00DE53A0">
        <w:t>’</w:t>
      </w:r>
      <w:r w:rsidR="000C7BD8" w:rsidRPr="000C7BD8">
        <w:t xml:space="preserve"> exposed</w:t>
      </w:r>
      <w:r w:rsidR="000C7BD8">
        <w:t xml:space="preserve"> </w:t>
      </w:r>
      <w:r w:rsidR="000C7BD8" w:rsidRPr="000C7BD8">
        <w:t>subjects</w:t>
      </w:r>
      <w:r w:rsidR="000C7BD8">
        <w:t xml:space="preserve">. Nor were </w:t>
      </w:r>
      <w:r w:rsidR="00DE53A0">
        <w:t xml:space="preserve">there </w:t>
      </w:r>
      <w:r w:rsidR="000C7BD8">
        <w:t xml:space="preserve">associations with lung cancer in subjects with substantial cumulative exposure to </w:t>
      </w:r>
      <w:r w:rsidR="00754780">
        <w:t>lead</w:t>
      </w:r>
      <w:r w:rsidR="000C7BD8">
        <w:t>.</w:t>
      </w:r>
      <w:r>
        <w:t xml:space="preserve"> </w:t>
      </w:r>
      <w:r w:rsidR="00DD262A">
        <w:t>T</w:t>
      </w:r>
      <w:r w:rsidR="000C7BD8">
        <w:t>he authors concluded there was</w:t>
      </w:r>
      <w:r>
        <w:t xml:space="preserve"> no observed increased risk of lung cancer with exposure to </w:t>
      </w:r>
      <w:r w:rsidR="00BE2EAA">
        <w:t>l</w:t>
      </w:r>
      <w:r w:rsidR="00637B4C">
        <w:t>ead</w:t>
      </w:r>
      <w:r w:rsidR="00BE2EAA">
        <w:t xml:space="preserve"> </w:t>
      </w:r>
      <w:r>
        <w:t xml:space="preserve">compounds (Wynant et al. 2013). </w:t>
      </w:r>
      <w:r w:rsidR="004429A1">
        <w:t xml:space="preserve"> .</w:t>
      </w:r>
    </w:p>
    <w:p w:rsidR="00DD262A" w:rsidRDefault="00DD262A" w:rsidP="000C7BD8"/>
    <w:p w:rsidR="00400097" w:rsidRDefault="00DD262A" w:rsidP="000C7BD8">
      <w:r>
        <w:t>Binks et al. (2005)</w:t>
      </w:r>
      <w:r w:rsidR="00400097">
        <w:t xml:space="preserve"> investigated mortality of a cohort of 1,462 males employed at a tin smelter in the UK for at least 12 months between 1967 and 1995 </w:t>
      </w:r>
      <w:r w:rsidR="00DE53A0">
        <w:t xml:space="preserve">and </w:t>
      </w:r>
      <w:r w:rsidR="00400097">
        <w:t xml:space="preserve">followed through 2001. Employees were potentially exposed to a number of substances, including </w:t>
      </w:r>
      <w:r w:rsidR="000A6B2C">
        <w:t>lead</w:t>
      </w:r>
      <w:r w:rsidR="00400097">
        <w:t xml:space="preserve">, </w:t>
      </w:r>
      <w:r w:rsidR="000A6B2C">
        <w:t>arsenic</w:t>
      </w:r>
      <w:r w:rsidR="00400097">
        <w:t xml:space="preserve">, </w:t>
      </w:r>
      <w:r w:rsidR="000A6B2C">
        <w:t xml:space="preserve">cadmium </w:t>
      </w:r>
      <w:r w:rsidR="00400097">
        <w:t xml:space="preserve">and radionuclides. Mortality from all causes and all cancers did not differ from that expected in both national and regional populations. Mortality, adjusted for age and calendar year, from ischemic heart disease showed a deficit and mortality from lung cancer a statistically significant excess (SMR 161, 95% CI 124-206). The SMRs were not estimated separately for exposures to each substance, therefore there is potential confounding from other metals. In addition, SMRs were not adjusted for smoking, although it was noted in the study smoking rates did not </w:t>
      </w:r>
      <w:r w:rsidR="00DE53A0">
        <w:t xml:space="preserve">markedly </w:t>
      </w:r>
      <w:r w:rsidR="00400097">
        <w:t xml:space="preserve">differ from the general population. </w:t>
      </w:r>
    </w:p>
    <w:p w:rsidR="00400097" w:rsidRDefault="00400097" w:rsidP="000C7BD8"/>
    <w:p w:rsidR="00DD262A" w:rsidRDefault="00736CB1" w:rsidP="000C7BD8">
      <w:r>
        <w:t xml:space="preserve">Using the same cohort as Binks et al. (2005), </w:t>
      </w:r>
      <w:r w:rsidR="00400097">
        <w:t>Jones et al. (2007)</w:t>
      </w:r>
      <w:r>
        <w:t xml:space="preserve"> used available records of occupational hygiene measurements at the tin smelter to establish exposure matrices for </w:t>
      </w:r>
      <w:r w:rsidR="000A6B2C">
        <w:t>arsenic</w:t>
      </w:r>
      <w:r>
        <w:t xml:space="preserve">, </w:t>
      </w:r>
      <w:r w:rsidR="000A6B2C">
        <w:t>cadmium</w:t>
      </w:r>
      <w:r>
        <w:t xml:space="preserve">, </w:t>
      </w:r>
      <w:r w:rsidR="000A6B2C">
        <w:t>lead</w:t>
      </w:r>
      <w:r>
        <w:t xml:space="preserve">, </w:t>
      </w:r>
      <w:r w:rsidR="00440F6B">
        <w:t>a</w:t>
      </w:r>
      <w:r w:rsidR="000A6B2C">
        <w:t>ntimony</w:t>
      </w:r>
      <w:r>
        <w:t xml:space="preserve">, and polonium-210. The authors established work histories from personnel record cards. Lung cancer mortality was examined in relation to cumulative inhalation exposure by Poisson regression analysis. They found no significant associations between lung cancer mortality and simple cumulative exposure to any of the substances studied. However, when cumulative exposures were weighted according to time since exposure and attained age, significant associations were found between lung cancer mortality and exposure to </w:t>
      </w:r>
      <w:r w:rsidR="00440F6B">
        <w:t>arsenic</w:t>
      </w:r>
      <w:r>
        <w:t xml:space="preserve">, </w:t>
      </w:r>
      <w:r w:rsidR="00C65033">
        <w:t>lead</w:t>
      </w:r>
      <w:r>
        <w:t xml:space="preserve">, and </w:t>
      </w:r>
      <w:r w:rsidR="00440F6B">
        <w:t>antimony</w:t>
      </w:r>
      <w:r w:rsidR="00780CE8">
        <w:t xml:space="preserve"> </w:t>
      </w:r>
      <w:r>
        <w:t>in the group of workers exposed before 1972. The authors attributed a substantial proportion of the excess lung cancer mortality observed in the cohort to the effects of arsenic exposure</w:t>
      </w:r>
      <w:r w:rsidR="00DE53A0">
        <w:t xml:space="preserve"> and</w:t>
      </w:r>
      <w:r>
        <w:t xml:space="preserve"> to smoking.   </w:t>
      </w:r>
      <w:r w:rsidR="00400097">
        <w:t xml:space="preserve">     </w:t>
      </w:r>
    </w:p>
    <w:p w:rsidR="00C65744" w:rsidRDefault="00C65744" w:rsidP="000C7BD8"/>
    <w:p w:rsidR="00AD3D53" w:rsidRDefault="00C65744" w:rsidP="00C65744">
      <w:r>
        <w:t xml:space="preserve">For stomach cancer, four of the six occupational cohort studies used for the evaluation of lung cancer </w:t>
      </w:r>
      <w:r w:rsidR="004429A1">
        <w:t xml:space="preserve">by IARC </w:t>
      </w:r>
      <w:r>
        <w:t xml:space="preserve">showed a fairly consistent excess of 30–50% of stomach cancer compared with external reference populations. Potential confounding by arsenic or smoking was considered </w:t>
      </w:r>
      <w:r w:rsidR="004429A1">
        <w:t xml:space="preserve">by IARC </w:t>
      </w:r>
      <w:r>
        <w:t>to be small. Limiting the usefulness of these stud</w:t>
      </w:r>
      <w:r w:rsidR="00BF4A49">
        <w:t>i</w:t>
      </w:r>
      <w:r>
        <w:t xml:space="preserve">es was little or no data for quantitative dose–response analysis and it was possible ethnicity, dietary habits, prevalence of </w:t>
      </w:r>
      <w:r w:rsidRPr="00736CB1">
        <w:rPr>
          <w:i/>
        </w:rPr>
        <w:t>Helicobacter pyl</w:t>
      </w:r>
      <w:r w:rsidR="0045219D" w:rsidRPr="00736CB1">
        <w:rPr>
          <w:i/>
        </w:rPr>
        <w:t>ori</w:t>
      </w:r>
      <w:r w:rsidR="0045219D">
        <w:t xml:space="preserve"> infections or socioeconomic </w:t>
      </w:r>
      <w:r>
        <w:t xml:space="preserve">status may have played a role in the stomach cancer excesses. </w:t>
      </w:r>
      <w:r w:rsidR="004429A1">
        <w:t xml:space="preserve">Other, more recent </w:t>
      </w:r>
      <w:r w:rsidR="004429A1">
        <w:lastRenderedPageBreak/>
        <w:t>studies not available to IARC (2006) have not</w:t>
      </w:r>
      <w:r w:rsidR="002D0F42">
        <w:t xml:space="preserve"> found</w:t>
      </w:r>
      <w:r w:rsidR="004429A1">
        <w:t xml:space="preserve"> a</w:t>
      </w:r>
      <w:r w:rsidR="00736CB1">
        <w:t xml:space="preserve"> significant</w:t>
      </w:r>
      <w:r w:rsidR="004429A1">
        <w:t xml:space="preserve"> association with stomach cancer (B</w:t>
      </w:r>
      <w:r w:rsidR="00736CB1">
        <w:t>i</w:t>
      </w:r>
      <w:r w:rsidR="004429A1">
        <w:t xml:space="preserve">nks et al. 2005, </w:t>
      </w:r>
      <w:r w:rsidR="004429A1" w:rsidRPr="004429A1">
        <w:t>Carta et al. 2005</w:t>
      </w:r>
      <w:r w:rsidR="004429A1">
        <w:t xml:space="preserve">, </w:t>
      </w:r>
      <w:r w:rsidR="00650668">
        <w:t>Lam et al</w:t>
      </w:r>
      <w:r w:rsidR="004429A1">
        <w:t>. 2007, Rousseau et al. 2007</w:t>
      </w:r>
      <w:r w:rsidR="009F6EAB">
        <w:t>, Gwini et al. 2012</w:t>
      </w:r>
      <w:r w:rsidR="004429A1">
        <w:t>).</w:t>
      </w:r>
    </w:p>
    <w:p w:rsidR="00AD3D53" w:rsidRDefault="00AD3D53" w:rsidP="00C65744"/>
    <w:p w:rsidR="00762D4D" w:rsidRDefault="00AD3D53" w:rsidP="00AD3D53">
      <w:r>
        <w:t xml:space="preserve">Apart from one study that showed a twofold statistically significant excess, </w:t>
      </w:r>
      <w:r w:rsidR="00C94390">
        <w:t xml:space="preserve">IARC (2006) determined </w:t>
      </w:r>
      <w:r>
        <w:t xml:space="preserve">there was no association in other occupational studies of highly exposed workers with kidney cancer. </w:t>
      </w:r>
      <w:r w:rsidR="00736658">
        <w:t xml:space="preserve">These studies also showed no consistent pattern for </w:t>
      </w:r>
      <w:r w:rsidR="00736658" w:rsidRPr="00736658">
        <w:t>tumours of the brain and nervous system</w:t>
      </w:r>
      <w:r w:rsidR="00736658">
        <w:t xml:space="preserve">. However one </w:t>
      </w:r>
      <w:r w:rsidR="00736658" w:rsidRPr="00736658">
        <w:t xml:space="preserve">showed a statistically significant positive dose–response relationship between </w:t>
      </w:r>
      <w:r w:rsidR="000C3863">
        <w:t>PbB</w:t>
      </w:r>
      <w:r w:rsidR="00736658" w:rsidRPr="00736658">
        <w:t xml:space="preserve"> concentrations and the risk for glioma</w:t>
      </w:r>
      <w:r w:rsidR="00736658">
        <w:t xml:space="preserve"> but this cohort had lower PbB than the others.</w:t>
      </w:r>
      <w:r w:rsidR="00C94390">
        <w:t xml:space="preserve"> </w:t>
      </w:r>
      <w:r w:rsidR="00CF2AD9">
        <w:t>It is also noted that two recent investigations also report weak evidence for brain cancer (Rajaraman et al. 2006, van Wijngaarden et al. 2006)</w:t>
      </w:r>
      <w:r w:rsidR="009F6EAB">
        <w:t xml:space="preserve"> but another did not (Gwini et al. 2012)</w:t>
      </w:r>
      <w:r w:rsidR="00CF2AD9">
        <w:t>.</w:t>
      </w:r>
    </w:p>
    <w:p w:rsidR="00762D4D" w:rsidRDefault="00762D4D" w:rsidP="00AD3D53"/>
    <w:p w:rsidR="00762D4D" w:rsidRDefault="0045219D" w:rsidP="00762D4D">
      <w:r w:rsidRPr="0045219D">
        <w:t xml:space="preserve">A recent study not reviewed by IARC (2006) found an increased risk of renal cell carcinoma (RCC) in individuals occupationally exposed to </w:t>
      </w:r>
      <w:r w:rsidR="00BE2EAA">
        <w:t>l</w:t>
      </w:r>
      <w:r w:rsidR="00637B4C">
        <w:t>ead</w:t>
      </w:r>
      <w:r w:rsidR="00BE2EAA">
        <w:t xml:space="preserve"> </w:t>
      </w:r>
      <w:r w:rsidRPr="0045219D">
        <w:t xml:space="preserve">(OR 1.55, 95% CI 1.09 – 2.21) or </w:t>
      </w:r>
      <w:r w:rsidR="000A6B2C">
        <w:t xml:space="preserve">cadmium </w:t>
      </w:r>
      <w:r w:rsidRPr="0045219D">
        <w:t>(1.40 (95% CI 0.69 - 2.85) (Boffetta et al. 2011). However no exposure-response relation was apparent for either duration of exposure or cumulative exposure to either metal. This was a hospital-based study in Czech Republic, Poland, Romania and Russia, that included 1</w:t>
      </w:r>
      <w:r w:rsidR="009225A6">
        <w:t>,</w:t>
      </w:r>
      <w:r w:rsidRPr="0045219D">
        <w:t>097 cases of RCC and 1</w:t>
      </w:r>
      <w:r w:rsidR="009225A6">
        <w:t>,</w:t>
      </w:r>
      <w:r w:rsidRPr="0045219D">
        <w:t xml:space="preserve">476 controls. Occupational exposure to </w:t>
      </w:r>
      <w:r w:rsidR="000A6B2C">
        <w:t>arsenic</w:t>
      </w:r>
      <w:r w:rsidRPr="0045219D">
        <w:t xml:space="preserve">, </w:t>
      </w:r>
      <w:r w:rsidR="000A6B2C">
        <w:t>cadmium</w:t>
      </w:r>
      <w:r w:rsidRPr="0045219D">
        <w:t xml:space="preserve">, </w:t>
      </w:r>
      <w:r w:rsidR="000A6B2C">
        <w:t>chromium</w:t>
      </w:r>
      <w:r w:rsidRPr="0045219D">
        <w:t xml:space="preserve">(III), </w:t>
      </w:r>
      <w:r w:rsidR="000A6B2C">
        <w:t>chromium</w:t>
      </w:r>
      <w:r w:rsidRPr="0045219D">
        <w:t xml:space="preserve">(VI), </w:t>
      </w:r>
      <w:r w:rsidR="00BE2EAA">
        <w:t>l</w:t>
      </w:r>
      <w:r w:rsidR="00637B4C">
        <w:t>ead</w:t>
      </w:r>
      <w:r w:rsidR="00BE2EAA">
        <w:t xml:space="preserve"> </w:t>
      </w:r>
      <w:r w:rsidRPr="0045219D">
        <w:t xml:space="preserve">and </w:t>
      </w:r>
      <w:r w:rsidR="000A6B2C">
        <w:t>nickel</w:t>
      </w:r>
      <w:r w:rsidR="000A6B2C" w:rsidRPr="0045219D">
        <w:t xml:space="preserve"> </w:t>
      </w:r>
      <w:r w:rsidRPr="0045219D">
        <w:t xml:space="preserve">was assessed by teams of local industrial hygiene experts, based on detailed occupational questionnaires. No PbB information was available. The authors noted observed association with </w:t>
      </w:r>
      <w:r w:rsidR="003E7618">
        <w:t xml:space="preserve">cadmium </w:t>
      </w:r>
      <w:r w:rsidRPr="0045219D">
        <w:t xml:space="preserve">was unlikely to be causal but the observations for </w:t>
      </w:r>
      <w:r w:rsidR="00BE2EAA">
        <w:t>l</w:t>
      </w:r>
      <w:r w:rsidR="00637B4C">
        <w:t>ead</w:t>
      </w:r>
      <w:r w:rsidR="00BE2EAA">
        <w:t xml:space="preserve"> </w:t>
      </w:r>
      <w:r w:rsidRPr="0045219D">
        <w:t>justified further investigation.</w:t>
      </w:r>
    </w:p>
    <w:p w:rsidR="0045219D" w:rsidRDefault="0045219D" w:rsidP="00762D4D"/>
    <w:p w:rsidR="00A55636" w:rsidRDefault="00F20CBE" w:rsidP="003C72F5">
      <w:r>
        <w:t>A</w:t>
      </w:r>
      <w:r w:rsidRPr="00C94390">
        <w:t xml:space="preserve"> </w:t>
      </w:r>
      <w:r w:rsidR="00C94390" w:rsidRPr="00C94390">
        <w:t xml:space="preserve">study </w:t>
      </w:r>
      <w:r>
        <w:t xml:space="preserve">of printing plants </w:t>
      </w:r>
      <w:r w:rsidR="003C72F5">
        <w:t xml:space="preserve">with lead type set </w:t>
      </w:r>
      <w:r>
        <w:t>in Moscow comprised of 1</w:t>
      </w:r>
      <w:r w:rsidR="003C72F5">
        <w:t>,</w:t>
      </w:r>
      <w:r>
        <w:t>423 men and 3</w:t>
      </w:r>
      <w:r w:rsidR="003C72F5">
        <w:t>,</w:t>
      </w:r>
      <w:r>
        <w:t xml:space="preserve">102 women </w:t>
      </w:r>
      <w:r w:rsidR="00C94390" w:rsidRPr="00C94390">
        <w:t>(Ilychova and Zaridze 2012)</w:t>
      </w:r>
      <w:r>
        <w:t>. The cohort was followed up during 1979 - 2003 and contributed 93,682 person years of observation.</w:t>
      </w:r>
      <w:r w:rsidR="00C94390" w:rsidRPr="00C94390">
        <w:t xml:space="preserve"> </w:t>
      </w:r>
      <w:r>
        <w:t xml:space="preserve"> For both sexes, no significant excess risk for any cancer site was observed but for the total cohort there was</w:t>
      </w:r>
      <w:r w:rsidR="00C94390" w:rsidRPr="00C94390">
        <w:t xml:space="preserve"> increased risk of mortality from kidney (SMR 2.12, 95% CI 1.1-4.07) and pancreatic </w:t>
      </w:r>
      <w:r>
        <w:t xml:space="preserve">cancer </w:t>
      </w:r>
      <w:r w:rsidR="00C94390" w:rsidRPr="00C94390">
        <w:t>(SMR 2.32, 95% CI 1.46-3.68</w:t>
      </w:r>
      <w:r>
        <w:t xml:space="preserve">) in the </w:t>
      </w:r>
      <w:r w:rsidRPr="00F20CBE">
        <w:t>highest tertile of cumulative lead exposure</w:t>
      </w:r>
      <w:r>
        <w:t>.</w:t>
      </w:r>
      <w:r w:rsidR="009225A6">
        <w:t xml:space="preserve"> </w:t>
      </w:r>
      <w:r>
        <w:t>A</w:t>
      </w:r>
      <w:r w:rsidRPr="00C94390">
        <w:t>gain</w:t>
      </w:r>
      <w:r w:rsidR="00C94390" w:rsidRPr="00C94390">
        <w:t>, no PbB information was available.</w:t>
      </w:r>
      <w:r>
        <w:t xml:space="preserve"> Interestingly for men</w:t>
      </w:r>
      <w:r w:rsidR="00FE1BCE">
        <w:t xml:space="preserve"> there was an </w:t>
      </w:r>
      <w:r w:rsidRPr="00F20CBE">
        <w:t>excess overall mortality, mainly due to ischaemic heart disease</w:t>
      </w:r>
      <w:r>
        <w:t xml:space="preserve">. </w:t>
      </w:r>
      <w:r w:rsidR="003C72F5">
        <w:t xml:space="preserve">Although the mortality of the Moscow population during 1979 -2003 was used as the reference group </w:t>
      </w:r>
      <w:r w:rsidR="00BF4A49">
        <w:t>for canc</w:t>
      </w:r>
      <w:r w:rsidR="009225A6">
        <w:t>e</w:t>
      </w:r>
      <w:r w:rsidR="00BF4A49">
        <w:t xml:space="preserve">r and cardiac mortality </w:t>
      </w:r>
      <w:r w:rsidR="003C72F5">
        <w:t>there was no attempt in this study to control for known confounding risk factors for either the cancers or heart disease.</w:t>
      </w:r>
      <w:r w:rsidR="009F6EAB">
        <w:t xml:space="preserve"> Gwini et al. (2012) found no excess risk for renal cancer in Australian workers.  </w:t>
      </w:r>
    </w:p>
    <w:p w:rsidR="00EC2E62" w:rsidRDefault="009D7312" w:rsidP="006E78BA">
      <w:r>
        <w:t xml:space="preserve">Among the general population, two follow-up studies </w:t>
      </w:r>
      <w:r w:rsidR="00A55636">
        <w:t xml:space="preserve">reviewed by IARC (2006) were </w:t>
      </w:r>
      <w:r>
        <w:t xml:space="preserve">based on </w:t>
      </w:r>
      <w:r w:rsidR="00A55636">
        <w:t xml:space="preserve">PbB data collected in </w:t>
      </w:r>
      <w:r>
        <w:t xml:space="preserve">the US NHANES II </w:t>
      </w:r>
      <w:r w:rsidR="00A55636">
        <w:t>population</w:t>
      </w:r>
      <w:r w:rsidR="00DE53A0">
        <w:t>. They</w:t>
      </w:r>
      <w:r w:rsidR="00A55636">
        <w:t xml:space="preserve"> </w:t>
      </w:r>
      <w:r>
        <w:t>found a positive dose-response between PbB and lung cancer, which approached or attained statistical significance. However, IARC (2006) indicate</w:t>
      </w:r>
      <w:r w:rsidR="0074269C">
        <w:t>d</w:t>
      </w:r>
      <w:r>
        <w:t xml:space="preserve"> these results are not consistent with the highly-exposed occupational cohorts, where no consistent lung cancer excess is apparent. </w:t>
      </w:r>
      <w:r w:rsidR="0074269C">
        <w:t>IARC considered t</w:t>
      </w:r>
      <w:r>
        <w:t xml:space="preserve">he reported excesses in the general population studies may be due to residual confounding from smoking or occupational exposure to </w:t>
      </w:r>
      <w:r>
        <w:lastRenderedPageBreak/>
        <w:t xml:space="preserve">other lung carcinogens. </w:t>
      </w:r>
      <w:r w:rsidR="00545B94">
        <w:t xml:space="preserve">Another study using the same NHANES II data </w:t>
      </w:r>
      <w:r w:rsidR="0074269C">
        <w:t>but</w:t>
      </w:r>
      <w:r w:rsidR="00545B94">
        <w:t xml:space="preserve"> not reviewed by IARC (2006)</w:t>
      </w:r>
      <w:r w:rsidR="009225A6">
        <w:t xml:space="preserve"> </w:t>
      </w:r>
      <w:r w:rsidR="00545B94">
        <w:t xml:space="preserve">determined the relative risk of mortality for stratified </w:t>
      </w:r>
      <w:r w:rsidR="00565841">
        <w:t xml:space="preserve">PbB categories by comparing the risks in people with PbB &lt;5 </w:t>
      </w:r>
      <w:r w:rsidR="00565841" w:rsidRPr="00685B0B">
        <w:rPr>
          <w:rFonts w:cs="Arial"/>
        </w:rPr>
        <w:t>µ</w:t>
      </w:r>
      <w:r w:rsidR="00565841">
        <w:t xml:space="preserve">g/dL (referent group) to those with PbB of 5-9 </w:t>
      </w:r>
      <w:r w:rsidR="00565841" w:rsidRPr="00685B0B">
        <w:rPr>
          <w:rFonts w:cs="Arial"/>
        </w:rPr>
        <w:t>µ</w:t>
      </w:r>
      <w:r w:rsidR="00565841">
        <w:t>g/dL</w:t>
      </w:r>
      <w:r w:rsidR="0013088D">
        <w:t xml:space="preserve"> </w:t>
      </w:r>
      <w:r w:rsidR="00565841">
        <w:t xml:space="preserve">or </w:t>
      </w:r>
      <w:r w:rsidR="00565841">
        <w:rPr>
          <w:u w:val="single"/>
        </w:rPr>
        <w:t>&gt;</w:t>
      </w:r>
      <w:r w:rsidR="00565841">
        <w:t xml:space="preserve"> 10 </w:t>
      </w:r>
      <w:r w:rsidR="00565841" w:rsidRPr="00685B0B">
        <w:rPr>
          <w:rFonts w:cs="Arial"/>
        </w:rPr>
        <w:t>µ</w:t>
      </w:r>
      <w:r w:rsidR="00565841">
        <w:t xml:space="preserve">g/dL (Schober et al. 2006). The relative risks for mortality from all causes, cardiovascular disease and cancer were all significantly elevated with </w:t>
      </w:r>
      <w:r w:rsidR="0074269C">
        <w:t>r</w:t>
      </w:r>
      <w:r w:rsidR="00BF4A49">
        <w:t>ela</w:t>
      </w:r>
      <w:r w:rsidR="0074269C">
        <w:t>tive risks</w:t>
      </w:r>
      <w:r w:rsidR="00565841">
        <w:t xml:space="preserve"> rang</w:t>
      </w:r>
      <w:r w:rsidR="00D42ED4">
        <w:t>i</w:t>
      </w:r>
      <w:r w:rsidR="00565841">
        <w:t>ng from 1.2-1.69</w:t>
      </w:r>
      <w:r w:rsidR="00471111">
        <w:t xml:space="preserve"> (Schober et al. 2006)</w:t>
      </w:r>
      <w:r w:rsidR="00565841">
        <w:t>. As these analyses are based on PbB measurements at only one period in time, exposure misclassification is a potential issue</w:t>
      </w:r>
      <w:r w:rsidR="00471111">
        <w:t>. In addition, there may be a risk of</w:t>
      </w:r>
      <w:r w:rsidR="00565841">
        <w:t xml:space="preserve"> residual confounding from </w:t>
      </w:r>
      <w:r w:rsidR="00471111">
        <w:t xml:space="preserve">smoking, </w:t>
      </w:r>
      <w:r w:rsidR="00565841">
        <w:t>occupational exposure</w:t>
      </w:r>
      <w:r w:rsidR="00471111">
        <w:t>, or socioeconomic status</w:t>
      </w:r>
      <w:r w:rsidR="00565841">
        <w:t>.</w:t>
      </w:r>
    </w:p>
    <w:p w:rsidR="00565841" w:rsidRDefault="00565841" w:rsidP="006E78BA"/>
    <w:p w:rsidR="009F6EAB" w:rsidRDefault="001D687E" w:rsidP="009F6EAB">
      <w:r w:rsidRPr="001D687E">
        <w:t xml:space="preserve">Gwini et al. </w:t>
      </w:r>
      <w:r>
        <w:t>(</w:t>
      </w:r>
      <w:r w:rsidRPr="001D687E">
        <w:t>2012)</w:t>
      </w:r>
      <w:r w:rsidR="00A55636">
        <w:t xml:space="preserve"> </w:t>
      </w:r>
      <w:r>
        <w:t xml:space="preserve">describes </w:t>
      </w:r>
      <w:r w:rsidR="00A55636">
        <w:t xml:space="preserve">a recent </w:t>
      </w:r>
      <w:r w:rsidR="008B37A1" w:rsidRPr="008B37A1">
        <w:t>retrospective cohort</w:t>
      </w:r>
      <w:r w:rsidR="008B37A1">
        <w:t xml:space="preserve"> </w:t>
      </w:r>
      <w:r w:rsidR="009655DC">
        <w:t>study of</w:t>
      </w:r>
      <w:r w:rsidR="00A55636">
        <w:t xml:space="preserve"> 4,114 male workers exposed to inorganic </w:t>
      </w:r>
      <w:r w:rsidR="00BE2EAA">
        <w:t>l</w:t>
      </w:r>
      <w:r w:rsidR="00637B4C">
        <w:t>ead</w:t>
      </w:r>
      <w:r w:rsidR="00BE2EAA">
        <w:t xml:space="preserve"> </w:t>
      </w:r>
      <w:r w:rsidR="008B37A1" w:rsidRPr="008B37A1">
        <w:t xml:space="preserve">in </w:t>
      </w:r>
      <w:r w:rsidR="00B323DE">
        <w:t>‘</w:t>
      </w:r>
      <w:r w:rsidR="008B37A1" w:rsidRPr="008B37A1">
        <w:t>scheduled</w:t>
      </w:r>
      <w:r w:rsidR="00B323DE">
        <w:t>’</w:t>
      </w:r>
      <w:r w:rsidR="008B37A1" w:rsidRPr="008B37A1">
        <w:t xml:space="preserve"> lead occupations</w:t>
      </w:r>
      <w:r w:rsidR="008B37A1">
        <w:t xml:space="preserve"> </w:t>
      </w:r>
      <w:r w:rsidR="00685B0B">
        <w:t>in Victoria and New South Wales</w:t>
      </w:r>
      <w:r>
        <w:t>,</w:t>
      </w:r>
      <w:r w:rsidR="00685B0B">
        <w:t xml:space="preserve"> </w:t>
      </w:r>
      <w:r w:rsidR="0027657C">
        <w:t>and who had participated in the state government medical surveillance programs</w:t>
      </w:r>
      <w:r>
        <w:t>.</w:t>
      </w:r>
      <w:r w:rsidR="009225A6">
        <w:t xml:space="preserve"> </w:t>
      </w:r>
      <w:r w:rsidR="009F6EAB">
        <w:t xml:space="preserve">PbB </w:t>
      </w:r>
      <w:r>
        <w:t xml:space="preserve">data </w:t>
      </w:r>
      <w:r w:rsidR="009F6EAB">
        <w:t>for 2</w:t>
      </w:r>
      <w:r w:rsidR="00BE5127">
        <w:t>,</w:t>
      </w:r>
      <w:r w:rsidR="009F6EAB">
        <w:t>612 (63.5%) cohort members were available;</w:t>
      </w:r>
    </w:p>
    <w:p w:rsidR="009F6EAB" w:rsidRDefault="009F6EAB" w:rsidP="00242F1D">
      <w:pPr>
        <w:pStyle w:val="ListParagraph"/>
        <w:numPr>
          <w:ilvl w:val="0"/>
          <w:numId w:val="30"/>
        </w:numPr>
      </w:pPr>
      <w:r>
        <w:t xml:space="preserve">The overall geometric mean was 19.6 </w:t>
      </w:r>
      <w:r w:rsidR="009225A6" w:rsidRPr="009225A6">
        <w:rPr>
          <w:rFonts w:cs="Arial"/>
        </w:rPr>
        <w:t>µ</w:t>
      </w:r>
      <w:r>
        <w:t xml:space="preserve">g/dL (SD = 2.1). </w:t>
      </w:r>
    </w:p>
    <w:p w:rsidR="009F6EAB" w:rsidRDefault="009F6EAB" w:rsidP="00242F1D">
      <w:pPr>
        <w:pStyle w:val="ListParagraph"/>
        <w:numPr>
          <w:ilvl w:val="0"/>
          <w:numId w:val="30"/>
        </w:numPr>
      </w:pPr>
      <w:r>
        <w:t xml:space="preserve">Approximately a third (35%) of these had three or more </w:t>
      </w:r>
      <w:r w:rsidR="009225A6">
        <w:t>PbB</w:t>
      </w:r>
      <w:r>
        <w:t xml:space="preserve"> test results; </w:t>
      </w:r>
    </w:p>
    <w:p w:rsidR="009F6EAB" w:rsidRDefault="009F6EAB" w:rsidP="00242F1D">
      <w:pPr>
        <w:pStyle w:val="ListParagraph"/>
        <w:numPr>
          <w:ilvl w:val="0"/>
          <w:numId w:val="30"/>
        </w:numPr>
      </w:pPr>
      <w:r>
        <w:t xml:space="preserve">25th percentile = 11.4 </w:t>
      </w:r>
      <w:r w:rsidR="009225A6" w:rsidRPr="009225A6">
        <w:rPr>
          <w:rFonts w:cs="Arial"/>
        </w:rPr>
        <w:t>µ</w:t>
      </w:r>
      <w:r>
        <w:t xml:space="preserve">g/dL </w:t>
      </w:r>
    </w:p>
    <w:p w:rsidR="009F6EAB" w:rsidRDefault="009F6EAB" w:rsidP="00242F1D">
      <w:pPr>
        <w:pStyle w:val="ListParagraph"/>
        <w:numPr>
          <w:ilvl w:val="0"/>
          <w:numId w:val="30"/>
        </w:numPr>
      </w:pPr>
      <w:r>
        <w:t xml:space="preserve">75th percentile = 37.3 </w:t>
      </w:r>
      <w:r w:rsidR="009225A6" w:rsidRPr="009225A6">
        <w:rPr>
          <w:rFonts w:cs="Arial"/>
        </w:rPr>
        <w:t>µ</w:t>
      </w:r>
      <w:r>
        <w:t xml:space="preserve">g/dL. </w:t>
      </w:r>
    </w:p>
    <w:p w:rsidR="009F6EAB" w:rsidRDefault="009F6EAB" w:rsidP="00242F1D">
      <w:pPr>
        <w:pStyle w:val="ListParagraph"/>
        <w:numPr>
          <w:ilvl w:val="0"/>
          <w:numId w:val="30"/>
        </w:numPr>
      </w:pPr>
      <w:r>
        <w:t xml:space="preserve">29.1% of the cohort had at least one PbB result greater than 30 </w:t>
      </w:r>
      <w:r w:rsidR="009225A6" w:rsidRPr="009225A6">
        <w:rPr>
          <w:rFonts w:cs="Arial"/>
        </w:rPr>
        <w:t>µ</w:t>
      </w:r>
      <w:r>
        <w:t xml:space="preserve">g/dL. </w:t>
      </w:r>
    </w:p>
    <w:p w:rsidR="009F6EAB" w:rsidRDefault="009F6EAB" w:rsidP="009F6EAB"/>
    <w:p w:rsidR="00EC2E62" w:rsidRDefault="0027657C" w:rsidP="0027657C">
      <w:r>
        <w:t>D</w:t>
      </w:r>
      <w:r w:rsidRPr="0027657C">
        <w:t xml:space="preserve">eath and cancer incidence rates </w:t>
      </w:r>
      <w:r w:rsidR="00685B0B">
        <w:t>were compared with population rates</w:t>
      </w:r>
      <w:r w:rsidR="00685B0B" w:rsidRPr="00941A32">
        <w:t>.</w:t>
      </w:r>
      <w:r w:rsidR="00685B0B">
        <w:t xml:space="preserve"> There were significant results for overall death (SMR 111; 95% CI 101-123) and digestive system deaths (SMR 167; 95% CI 110-250).</w:t>
      </w:r>
      <w:r w:rsidR="007504F2">
        <w:t xml:space="preserve"> Cancer incidence was elevated for liver (SIR 217; 95% CI 103-454) and oesophageal cancer (SIR 240; 95% CI 129-447). </w:t>
      </w:r>
      <w:r w:rsidR="00685B0B">
        <w:t xml:space="preserve">When cancer incidence was stratified into workers who had ever had a PbB measurement &gt; 30 </w:t>
      </w:r>
      <w:r w:rsidR="00685B0B" w:rsidRPr="00685B0B">
        <w:rPr>
          <w:rFonts w:cs="Arial"/>
        </w:rPr>
        <w:t>µ</w:t>
      </w:r>
      <w:r w:rsidR="00685B0B">
        <w:t xml:space="preserve">g/dL, versus those who hadn’t, no increased incidence was found for all cancers, kidney, brain, lung, alimentary tract, or stomach cancer. </w:t>
      </w:r>
      <w:r w:rsidR="001D687E">
        <w:t>Surprisingly</w:t>
      </w:r>
      <w:r w:rsidR="00685B0B">
        <w:t xml:space="preserve"> the incidence of oesophageal cancer was seven-fold greater (SIR 755; 95% CI 314-1813) among those with a PbB result above 30 </w:t>
      </w:r>
      <w:r w:rsidR="00685B0B" w:rsidRPr="00685B0B">
        <w:rPr>
          <w:rFonts w:cs="Arial"/>
        </w:rPr>
        <w:t>µ</w:t>
      </w:r>
      <w:r w:rsidR="00685B0B">
        <w:t>g/dL</w:t>
      </w:r>
      <w:r w:rsidR="007504F2">
        <w:t xml:space="preserve"> compared with population rates (Gwini et al. 2012). </w:t>
      </w:r>
      <w:r w:rsidR="007504F2" w:rsidRPr="009225A6">
        <w:t>However,</w:t>
      </w:r>
      <w:r w:rsidR="007504F2">
        <w:t xml:space="preserve"> there is no established biological mechanism linking inorganic </w:t>
      </w:r>
      <w:r w:rsidR="00BE2EAA">
        <w:t>l</w:t>
      </w:r>
      <w:r w:rsidR="00637B4C">
        <w:t>ead</w:t>
      </w:r>
      <w:r w:rsidR="00BE2EAA">
        <w:t xml:space="preserve"> </w:t>
      </w:r>
      <w:r w:rsidR="007504F2">
        <w:t xml:space="preserve">exposure and oesophageal cancer. It is possible that the increased incidence observed for liver and oesophageal cancer </w:t>
      </w:r>
      <w:r w:rsidR="00C94390">
        <w:t>may be</w:t>
      </w:r>
      <w:r w:rsidR="007504F2">
        <w:t xml:space="preserve"> due to </w:t>
      </w:r>
      <w:r w:rsidR="009655DC">
        <w:t>confounding</w:t>
      </w:r>
      <w:r w:rsidR="007504F2">
        <w:t xml:space="preserve"> by smoking and</w:t>
      </w:r>
      <w:r w:rsidR="00C94390">
        <w:t>/or</w:t>
      </w:r>
      <w:r w:rsidR="007504F2">
        <w:t xml:space="preserve"> alcohol use, </w:t>
      </w:r>
      <w:r w:rsidR="00545B94">
        <w:t xml:space="preserve">which are </w:t>
      </w:r>
      <w:r w:rsidR="007504F2">
        <w:t xml:space="preserve">known risk factors for </w:t>
      </w:r>
      <w:r w:rsidR="00545B94">
        <w:t>these cancers</w:t>
      </w:r>
      <w:r w:rsidR="0051747E">
        <w:t xml:space="preserve"> and were not addressed in </w:t>
      </w:r>
      <w:r w:rsidR="001D687E">
        <w:t xml:space="preserve">the </w:t>
      </w:r>
      <w:r w:rsidR="0051747E">
        <w:t>study</w:t>
      </w:r>
      <w:r w:rsidR="007504F2">
        <w:t>.</w:t>
      </w:r>
      <w:r w:rsidR="0051747E" w:rsidRPr="0051747E">
        <w:t xml:space="preserve"> </w:t>
      </w:r>
      <w:r w:rsidR="0051747E">
        <w:t xml:space="preserve">However an analysis of mortality and cancer incidence due to other diseases related to smoking was </w:t>
      </w:r>
      <w:r w:rsidR="006E5CA3">
        <w:t>undertaken by Gwini et al. (2012); t</w:t>
      </w:r>
      <w:r w:rsidR="0051747E">
        <w:t>his showed no lung cancer excess and no excess deaths from cardiovascular disease suggesting that smoking rates in the cohort were likely to be similar to the general Australian community.</w:t>
      </w:r>
      <w:r w:rsidR="006E5CA3">
        <w:t xml:space="preserve"> </w:t>
      </w:r>
      <w:r w:rsidR="0051747E">
        <w:t xml:space="preserve">Furthermore Rousseau et al. (2007), who adjusted for smoking, found no association between </w:t>
      </w:r>
      <w:r w:rsidR="009655DC">
        <w:t>lead exposure</w:t>
      </w:r>
      <w:r w:rsidR="0051747E">
        <w:t xml:space="preserve"> and oesophageal </w:t>
      </w:r>
      <w:r w:rsidR="009655DC">
        <w:t>cancer; it</w:t>
      </w:r>
      <w:r w:rsidR="009225A6">
        <w:t xml:space="preserve"> is noted these authors did not report PbB. </w:t>
      </w:r>
    </w:p>
    <w:p w:rsidR="006E5CA3" w:rsidRDefault="006E5CA3" w:rsidP="0027657C"/>
    <w:p w:rsidR="006E5CA3" w:rsidRDefault="006E5CA3" w:rsidP="006E5CA3">
      <w:r>
        <w:t xml:space="preserve">Overall the Australian study of Gwini et al. (2012) found </w:t>
      </w:r>
      <w:r w:rsidRPr="006E5CA3">
        <w:t>evidence</w:t>
      </w:r>
      <w:r>
        <w:t xml:space="preserve"> </w:t>
      </w:r>
      <w:r w:rsidRPr="006E5CA3">
        <w:t xml:space="preserve">of associations between occupational </w:t>
      </w:r>
      <w:r w:rsidR="00BE2EAA">
        <w:t>l</w:t>
      </w:r>
      <w:r w:rsidR="00637B4C">
        <w:t>ead</w:t>
      </w:r>
      <w:r w:rsidR="00BE2EAA">
        <w:t xml:space="preserve"> </w:t>
      </w:r>
      <w:r w:rsidRPr="006E5CA3">
        <w:t xml:space="preserve">exposure and </w:t>
      </w:r>
      <w:r w:rsidR="009655DC" w:rsidRPr="006E5CA3">
        <w:t>all</w:t>
      </w:r>
      <w:r w:rsidR="009655DC">
        <w:t>-</w:t>
      </w:r>
      <w:r w:rsidR="009655DC" w:rsidRPr="006E5CA3">
        <w:t>cause</w:t>
      </w:r>
      <w:r>
        <w:t xml:space="preserve"> </w:t>
      </w:r>
      <w:r w:rsidRPr="006E5CA3">
        <w:t xml:space="preserve">mortality and incident cancers of the </w:t>
      </w:r>
      <w:r w:rsidR="009225A6">
        <w:t>o</w:t>
      </w:r>
      <w:r w:rsidRPr="006E5CA3">
        <w:t>esophagus, liver,</w:t>
      </w:r>
      <w:r>
        <w:t xml:space="preserve"> </w:t>
      </w:r>
      <w:r w:rsidRPr="006E5CA3">
        <w:t xml:space="preserve">and bladder. </w:t>
      </w:r>
      <w:r w:rsidR="009225A6">
        <w:t>R</w:t>
      </w:r>
      <w:r w:rsidRPr="006E5CA3">
        <w:t>esults also suggest possibly elevated</w:t>
      </w:r>
      <w:r>
        <w:t xml:space="preserve"> </w:t>
      </w:r>
      <w:r w:rsidRPr="006E5CA3">
        <w:t>nervous system mortality. However, no evidence was seen</w:t>
      </w:r>
      <w:r>
        <w:t xml:space="preserve"> </w:t>
      </w:r>
      <w:r w:rsidRPr="006E5CA3">
        <w:t>for cardiovascular disease mortality, nor increased incidence</w:t>
      </w:r>
      <w:r>
        <w:t xml:space="preserve"> </w:t>
      </w:r>
      <w:r w:rsidRPr="006E5CA3">
        <w:t>of stomach, kidney, brain, or lung cancer</w:t>
      </w:r>
      <w:r>
        <w:t xml:space="preserve">. </w:t>
      </w:r>
    </w:p>
    <w:p w:rsidR="009225A6" w:rsidRPr="001D687E" w:rsidRDefault="009225A6" w:rsidP="006E78BA"/>
    <w:p w:rsidR="00BF4A49" w:rsidRPr="00BF4A49" w:rsidRDefault="00BF4A49" w:rsidP="006E78BA">
      <w:pPr>
        <w:rPr>
          <w:i/>
        </w:rPr>
      </w:pPr>
      <w:r w:rsidRPr="00BF4A49">
        <w:rPr>
          <w:i/>
        </w:rPr>
        <w:t>Summary</w:t>
      </w:r>
    </w:p>
    <w:p w:rsidR="00780CE8" w:rsidRDefault="00780CE8" w:rsidP="00780CE8">
      <w:r>
        <w:t>Of the</w:t>
      </w:r>
      <w:r w:rsidRPr="00BF4A49">
        <w:t xml:space="preserve"> epidemiological studies in which PbB and/or </w:t>
      </w:r>
      <w:r>
        <w:t>PbAir</w:t>
      </w:r>
      <w:r w:rsidRPr="00BF4A49">
        <w:t xml:space="preserve"> concentrations were reported mean PbB conce</w:t>
      </w:r>
      <w:r>
        <w:t>n</w:t>
      </w:r>
      <w:r w:rsidRPr="00BF4A49">
        <w:t xml:space="preserve">trations were 28-80 µg/dL, with </w:t>
      </w:r>
      <w:r>
        <w:t>many</w:t>
      </w:r>
      <w:r w:rsidRPr="00BF4A49">
        <w:t xml:space="preserve"> above 50 µg/dL (IARC 2006). Reducing the </w:t>
      </w:r>
      <w:r>
        <w:t>BLRL</w:t>
      </w:r>
      <w:r w:rsidRPr="00BF4A49">
        <w:t xml:space="preserve"> from the current value of 50 µg/dL to 30 µg/dL in males would appear to decrease the risk of Pb-associated cancer, but it is not possible to quantify the potential health benefit</w:t>
      </w:r>
      <w:r>
        <w:t xml:space="preserve"> from the IARC data at this time</w:t>
      </w:r>
      <w:r w:rsidRPr="00BF4A49">
        <w:t xml:space="preserve">. </w:t>
      </w:r>
    </w:p>
    <w:p w:rsidR="00780CE8" w:rsidRDefault="00780CE8" w:rsidP="006E78BA"/>
    <w:p w:rsidR="00BF4A49" w:rsidRDefault="00376281" w:rsidP="006E78BA">
      <w:r>
        <w:t>There is limited,</w:t>
      </w:r>
      <w:r w:rsidR="00297E73">
        <w:t xml:space="preserve"> inconsistent </w:t>
      </w:r>
      <w:r w:rsidR="00BF4A49">
        <w:t xml:space="preserve">evidence </w:t>
      </w:r>
      <w:r w:rsidR="00297E73">
        <w:t xml:space="preserve">suggestive of stomach, </w:t>
      </w:r>
      <w:r w:rsidR="00921CB2">
        <w:t xml:space="preserve">kidney </w:t>
      </w:r>
      <w:r w:rsidR="00297E73">
        <w:t xml:space="preserve">and brain </w:t>
      </w:r>
      <w:r w:rsidR="00921CB2">
        <w:t xml:space="preserve">cancer in persons occupationally exposed to </w:t>
      </w:r>
      <w:r w:rsidR="00754780">
        <w:t>lead</w:t>
      </w:r>
      <w:r w:rsidR="00921CB2">
        <w:t>.</w:t>
      </w:r>
      <w:r w:rsidR="00BF4A49">
        <w:t xml:space="preserve"> </w:t>
      </w:r>
    </w:p>
    <w:p w:rsidR="00EA178D" w:rsidRDefault="00EA178D" w:rsidP="006E78BA"/>
    <w:p w:rsidR="00EA178D" w:rsidRPr="00EA178D" w:rsidRDefault="00EA178D" w:rsidP="00EA178D">
      <w:r>
        <w:t xml:space="preserve">The </w:t>
      </w:r>
      <w:r w:rsidR="009C4747">
        <w:t>cancer findings</w:t>
      </w:r>
      <w:r>
        <w:t xml:space="preserve"> </w:t>
      </w:r>
      <w:r w:rsidR="009C4747">
        <w:t>observed</w:t>
      </w:r>
      <w:r>
        <w:t xml:space="preserve"> by Gwini et al. (2012) for Australians in ‘scheduled’ lead jobs indicates </w:t>
      </w:r>
      <w:r w:rsidR="008039FB">
        <w:t>a</w:t>
      </w:r>
      <w:r>
        <w:t xml:space="preserve"> seven fold increase in </w:t>
      </w:r>
      <w:r w:rsidRPr="00EA178D">
        <w:t>oesophageal</w:t>
      </w:r>
      <w:r>
        <w:t xml:space="preserve"> cancer</w:t>
      </w:r>
      <w:r w:rsidRPr="00EA178D">
        <w:t xml:space="preserve"> </w:t>
      </w:r>
      <w:r>
        <w:t xml:space="preserve">for </w:t>
      </w:r>
      <w:r w:rsidR="00D410A7">
        <w:t>men</w:t>
      </w:r>
      <w:r>
        <w:t xml:space="preserve"> who had ever had a PbB recorded</w:t>
      </w:r>
      <w:r w:rsidR="00D410A7">
        <w:t xml:space="preserve"> </w:t>
      </w:r>
      <w:r>
        <w:t xml:space="preserve">&gt;30 </w:t>
      </w:r>
      <w:r w:rsidRPr="00EA178D">
        <w:t>µg/dL</w:t>
      </w:r>
      <w:r w:rsidR="00D410A7">
        <w:t xml:space="preserve">. </w:t>
      </w:r>
      <w:r>
        <w:t xml:space="preserve">There was no </w:t>
      </w:r>
      <w:r w:rsidR="009655DC">
        <w:t>statistical</w:t>
      </w:r>
      <w:r>
        <w:t xml:space="preserve"> increase for persons with PbB &lt; 30</w:t>
      </w:r>
      <w:r w:rsidRPr="00EA178D">
        <w:t xml:space="preserve"> µg/dL</w:t>
      </w:r>
      <w:r w:rsidR="00D410A7">
        <w:t>. O</w:t>
      </w:r>
      <w:r w:rsidR="00D410A7" w:rsidRPr="00D410A7">
        <w:t xml:space="preserve">f the 2,612 persons </w:t>
      </w:r>
      <w:r w:rsidR="00D410A7">
        <w:t xml:space="preserve">who had recorded PbB concentrations, 29.1% </w:t>
      </w:r>
      <w:r w:rsidR="00D410A7" w:rsidRPr="00D410A7">
        <w:t>had PbB&gt; 30 µg/dL</w:t>
      </w:r>
      <w:r w:rsidR="008039FB">
        <w:t xml:space="preserve">. </w:t>
      </w:r>
      <w:r w:rsidR="00D410A7">
        <w:t xml:space="preserve">Although other studies have not reported an association between </w:t>
      </w:r>
      <w:r w:rsidR="00D410A7" w:rsidRPr="00D410A7">
        <w:t>oesophageal cancer</w:t>
      </w:r>
      <w:r w:rsidR="00D410A7">
        <w:t xml:space="preserve"> and </w:t>
      </w:r>
      <w:r w:rsidR="00BE2EAA">
        <w:t>l</w:t>
      </w:r>
      <w:r w:rsidR="00637B4C">
        <w:t>ead</w:t>
      </w:r>
      <w:r w:rsidR="00BE2EAA">
        <w:t xml:space="preserve"> </w:t>
      </w:r>
      <w:r w:rsidR="00D410A7">
        <w:t>exposure</w:t>
      </w:r>
      <w:r w:rsidR="008039FB">
        <w:t xml:space="preserve"> there are weak </w:t>
      </w:r>
      <w:r w:rsidR="00D83F5B">
        <w:t xml:space="preserve">inconsistent </w:t>
      </w:r>
      <w:r w:rsidR="008039FB">
        <w:t>associations with stomach cancer.</w:t>
      </w:r>
      <w:r w:rsidR="00591812">
        <w:t xml:space="preserve"> While noting the authors urge caution in interpreting their results, i</w:t>
      </w:r>
      <w:r w:rsidR="00D410A7">
        <w:t xml:space="preserve">f it is assumed for actuary purposes that </w:t>
      </w:r>
      <w:r w:rsidR="008039FB">
        <w:t xml:space="preserve">the </w:t>
      </w:r>
      <w:r w:rsidR="00591812">
        <w:t xml:space="preserve">oesophageal cancer </w:t>
      </w:r>
      <w:r w:rsidR="008039FB">
        <w:t>finding of Gwini et al. (2012) is real</w:t>
      </w:r>
      <w:r w:rsidR="009C4747">
        <w:t xml:space="preserve">, </w:t>
      </w:r>
      <w:r w:rsidR="00D410A7">
        <w:t>it</w:t>
      </w:r>
      <w:r>
        <w:t xml:space="preserve"> </w:t>
      </w:r>
      <w:r w:rsidRPr="00EA178D">
        <w:t>suggests that ab</w:t>
      </w:r>
      <w:r w:rsidR="008039FB">
        <w:t>o</w:t>
      </w:r>
      <w:r w:rsidRPr="00EA178D">
        <w:t xml:space="preserve">ut a third of workers in scheduled </w:t>
      </w:r>
      <w:r w:rsidR="00BE2EAA">
        <w:t>l</w:t>
      </w:r>
      <w:r w:rsidR="00637B4C">
        <w:t>ead</w:t>
      </w:r>
      <w:r w:rsidR="00BE2EAA">
        <w:t xml:space="preserve"> </w:t>
      </w:r>
      <w:r w:rsidRPr="00EA178D">
        <w:t xml:space="preserve">jobs will benefit from lowering the </w:t>
      </w:r>
      <w:r w:rsidR="00314205">
        <w:t>BLRL</w:t>
      </w:r>
      <w:r w:rsidRPr="00EA178D">
        <w:t xml:space="preserve"> from 50 to 30 µg/dL.</w:t>
      </w:r>
      <w:r w:rsidR="008039FB">
        <w:t xml:space="preserve"> If the</w:t>
      </w:r>
      <w:r w:rsidR="008039FB" w:rsidRPr="008039FB">
        <w:t xml:space="preserve"> proportion </w:t>
      </w:r>
      <w:r w:rsidR="008039FB">
        <w:t xml:space="preserve">&gt;30 </w:t>
      </w:r>
      <w:r w:rsidR="008039FB" w:rsidRPr="008039FB">
        <w:t xml:space="preserve">µg/dL is applied to the total cohort of 4,114 </w:t>
      </w:r>
      <w:r w:rsidR="00D83F5B">
        <w:t xml:space="preserve">in Gwini et al. (2012) </w:t>
      </w:r>
      <w:r w:rsidR="008039FB" w:rsidRPr="008039FB">
        <w:t xml:space="preserve">it implies approximately 1,200 men </w:t>
      </w:r>
      <w:r w:rsidR="008039FB">
        <w:t xml:space="preserve">in Victoria and NSW </w:t>
      </w:r>
      <w:r w:rsidR="008039FB" w:rsidRPr="008039FB">
        <w:t>had a 700% incr</w:t>
      </w:r>
      <w:r w:rsidR="008039FB">
        <w:t xml:space="preserve">eased risk of developing </w:t>
      </w:r>
      <w:r w:rsidR="003F39DF">
        <w:t xml:space="preserve">oesophageal </w:t>
      </w:r>
      <w:r w:rsidR="008039FB">
        <w:t>cancer</w:t>
      </w:r>
      <w:r w:rsidR="009C4747">
        <w:t>,</w:t>
      </w:r>
      <w:r w:rsidR="008039FB">
        <w:t xml:space="preserve"> and will have this risk removed if the </w:t>
      </w:r>
      <w:r w:rsidR="00314205">
        <w:t>BLRL</w:t>
      </w:r>
      <w:r w:rsidR="008039FB">
        <w:t xml:space="preserve"> is changed as proposed</w:t>
      </w:r>
      <w:r w:rsidR="00831A88">
        <w:t xml:space="preserve"> and thus six less men </w:t>
      </w:r>
      <w:r w:rsidR="00C12B95">
        <w:t>may</w:t>
      </w:r>
      <w:r w:rsidR="00831A88">
        <w:t xml:space="preserve"> be expected to develop oesophageal cancer.</w:t>
      </w:r>
      <w:r w:rsidR="008039FB">
        <w:t xml:space="preserve">  </w:t>
      </w:r>
    </w:p>
    <w:p w:rsidR="00BF4A49" w:rsidRDefault="00BF4A49" w:rsidP="006E78BA">
      <w:r w:rsidRPr="00BF4A49">
        <w:t xml:space="preserve"> </w:t>
      </w:r>
    </w:p>
    <w:p w:rsidR="00BF4A49" w:rsidRDefault="00BF4A49" w:rsidP="00BF4A49">
      <w:pPr>
        <w:pStyle w:val="Heading4"/>
      </w:pPr>
      <w:r>
        <w:t>4.4.4.2 Animal studies</w:t>
      </w:r>
    </w:p>
    <w:p w:rsidR="00BE4A0F" w:rsidRDefault="00A2239E" w:rsidP="006E78BA">
      <w:r>
        <w:t xml:space="preserve">Overall, extensive experimental evidence in animal studies shows water-soluble </w:t>
      </w:r>
      <w:r w:rsidR="001C74BC">
        <w:t>(</w:t>
      </w:r>
      <w:r w:rsidR="00BE2EAA">
        <w:t>l</w:t>
      </w:r>
      <w:r w:rsidR="00637B4C">
        <w:t>ead</w:t>
      </w:r>
      <w:r w:rsidR="00BE2EAA">
        <w:t xml:space="preserve"> </w:t>
      </w:r>
      <w:r w:rsidR="001C74BC">
        <w:t xml:space="preserve">acetate and </w:t>
      </w:r>
      <w:r w:rsidR="00BE2EAA">
        <w:t>l</w:t>
      </w:r>
      <w:r w:rsidR="00637B4C">
        <w:t>ead</w:t>
      </w:r>
      <w:r w:rsidR="00BE2EAA">
        <w:t xml:space="preserve"> </w:t>
      </w:r>
      <w:r w:rsidR="001C74BC">
        <w:t xml:space="preserve">subacetate) </w:t>
      </w:r>
      <w:r>
        <w:t xml:space="preserve">and </w:t>
      </w:r>
      <w:r w:rsidR="001C74BC">
        <w:t xml:space="preserve">one insoluble </w:t>
      </w:r>
      <w:r w:rsidR="00BE2EAA">
        <w:t>l</w:t>
      </w:r>
      <w:r w:rsidR="00637B4C">
        <w:t>ead</w:t>
      </w:r>
      <w:r w:rsidR="00BE2EAA">
        <w:t xml:space="preserve"> </w:t>
      </w:r>
      <w:r w:rsidR="001C74BC">
        <w:t>compound</w:t>
      </w:r>
      <w:r>
        <w:t xml:space="preserve"> </w:t>
      </w:r>
      <w:r w:rsidR="001C74BC">
        <w:t>(</w:t>
      </w:r>
      <w:r w:rsidR="00BE2EAA">
        <w:t>l</w:t>
      </w:r>
      <w:r w:rsidR="00637B4C">
        <w:t>ead</w:t>
      </w:r>
      <w:r w:rsidR="00BE2EAA">
        <w:t xml:space="preserve"> </w:t>
      </w:r>
      <w:r w:rsidR="001C74BC">
        <w:t xml:space="preserve">phosphate) </w:t>
      </w:r>
      <w:r>
        <w:t>can i</w:t>
      </w:r>
      <w:r w:rsidR="001C74BC">
        <w:t xml:space="preserve">nduce kidney tumours in rodents after oral or sub-cutaneous exposure (IARC 2006). The tumours appear primarily </w:t>
      </w:r>
      <w:r w:rsidR="00BF4A49">
        <w:t>in</w:t>
      </w:r>
      <w:r w:rsidR="001C74BC">
        <w:t xml:space="preserve"> the tubular epithelium. O</w:t>
      </w:r>
      <w:r>
        <w:t xml:space="preserve">ne </w:t>
      </w:r>
      <w:r w:rsidR="001C74BC">
        <w:t xml:space="preserve">of the studies investigated renal lesions as well as tumours and found </w:t>
      </w:r>
      <w:r w:rsidR="001D687E">
        <w:t>the</w:t>
      </w:r>
      <w:r>
        <w:t xml:space="preserve"> tumours </w:t>
      </w:r>
      <w:r w:rsidR="001C74BC">
        <w:t>occurred</w:t>
      </w:r>
      <w:r>
        <w:t xml:space="preserve"> in the absence of </w:t>
      </w:r>
      <w:r w:rsidR="001C74BC">
        <w:t xml:space="preserve">extensive chronic </w:t>
      </w:r>
      <w:r>
        <w:t>nephropathy</w:t>
      </w:r>
      <w:r w:rsidR="001C74BC">
        <w:t xml:space="preserve"> (Waalkes et al. 1995)</w:t>
      </w:r>
      <w:r>
        <w:t xml:space="preserve">. </w:t>
      </w:r>
      <w:r w:rsidR="00BE4A0F">
        <w:t xml:space="preserve">It is noteworthy that in several studies an increased incidence of renal tumours compared to controls was </w:t>
      </w:r>
      <w:r w:rsidR="00BE4A0F">
        <w:lastRenderedPageBreak/>
        <w:t>only observed in the higher dose groups.</w:t>
      </w:r>
      <w:r w:rsidR="00575252">
        <w:t xml:space="preserve"> </w:t>
      </w:r>
      <w:r w:rsidR="00BE4A0F">
        <w:t xml:space="preserve">The only study </w:t>
      </w:r>
      <w:r w:rsidR="00575252">
        <w:t xml:space="preserve">summarised in IARC (2006) </w:t>
      </w:r>
      <w:r w:rsidR="00BE4A0F">
        <w:t>which measured PbB</w:t>
      </w:r>
      <w:r w:rsidR="00575252">
        <w:t xml:space="preserve"> in rats along with incidences of renal tumours found that male rats exposed to 500 ppm </w:t>
      </w:r>
      <w:r w:rsidR="00BE2EAA">
        <w:t>l</w:t>
      </w:r>
      <w:r w:rsidR="00637B4C">
        <w:t>ead</w:t>
      </w:r>
      <w:r w:rsidR="00BE2EAA">
        <w:t xml:space="preserve"> </w:t>
      </w:r>
      <w:r w:rsidR="00575252">
        <w:t xml:space="preserve">acetate in the diet for 2 years (5/50 rats had tubular epithelium adenomas) had higher PbB (77.8 </w:t>
      </w:r>
      <w:r w:rsidR="00575252" w:rsidRPr="00685B0B">
        <w:rPr>
          <w:rFonts w:cs="Arial"/>
        </w:rPr>
        <w:t>µ</w:t>
      </w:r>
      <w:r w:rsidR="00575252">
        <w:t xml:space="preserve">g/dL) than the 100 ppm dose group where no renal tumours were observed (35.2 </w:t>
      </w:r>
      <w:r w:rsidR="00575252" w:rsidRPr="00685B0B">
        <w:rPr>
          <w:rFonts w:cs="Arial"/>
        </w:rPr>
        <w:t>µ</w:t>
      </w:r>
      <w:r w:rsidR="00575252">
        <w:t xml:space="preserve">g/dL) (Azar et al. 1973).  </w:t>
      </w:r>
    </w:p>
    <w:p w:rsidR="00BE4A0F" w:rsidRDefault="00BE4A0F" w:rsidP="006E78BA"/>
    <w:p w:rsidR="00BF4A49" w:rsidRDefault="00A2239E" w:rsidP="006E78BA">
      <w:r>
        <w:t xml:space="preserve">The induction of brain gliomas also occurred </w:t>
      </w:r>
      <w:r w:rsidR="00575252">
        <w:t xml:space="preserve">in a few studies </w:t>
      </w:r>
      <w:r>
        <w:t xml:space="preserve">after oral exposure to </w:t>
      </w:r>
      <w:r w:rsidR="00BE2EAA">
        <w:t>l</w:t>
      </w:r>
      <w:r w:rsidR="00637B4C">
        <w:t>ead</w:t>
      </w:r>
      <w:r w:rsidR="00BE2EAA">
        <w:t xml:space="preserve"> </w:t>
      </w:r>
      <w:r>
        <w:t>acetate and subacetate in rats</w:t>
      </w:r>
      <w:r w:rsidR="00575252">
        <w:t xml:space="preserve"> (IARC 2006)</w:t>
      </w:r>
      <w:r>
        <w:t xml:space="preserve">. </w:t>
      </w:r>
      <w:r w:rsidR="00575252">
        <w:t xml:space="preserve">In three studies, </w:t>
      </w:r>
      <w:r>
        <w:t xml:space="preserve">repeated intraperitoneal injection of </w:t>
      </w:r>
      <w:r w:rsidR="00BE2EAA">
        <w:t>l</w:t>
      </w:r>
      <w:r w:rsidR="00637B4C">
        <w:t>ead</w:t>
      </w:r>
      <w:r w:rsidR="00BE2EAA">
        <w:t xml:space="preserve"> </w:t>
      </w:r>
      <w:r>
        <w:t xml:space="preserve">subacetate increased lung tumour multiplicity in mice. An oral study </w:t>
      </w:r>
      <w:r w:rsidR="00575252">
        <w:t xml:space="preserve">with </w:t>
      </w:r>
      <w:r w:rsidR="00BE2EAA">
        <w:t>l</w:t>
      </w:r>
      <w:r w:rsidR="00637B4C">
        <w:t>ead</w:t>
      </w:r>
      <w:r w:rsidR="00BE2EAA">
        <w:t xml:space="preserve"> </w:t>
      </w:r>
      <w:r w:rsidR="00575252">
        <w:t xml:space="preserve">subacetate </w:t>
      </w:r>
      <w:r>
        <w:t>in mice was negative for lung tumours</w:t>
      </w:r>
      <w:r w:rsidR="00575252">
        <w:t xml:space="preserve"> (Stoner et al. 1986)</w:t>
      </w:r>
      <w:r>
        <w:t xml:space="preserve">. </w:t>
      </w:r>
    </w:p>
    <w:p w:rsidR="00BF4A49" w:rsidRDefault="00BF4A49" w:rsidP="006E78BA"/>
    <w:p w:rsidR="00C560B0" w:rsidRDefault="00966AA2" w:rsidP="006E78BA">
      <w:r>
        <w:t>I</w:t>
      </w:r>
      <w:r w:rsidR="00C560B0">
        <w:t xml:space="preserve">nhalation of </w:t>
      </w:r>
      <w:r>
        <w:t>a mean concentration of 5.3 mg/m</w:t>
      </w:r>
      <w:r>
        <w:rPr>
          <w:vertAlign w:val="superscript"/>
        </w:rPr>
        <w:t>3</w:t>
      </w:r>
      <w:r>
        <w:t xml:space="preserve"> </w:t>
      </w:r>
      <w:r w:rsidR="00BE2EAA">
        <w:t>l</w:t>
      </w:r>
      <w:r w:rsidR="00637B4C">
        <w:t>ead</w:t>
      </w:r>
      <w:r w:rsidR="00BE2EAA">
        <w:t xml:space="preserve"> </w:t>
      </w:r>
      <w:r w:rsidR="00C560B0">
        <w:t>oxide</w:t>
      </w:r>
      <w:r>
        <w:t xml:space="preserve"> (mass median aerodynamic diameter, i.e. MMAD, 5.1 </w:t>
      </w:r>
      <w:r w:rsidRPr="00966AA2">
        <w:rPr>
          <w:rFonts w:cs="Arial"/>
        </w:rPr>
        <w:t>µ</w:t>
      </w:r>
      <w:r>
        <w:t>m) for 6 hours/day, 5 days/week for 1 year</w:t>
      </w:r>
      <w:r w:rsidR="00C560B0">
        <w:t xml:space="preserve"> did not produce </w:t>
      </w:r>
      <w:r>
        <w:t xml:space="preserve">significant increased </w:t>
      </w:r>
      <w:r w:rsidR="00C560B0">
        <w:t>tumours in male rats</w:t>
      </w:r>
      <w:r>
        <w:t xml:space="preserve"> (including lung or renal tumours) (Monchaux et al. 1997</w:t>
      </w:r>
      <w:r w:rsidR="00C560B0">
        <w:t xml:space="preserve">). </w:t>
      </w:r>
    </w:p>
    <w:p w:rsidR="00C560B0" w:rsidRDefault="00C560B0" w:rsidP="006E78BA"/>
    <w:p w:rsidR="00C560B0" w:rsidRDefault="00DF4E2B" w:rsidP="006E78BA">
      <w:r>
        <w:t xml:space="preserve">The animal carcinogenicity information indicates </w:t>
      </w:r>
      <w:r w:rsidR="00BE2EAA">
        <w:t>l</w:t>
      </w:r>
      <w:r w:rsidR="00637B4C">
        <w:t>ead</w:t>
      </w:r>
      <w:r w:rsidR="00BE2EAA">
        <w:t xml:space="preserve"> </w:t>
      </w:r>
      <w:r>
        <w:t xml:space="preserve">is a </w:t>
      </w:r>
      <w:r w:rsidR="00C560B0">
        <w:t>systemic carcinogen and the</w:t>
      </w:r>
      <w:r>
        <w:t>refore the</w:t>
      </w:r>
      <w:r w:rsidR="00C560B0">
        <w:t xml:space="preserve"> carcinogenicity of </w:t>
      </w:r>
      <w:r w:rsidR="00BE2EAA">
        <w:t>l</w:t>
      </w:r>
      <w:r w:rsidR="00637B4C">
        <w:t>ead</w:t>
      </w:r>
      <w:r w:rsidR="00BE2EAA">
        <w:t xml:space="preserve"> </w:t>
      </w:r>
      <w:r>
        <w:t xml:space="preserve">is expected to be </w:t>
      </w:r>
      <w:r w:rsidR="00C560B0">
        <w:t xml:space="preserve">related to PbB. </w:t>
      </w:r>
    </w:p>
    <w:p w:rsidR="00C560B0" w:rsidRDefault="00C560B0" w:rsidP="006E78BA"/>
    <w:p w:rsidR="009D7312" w:rsidRDefault="00780CE8" w:rsidP="006E78BA">
      <w:r>
        <w:t>L</w:t>
      </w:r>
      <w:r w:rsidR="00637B4C">
        <w:t>ead</w:t>
      </w:r>
      <w:r w:rsidR="00BE2EAA">
        <w:t xml:space="preserve"> </w:t>
      </w:r>
      <w:r w:rsidR="00966162">
        <w:t>does not have a direct interaction with DNA and does not appear to induce tumours through a genotoxic mechanism (IARC 2006</w:t>
      </w:r>
      <w:r w:rsidR="00E143F5">
        <w:t>, ATSDR 2007</w:t>
      </w:r>
      <w:r w:rsidR="00966162">
        <w:t>). Therefore there will be a threshold of exposure below which increased incidence of cancer will not be detectable.</w:t>
      </w:r>
      <w:r w:rsidR="00DF4E2B">
        <w:t xml:space="preserve"> In rodent studies, the observation of renal tumours in higher dose groups but not in lower dose groups is consistent with the existence of a threshold of </w:t>
      </w:r>
      <w:r w:rsidR="00BE2EAA">
        <w:t>l</w:t>
      </w:r>
      <w:r w:rsidR="00637B4C">
        <w:t>ead</w:t>
      </w:r>
      <w:r w:rsidR="00BE2EAA">
        <w:t xml:space="preserve"> </w:t>
      </w:r>
      <w:r w:rsidR="00DF4E2B">
        <w:t xml:space="preserve">exposure. </w:t>
      </w:r>
      <w:r w:rsidR="00966162">
        <w:t xml:space="preserve"> </w:t>
      </w:r>
    </w:p>
    <w:p w:rsidR="00966162" w:rsidRDefault="00966162" w:rsidP="006E78BA"/>
    <w:p w:rsidR="00673D18" w:rsidRPr="00673D18" w:rsidRDefault="00673D18" w:rsidP="00673D18">
      <w:pPr>
        <w:pStyle w:val="Heading2"/>
      </w:pPr>
      <w:bookmarkStart w:id="30" w:name="_Toc391288238"/>
      <w:r>
        <w:t>4.5</w:t>
      </w:r>
      <w:r w:rsidRPr="00673D18">
        <w:t xml:space="preserve"> Suggested PbB targets for workers</w:t>
      </w:r>
      <w:bookmarkEnd w:id="30"/>
    </w:p>
    <w:p w:rsidR="000B3668" w:rsidRDefault="00673D18" w:rsidP="00673D18">
      <w:r w:rsidRPr="00673D18">
        <w:t>From Table 4.1 and Section</w:t>
      </w:r>
      <w:r w:rsidR="00701B4B">
        <w:t>s</w:t>
      </w:r>
      <w:r w:rsidRPr="00673D18">
        <w:t xml:space="preserve"> </w:t>
      </w:r>
      <w:r w:rsidR="00701B4B">
        <w:t xml:space="preserve">4.3 and </w:t>
      </w:r>
      <w:r w:rsidRPr="00673D18">
        <w:t>4.4</w:t>
      </w:r>
      <w:r w:rsidR="00C909B7">
        <w:t xml:space="preserve">, </w:t>
      </w:r>
      <w:r w:rsidR="00780CE8">
        <w:t xml:space="preserve">for workers </w:t>
      </w:r>
      <w:r w:rsidRPr="004C2033">
        <w:t>most</w:t>
      </w:r>
      <w:r w:rsidRPr="00673D18">
        <w:t xml:space="preserve"> health endpoints for which there is sufficient information </w:t>
      </w:r>
      <w:r w:rsidR="00C909B7">
        <w:t xml:space="preserve">for them to be caused, or suggestively caused, by exposure to lead </w:t>
      </w:r>
      <w:r w:rsidRPr="00673D18">
        <w:t xml:space="preserve">have been associated with </w:t>
      </w:r>
      <w:r w:rsidR="000B3668">
        <w:t>cohort average</w:t>
      </w:r>
      <w:r w:rsidRPr="00673D18">
        <w:t xml:space="preserve"> PbB levels of </w:t>
      </w:r>
      <w:r w:rsidR="000B3668" w:rsidRPr="00DC7862">
        <w:t xml:space="preserve">around </w:t>
      </w:r>
      <w:r w:rsidRPr="00673D18">
        <w:t xml:space="preserve">20 </w:t>
      </w:r>
      <w:r w:rsidRPr="00673D18">
        <w:rPr>
          <w:rFonts w:cs="Arial"/>
        </w:rPr>
        <w:t>µ</w:t>
      </w:r>
      <w:r w:rsidRPr="00673D18">
        <w:t>g/dL</w:t>
      </w:r>
      <w:r w:rsidR="000B3668">
        <w:t xml:space="preserve"> or above</w:t>
      </w:r>
      <w:r w:rsidR="00C909B7">
        <w:t>. T</w:t>
      </w:r>
      <w:r w:rsidRPr="00673D18">
        <w:t xml:space="preserve">he </w:t>
      </w:r>
      <w:r w:rsidRPr="004C2033">
        <w:t>majority</w:t>
      </w:r>
      <w:r w:rsidR="00C909B7">
        <w:t xml:space="preserve"> of </w:t>
      </w:r>
      <w:r w:rsidR="00C10A89">
        <w:t xml:space="preserve">occupational epidemiology </w:t>
      </w:r>
      <w:r w:rsidR="00C909B7">
        <w:t>studies report</w:t>
      </w:r>
      <w:r w:rsidRPr="00673D18">
        <w:t xml:space="preserve"> </w:t>
      </w:r>
      <w:r w:rsidR="00C909B7">
        <w:t xml:space="preserve">health effect </w:t>
      </w:r>
      <w:r w:rsidRPr="00673D18">
        <w:t xml:space="preserve">associations starting at </w:t>
      </w:r>
      <w:r w:rsidR="00701B4B">
        <w:t xml:space="preserve">worker population mean </w:t>
      </w:r>
      <w:r w:rsidRPr="00673D18">
        <w:t xml:space="preserve">PbB </w:t>
      </w:r>
      <w:r w:rsidRPr="00DC7862">
        <w:t>levels of 25 - 3</w:t>
      </w:r>
      <w:r w:rsidRPr="00673D18">
        <w:t xml:space="preserve">0 </w:t>
      </w:r>
      <w:r w:rsidRPr="00673D18">
        <w:rPr>
          <w:rFonts w:cs="Arial"/>
        </w:rPr>
        <w:t>µ</w:t>
      </w:r>
      <w:r w:rsidRPr="00673D18">
        <w:t xml:space="preserve">g/dL. </w:t>
      </w:r>
      <w:r w:rsidR="000B3668">
        <w:t xml:space="preserve">At </w:t>
      </w:r>
      <w:r w:rsidR="00854950">
        <w:t xml:space="preserve">mean </w:t>
      </w:r>
      <w:r w:rsidR="000B3668">
        <w:t>PbB concentrations &gt;</w:t>
      </w:r>
      <w:r w:rsidRPr="00673D18">
        <w:t xml:space="preserve">30 µg/dL the associations become more robust and reliable. Hence in the workplace, for females not of reproductive capacity and </w:t>
      </w:r>
      <w:r w:rsidR="00D37B09">
        <w:t xml:space="preserve">for </w:t>
      </w:r>
      <w:r w:rsidRPr="00673D18">
        <w:t xml:space="preserve">males </w:t>
      </w:r>
      <w:r w:rsidR="004C2033">
        <w:t>i</w:t>
      </w:r>
      <w:r w:rsidRPr="00673D18">
        <w:t xml:space="preserve">t is suggested </w:t>
      </w:r>
      <w:r w:rsidR="00D37B09">
        <w:t xml:space="preserve">the BLRL be 20 – 30 </w:t>
      </w:r>
      <w:r w:rsidR="00D37B09" w:rsidRPr="00D37B09">
        <w:t>µg/dL</w:t>
      </w:r>
      <w:r w:rsidR="00D37B09">
        <w:t xml:space="preserve">. </w:t>
      </w:r>
    </w:p>
    <w:p w:rsidR="000B3668" w:rsidRDefault="000B3668" w:rsidP="00673D18"/>
    <w:p w:rsidR="000B3668" w:rsidRDefault="004D4E4B" w:rsidP="00673D18">
      <w:r w:rsidRPr="004D4E4B">
        <w:t xml:space="preserve">The epidemiology data indicates a worker population mean PbB concentration of 30 µg/dL can be regarded as a low observed adverse effect level (LOAEL), and </w:t>
      </w:r>
      <w:r>
        <w:t xml:space="preserve">a mean of 20 µg/dL as a </w:t>
      </w:r>
      <w:r w:rsidRPr="004D4E4B">
        <w:t xml:space="preserve">defensible no observed adverse effect level (NOAEL). Contemporary risk assessment methods recommend a lower </w:t>
      </w:r>
      <w:r w:rsidRPr="004D4E4B">
        <w:lastRenderedPageBreak/>
        <w:t xml:space="preserve">bound estimate of the NOAEL be used as the point of departure for setting health protective standards (NHMRC 2006, enHealth 2012). Hence to avoid adverse health effects in females not of reproductive capacity and in males, a BLRL of 20 µg/dL would be precautionary and protective. Nevertheless it should be recognised the above ‘critical’ PbB’s are not lower bound estimates that will necessarily protect nearly all workers in these categories, rather they are closer to central estimates (i.e. average) for groups of workers in lead related jobs. Consequently a PbB of 20 µg/dL is not certain preclusion of subtle health effects </w:t>
      </w:r>
      <w:r>
        <w:t>for a ‘sensitive’ individual</w:t>
      </w:r>
      <w:r w:rsidR="00953EEE">
        <w:t xml:space="preserve"> (Section 4.6)</w:t>
      </w:r>
      <w:r w:rsidRPr="004D4E4B">
        <w:t>, particularly if these PbB concentrations are present for a long time</w:t>
      </w:r>
      <w:r w:rsidR="00B1784B">
        <w:t xml:space="preserve">.   </w:t>
      </w:r>
    </w:p>
    <w:p w:rsidR="000B3668" w:rsidRDefault="000B3668" w:rsidP="00673D18"/>
    <w:p w:rsidR="00D37B09" w:rsidRDefault="005A6629" w:rsidP="00673D18">
      <w:r w:rsidRPr="005A6629">
        <w:t xml:space="preserve">Notwithstanding the above there is uncertainty regarding lead dose response relationships at low exposures, not all studies observe effects at similar reported </w:t>
      </w:r>
      <w:r>
        <w:t xml:space="preserve">low </w:t>
      </w:r>
      <w:r w:rsidRPr="005A6629">
        <w:t xml:space="preserve">PbB levels, and the effects observed at low PbB are not </w:t>
      </w:r>
      <w:r w:rsidR="004D4E4B">
        <w:t xml:space="preserve">necessarily, or demonstrably </w:t>
      </w:r>
      <w:r w:rsidR="004D4E4B" w:rsidRPr="004D4E4B">
        <w:t>clinically</w:t>
      </w:r>
      <w:r>
        <w:t xml:space="preserve"> adverse for the individual. </w:t>
      </w:r>
      <w:r w:rsidRPr="005A6629">
        <w:t xml:space="preserve"> Also, it is possible a number of industries working with lead may have difficulty immediately complying with a BLRL of 20 µg/dL. With these caveats in mind is further suggested </w:t>
      </w:r>
      <w:r w:rsidR="004A05DA">
        <w:t xml:space="preserve">consideration could be given for </w:t>
      </w:r>
      <w:r w:rsidRPr="005A6629">
        <w:t xml:space="preserve">lead related workplaces </w:t>
      </w:r>
      <w:r w:rsidR="004A05DA">
        <w:t>to</w:t>
      </w:r>
      <w:r w:rsidRPr="005A6629">
        <w:t xml:space="preserve"> have ≤20 µg/dL as a target PbB for females not of reproductive capacity and </w:t>
      </w:r>
      <w:r w:rsidR="004A05DA">
        <w:t>for</w:t>
      </w:r>
      <w:r w:rsidRPr="005A6629">
        <w:t xml:space="preserve"> males</w:t>
      </w:r>
      <w:r>
        <w:t>, but</w:t>
      </w:r>
      <w:r w:rsidRPr="005A6629">
        <w:t xml:space="preserve"> a BLRL of 30 µg/dL</w:t>
      </w:r>
      <w:r w:rsidR="00673D18" w:rsidRPr="00673D18">
        <w:t xml:space="preserve">. </w:t>
      </w:r>
      <w:r w:rsidR="004D4E4B">
        <w:t xml:space="preserve"> </w:t>
      </w:r>
    </w:p>
    <w:p w:rsidR="00673D18" w:rsidRPr="00673D18" w:rsidRDefault="00673D18" w:rsidP="00673D18"/>
    <w:p w:rsidR="00701B4B" w:rsidRDefault="00D37B09" w:rsidP="00673D18">
      <w:r>
        <w:t>For pregnant females and female</w:t>
      </w:r>
      <w:r w:rsidR="00673D18" w:rsidRPr="00673D18">
        <w:t xml:space="preserve"> of reproductive capacity (which by definition also includes females who are breastfeeding</w:t>
      </w:r>
      <w:r w:rsidR="00DC4810">
        <w:rPr>
          <w:rStyle w:val="FootnoteReference"/>
        </w:rPr>
        <w:footnoteReference w:id="24"/>
      </w:r>
      <w:r w:rsidR="00673D18" w:rsidRPr="00673D18">
        <w:t xml:space="preserve">), a PbB target of 10 </w:t>
      </w:r>
      <w:r w:rsidR="00673D18" w:rsidRPr="00673D18">
        <w:rPr>
          <w:rFonts w:cs="Arial"/>
        </w:rPr>
        <w:t>µ</w:t>
      </w:r>
      <w:r w:rsidR="00673D18" w:rsidRPr="00673D18">
        <w:t>g/dL is suggested to keep cumulative</w:t>
      </w:r>
      <w:r w:rsidR="00701B4B">
        <w:t xml:space="preserve"> </w:t>
      </w:r>
      <w:r w:rsidR="00673D18" w:rsidRPr="00673D18">
        <w:t xml:space="preserve">lead stores in the body low enough to protect the neurological development of the </w:t>
      </w:r>
      <w:r w:rsidR="00701B4B">
        <w:t>yet to be conceived</w:t>
      </w:r>
      <w:r w:rsidR="00673D18" w:rsidRPr="00673D18">
        <w:t xml:space="preserve"> and unborn child.</w:t>
      </w:r>
    </w:p>
    <w:p w:rsidR="00673D18" w:rsidRPr="00673D18" w:rsidRDefault="00701B4B" w:rsidP="00673D18">
      <w:r>
        <w:t xml:space="preserve">This is consistent with the recommendations of the National Health and Medical </w:t>
      </w:r>
      <w:r w:rsidR="009655DC">
        <w:t>Research</w:t>
      </w:r>
      <w:r>
        <w:t xml:space="preserve"> Council (NHMRC 2009).</w:t>
      </w:r>
      <w:r w:rsidR="00673D18" w:rsidRPr="00673D18">
        <w:t xml:space="preserve"> </w:t>
      </w:r>
    </w:p>
    <w:p w:rsidR="00673D18" w:rsidRPr="00673D18" w:rsidRDefault="00673D18" w:rsidP="00673D18"/>
    <w:p w:rsidR="00673D18" w:rsidRPr="00673D18" w:rsidRDefault="00673D18" w:rsidP="00673D18">
      <w:pPr>
        <w:pStyle w:val="Heading2"/>
      </w:pPr>
      <w:bookmarkStart w:id="31" w:name="_Toc391288239"/>
      <w:r w:rsidRPr="00673D18">
        <w:t>4.</w:t>
      </w:r>
      <w:r>
        <w:t xml:space="preserve">6 </w:t>
      </w:r>
      <w:r w:rsidRPr="00673D18">
        <w:t>Sensitive workers</w:t>
      </w:r>
      <w:bookmarkEnd w:id="31"/>
    </w:p>
    <w:p w:rsidR="00673D18" w:rsidRPr="00673D18" w:rsidRDefault="00673D18" w:rsidP="00673D18">
      <w:r w:rsidRPr="00673D18">
        <w:t xml:space="preserve">Increased susceptibility to the effects of lead may arise as a result of physiological differences in processes that increase the free fraction of lead in blood that is able to interact with target tissues, or be the result of increased tissue responsiveness to a given PbB. The former are primarily toxicokinetic process affecting the absorption, distribution and elimination of lead, and the latter toxicodynamic variability.  Toxicokinetic </w:t>
      </w:r>
      <w:r w:rsidR="009655DC" w:rsidRPr="00673D18">
        <w:t>variability</w:t>
      </w:r>
      <w:r w:rsidRPr="00673D18">
        <w:t xml:space="preserve"> has been readily established and is </w:t>
      </w:r>
      <w:r w:rsidR="009655DC" w:rsidRPr="00673D18">
        <w:t>discussed</w:t>
      </w:r>
      <w:r w:rsidRPr="00673D18">
        <w:t xml:space="preserve"> below. Compelling evidence for increased tissue responsiveness between individuals was not found in this review. However it may be hypothesised that pre-existing disease or decreased physiological reserve in a target organ may render a person more susceptible to the effects of lead.</w:t>
      </w:r>
    </w:p>
    <w:p w:rsidR="00673D18" w:rsidRPr="00673D18" w:rsidRDefault="00673D18" w:rsidP="00673D18"/>
    <w:p w:rsidR="00673D18" w:rsidRPr="00673D18" w:rsidRDefault="00673D18" w:rsidP="00673D18">
      <w:r w:rsidRPr="00673D18">
        <w:lastRenderedPageBreak/>
        <w:t>Particles that are inhaled and are too large to penetrate into the alveoli are primarily removed by mucocillary clearance and swallowed. As a result of the factors that affect oral absorption of lead (Section 4.2.2), more variability between persons in absorption of lead from the gastrointestinal tract is expected than for absorption from the lung alveoli. Increased absorption would result in increased PbB, and over time greater effects at any given PbAir. Genetic variation in genes involved in iron metabolism affects PbB. For example, genetic variants in the haemochromatosis and transferrin genes are associated with higher PbB concentrations in children, but lower bone and PbB in older men (US EPA 2013).</w:t>
      </w:r>
    </w:p>
    <w:p w:rsidR="00673D18" w:rsidRPr="00673D18" w:rsidRDefault="00673D18" w:rsidP="00673D18"/>
    <w:p w:rsidR="00673D18" w:rsidRPr="00673D18" w:rsidRDefault="00673D18" w:rsidP="00673D18">
      <w:r w:rsidRPr="00673D18">
        <w:t xml:space="preserve">The relationship between lead in blood and plasma is approximately linear at PbB concentrations &lt;25 μg/dL. But becomes curvilinear at higher PbB concentrations (approximately 30 - 40 </w:t>
      </w:r>
      <w:r w:rsidRPr="00673D18">
        <w:rPr>
          <w:rFonts w:cs="Arial"/>
        </w:rPr>
        <w:t>µ</w:t>
      </w:r>
      <w:r w:rsidRPr="00673D18">
        <w:t>g/dL in adults) due to saturable binding to red blood cell proteins (US EPA 2013). That is, as PbB increases and the higher affinity binding sites for lead in red blood cells become saturated, a larger fraction of the PbB is in plasma and able to distribute to target tissues. Thus, other exogenous agents (e.g. metals) or genetic traits that change the binding to proteins in red blood cell proteins, or in plasma, and cause an increase in the free (unbound) fraction of lead in plasma will increase the effects of lead, even though the total PbB may not be markedly increased.</w:t>
      </w:r>
    </w:p>
    <w:p w:rsidR="00673D18" w:rsidRPr="00673D18" w:rsidRDefault="00673D18" w:rsidP="00673D18"/>
    <w:p w:rsidR="00673D18" w:rsidRPr="00673D18" w:rsidRDefault="00673D18" w:rsidP="00673D18">
      <w:r w:rsidRPr="00673D18">
        <w:t>ALAD is the protein in red blood cells primarily responsible for binding lead. There are two forms, ALAD-1 and ALAD-2. Persons homozygous or heterozygous for ALAD-2 show significantly higher mean lead blood levels at equivalent exposure levels than persons homozygous for ALAD-1 (Petrucci er al. 1982; Wetmur et al. 1991).  It has been postulated that ALAD-2 binds lead more avidly than ALAD- 1, this increases PbB by reducing the amount of lead delivered to soft tissues but at the same time results in less effect (Smith et al. 1995).</w:t>
      </w:r>
    </w:p>
    <w:p w:rsidR="00673D18" w:rsidRPr="00673D18" w:rsidRDefault="00673D18" w:rsidP="00673D18"/>
    <w:p w:rsidR="00673D18" w:rsidRPr="00673D18" w:rsidRDefault="00673D18" w:rsidP="00673D18">
      <w:r w:rsidRPr="00673D18">
        <w:t xml:space="preserve">It appears that potential variability in the kinetics of lead (absorption and distribution), and at least theoretically disease and low physiological reserve, are more likely to confer individual susceptibility to the effects of lead than are innate (genetic) differences in tissue responsiveness. The suggested target </w:t>
      </w:r>
      <w:r w:rsidRPr="00BB3167">
        <w:t xml:space="preserve">of PbB of 20 </w:t>
      </w:r>
      <w:r w:rsidRPr="00BB3167">
        <w:rPr>
          <w:rFonts w:cs="Arial"/>
        </w:rPr>
        <w:t>µ</w:t>
      </w:r>
      <w:r w:rsidRPr="00BB3167">
        <w:t xml:space="preserve">g/dL and BLRL of 30 </w:t>
      </w:r>
      <w:r w:rsidRPr="00BB3167">
        <w:rPr>
          <w:rFonts w:cs="Arial"/>
        </w:rPr>
        <w:t>µ</w:t>
      </w:r>
      <w:r w:rsidRPr="00BB3167">
        <w:t>g/dL are</w:t>
      </w:r>
      <w:r w:rsidRPr="00673D18">
        <w:t xml:space="preserve"> for sensitive effects observed in worker populations and therefore inherently include sensitive individuals in these populations. </w:t>
      </w:r>
    </w:p>
    <w:p w:rsidR="00673D18" w:rsidRPr="00673D18" w:rsidRDefault="00673D18" w:rsidP="00673D18"/>
    <w:p w:rsidR="00673D18" w:rsidRPr="00673D18" w:rsidRDefault="00673D18" w:rsidP="00673D18">
      <w:r w:rsidRPr="00673D18">
        <w:t xml:space="preserve">Furthermore, considerations in Section 5 have addressed the issue of individual variability in relationships between PbAir and PbB. Information is provided showing the suggested WES of 0.05 </w:t>
      </w:r>
      <w:r w:rsidRPr="00673D18">
        <w:rPr>
          <w:rFonts w:cs="Arial"/>
        </w:rPr>
        <w:t>m</w:t>
      </w:r>
      <w:r w:rsidRPr="00673D18">
        <w:t>g/m</w:t>
      </w:r>
      <w:r w:rsidRPr="00673D18">
        <w:rPr>
          <w:vertAlign w:val="superscript"/>
        </w:rPr>
        <w:t>3</w:t>
      </w:r>
      <w:r w:rsidRPr="00673D18">
        <w:t xml:space="preserve"> would allow nearly all workers to be below a PbB of 30 </w:t>
      </w:r>
      <w:r w:rsidRPr="00673D18">
        <w:rPr>
          <w:rFonts w:cs="Arial"/>
        </w:rPr>
        <w:t>µ</w:t>
      </w:r>
      <w:r w:rsidRPr="00673D18">
        <w:t>g/</w:t>
      </w:r>
      <w:r w:rsidRPr="00BB3167">
        <w:t>dL but nearly all workers would not necessarily be below 20 µg/dL at this WES.</w:t>
      </w:r>
    </w:p>
    <w:p w:rsidR="002B0468" w:rsidRDefault="002B0468" w:rsidP="006E78BA"/>
    <w:p w:rsidR="002B0468" w:rsidRDefault="002B0468" w:rsidP="00D87472">
      <w:pPr>
        <w:pStyle w:val="Heading2"/>
      </w:pPr>
      <w:bookmarkStart w:id="32" w:name="_Toc391288240"/>
      <w:r>
        <w:lastRenderedPageBreak/>
        <w:t>4.</w:t>
      </w:r>
      <w:r w:rsidR="00673D18">
        <w:t xml:space="preserve">7 </w:t>
      </w:r>
      <w:r>
        <w:t>Key points in Section 4</w:t>
      </w:r>
      <w:bookmarkEnd w:id="32"/>
    </w:p>
    <w:p w:rsidR="002B0468" w:rsidRDefault="002B0468" w:rsidP="00D87472">
      <w:r>
        <w:t xml:space="preserve">In humans, </w:t>
      </w:r>
      <w:r w:rsidR="00BE2EAA">
        <w:t>l</w:t>
      </w:r>
      <w:r w:rsidR="00637B4C">
        <w:t>ead</w:t>
      </w:r>
      <w:r w:rsidR="00BE2EAA">
        <w:t xml:space="preserve"> </w:t>
      </w:r>
      <w:r>
        <w:t>can result in a wide range of biological effects depending upon the level and duration of exposure</w:t>
      </w:r>
      <w:r w:rsidR="00460695">
        <w:t>; these are summarised in Section</w:t>
      </w:r>
      <w:r w:rsidR="00470053">
        <w:t>s</w:t>
      </w:r>
      <w:r w:rsidR="00460695">
        <w:t xml:space="preserve"> 4.1</w:t>
      </w:r>
      <w:r w:rsidR="00470053">
        <w:t xml:space="preserve"> and 4.3</w:t>
      </w:r>
      <w:r>
        <w:t xml:space="preserve">. </w:t>
      </w:r>
      <w:r w:rsidRPr="003F39DF">
        <w:t>Tables 4.1 and 4.2</w:t>
      </w:r>
      <w:r>
        <w:t xml:space="preserve"> provide a </w:t>
      </w:r>
      <w:r w:rsidR="00470053">
        <w:t xml:space="preserve">synopsis </w:t>
      </w:r>
      <w:r>
        <w:t xml:space="preserve">of the PbB levels associated with a range of effects in adults from occupational and non-occupational epidemiological studies, respectively. The non-occupational information is considered less applicable </w:t>
      </w:r>
      <w:r w:rsidR="00470053">
        <w:t>for identifying</w:t>
      </w:r>
      <w:r>
        <w:t xml:space="preserve"> a </w:t>
      </w:r>
      <w:r w:rsidR="001A685E">
        <w:t xml:space="preserve">BLRL </w:t>
      </w:r>
      <w:r>
        <w:t xml:space="preserve">for a healthy workforce. </w:t>
      </w:r>
    </w:p>
    <w:p w:rsidR="002B0468" w:rsidRDefault="002B0468" w:rsidP="00D87472"/>
    <w:p w:rsidR="003A7DB2" w:rsidRDefault="0095427C" w:rsidP="002B0468">
      <w:r w:rsidRPr="0095427C">
        <w:t>Most health effects observed with occupational exposure to lead have been associated with worker PbB levels of &gt;20 µg/dL, with the majority of studies reporting associations starting at cohort mean PbB levels of around 25 - 30 µg/dL. At worker population average PbB concentrations &gt;30 µg/dL the associations become more robust and reliable. Hence in the workplace, for females not of reproductive capacity and for males</w:t>
      </w:r>
      <w:r>
        <w:t>,</w:t>
      </w:r>
      <w:r w:rsidRPr="0095427C">
        <w:t xml:space="preserve"> a BLRL of 20-30 µg/dL is suggested as being appropriate. </w:t>
      </w:r>
    </w:p>
    <w:p w:rsidR="003A7DB2" w:rsidRDefault="003A7DB2" w:rsidP="002B0468"/>
    <w:p w:rsidR="002B0468" w:rsidRDefault="0095427C" w:rsidP="002B0468">
      <w:r w:rsidRPr="0095427C">
        <w:t xml:space="preserve">Of this range, 20 µg/dL is a </w:t>
      </w:r>
      <w:r>
        <w:t>pragmatic</w:t>
      </w:r>
      <w:r w:rsidRPr="0095427C">
        <w:t xml:space="preserve"> NOAEL </w:t>
      </w:r>
      <w:r>
        <w:t xml:space="preserve">for workers </w:t>
      </w:r>
      <w:r w:rsidRPr="0095427C">
        <w:t>and can be ratio</w:t>
      </w:r>
      <w:r>
        <w:t>nally argued as a precau</w:t>
      </w:r>
      <w:r w:rsidR="003A7DB2">
        <w:t>tionary BLRL. P</w:t>
      </w:r>
      <w:r w:rsidRPr="0095427C">
        <w:t>articularly since it is closer to a central rather than a lower bound estimate for a worker population. Nev</w:t>
      </w:r>
      <w:r w:rsidR="003A7DB2">
        <w:t xml:space="preserve">ertheless there is uncertainty </w:t>
      </w:r>
      <w:r w:rsidRPr="0095427C">
        <w:t xml:space="preserve">regarding the preciseness of the </w:t>
      </w:r>
      <w:r w:rsidR="003A7DB2">
        <w:t>lead dose-response</w:t>
      </w:r>
      <w:r w:rsidRPr="0095427C">
        <w:t xml:space="preserve"> relationship in workers</w:t>
      </w:r>
      <w:r w:rsidR="003A7DB2">
        <w:t xml:space="preserve"> at low exposures</w:t>
      </w:r>
      <w:r w:rsidRPr="0095427C">
        <w:t xml:space="preserve">, not all occupational investigations report health effects at </w:t>
      </w:r>
      <w:r w:rsidR="009655DC" w:rsidRPr="0095427C">
        <w:t>similar</w:t>
      </w:r>
      <w:r w:rsidRPr="0095427C">
        <w:t xml:space="preserve"> reported PbB </w:t>
      </w:r>
      <w:r w:rsidR="009655DC" w:rsidRPr="0095427C">
        <w:t>concentrations</w:t>
      </w:r>
      <w:r w:rsidRPr="0095427C">
        <w:t xml:space="preserve">, the observed effects are not necessarily </w:t>
      </w:r>
      <w:r w:rsidR="003A7DB2">
        <w:t>clinically adverse</w:t>
      </w:r>
      <w:r w:rsidRPr="0095427C">
        <w:t xml:space="preserve"> for an individual, and some workplaces may initially struggle to comply with a BLRL as low as 20 µg/dL. It is therefore suggested a target PbB of 20 µg/dL and a BLRL of 30 µg/dL could be considered.</w:t>
      </w:r>
      <w:r>
        <w:t xml:space="preserve"> </w:t>
      </w:r>
    </w:p>
    <w:p w:rsidR="002B0468" w:rsidRDefault="002B0468" w:rsidP="002B0468">
      <w:r>
        <w:t xml:space="preserve">For pregnant females and females of reproductive capacity (which by definition also includes females who are breastfeeding), a PbB target of 10 </w:t>
      </w:r>
      <w:r w:rsidRPr="006A4C16">
        <w:rPr>
          <w:rFonts w:cs="Arial"/>
        </w:rPr>
        <w:t>µ</w:t>
      </w:r>
      <w:r>
        <w:t xml:space="preserve">g/dL is suggested to keep cumulative </w:t>
      </w:r>
      <w:r w:rsidR="00BE2EAA">
        <w:t>l</w:t>
      </w:r>
      <w:r w:rsidR="00637B4C">
        <w:t>ead</w:t>
      </w:r>
      <w:r w:rsidR="00BE2EAA">
        <w:t xml:space="preserve"> </w:t>
      </w:r>
      <w:r>
        <w:t>stores in the body low enough to protect the neurological development of the unborn child.</w:t>
      </w:r>
      <w:r w:rsidR="00C10A89">
        <w:t xml:space="preserve"> This is consistent with the recommendations of the National Health and Medical Research Council (NHMRC 2009).</w:t>
      </w:r>
    </w:p>
    <w:p w:rsidR="002B0468" w:rsidRDefault="002B0468" w:rsidP="002B0468"/>
    <w:p w:rsidR="002B0468" w:rsidRDefault="002B0468" w:rsidP="002B0468">
      <w:r>
        <w:t xml:space="preserve">It was not possible to readily quantify the health benefits with respect to development of adverse nervous system effects from reducing the workplace </w:t>
      </w:r>
      <w:r w:rsidR="00314205">
        <w:t>BLRL</w:t>
      </w:r>
      <w:r>
        <w:t xml:space="preserve">s. Nevertheless, the ORs from two occupational studies for slight </w:t>
      </w:r>
      <w:r w:rsidR="00EE2C4F">
        <w:t>neurobehavioral</w:t>
      </w:r>
      <w:r>
        <w:t xml:space="preserve"> effects provide an indication that such effects may be reduced if the </w:t>
      </w:r>
      <w:r w:rsidR="00314205">
        <w:t>BLRL</w:t>
      </w:r>
      <w:r>
        <w:t xml:space="preserve"> for males is lowered from 50 </w:t>
      </w:r>
      <w:r w:rsidRPr="00C4521B">
        <w:rPr>
          <w:rFonts w:cs="Arial"/>
        </w:rPr>
        <w:t>µ</w:t>
      </w:r>
      <w:r>
        <w:rPr>
          <w:rFonts w:cs="Arial"/>
        </w:rPr>
        <w:t xml:space="preserve">g/dL to 30 or 20 </w:t>
      </w:r>
      <w:r w:rsidRPr="00C4521B">
        <w:rPr>
          <w:rFonts w:cs="Arial"/>
        </w:rPr>
        <w:t>µ</w:t>
      </w:r>
      <w:r>
        <w:rPr>
          <w:rFonts w:cs="Arial"/>
        </w:rPr>
        <w:t xml:space="preserve">g/dL. </w:t>
      </w:r>
    </w:p>
    <w:p w:rsidR="002B0468" w:rsidRDefault="002B0468" w:rsidP="002B0468"/>
    <w:p w:rsidR="004605D5" w:rsidRDefault="004605D5" w:rsidP="002B0468">
      <w:pPr>
        <w:shd w:val="clear" w:color="auto" w:fill="FFFFFF" w:themeFill="background1"/>
      </w:pPr>
      <w:r>
        <w:t xml:space="preserve">Lowering the </w:t>
      </w:r>
      <w:r w:rsidR="00314205">
        <w:t>BLRL</w:t>
      </w:r>
      <w:r>
        <w:t xml:space="preserve"> for males from </w:t>
      </w:r>
      <w:r w:rsidRPr="004605D5">
        <w:t>50 µg/dL to 30 or 20 µg/dL</w:t>
      </w:r>
      <w:r>
        <w:t xml:space="preserve"> is associated with:</w:t>
      </w:r>
    </w:p>
    <w:p w:rsidR="00242F1D" w:rsidRDefault="004605D5" w:rsidP="00242F1D">
      <w:pPr>
        <w:pStyle w:val="ListParagraph"/>
        <w:numPr>
          <w:ilvl w:val="0"/>
          <w:numId w:val="31"/>
        </w:numPr>
        <w:shd w:val="clear" w:color="auto" w:fill="FFFFFF" w:themeFill="background1"/>
      </w:pPr>
      <w:r>
        <w:t>Reduction of cardiovasc</w:t>
      </w:r>
      <w:r w:rsidR="00242F1D">
        <w:t xml:space="preserve">ular disease associated with ameliorating </w:t>
      </w:r>
      <w:r w:rsidR="00BE2EAA">
        <w:t>l</w:t>
      </w:r>
      <w:r w:rsidR="00637B4C">
        <w:t>ead</w:t>
      </w:r>
      <w:r w:rsidR="00BE2EAA">
        <w:t xml:space="preserve"> </w:t>
      </w:r>
      <w:r w:rsidR="00242F1D">
        <w:t xml:space="preserve">induced increased blood pressure (Section 4.4.2). Although the reductions in blood pressure are only modest for an individual, the prevalence of </w:t>
      </w:r>
      <w:r w:rsidR="009655DC">
        <w:t>cardiovascular</w:t>
      </w:r>
      <w:r w:rsidR="00242F1D">
        <w:t xml:space="preserve"> disease and cost of medication prevention is such that there could be marked gains for the overall workforce.</w:t>
      </w:r>
    </w:p>
    <w:p w:rsidR="00242F1D" w:rsidRDefault="00242F1D" w:rsidP="00242F1D">
      <w:pPr>
        <w:pStyle w:val="ListParagraph"/>
        <w:numPr>
          <w:ilvl w:val="0"/>
          <w:numId w:val="31"/>
        </w:numPr>
        <w:shd w:val="clear" w:color="auto" w:fill="FFFFFF" w:themeFill="background1"/>
      </w:pPr>
      <w:r>
        <w:t>Gains in sperm quality for potentially oligospermic men (Section 4.4.3).</w:t>
      </w:r>
    </w:p>
    <w:p w:rsidR="00242F1D" w:rsidRDefault="00242F1D" w:rsidP="00242F1D">
      <w:pPr>
        <w:pStyle w:val="ListParagraph"/>
        <w:numPr>
          <w:ilvl w:val="0"/>
          <w:numId w:val="31"/>
        </w:numPr>
        <w:shd w:val="clear" w:color="auto" w:fill="FFFFFF" w:themeFill="background1"/>
      </w:pPr>
      <w:r>
        <w:lastRenderedPageBreak/>
        <w:t xml:space="preserve">A decrease risk of cancer for a large proportion of men who work in ‘scheduled’ lead jobs and have PbB &gt; 30 </w:t>
      </w:r>
      <w:r w:rsidRPr="00242F1D">
        <w:t>µg/dL</w:t>
      </w:r>
      <w:r>
        <w:t>. This is approximately 1,200 persons in Victoria and NSW (Section 4.4.4).</w:t>
      </w:r>
    </w:p>
    <w:p w:rsidR="002C1EF0" w:rsidRDefault="002C1EF0" w:rsidP="00242F1D">
      <w:pPr>
        <w:shd w:val="clear" w:color="auto" w:fill="FFFFFF" w:themeFill="background1"/>
      </w:pPr>
      <w:r>
        <w:t xml:space="preserve">For women lowering the </w:t>
      </w:r>
      <w:r w:rsidR="00314205">
        <w:t>BLRL</w:t>
      </w:r>
      <w:r>
        <w:t xml:space="preserve"> from 15 to 10</w:t>
      </w:r>
      <w:r w:rsidRPr="002C1EF0">
        <w:t xml:space="preserve"> µg/dL</w:t>
      </w:r>
      <w:r w:rsidR="00242F1D">
        <w:t xml:space="preserve"> </w:t>
      </w:r>
      <w:r>
        <w:t>is associated with:</w:t>
      </w:r>
    </w:p>
    <w:p w:rsidR="00A6339F" w:rsidRDefault="00A6339F" w:rsidP="002C1EF0">
      <w:pPr>
        <w:pStyle w:val="ListParagraph"/>
        <w:numPr>
          <w:ilvl w:val="0"/>
          <w:numId w:val="32"/>
        </w:numPr>
        <w:shd w:val="clear" w:color="auto" w:fill="FFFFFF" w:themeFill="background1"/>
      </w:pPr>
      <w:r>
        <w:t>Lowered body burden and hence lower risk of detrimental intellectual development of their</w:t>
      </w:r>
      <w:r w:rsidR="00DA4B34">
        <w:t>,</w:t>
      </w:r>
      <w:r>
        <w:t xml:space="preserve"> as yet unborn children.</w:t>
      </w:r>
    </w:p>
    <w:p w:rsidR="00460695" w:rsidRDefault="00A6339F" w:rsidP="002C1EF0">
      <w:pPr>
        <w:pStyle w:val="ListParagraph"/>
        <w:numPr>
          <w:ilvl w:val="0"/>
          <w:numId w:val="32"/>
        </w:numPr>
        <w:shd w:val="clear" w:color="auto" w:fill="FFFFFF" w:themeFill="background1"/>
      </w:pPr>
      <w:r>
        <w:t>Decre</w:t>
      </w:r>
      <w:r w:rsidR="003F39DF">
        <w:t>a</w:t>
      </w:r>
      <w:r>
        <w:t>sed risk of spont</w:t>
      </w:r>
      <w:r w:rsidR="003F39DF">
        <w:t>a</w:t>
      </w:r>
      <w:r>
        <w:t>neou</w:t>
      </w:r>
      <w:r w:rsidR="003F39DF">
        <w:t>s</w:t>
      </w:r>
      <w:r>
        <w:t xml:space="preserve"> abortion (Section 4.4.3).</w:t>
      </w:r>
    </w:p>
    <w:p w:rsidR="00376116" w:rsidRPr="009C795A" w:rsidRDefault="00376116" w:rsidP="00376116">
      <w:pPr>
        <w:pStyle w:val="Heading1"/>
        <w:rPr>
          <w:rFonts w:cs="Arial"/>
        </w:rPr>
      </w:pPr>
      <w:bookmarkStart w:id="33" w:name="_Toc391288241"/>
      <w:r>
        <w:rPr>
          <w:rFonts w:cs="Arial"/>
        </w:rPr>
        <w:t>5</w:t>
      </w:r>
      <w:r w:rsidRPr="009C795A">
        <w:rPr>
          <w:rFonts w:cs="Arial"/>
        </w:rPr>
        <w:t xml:space="preserve">. </w:t>
      </w:r>
      <w:r w:rsidR="0072100B">
        <w:rPr>
          <w:rFonts w:cs="Arial"/>
        </w:rPr>
        <w:t>PbAir</w:t>
      </w:r>
      <w:r w:rsidRPr="009C795A">
        <w:rPr>
          <w:rFonts w:cs="Arial"/>
        </w:rPr>
        <w:t xml:space="preserve"> and </w:t>
      </w:r>
      <w:r w:rsidR="000C3863">
        <w:rPr>
          <w:rFonts w:cs="Arial"/>
        </w:rPr>
        <w:t>PbB</w:t>
      </w:r>
      <w:r w:rsidRPr="009C795A">
        <w:rPr>
          <w:rFonts w:cs="Arial"/>
        </w:rPr>
        <w:t xml:space="preserve"> relationships</w:t>
      </w:r>
      <w:bookmarkEnd w:id="33"/>
    </w:p>
    <w:p w:rsidR="00376116" w:rsidRPr="00B13C51" w:rsidRDefault="00376116" w:rsidP="00376116">
      <w:pPr>
        <w:pStyle w:val="Heading2"/>
        <w:rPr>
          <w:szCs w:val="24"/>
        </w:rPr>
      </w:pPr>
      <w:bookmarkStart w:id="34" w:name="_Toc391288242"/>
      <w:r>
        <w:rPr>
          <w:szCs w:val="24"/>
        </w:rPr>
        <w:t>5</w:t>
      </w:r>
      <w:r w:rsidRPr="00B13C51">
        <w:rPr>
          <w:szCs w:val="24"/>
        </w:rPr>
        <w:t>.1 Introduction</w:t>
      </w:r>
      <w:bookmarkEnd w:id="34"/>
    </w:p>
    <w:p w:rsidR="00376116" w:rsidRDefault="00376116" w:rsidP="00376116">
      <w:r>
        <w:t xml:space="preserve">The relationship between PbB concentrations and </w:t>
      </w:r>
      <w:r w:rsidR="0072100B">
        <w:t>PbAir</w:t>
      </w:r>
      <w:r>
        <w:t xml:space="preserve"> concentrations is</w:t>
      </w:r>
      <w:r w:rsidRPr="0088259D">
        <w:t xml:space="preserve"> called the air slope factor </w:t>
      </w:r>
      <w:r>
        <w:t xml:space="preserve">(ASF).  The ASF </w:t>
      </w:r>
      <w:r w:rsidRPr="00CE306E">
        <w:t>reflec</w:t>
      </w:r>
      <w:r>
        <w:t xml:space="preserve">ts the incremental increase in </w:t>
      </w:r>
      <w:r w:rsidRPr="00CE306E">
        <w:t>Pb</w:t>
      </w:r>
      <w:r>
        <w:t>B</w:t>
      </w:r>
      <w:r w:rsidRPr="00CE306E">
        <w:t xml:space="preserve"> for each unit increase in air concentration and has the units (µg/dL)(µg/m</w:t>
      </w:r>
      <w:r w:rsidRPr="00CE306E">
        <w:rPr>
          <w:vertAlign w:val="superscript"/>
        </w:rPr>
        <w:t>3</w:t>
      </w:r>
      <w:r w:rsidRPr="00CE306E">
        <w:t>)</w:t>
      </w:r>
      <w:r w:rsidRPr="00CE306E">
        <w:rPr>
          <w:vertAlign w:val="superscript"/>
        </w:rPr>
        <w:t>-1</w:t>
      </w:r>
      <w:r>
        <w:t xml:space="preserve">. </w:t>
      </w:r>
      <w:r w:rsidRPr="00CE306E">
        <w:t>It</w:t>
      </w:r>
      <w:r>
        <w:t xml:space="preserve"> has been known for some time it is non-linear (US EPA 1986, 2013). That is, the relative contribution of </w:t>
      </w:r>
      <w:r w:rsidR="00263767">
        <w:t>PbAir</w:t>
      </w:r>
      <w:r>
        <w:t xml:space="preserve"> to PbB is greater at low air concentrations relative to high concentrations. </w:t>
      </w:r>
    </w:p>
    <w:p w:rsidR="00376116" w:rsidRDefault="00376116" w:rsidP="00376116"/>
    <w:p w:rsidR="00376116" w:rsidRDefault="00376116" w:rsidP="00376116">
      <w:r w:rsidRPr="00696FB4">
        <w:t>For determination of ASFs only</w:t>
      </w:r>
      <w:r w:rsidRPr="00CE306E">
        <w:t xml:space="preserve"> information from occupational studies in which PbAir is a ‘</w:t>
      </w:r>
      <w:r w:rsidR="009655DC" w:rsidRPr="00CE306E">
        <w:t>work shift</w:t>
      </w:r>
      <w:r w:rsidRPr="00CE306E">
        <w:t>’ measurement</w:t>
      </w:r>
      <w:r>
        <w:t xml:space="preserve"> has been </w:t>
      </w:r>
      <w:r w:rsidRPr="00CE306E">
        <w:t>include</w:t>
      </w:r>
      <w:r>
        <w:t>d</w:t>
      </w:r>
      <w:r w:rsidRPr="00CE306E">
        <w:t xml:space="preserve">. The ASF values represent real life lead exposures in lead-related </w:t>
      </w:r>
      <w:r>
        <w:t>industries. They</w:t>
      </w:r>
      <w:r w:rsidRPr="00CE306E">
        <w:t xml:space="preserve"> are not necessarily a result of continuous 8-hour exposures which is assumed to occur when setting an occupational exposure limit. It is emphasised ASF values associated with environmental exposure to lead are different from those with occupational exposures. This is primarily due to the different air concentrations</w:t>
      </w:r>
      <w:r>
        <w:t xml:space="preserve"> (lower)</w:t>
      </w:r>
      <w:r w:rsidRPr="00CE306E">
        <w:t xml:space="preserve"> and exposure times </w:t>
      </w:r>
      <w:r>
        <w:t xml:space="preserve">(longer) </w:t>
      </w:r>
      <w:r w:rsidRPr="00CE306E">
        <w:t>which result in a</w:t>
      </w:r>
      <w:r>
        <w:t xml:space="preserve"> different </w:t>
      </w:r>
      <w:r w:rsidRPr="00CE306E">
        <w:t>Pb</w:t>
      </w:r>
      <w:r>
        <w:t>B</w:t>
      </w:r>
      <w:r w:rsidRPr="00CE306E">
        <w:t xml:space="preserve"> for </w:t>
      </w:r>
      <w:r w:rsidR="00BF3AEA">
        <w:t xml:space="preserve">the general community at </w:t>
      </w:r>
      <w:r w:rsidRPr="00CE306E">
        <w:t xml:space="preserve">any given PbAir concentration. </w:t>
      </w:r>
    </w:p>
    <w:p w:rsidR="00376116" w:rsidRDefault="00376116" w:rsidP="00376116"/>
    <w:p w:rsidR="00376116" w:rsidRDefault="00376116" w:rsidP="00376116">
      <w:r w:rsidRPr="0088259D">
        <w:t xml:space="preserve">The establishment of </w:t>
      </w:r>
      <w:r>
        <w:t>a WES</w:t>
      </w:r>
      <w:r w:rsidRPr="0088259D">
        <w:t xml:space="preserve"> for lead tacitly assumes there is a direct </w:t>
      </w:r>
      <w:r>
        <w:t>correlation</w:t>
      </w:r>
      <w:r w:rsidRPr="0088259D">
        <w:t xml:space="preserve"> between </w:t>
      </w:r>
      <w:r>
        <w:t xml:space="preserve">concentrations of </w:t>
      </w:r>
      <w:r w:rsidR="00263767">
        <w:t>PbAir</w:t>
      </w:r>
      <w:r w:rsidRPr="0088259D">
        <w:t xml:space="preserve"> </w:t>
      </w:r>
      <w:r>
        <w:t xml:space="preserve">in the workplace </w:t>
      </w:r>
      <w:r w:rsidRPr="0088259D">
        <w:t xml:space="preserve">and </w:t>
      </w:r>
      <w:r>
        <w:t>PbB</w:t>
      </w:r>
      <w:r w:rsidRPr="0088259D">
        <w:t xml:space="preserve"> levels</w:t>
      </w:r>
      <w:r>
        <w:t xml:space="preserve"> in workers</w:t>
      </w:r>
      <w:r w:rsidRPr="0088259D">
        <w:t xml:space="preserve">. Although such a relationship exists, its quantitation is markedly influenced by other factors affecting </w:t>
      </w:r>
      <w:r>
        <w:t>PbB</w:t>
      </w:r>
      <w:r w:rsidRPr="0088259D">
        <w:t xml:space="preserve">.  </w:t>
      </w:r>
    </w:p>
    <w:p w:rsidR="00376116" w:rsidRPr="0088259D" w:rsidRDefault="00376116" w:rsidP="00376116">
      <w:r w:rsidRPr="0088259D">
        <w:t xml:space="preserve">They include, but are not limited to, particle size, solubility, personal versus area PbAir data, the temporal relationship of PbAir measurements with </w:t>
      </w:r>
      <w:r>
        <w:t>PbB</w:t>
      </w:r>
      <w:r w:rsidRPr="0088259D">
        <w:t xml:space="preserve"> measurements, accuracy of PbAir measurements for exposure, PbAir being total </w:t>
      </w:r>
      <w:r w:rsidR="00BE2EAA">
        <w:t>l</w:t>
      </w:r>
      <w:r w:rsidR="00637B4C">
        <w:t>ead</w:t>
      </w:r>
      <w:r w:rsidR="00BE2EAA">
        <w:t xml:space="preserve"> </w:t>
      </w:r>
      <w:r w:rsidRPr="0088259D">
        <w:t xml:space="preserve">or respirable </w:t>
      </w:r>
      <w:r w:rsidR="00754780">
        <w:t>lead</w:t>
      </w:r>
      <w:r w:rsidRPr="0088259D">
        <w:t xml:space="preserve">, smoking status, hygiene practice (i.e. likelihood of hand mouth interaction), length of employment, inter-individual variability in lead absorption, etc. Not all of these </w:t>
      </w:r>
      <w:r>
        <w:t xml:space="preserve">factors </w:t>
      </w:r>
      <w:r w:rsidRPr="0088259D">
        <w:t xml:space="preserve">may have been considered in the published studies investigating PbAir - </w:t>
      </w:r>
      <w:r>
        <w:t>PbB</w:t>
      </w:r>
      <w:r w:rsidRPr="0088259D">
        <w:t xml:space="preserve"> relationships.</w:t>
      </w:r>
      <w:r>
        <w:t xml:space="preserve"> It is also probable that no one or two studies adequately reflect the range of workplace conditions or provide ASF information that is universally applicable. In this regard the average ASF determined from a number of studies is arguably more appropriate. </w:t>
      </w:r>
      <w:r>
        <w:lastRenderedPageBreak/>
        <w:t xml:space="preserve">Limitations inherent in a particular study tend to have less influence on a recommended ASF if </w:t>
      </w:r>
      <w:r w:rsidR="00BF3AEA">
        <w:t xml:space="preserve">such </w:t>
      </w:r>
      <w:r>
        <w:t>a ‘weight of evidence’ type evaluation is undertaken.</w:t>
      </w:r>
    </w:p>
    <w:p w:rsidR="00376116" w:rsidRPr="0088259D" w:rsidRDefault="00376116" w:rsidP="00376116"/>
    <w:p w:rsidR="00376116" w:rsidRDefault="00376116" w:rsidP="00376116">
      <w:r w:rsidRPr="0088259D">
        <w:t>Although worker PbB levels are likely to primarily be the result of lead exposure in the workplace they also include a contribution from background lead exposure. Currently this background exposure mainly comes from lead in the diet but in the past when leaded petrol was widely used, lead in ambient air was a major contributor</w:t>
      </w:r>
      <w:r>
        <w:t xml:space="preserve"> to background PbB</w:t>
      </w:r>
      <w:r w:rsidRPr="0088259D">
        <w:t xml:space="preserve">. </w:t>
      </w:r>
      <w:r>
        <w:t xml:space="preserve"> </w:t>
      </w:r>
    </w:p>
    <w:p w:rsidR="00376116" w:rsidRDefault="00376116" w:rsidP="00376116"/>
    <w:p w:rsidR="00376116" w:rsidRDefault="00376116" w:rsidP="00376116">
      <w:r w:rsidRPr="005F6A23">
        <w:t xml:space="preserve">Given the non-linear nature of the association of </w:t>
      </w:r>
      <w:r w:rsidR="00263767">
        <w:t>PbAir</w:t>
      </w:r>
      <w:r w:rsidRPr="005F6A23">
        <w:t xml:space="preserve"> with PbB, and PbB with health effects, a single </w:t>
      </w:r>
      <w:r>
        <w:t>ASF</w:t>
      </w:r>
      <w:r w:rsidRPr="005F6A23">
        <w:t xml:space="preserve"> to describe the relationship of PbB (and health effects) with an air concentration will be misleading. To extract the appropriate ASF from the literature it is necessary to identify the PbB concentrations and/or air concentrations of interest.</w:t>
      </w:r>
      <w:r>
        <w:t xml:space="preserve"> This ‘bounding’ of the ASF is described in </w:t>
      </w:r>
      <w:r w:rsidRPr="00894A00">
        <w:t xml:space="preserve">Section </w:t>
      </w:r>
      <w:r>
        <w:t>5</w:t>
      </w:r>
      <w:r w:rsidRPr="00894A00">
        <w:t>.2.</w:t>
      </w:r>
    </w:p>
    <w:p w:rsidR="00376116" w:rsidRDefault="00376116" w:rsidP="00376116"/>
    <w:p w:rsidR="00376116" w:rsidRDefault="00376116" w:rsidP="00376116">
      <w:r>
        <w:t>C</w:t>
      </w:r>
      <w:r w:rsidRPr="00894A00">
        <w:t xml:space="preserve">onsiderations </w:t>
      </w:r>
      <w:r>
        <w:t xml:space="preserve">explored in this section </w:t>
      </w:r>
      <w:r w:rsidRPr="00894A00">
        <w:t>when evaluating studies reporting ASF values</w:t>
      </w:r>
      <w:r>
        <w:t xml:space="preserve"> are background PbB, particle size, and worker population PbB variability under the same exposure conditions.</w:t>
      </w:r>
    </w:p>
    <w:p w:rsidR="00376116" w:rsidRDefault="00376116" w:rsidP="00376116"/>
    <w:p w:rsidR="00376116" w:rsidRPr="00B13C51" w:rsidRDefault="00376116" w:rsidP="00376116">
      <w:pPr>
        <w:pStyle w:val="Heading2"/>
        <w:rPr>
          <w:szCs w:val="24"/>
        </w:rPr>
      </w:pPr>
      <w:bookmarkStart w:id="35" w:name="_Toc391288243"/>
      <w:r>
        <w:rPr>
          <w:szCs w:val="24"/>
        </w:rPr>
        <w:t>5</w:t>
      </w:r>
      <w:r w:rsidRPr="00B13C51">
        <w:rPr>
          <w:szCs w:val="24"/>
        </w:rPr>
        <w:t>.2 Bounding the air slope factor assessment</w:t>
      </w:r>
      <w:bookmarkEnd w:id="35"/>
    </w:p>
    <w:p w:rsidR="00376116" w:rsidRDefault="006E065D" w:rsidP="00376116">
      <w:r>
        <w:t>L</w:t>
      </w:r>
      <w:r w:rsidR="00376116">
        <w:t>imits can be placed on the evaluation/selection of ASFs for WES setting</w:t>
      </w:r>
      <w:r>
        <w:t xml:space="preserve"> in the following ways</w:t>
      </w:r>
      <w:r w:rsidR="00376116">
        <w:t xml:space="preserve">. </w:t>
      </w:r>
    </w:p>
    <w:p w:rsidR="00376116" w:rsidRDefault="00376116" w:rsidP="00376116"/>
    <w:p w:rsidR="00376116" w:rsidRDefault="00376116" w:rsidP="00376116">
      <w:pPr>
        <w:pStyle w:val="ListParagraph"/>
        <w:numPr>
          <w:ilvl w:val="0"/>
          <w:numId w:val="21"/>
        </w:numPr>
      </w:pPr>
      <w:r>
        <w:rPr>
          <w:i/>
        </w:rPr>
        <w:t xml:space="preserve">Via </w:t>
      </w:r>
      <w:r w:rsidRPr="009C795A">
        <w:rPr>
          <w:i/>
        </w:rPr>
        <w:t>PbB health threshold concentrations:</w:t>
      </w:r>
      <w:r>
        <w:t xml:space="preserve"> Identifying PbB concentrations that are without demonstrably consistent health effects, or are associated with effects considered to be minor, will inform decisions on </w:t>
      </w:r>
      <w:r w:rsidR="00314205">
        <w:t>BLRL</w:t>
      </w:r>
      <w:r>
        <w:t>’s for various sectors of the workforce in lead related industries. The extent, or otherwise, of safety (uncertainty) factors applied to the ‘critical’ PbB for different health effects is a matter of agency policy. It appears from Section 2 that international organisations have not formally applied safety factors. Unfortunately the available literature does not easily enable an ASF to be identified from a target PbB. Rather ASFs tend to be linked with air measurements of lead.</w:t>
      </w:r>
    </w:p>
    <w:p w:rsidR="00376116" w:rsidRDefault="00376116" w:rsidP="00376116">
      <w:pPr>
        <w:pStyle w:val="ListParagraph"/>
      </w:pPr>
    </w:p>
    <w:p w:rsidR="00376116" w:rsidRPr="009C795A" w:rsidRDefault="00376116" w:rsidP="00376116">
      <w:pPr>
        <w:pStyle w:val="ListParagraph"/>
        <w:numPr>
          <w:ilvl w:val="0"/>
          <w:numId w:val="21"/>
        </w:numPr>
        <w:rPr>
          <w:i/>
        </w:rPr>
      </w:pPr>
      <w:r w:rsidRPr="009C795A">
        <w:rPr>
          <w:i/>
        </w:rPr>
        <w:t xml:space="preserve">Benchmarking with international organisations:  </w:t>
      </w:r>
      <w:r>
        <w:t xml:space="preserve">While it is recognised PbB health threshold concentrations are </w:t>
      </w:r>
      <w:r w:rsidR="006E065D">
        <w:t xml:space="preserve">arguably </w:t>
      </w:r>
      <w:r>
        <w:t xml:space="preserve">the </w:t>
      </w:r>
      <w:r w:rsidR="00754780" w:rsidRPr="006E065D">
        <w:t>most</w:t>
      </w:r>
      <w:r>
        <w:t xml:space="preserve"> appropriate basis for determining </w:t>
      </w:r>
      <w:r w:rsidR="00314205">
        <w:t>BLRL</w:t>
      </w:r>
      <w:r>
        <w:t xml:space="preserve">s and </w:t>
      </w:r>
      <w:r w:rsidR="006E065D">
        <w:t xml:space="preserve">hence </w:t>
      </w:r>
      <w:r>
        <w:t xml:space="preserve">a WES, for the purpose of focussing the derivation of an appropriate ASF that can be used for setting the WES it is useful to extract </w:t>
      </w:r>
      <w:r w:rsidR="00314205">
        <w:t>BLRL</w:t>
      </w:r>
      <w:r>
        <w:t xml:space="preserve">s and WESs from international organisations. This enables a number of potential air concentrations to be tested for their ability to deliver the target </w:t>
      </w:r>
      <w:r w:rsidR="00314205">
        <w:t>BLRL</w:t>
      </w:r>
      <w:r>
        <w:t xml:space="preserve">s. </w:t>
      </w:r>
    </w:p>
    <w:p w:rsidR="00376116" w:rsidRDefault="00376116" w:rsidP="00376116"/>
    <w:p w:rsidR="00376116" w:rsidRPr="00754BCC" w:rsidRDefault="00376116" w:rsidP="00376116">
      <w:r>
        <w:lastRenderedPageBreak/>
        <w:t xml:space="preserve">Table 5.1 is a summary of the large amount of international WES information presented in Tables 2.1 and 2.2. It is apparent that air concentrations of 0.05, 0.1 and 0.15 </w:t>
      </w:r>
      <w:r>
        <w:rPr>
          <w:rFonts w:cs="Arial"/>
        </w:rPr>
        <w:t>m</w:t>
      </w:r>
      <w:r>
        <w:t>g/m</w:t>
      </w:r>
      <w:r>
        <w:rPr>
          <w:vertAlign w:val="superscript"/>
        </w:rPr>
        <w:t>3</w:t>
      </w:r>
      <w:r>
        <w:t xml:space="preserve"> have been commonly nominated as 8 hour </w:t>
      </w:r>
      <w:r w:rsidR="009655DC">
        <w:t>W</w:t>
      </w:r>
      <w:r w:rsidR="004607D3">
        <w:t>ES</w:t>
      </w:r>
      <w:r w:rsidR="009655DC">
        <w:t>’s. These</w:t>
      </w:r>
      <w:r>
        <w:t xml:space="preserve"> have </w:t>
      </w:r>
      <w:r w:rsidR="006E065D">
        <w:t xml:space="preserve">therefore </w:t>
      </w:r>
      <w:r>
        <w:t>been chosen as bounding air concentrations for identifying an ASF from the literature. It is also noted that only one international organisation (California</w:t>
      </w:r>
      <w:r w:rsidRPr="00754BCC">
        <w:t xml:space="preserve"> Department of Public Health</w:t>
      </w:r>
      <w:r>
        <w:t xml:space="preserve">) is proposing a WES lower than 0.05 </w:t>
      </w:r>
      <w:r>
        <w:rPr>
          <w:rFonts w:cs="Arial"/>
        </w:rPr>
        <w:t>m</w:t>
      </w:r>
      <w:r>
        <w:t>g/m</w:t>
      </w:r>
      <w:r>
        <w:rPr>
          <w:vertAlign w:val="superscript"/>
        </w:rPr>
        <w:t>3</w:t>
      </w:r>
      <w:r w:rsidR="00D8271B">
        <w:t xml:space="preserve"> though the WHO pro</w:t>
      </w:r>
      <w:r w:rsidR="004D7C1B">
        <w:t>p</w:t>
      </w:r>
      <w:r w:rsidR="00D8271B">
        <w:t xml:space="preserve">oses the range 0.03-0.06 </w:t>
      </w:r>
      <w:r w:rsidR="00D8271B">
        <w:rPr>
          <w:rFonts w:cs="Arial"/>
        </w:rPr>
        <w:t>m</w:t>
      </w:r>
      <w:r w:rsidR="00D8271B">
        <w:t>g/m</w:t>
      </w:r>
      <w:r w:rsidR="00D8271B">
        <w:rPr>
          <w:vertAlign w:val="superscript"/>
        </w:rPr>
        <w:t>3</w:t>
      </w:r>
      <w:r w:rsidR="00B719D0" w:rsidRPr="00B719D0">
        <w:t>.</w:t>
      </w:r>
    </w:p>
    <w:p w:rsidR="00376116" w:rsidRDefault="00376116" w:rsidP="00376116"/>
    <w:p w:rsidR="00376116" w:rsidRPr="0044066E" w:rsidRDefault="00376116" w:rsidP="006E065D">
      <w:r>
        <w:t xml:space="preserve">Table 5.2 summarises the </w:t>
      </w:r>
      <w:r w:rsidR="00314205">
        <w:t>BLRL</w:t>
      </w:r>
      <w:r>
        <w:t>s set by a variety of organisations</w:t>
      </w:r>
      <w:r w:rsidR="001F2345" w:rsidRPr="001F2345">
        <w:t xml:space="preserve"> </w:t>
      </w:r>
      <w:r w:rsidR="001F2345">
        <w:t xml:space="preserve">where there is </w:t>
      </w:r>
      <w:r w:rsidR="001F2345" w:rsidRPr="001F2345">
        <w:t>documentation supporting the WES and BLRL</w:t>
      </w:r>
      <w:r>
        <w:t xml:space="preserve">. The </w:t>
      </w:r>
      <w:r w:rsidRPr="006E065D">
        <w:t>majority</w:t>
      </w:r>
      <w:r>
        <w:t xml:space="preserve"> have different </w:t>
      </w:r>
      <w:r w:rsidR="00314205">
        <w:t>BLRL</w:t>
      </w:r>
      <w:r>
        <w:t>s for men, females of non-reproductive capacity (FNR), females of reproductive capacity (FR) and pregnant females (FP)</w:t>
      </w:r>
      <w:r w:rsidR="006E065D">
        <w:t>,</w:t>
      </w:r>
      <w:r>
        <w:t xml:space="preserve"> and breastfeeding females (FB). For example the current </w:t>
      </w:r>
      <w:r w:rsidR="00314205">
        <w:t>BLRL</w:t>
      </w:r>
      <w:r>
        <w:t xml:space="preserve">s for lead in Australia are 50 (M &amp; FNR), 20 (FR) and 15 </w:t>
      </w:r>
      <w:r>
        <w:rPr>
          <w:rFonts w:cs="Arial"/>
        </w:rPr>
        <w:t>µ</w:t>
      </w:r>
      <w:r>
        <w:t>g/dL (FP &amp; FB) (originally established by NOHSC in 1994).</w:t>
      </w:r>
    </w:p>
    <w:p w:rsidR="00376116" w:rsidRDefault="00376116" w:rsidP="00376116"/>
    <w:p w:rsidR="00376116" w:rsidRDefault="00376116" w:rsidP="00376116">
      <w:r>
        <w:t xml:space="preserve">FR have lower </w:t>
      </w:r>
      <w:r w:rsidR="00314205">
        <w:t>BLRL</w:t>
      </w:r>
      <w:r>
        <w:t xml:space="preserve">s due to concern for effects on the developing foetus and the fact that the mother’s stores of bone lead mobilise during pregnancy. Hence it is not only the external exposure of the mother during pregnancy, e.g. in the workplace, that is contributing to lead exposure of the foetus but also the lead body burden accumulated before pregnancy.  For example, a recent study in France identified having a mother </w:t>
      </w:r>
      <w:r w:rsidRPr="00A64B0D">
        <w:t>born in a country where lead is often used</w:t>
      </w:r>
      <w:r>
        <w:t xml:space="preserve"> as one of several risk factors significantly associated with </w:t>
      </w:r>
      <w:r w:rsidR="006E065D">
        <w:t xml:space="preserve">elevated </w:t>
      </w:r>
      <w:r>
        <w:t>PbB</w:t>
      </w:r>
      <w:r w:rsidR="006E065D">
        <w:t xml:space="preserve"> in children</w:t>
      </w:r>
      <w:r>
        <w:t xml:space="preserve"> (Etchevers et al. 2013).</w:t>
      </w:r>
    </w:p>
    <w:p w:rsidR="00376116" w:rsidRDefault="00376116" w:rsidP="00376116"/>
    <w:p w:rsidR="00376116" w:rsidRDefault="00376116" w:rsidP="00376116">
      <w:pPr>
        <w:pStyle w:val="ListParagraph"/>
        <w:numPr>
          <w:ilvl w:val="0"/>
          <w:numId w:val="20"/>
        </w:numPr>
      </w:pPr>
      <w:r>
        <w:t xml:space="preserve">In a mixed workforce it is logical that the </w:t>
      </w:r>
      <w:r w:rsidR="00754780" w:rsidRPr="006E065D">
        <w:t>most</w:t>
      </w:r>
      <w:r>
        <w:t xml:space="preserve"> </w:t>
      </w:r>
      <w:r w:rsidRPr="006E065D">
        <w:t>sensitive</w:t>
      </w:r>
      <w:r>
        <w:t xml:space="preserve"> of those workers </w:t>
      </w:r>
      <w:r w:rsidR="006E065D">
        <w:t xml:space="preserve">should </w:t>
      </w:r>
      <w:r>
        <w:t xml:space="preserve">drive the </w:t>
      </w:r>
      <w:r w:rsidR="00314205">
        <w:t>BLRL</w:t>
      </w:r>
      <w:r>
        <w:t xml:space="preserve"> and hence the WES</w:t>
      </w:r>
      <w:r w:rsidR="006E065D">
        <w:t xml:space="preserve"> (see Sections 4.5 and 4.6)</w:t>
      </w:r>
      <w:r>
        <w:t xml:space="preserve">. From Table 5.2 this appears to be a PbB of 5 – 10 </w:t>
      </w:r>
      <w:r>
        <w:rPr>
          <w:rFonts w:cs="Arial"/>
        </w:rPr>
        <w:t>µ</w:t>
      </w:r>
      <w:r>
        <w:t>g/dL for all females except those of non-reproductive capacity. This is consistent with the NHMRC deliberations that all Australians should have a PbB &lt;10</w:t>
      </w:r>
      <w:r>
        <w:rPr>
          <w:rFonts w:cs="Arial"/>
        </w:rPr>
        <w:t>µ</w:t>
      </w:r>
      <w:r>
        <w:t xml:space="preserve">g/dL. </w:t>
      </w:r>
    </w:p>
    <w:p w:rsidR="00376116" w:rsidRDefault="00376116" w:rsidP="00376116">
      <w:pPr>
        <w:pStyle w:val="ListParagraph"/>
      </w:pPr>
    </w:p>
    <w:p w:rsidR="00376116" w:rsidRDefault="00376116" w:rsidP="00376116">
      <w:pPr>
        <w:pStyle w:val="ListParagraph"/>
        <w:numPr>
          <w:ilvl w:val="0"/>
          <w:numId w:val="20"/>
        </w:numPr>
      </w:pPr>
      <w:r>
        <w:t>If a workforce for lead exposure jobs were restricted to men</w:t>
      </w:r>
      <w:r w:rsidR="00BB0310">
        <w:t>,</w:t>
      </w:r>
      <w:r>
        <w:t xml:space="preserve"> </w:t>
      </w:r>
      <w:r w:rsidRPr="0038156B">
        <w:t xml:space="preserve">then the </w:t>
      </w:r>
      <w:r>
        <w:t xml:space="preserve">range of </w:t>
      </w:r>
      <w:r w:rsidR="00314205">
        <w:t>BLRL</w:t>
      </w:r>
      <w:r>
        <w:t xml:space="preserve">s from organisations that have documentation supporting their WES is 10 – 40 </w:t>
      </w:r>
      <w:r>
        <w:rPr>
          <w:rFonts w:cs="Arial"/>
        </w:rPr>
        <w:t>µ</w:t>
      </w:r>
      <w:r>
        <w:t xml:space="preserve">g/dL. It is interesting to note that recently expert scientific/medical panels have suggested different </w:t>
      </w:r>
      <w:r w:rsidR="00314205">
        <w:t>BLRL</w:t>
      </w:r>
      <w:r>
        <w:t>s for acute and chronic exposures (</w:t>
      </w:r>
      <w:r w:rsidRPr="0038156B">
        <w:t>Kosnett et al. 2007</w:t>
      </w:r>
      <w:r>
        <w:t xml:space="preserve">, </w:t>
      </w:r>
      <w:r w:rsidRPr="0038156B">
        <w:t>Schwartz and Hu 2007</w:t>
      </w:r>
      <w:r>
        <w:t xml:space="preserve">). On face value this makes toxicological sense since </w:t>
      </w:r>
      <w:r w:rsidR="00754780" w:rsidRPr="00BB0310">
        <w:t>most</w:t>
      </w:r>
      <w:r>
        <w:t xml:space="preserve"> substances require high acute doses relative to lower doses over a long time to induce toxicity. In addition it is becoming recognised that the subtle effects associated with low PbB are principally associated with longer term exposures </w:t>
      </w:r>
      <w:r w:rsidRPr="008B145D">
        <w:t>(</w:t>
      </w:r>
      <w:r w:rsidR="00004157">
        <w:t>US EPA 2013</w:t>
      </w:r>
      <w:r w:rsidRPr="008B145D">
        <w:t>).</w:t>
      </w:r>
      <w:r>
        <w:t xml:space="preserve"> </w:t>
      </w:r>
    </w:p>
    <w:p w:rsidR="00376116" w:rsidRDefault="00376116" w:rsidP="00376116">
      <w:pPr>
        <w:pStyle w:val="ListParagraph"/>
      </w:pPr>
    </w:p>
    <w:p w:rsidR="00376116" w:rsidRDefault="00376116" w:rsidP="00376116">
      <w:pPr>
        <w:pStyle w:val="ListParagraph"/>
      </w:pPr>
      <w:r>
        <w:t xml:space="preserve">In contrast to the above, organisations that do not have documentation supporting their WES tend to have much higher </w:t>
      </w:r>
      <w:r w:rsidR="00314205">
        <w:t>BLRL</w:t>
      </w:r>
      <w:r>
        <w:t xml:space="preserve">s that from Section 5 appear to be unsustainable with current health knowledge for lead. For men and FNR the </w:t>
      </w:r>
      <w:r w:rsidR="00314205">
        <w:t>BLRL</w:t>
      </w:r>
      <w:r>
        <w:t xml:space="preserve">s range from 40 – 70 </w:t>
      </w:r>
      <w:r>
        <w:rPr>
          <w:rFonts w:cs="Arial"/>
        </w:rPr>
        <w:t>µ</w:t>
      </w:r>
      <w:r>
        <w:t xml:space="preserve">g/dL, and for </w:t>
      </w:r>
      <w:r>
        <w:lastRenderedPageBreak/>
        <w:t xml:space="preserve">other females </w:t>
      </w:r>
      <w:r w:rsidR="00004157">
        <w:t>they</w:t>
      </w:r>
      <w:r>
        <w:t xml:space="preserve"> are between 20 – 70 </w:t>
      </w:r>
      <w:r>
        <w:rPr>
          <w:rFonts w:cs="Arial"/>
        </w:rPr>
        <w:t>µ</w:t>
      </w:r>
      <w:r>
        <w:t xml:space="preserve">g/dL. It is noted that many of these </w:t>
      </w:r>
      <w:r w:rsidR="00314205">
        <w:t>BLRL</w:t>
      </w:r>
      <w:r>
        <w:t>s were initially recommended many years ago and have not been updated.</w:t>
      </w:r>
    </w:p>
    <w:p w:rsidR="009B4F14" w:rsidRDefault="009B4F14" w:rsidP="00376116">
      <w:pPr>
        <w:pStyle w:val="ListParagraph"/>
      </w:pPr>
    </w:p>
    <w:p w:rsidR="00407D5F" w:rsidRDefault="009B4F14" w:rsidP="00BB3167">
      <w:pPr>
        <w:pStyle w:val="ListParagraph"/>
      </w:pPr>
      <w:r>
        <w:t xml:space="preserve">The potential BLRLs used in this report to derive an accommodating WES are 20 </w:t>
      </w:r>
      <w:r>
        <w:rPr>
          <w:rFonts w:cs="Arial"/>
        </w:rPr>
        <w:t>µ</w:t>
      </w:r>
      <w:r>
        <w:t>g/dL and 30</w:t>
      </w:r>
      <w:r w:rsidRPr="009B4F14">
        <w:t xml:space="preserve"> µg/dL</w:t>
      </w:r>
      <w:r>
        <w:t xml:space="preserve"> (Section 4.5). </w:t>
      </w:r>
    </w:p>
    <w:p w:rsidR="00376116" w:rsidRDefault="00376116" w:rsidP="00BB3167">
      <w:pPr>
        <w:pStyle w:val="ListParagraph"/>
        <w:rPr>
          <w:b/>
        </w:rPr>
      </w:pPr>
    </w:p>
    <w:p w:rsidR="00376116" w:rsidRPr="00E73031" w:rsidRDefault="00376116" w:rsidP="00376116">
      <w:r>
        <w:rPr>
          <w:b/>
        </w:rPr>
        <w:t>Table 5.1</w:t>
      </w:r>
      <w:r w:rsidRPr="00E73031">
        <w:rPr>
          <w:b/>
        </w:rPr>
        <w:t>: Summar</w:t>
      </w:r>
      <w:r>
        <w:rPr>
          <w:b/>
        </w:rPr>
        <w:t>y of i</w:t>
      </w:r>
      <w:r w:rsidRPr="00E73031">
        <w:rPr>
          <w:b/>
        </w:rPr>
        <w:t>nternational WES for lead</w:t>
      </w:r>
      <w:r>
        <w:rPr>
          <w:b/>
        </w:rPr>
        <w:t xml:space="preserve"> </w:t>
      </w:r>
      <w:r>
        <w:t>(From tables 2.1 and 2.2).</w:t>
      </w:r>
    </w:p>
    <w:tbl>
      <w:tblPr>
        <w:tblStyle w:val="TableGrid"/>
        <w:tblW w:w="903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Table 5.1: Summary of international WES for lead (From tables 2.1 and 2.2)."/>
      </w:tblPr>
      <w:tblGrid>
        <w:gridCol w:w="1028"/>
        <w:gridCol w:w="2513"/>
        <w:gridCol w:w="5498"/>
      </w:tblGrid>
      <w:tr w:rsidR="00376116" w:rsidTr="00E21B29">
        <w:trPr>
          <w:trHeight w:val="498"/>
          <w:tblHeader/>
        </w:trPr>
        <w:tc>
          <w:tcPr>
            <w:tcW w:w="1028" w:type="dxa"/>
            <w:vMerge w:val="restart"/>
            <w:tcBorders>
              <w:right w:val="single" w:sz="12" w:space="0" w:color="auto"/>
            </w:tcBorders>
            <w:vAlign w:val="center"/>
          </w:tcPr>
          <w:p w:rsidR="00376116" w:rsidRPr="00656BC1" w:rsidRDefault="00376116" w:rsidP="00376116">
            <w:pPr>
              <w:spacing w:line="276" w:lineRule="auto"/>
              <w:jc w:val="center"/>
              <w:rPr>
                <w:b/>
              </w:rPr>
            </w:pPr>
            <w:r w:rsidRPr="00656BC1">
              <w:rPr>
                <w:b/>
              </w:rPr>
              <w:t>WES (mg/m</w:t>
            </w:r>
            <w:r w:rsidRPr="00656BC1">
              <w:rPr>
                <w:b/>
                <w:vertAlign w:val="superscript"/>
              </w:rPr>
              <w:t>3</w:t>
            </w:r>
            <w:r w:rsidRPr="00656BC1">
              <w:rPr>
                <w:b/>
              </w:rPr>
              <w:t>)</w:t>
            </w:r>
          </w:p>
        </w:tc>
        <w:tc>
          <w:tcPr>
            <w:tcW w:w="8011" w:type="dxa"/>
            <w:gridSpan w:val="2"/>
            <w:tcBorders>
              <w:left w:val="single" w:sz="12" w:space="0" w:color="auto"/>
            </w:tcBorders>
            <w:vAlign w:val="center"/>
          </w:tcPr>
          <w:p w:rsidR="00376116" w:rsidRPr="00656BC1" w:rsidRDefault="00376116" w:rsidP="00376116">
            <w:pPr>
              <w:spacing w:line="276" w:lineRule="auto"/>
              <w:jc w:val="center"/>
              <w:rPr>
                <w:b/>
              </w:rPr>
            </w:pPr>
            <w:r w:rsidRPr="00656BC1">
              <w:rPr>
                <w:b/>
              </w:rPr>
              <w:t>Organisation or jurisdiction</w:t>
            </w:r>
          </w:p>
        </w:tc>
      </w:tr>
      <w:tr w:rsidR="00376116" w:rsidTr="00E21B29">
        <w:trPr>
          <w:trHeight w:val="478"/>
          <w:tblHeader/>
        </w:trPr>
        <w:tc>
          <w:tcPr>
            <w:tcW w:w="1028" w:type="dxa"/>
            <w:vMerge/>
            <w:tcBorders>
              <w:bottom w:val="single" w:sz="12" w:space="0" w:color="auto"/>
              <w:right w:val="single" w:sz="12" w:space="0" w:color="auto"/>
            </w:tcBorders>
          </w:tcPr>
          <w:p w:rsidR="00376116" w:rsidRDefault="00376116" w:rsidP="00376116">
            <w:pPr>
              <w:spacing w:line="276" w:lineRule="auto"/>
            </w:pPr>
          </w:p>
        </w:tc>
        <w:tc>
          <w:tcPr>
            <w:tcW w:w="2513" w:type="dxa"/>
            <w:tcBorders>
              <w:left w:val="single" w:sz="12" w:space="0" w:color="auto"/>
              <w:bottom w:val="single" w:sz="12" w:space="0" w:color="auto"/>
              <w:right w:val="single" w:sz="12" w:space="0" w:color="auto"/>
            </w:tcBorders>
            <w:vAlign w:val="center"/>
          </w:tcPr>
          <w:p w:rsidR="00376116" w:rsidRPr="00656BC1" w:rsidRDefault="00376116" w:rsidP="00376116">
            <w:pPr>
              <w:spacing w:line="276" w:lineRule="auto"/>
              <w:jc w:val="center"/>
              <w:rPr>
                <w:b/>
              </w:rPr>
            </w:pPr>
            <w:r w:rsidRPr="00656BC1">
              <w:rPr>
                <w:b/>
              </w:rPr>
              <w:t>With documentation</w:t>
            </w:r>
          </w:p>
        </w:tc>
        <w:tc>
          <w:tcPr>
            <w:tcW w:w="5498" w:type="dxa"/>
            <w:tcBorders>
              <w:left w:val="single" w:sz="12" w:space="0" w:color="auto"/>
              <w:bottom w:val="single" w:sz="12" w:space="0" w:color="auto"/>
            </w:tcBorders>
            <w:vAlign w:val="center"/>
          </w:tcPr>
          <w:p w:rsidR="00376116" w:rsidRPr="00656BC1" w:rsidRDefault="00376116" w:rsidP="00376116">
            <w:pPr>
              <w:spacing w:line="276" w:lineRule="auto"/>
              <w:jc w:val="center"/>
              <w:rPr>
                <w:b/>
              </w:rPr>
            </w:pPr>
            <w:r w:rsidRPr="00656BC1">
              <w:rPr>
                <w:b/>
              </w:rPr>
              <w:t>Without documentation</w:t>
            </w:r>
          </w:p>
        </w:tc>
      </w:tr>
      <w:tr w:rsidR="00376116" w:rsidTr="00E21B29">
        <w:tc>
          <w:tcPr>
            <w:tcW w:w="1028" w:type="dxa"/>
            <w:tcBorders>
              <w:top w:val="single" w:sz="12" w:space="0" w:color="auto"/>
              <w:right w:val="single" w:sz="12" w:space="0" w:color="auto"/>
            </w:tcBorders>
            <w:shd w:val="clear" w:color="auto" w:fill="auto"/>
            <w:vAlign w:val="center"/>
          </w:tcPr>
          <w:p w:rsidR="00376116" w:rsidRPr="00361A62" w:rsidRDefault="00376116" w:rsidP="00376116">
            <w:pPr>
              <w:spacing w:line="276" w:lineRule="auto"/>
              <w:rPr>
                <w:b/>
              </w:rPr>
            </w:pPr>
            <w:r w:rsidRPr="00B13C51">
              <w:rPr>
                <w:b/>
              </w:rPr>
              <w:t>0.15</w:t>
            </w:r>
          </w:p>
        </w:tc>
        <w:tc>
          <w:tcPr>
            <w:tcW w:w="2513" w:type="dxa"/>
            <w:tcBorders>
              <w:top w:val="single" w:sz="12" w:space="0" w:color="auto"/>
              <w:left w:val="single" w:sz="12" w:space="0" w:color="auto"/>
              <w:right w:val="single" w:sz="12" w:space="0" w:color="auto"/>
            </w:tcBorders>
            <w:vAlign w:val="center"/>
          </w:tcPr>
          <w:p w:rsidR="00376116" w:rsidRDefault="00376116" w:rsidP="00376116">
            <w:pPr>
              <w:spacing w:line="276" w:lineRule="auto"/>
            </w:pPr>
            <w:r>
              <w:t>-</w:t>
            </w:r>
          </w:p>
        </w:tc>
        <w:tc>
          <w:tcPr>
            <w:tcW w:w="5498" w:type="dxa"/>
            <w:tcBorders>
              <w:top w:val="single" w:sz="12" w:space="0" w:color="auto"/>
              <w:left w:val="single" w:sz="12" w:space="0" w:color="auto"/>
            </w:tcBorders>
            <w:vAlign w:val="center"/>
          </w:tcPr>
          <w:p w:rsidR="00376116" w:rsidRDefault="00376116" w:rsidP="00376116">
            <w:pPr>
              <w:spacing w:line="276" w:lineRule="auto"/>
            </w:pPr>
            <w:r>
              <w:t>Australia (</w:t>
            </w:r>
            <w:r w:rsidR="00ED7F03">
              <w:t>Safe Work</w:t>
            </w:r>
            <w:r>
              <w:t xml:space="preserve"> 2013, NOHSC 1994); </w:t>
            </w:r>
          </w:p>
          <w:p w:rsidR="00376116" w:rsidRDefault="00376116" w:rsidP="00376116">
            <w:pPr>
              <w:spacing w:line="276" w:lineRule="auto"/>
            </w:pPr>
            <w:r>
              <w:t>EC (1998);</w:t>
            </w:r>
          </w:p>
          <w:p w:rsidR="00376116" w:rsidRDefault="00376116" w:rsidP="00376116">
            <w:pPr>
              <w:spacing w:line="276" w:lineRule="auto"/>
            </w:pPr>
            <w:r>
              <w:t xml:space="preserve">Spain (INSHT 2013); </w:t>
            </w:r>
          </w:p>
          <w:p w:rsidR="00376116" w:rsidRDefault="00376116" w:rsidP="00376116">
            <w:pPr>
              <w:spacing w:line="276" w:lineRule="auto"/>
            </w:pPr>
            <w:r>
              <w:t xml:space="preserve">Belgium (MoE&amp;W 2002); </w:t>
            </w:r>
          </w:p>
          <w:p w:rsidR="00376116" w:rsidRDefault="00376116" w:rsidP="00376116">
            <w:pPr>
              <w:spacing w:line="276" w:lineRule="auto"/>
            </w:pPr>
            <w:r>
              <w:t xml:space="preserve">Luxemburg (JOGDL 2002); </w:t>
            </w:r>
          </w:p>
          <w:p w:rsidR="00376116" w:rsidRDefault="00376116" w:rsidP="00376116">
            <w:pPr>
              <w:spacing w:line="276" w:lineRule="auto"/>
            </w:pPr>
            <w:r>
              <w:t xml:space="preserve">Ireland (H&amp;SA 2011a,b); </w:t>
            </w:r>
          </w:p>
          <w:p w:rsidR="00376116" w:rsidRDefault="00376116" w:rsidP="00376116">
            <w:pPr>
              <w:spacing w:line="276" w:lineRule="auto"/>
            </w:pPr>
            <w:r>
              <w:t xml:space="preserve">UK (SHE 2002,2012); </w:t>
            </w:r>
          </w:p>
          <w:p w:rsidR="00376116" w:rsidRDefault="00376116" w:rsidP="00376116">
            <w:pPr>
              <w:spacing w:line="276" w:lineRule="auto"/>
            </w:pPr>
            <w:r>
              <w:t>South Africa (SA DOL 2002).</w:t>
            </w:r>
          </w:p>
        </w:tc>
      </w:tr>
      <w:tr w:rsidR="00376116" w:rsidTr="00E21B29">
        <w:trPr>
          <w:trHeight w:val="574"/>
        </w:trPr>
        <w:tc>
          <w:tcPr>
            <w:tcW w:w="1028" w:type="dxa"/>
            <w:tcBorders>
              <w:right w:val="single" w:sz="12" w:space="0" w:color="auto"/>
            </w:tcBorders>
            <w:vAlign w:val="center"/>
          </w:tcPr>
          <w:p w:rsidR="00376116" w:rsidRPr="00361A62" w:rsidRDefault="00376116" w:rsidP="00376116">
            <w:pPr>
              <w:spacing w:line="276" w:lineRule="auto"/>
              <w:rPr>
                <w:b/>
              </w:rPr>
            </w:pPr>
            <w:r w:rsidRPr="00361A62">
              <w:rPr>
                <w:b/>
              </w:rPr>
              <w:t>0.12</w:t>
            </w:r>
          </w:p>
        </w:tc>
        <w:tc>
          <w:tcPr>
            <w:tcW w:w="2513" w:type="dxa"/>
            <w:tcBorders>
              <w:left w:val="single" w:sz="12" w:space="0" w:color="auto"/>
              <w:right w:val="single" w:sz="12" w:space="0" w:color="auto"/>
            </w:tcBorders>
            <w:vAlign w:val="center"/>
          </w:tcPr>
          <w:p w:rsidR="00376116" w:rsidRDefault="00376116" w:rsidP="00376116">
            <w:pPr>
              <w:spacing w:line="276" w:lineRule="auto"/>
            </w:pPr>
            <w:r>
              <w:t>-</w:t>
            </w:r>
          </w:p>
        </w:tc>
        <w:tc>
          <w:tcPr>
            <w:tcW w:w="5498" w:type="dxa"/>
            <w:tcBorders>
              <w:left w:val="single" w:sz="12" w:space="0" w:color="auto"/>
            </w:tcBorders>
            <w:vAlign w:val="center"/>
          </w:tcPr>
          <w:p w:rsidR="00376116" w:rsidRDefault="00376116" w:rsidP="00376116">
            <w:pPr>
              <w:spacing w:line="276" w:lineRule="auto"/>
            </w:pPr>
            <w:r>
              <w:t>Chile (MdS 2000).</w:t>
            </w:r>
          </w:p>
        </w:tc>
      </w:tr>
      <w:tr w:rsidR="00376116" w:rsidTr="00E21B29">
        <w:trPr>
          <w:trHeight w:val="620"/>
        </w:trPr>
        <w:tc>
          <w:tcPr>
            <w:tcW w:w="1028" w:type="dxa"/>
            <w:tcBorders>
              <w:right w:val="single" w:sz="12" w:space="0" w:color="auto"/>
            </w:tcBorders>
            <w:vAlign w:val="center"/>
          </w:tcPr>
          <w:p w:rsidR="00376116" w:rsidRPr="00361A62" w:rsidRDefault="00376116" w:rsidP="00376116">
            <w:pPr>
              <w:spacing w:line="276" w:lineRule="auto"/>
              <w:rPr>
                <w:b/>
              </w:rPr>
            </w:pPr>
            <w:r w:rsidRPr="001C0EF9">
              <w:rPr>
                <w:b/>
              </w:rPr>
              <w:t>0.1</w:t>
            </w:r>
          </w:p>
        </w:tc>
        <w:tc>
          <w:tcPr>
            <w:tcW w:w="2513" w:type="dxa"/>
            <w:tcBorders>
              <w:left w:val="single" w:sz="12" w:space="0" w:color="auto"/>
              <w:right w:val="single" w:sz="12" w:space="0" w:color="auto"/>
            </w:tcBorders>
            <w:vAlign w:val="center"/>
          </w:tcPr>
          <w:p w:rsidR="00376116" w:rsidRPr="003F5300" w:rsidRDefault="00376116" w:rsidP="00376116">
            <w:pPr>
              <w:spacing w:line="276" w:lineRule="auto"/>
              <w:rPr>
                <w:vertAlign w:val="superscript"/>
              </w:rPr>
            </w:pPr>
            <w:r>
              <w:t xml:space="preserve">EC </w:t>
            </w:r>
            <w:r w:rsidRPr="00592FFA">
              <w:t>(SCOEL, 2002)</w:t>
            </w:r>
            <w:r>
              <w:t xml:space="preserve"> </w:t>
            </w:r>
            <w:r>
              <w:rPr>
                <w:vertAlign w:val="superscript"/>
              </w:rPr>
              <w:t>a</w:t>
            </w:r>
          </w:p>
        </w:tc>
        <w:tc>
          <w:tcPr>
            <w:tcW w:w="5498" w:type="dxa"/>
            <w:tcBorders>
              <w:left w:val="single" w:sz="12" w:space="0" w:color="auto"/>
            </w:tcBorders>
            <w:vAlign w:val="center"/>
          </w:tcPr>
          <w:p w:rsidR="00376116" w:rsidRDefault="00376116" w:rsidP="00376116">
            <w:pPr>
              <w:spacing w:line="276" w:lineRule="auto"/>
            </w:pPr>
            <w:r>
              <w:t>New Zealand (DoL 2011).</w:t>
            </w:r>
          </w:p>
          <w:p w:rsidR="00376116" w:rsidRDefault="00376116" w:rsidP="00376116">
            <w:pPr>
              <w:spacing w:line="276" w:lineRule="auto"/>
            </w:pPr>
            <w:r>
              <w:t>Austria (RIS 2011).</w:t>
            </w:r>
          </w:p>
          <w:p w:rsidR="00376116" w:rsidRDefault="00376116" w:rsidP="00376116">
            <w:pPr>
              <w:spacing w:line="276" w:lineRule="auto"/>
            </w:pPr>
            <w:r>
              <w:t>France (INRS 2006, 2012).</w:t>
            </w:r>
          </w:p>
          <w:p w:rsidR="00376116" w:rsidRDefault="00376116" w:rsidP="00376116">
            <w:pPr>
              <w:spacing w:line="276" w:lineRule="auto"/>
            </w:pPr>
            <w:r>
              <w:t>Switzerland (SUVA 2013).</w:t>
            </w:r>
          </w:p>
          <w:p w:rsidR="00376116" w:rsidRDefault="00376116" w:rsidP="00376116">
            <w:pPr>
              <w:spacing w:line="276" w:lineRule="auto"/>
            </w:pPr>
            <w:r>
              <w:t>Japan (JSOH 2010).</w:t>
            </w:r>
          </w:p>
        </w:tc>
      </w:tr>
      <w:tr w:rsidR="00376116" w:rsidTr="00E21B29">
        <w:trPr>
          <w:trHeight w:val="686"/>
        </w:trPr>
        <w:tc>
          <w:tcPr>
            <w:tcW w:w="1028" w:type="dxa"/>
            <w:tcBorders>
              <w:right w:val="single" w:sz="12" w:space="0" w:color="auto"/>
            </w:tcBorders>
            <w:vAlign w:val="center"/>
          </w:tcPr>
          <w:p w:rsidR="00376116" w:rsidRPr="00361A62" w:rsidRDefault="00376116" w:rsidP="00376116">
            <w:pPr>
              <w:spacing w:line="276" w:lineRule="auto"/>
              <w:rPr>
                <w:b/>
              </w:rPr>
            </w:pPr>
            <w:r w:rsidRPr="00361A62">
              <w:rPr>
                <w:b/>
              </w:rPr>
              <w:t>0.03 – 0.06</w:t>
            </w:r>
          </w:p>
        </w:tc>
        <w:tc>
          <w:tcPr>
            <w:tcW w:w="2513" w:type="dxa"/>
            <w:tcBorders>
              <w:left w:val="single" w:sz="12" w:space="0" w:color="auto"/>
              <w:right w:val="single" w:sz="12" w:space="0" w:color="auto"/>
            </w:tcBorders>
            <w:vAlign w:val="center"/>
          </w:tcPr>
          <w:p w:rsidR="00376116" w:rsidRDefault="00376116" w:rsidP="00376116">
            <w:pPr>
              <w:spacing w:line="276" w:lineRule="auto"/>
            </w:pPr>
            <w:r>
              <w:t>WHO (1980)</w:t>
            </w:r>
          </w:p>
        </w:tc>
        <w:tc>
          <w:tcPr>
            <w:tcW w:w="5498" w:type="dxa"/>
            <w:tcBorders>
              <w:left w:val="single" w:sz="12" w:space="0" w:color="auto"/>
            </w:tcBorders>
            <w:vAlign w:val="center"/>
          </w:tcPr>
          <w:p w:rsidR="00376116" w:rsidRDefault="00376116" w:rsidP="00376116">
            <w:pPr>
              <w:spacing w:line="276" w:lineRule="auto"/>
            </w:pPr>
          </w:p>
        </w:tc>
      </w:tr>
      <w:tr w:rsidR="00376116" w:rsidTr="00E21B29">
        <w:trPr>
          <w:trHeight w:val="708"/>
        </w:trPr>
        <w:tc>
          <w:tcPr>
            <w:tcW w:w="1028" w:type="dxa"/>
            <w:tcBorders>
              <w:right w:val="single" w:sz="12" w:space="0" w:color="auto"/>
            </w:tcBorders>
            <w:vAlign w:val="center"/>
          </w:tcPr>
          <w:p w:rsidR="00376116" w:rsidRPr="00361A62" w:rsidRDefault="00376116" w:rsidP="00376116">
            <w:pPr>
              <w:spacing w:line="276" w:lineRule="auto"/>
              <w:rPr>
                <w:b/>
              </w:rPr>
            </w:pPr>
            <w:r w:rsidRPr="00B13C51">
              <w:rPr>
                <w:b/>
              </w:rPr>
              <w:t>0.05</w:t>
            </w:r>
          </w:p>
        </w:tc>
        <w:tc>
          <w:tcPr>
            <w:tcW w:w="2513" w:type="dxa"/>
            <w:tcBorders>
              <w:left w:val="single" w:sz="12" w:space="0" w:color="auto"/>
              <w:right w:val="single" w:sz="12" w:space="0" w:color="auto"/>
            </w:tcBorders>
            <w:vAlign w:val="center"/>
          </w:tcPr>
          <w:p w:rsidR="00376116" w:rsidRDefault="00376116" w:rsidP="00376116">
            <w:pPr>
              <w:spacing w:line="276" w:lineRule="auto"/>
            </w:pPr>
            <w:r>
              <w:t>ACGIH (2001a,b)</w:t>
            </w:r>
          </w:p>
        </w:tc>
        <w:tc>
          <w:tcPr>
            <w:tcW w:w="5498" w:type="dxa"/>
            <w:tcBorders>
              <w:left w:val="single" w:sz="12" w:space="0" w:color="auto"/>
            </w:tcBorders>
            <w:vAlign w:val="center"/>
          </w:tcPr>
          <w:p w:rsidR="00376116" w:rsidRDefault="00376116" w:rsidP="00376116">
            <w:pPr>
              <w:spacing w:line="276" w:lineRule="auto"/>
            </w:pPr>
            <w:r>
              <w:t xml:space="preserve">Sweden (SWEA 2005a,b; </w:t>
            </w:r>
            <w:r w:rsidRPr="003F5300">
              <w:t>NIWL 2005).</w:t>
            </w:r>
          </w:p>
          <w:p w:rsidR="00376116" w:rsidRDefault="00376116" w:rsidP="00376116">
            <w:pPr>
              <w:spacing w:line="276" w:lineRule="auto"/>
            </w:pPr>
            <w:r>
              <w:t>USA (OSHA 1991).</w:t>
            </w:r>
          </w:p>
          <w:p w:rsidR="00376116" w:rsidRDefault="00376116" w:rsidP="00376116">
            <w:pPr>
              <w:spacing w:line="276" w:lineRule="auto"/>
            </w:pPr>
            <w:r>
              <w:t>USA (NIOSH 2010, 2011; FR 1997).</w:t>
            </w:r>
          </w:p>
          <w:p w:rsidR="00376116" w:rsidRDefault="00376116" w:rsidP="00376116">
            <w:pPr>
              <w:spacing w:line="276" w:lineRule="auto"/>
            </w:pPr>
            <w:r>
              <w:t>USA (California, Cal DIR 2013).</w:t>
            </w:r>
          </w:p>
          <w:p w:rsidR="00376116" w:rsidRDefault="00376116" w:rsidP="00376116">
            <w:pPr>
              <w:spacing w:line="276" w:lineRule="auto"/>
            </w:pPr>
            <w:r>
              <w:t>Canada (Alberta, British Columbia, Ontario, Quebec).</w:t>
            </w:r>
          </w:p>
          <w:p w:rsidR="00376116" w:rsidRDefault="00376116" w:rsidP="00376116">
            <w:pPr>
              <w:spacing w:line="276" w:lineRule="auto"/>
            </w:pPr>
            <w:r>
              <w:t>Argentina (MTES 2003).</w:t>
            </w:r>
          </w:p>
          <w:p w:rsidR="00376116" w:rsidRDefault="00376116" w:rsidP="00376116">
            <w:pPr>
              <w:spacing w:line="276" w:lineRule="auto"/>
            </w:pPr>
            <w:r>
              <w:t>China.</w:t>
            </w:r>
          </w:p>
        </w:tc>
      </w:tr>
      <w:tr w:rsidR="00376116" w:rsidTr="00E21B29">
        <w:trPr>
          <w:trHeight w:val="459"/>
        </w:trPr>
        <w:tc>
          <w:tcPr>
            <w:tcW w:w="1028" w:type="dxa"/>
            <w:tcBorders>
              <w:right w:val="single" w:sz="12" w:space="0" w:color="auto"/>
            </w:tcBorders>
          </w:tcPr>
          <w:p w:rsidR="00376116" w:rsidRPr="00361A62" w:rsidRDefault="00376116" w:rsidP="00376116">
            <w:pPr>
              <w:spacing w:line="276" w:lineRule="auto"/>
              <w:rPr>
                <w:b/>
              </w:rPr>
            </w:pPr>
            <w:r w:rsidRPr="00361A62">
              <w:rPr>
                <w:b/>
              </w:rPr>
              <w:t>0.0005</w:t>
            </w:r>
          </w:p>
        </w:tc>
        <w:tc>
          <w:tcPr>
            <w:tcW w:w="2513" w:type="dxa"/>
            <w:tcBorders>
              <w:left w:val="single" w:sz="12" w:space="0" w:color="auto"/>
              <w:right w:val="single" w:sz="12" w:space="0" w:color="auto"/>
            </w:tcBorders>
          </w:tcPr>
          <w:p w:rsidR="00376116" w:rsidRPr="00DC7D8D" w:rsidRDefault="00376116" w:rsidP="00376116">
            <w:pPr>
              <w:spacing w:line="276" w:lineRule="auto"/>
              <w:rPr>
                <w:vertAlign w:val="superscript"/>
              </w:rPr>
            </w:pPr>
            <w:r>
              <w:t xml:space="preserve">California (Cal DPH 2009, 2010, 2011, 2013) </w:t>
            </w:r>
            <w:r>
              <w:rPr>
                <w:vertAlign w:val="superscript"/>
              </w:rPr>
              <w:t>b</w:t>
            </w:r>
          </w:p>
        </w:tc>
        <w:tc>
          <w:tcPr>
            <w:tcW w:w="5498" w:type="dxa"/>
            <w:tcBorders>
              <w:left w:val="single" w:sz="12" w:space="0" w:color="auto"/>
            </w:tcBorders>
          </w:tcPr>
          <w:p w:rsidR="00376116" w:rsidRDefault="00376116" w:rsidP="00376116">
            <w:pPr>
              <w:spacing w:line="276" w:lineRule="auto"/>
            </w:pPr>
          </w:p>
        </w:tc>
      </w:tr>
    </w:tbl>
    <w:p w:rsidR="00376116" w:rsidRPr="00DA1912" w:rsidRDefault="00376116" w:rsidP="00376116">
      <w:pPr>
        <w:spacing w:line="240" w:lineRule="auto"/>
        <w:rPr>
          <w:sz w:val="20"/>
          <w:szCs w:val="20"/>
          <w:highlight w:val="yellow"/>
        </w:rPr>
      </w:pPr>
      <w:r>
        <w:rPr>
          <w:sz w:val="24"/>
          <w:szCs w:val="24"/>
          <w:vertAlign w:val="superscript"/>
        </w:rPr>
        <w:t>a</w:t>
      </w:r>
      <w:r>
        <w:rPr>
          <w:sz w:val="20"/>
          <w:szCs w:val="20"/>
        </w:rPr>
        <w:t xml:space="preserve"> Recommendation</w:t>
      </w:r>
      <w:r w:rsidRPr="00DA1912">
        <w:rPr>
          <w:sz w:val="20"/>
          <w:szCs w:val="20"/>
        </w:rPr>
        <w:t>, not picked up in EC legislation</w:t>
      </w:r>
      <w:r>
        <w:rPr>
          <w:sz w:val="20"/>
          <w:szCs w:val="20"/>
        </w:rPr>
        <w:t xml:space="preserve"> but some member countries may have adopted. </w:t>
      </w:r>
      <w:r w:rsidRPr="00DA1912">
        <w:rPr>
          <w:sz w:val="20"/>
          <w:szCs w:val="20"/>
        </w:rPr>
        <w:t xml:space="preserve"> </w:t>
      </w:r>
    </w:p>
    <w:p w:rsidR="00376116" w:rsidRDefault="00376116" w:rsidP="00376116">
      <w:pPr>
        <w:spacing w:line="240" w:lineRule="auto"/>
        <w:rPr>
          <w:sz w:val="20"/>
          <w:szCs w:val="20"/>
        </w:rPr>
      </w:pPr>
      <w:r>
        <w:rPr>
          <w:sz w:val="24"/>
          <w:szCs w:val="24"/>
          <w:vertAlign w:val="superscript"/>
        </w:rPr>
        <w:t>b</w:t>
      </w:r>
      <w:r>
        <w:rPr>
          <w:sz w:val="20"/>
          <w:szCs w:val="20"/>
        </w:rPr>
        <w:t xml:space="preserve"> Proposal, not yet legislated. </w:t>
      </w:r>
    </w:p>
    <w:p w:rsidR="00376116" w:rsidRDefault="00376116" w:rsidP="00376116">
      <w:pPr>
        <w:spacing w:line="240" w:lineRule="auto"/>
        <w:ind w:left="1276" w:hanging="1276"/>
        <w:rPr>
          <w:b/>
        </w:rPr>
      </w:pPr>
    </w:p>
    <w:p w:rsidR="00376116" w:rsidRDefault="00376116" w:rsidP="00376116">
      <w:pPr>
        <w:spacing w:line="240" w:lineRule="auto"/>
        <w:ind w:left="1276" w:hanging="1276"/>
        <w:rPr>
          <w:b/>
        </w:rPr>
      </w:pPr>
    </w:p>
    <w:p w:rsidR="00376116" w:rsidRDefault="00376116">
      <w:pPr>
        <w:rPr>
          <w:b/>
        </w:rPr>
      </w:pPr>
      <w:r>
        <w:rPr>
          <w:b/>
        </w:rPr>
        <w:br w:type="page"/>
      </w:r>
    </w:p>
    <w:p w:rsidR="00376116" w:rsidRPr="00E73031" w:rsidRDefault="00376116" w:rsidP="00376116">
      <w:pPr>
        <w:spacing w:line="240" w:lineRule="auto"/>
        <w:ind w:left="1276" w:hanging="1276"/>
        <w:rPr>
          <w:b/>
        </w:rPr>
      </w:pPr>
      <w:r>
        <w:rPr>
          <w:b/>
        </w:rPr>
        <w:lastRenderedPageBreak/>
        <w:t xml:space="preserve">Table 5.2: Critical </w:t>
      </w:r>
      <w:r w:rsidR="000C3863">
        <w:rPr>
          <w:b/>
        </w:rPr>
        <w:t>PbB</w:t>
      </w:r>
      <w:r>
        <w:rPr>
          <w:b/>
        </w:rPr>
        <w:t xml:space="preserve"> concentrations for removing an individual from a lead related work activity</w:t>
      </w:r>
      <w:r w:rsidR="00004157">
        <w:rPr>
          <w:b/>
        </w:rPr>
        <w:t xml:space="preserve"> (i.e. BLRLs)</w:t>
      </w:r>
      <w:r>
        <w:rPr>
          <w:b/>
        </w:rPr>
        <w:t xml:space="preserve"> </w:t>
      </w:r>
      <w:r>
        <w:rPr>
          <w:b/>
          <w:vertAlign w:val="superscript"/>
        </w:rPr>
        <w:t>a</w:t>
      </w:r>
      <w:r>
        <w:rPr>
          <w:b/>
        </w:rPr>
        <w:t>.</w:t>
      </w:r>
    </w:p>
    <w:tbl>
      <w:tblPr>
        <w:tblStyle w:val="TableGrid"/>
        <w:tblW w:w="0" w:type="auto"/>
        <w:jc w:val="center"/>
        <w:tblLook w:val="04A0" w:firstRow="1" w:lastRow="0" w:firstColumn="1" w:lastColumn="0" w:noHBand="0" w:noVBand="1"/>
        <w:tblCaption w:val="Table 5.2: Critical PbB concentrations for removing an individual from a lead related work activity (i.e. BLRLs) "/>
      </w:tblPr>
      <w:tblGrid>
        <w:gridCol w:w="1876"/>
        <w:gridCol w:w="812"/>
        <w:gridCol w:w="1549"/>
        <w:gridCol w:w="1158"/>
        <w:gridCol w:w="1081"/>
        <w:gridCol w:w="3304"/>
      </w:tblGrid>
      <w:tr w:rsidR="00376116" w:rsidTr="006A5E40">
        <w:trPr>
          <w:trHeight w:val="445"/>
          <w:tblHeader/>
          <w:jc w:val="center"/>
        </w:trPr>
        <w:tc>
          <w:tcPr>
            <w:tcW w:w="1876" w:type="dxa"/>
            <w:vMerge w:val="restart"/>
            <w:tcBorders>
              <w:top w:val="single" w:sz="12" w:space="0" w:color="auto"/>
              <w:left w:val="single" w:sz="12" w:space="0" w:color="auto"/>
              <w:right w:val="single" w:sz="12" w:space="0" w:color="auto"/>
            </w:tcBorders>
            <w:vAlign w:val="center"/>
          </w:tcPr>
          <w:p w:rsidR="00376116" w:rsidRDefault="00376116" w:rsidP="00376116">
            <w:pPr>
              <w:jc w:val="center"/>
            </w:pPr>
          </w:p>
        </w:tc>
        <w:tc>
          <w:tcPr>
            <w:tcW w:w="4411" w:type="dxa"/>
            <w:gridSpan w:val="4"/>
            <w:tcBorders>
              <w:top w:val="single" w:sz="12" w:space="0" w:color="auto"/>
              <w:left w:val="single" w:sz="12" w:space="0" w:color="auto"/>
              <w:bottom w:val="single" w:sz="12" w:space="0" w:color="auto"/>
              <w:right w:val="single" w:sz="12" w:space="0" w:color="auto"/>
            </w:tcBorders>
            <w:vAlign w:val="center"/>
          </w:tcPr>
          <w:p w:rsidR="00376116" w:rsidRPr="00D73354" w:rsidRDefault="00376116" w:rsidP="00376116">
            <w:pPr>
              <w:jc w:val="center"/>
              <w:rPr>
                <w:b/>
              </w:rPr>
            </w:pPr>
            <w:r>
              <w:rPr>
                <w:b/>
              </w:rPr>
              <w:t xml:space="preserve">Critical </w:t>
            </w:r>
            <w:r w:rsidRPr="00D73354">
              <w:rPr>
                <w:b/>
              </w:rPr>
              <w:t>Pb</w:t>
            </w:r>
            <w:r>
              <w:rPr>
                <w:b/>
              </w:rPr>
              <w:t>B</w:t>
            </w:r>
            <w:r w:rsidRPr="00D73354">
              <w:rPr>
                <w:b/>
              </w:rPr>
              <w:t xml:space="preserve"> (</w:t>
            </w:r>
            <w:r w:rsidRPr="00D73354">
              <w:rPr>
                <w:rFonts w:cs="Arial"/>
                <w:b/>
              </w:rPr>
              <w:t>µ</w:t>
            </w:r>
            <w:r w:rsidRPr="00D73354">
              <w:rPr>
                <w:b/>
              </w:rPr>
              <w:t>g/dL)</w:t>
            </w:r>
          </w:p>
        </w:tc>
        <w:tc>
          <w:tcPr>
            <w:tcW w:w="3304" w:type="dxa"/>
            <w:vMerge w:val="restart"/>
            <w:tcBorders>
              <w:top w:val="single" w:sz="12" w:space="0" w:color="auto"/>
              <w:left w:val="single" w:sz="12" w:space="0" w:color="auto"/>
              <w:right w:val="single" w:sz="12" w:space="0" w:color="auto"/>
            </w:tcBorders>
            <w:vAlign w:val="center"/>
          </w:tcPr>
          <w:p w:rsidR="00376116" w:rsidRPr="00D73354" w:rsidRDefault="00376116" w:rsidP="00376116">
            <w:pPr>
              <w:jc w:val="center"/>
              <w:rPr>
                <w:b/>
              </w:rPr>
            </w:pPr>
            <w:r w:rsidRPr="00D73354">
              <w:rPr>
                <w:b/>
              </w:rPr>
              <w:t>Organisation or jurisdiction</w:t>
            </w:r>
          </w:p>
        </w:tc>
      </w:tr>
      <w:tr w:rsidR="00376116" w:rsidTr="006A5E40">
        <w:trPr>
          <w:tblHeader/>
          <w:jc w:val="center"/>
        </w:trPr>
        <w:tc>
          <w:tcPr>
            <w:tcW w:w="1876" w:type="dxa"/>
            <w:vMerge/>
            <w:tcBorders>
              <w:left w:val="single" w:sz="12" w:space="0" w:color="auto"/>
              <w:bottom w:val="single" w:sz="12" w:space="0" w:color="auto"/>
              <w:right w:val="single" w:sz="12" w:space="0" w:color="auto"/>
            </w:tcBorders>
            <w:vAlign w:val="center"/>
          </w:tcPr>
          <w:p w:rsidR="00376116" w:rsidRDefault="00376116" w:rsidP="00376116">
            <w:pPr>
              <w:jc w:val="center"/>
            </w:pPr>
          </w:p>
        </w:tc>
        <w:tc>
          <w:tcPr>
            <w:tcW w:w="812" w:type="dxa"/>
            <w:tcBorders>
              <w:top w:val="single" w:sz="12" w:space="0" w:color="auto"/>
              <w:left w:val="single" w:sz="12" w:space="0" w:color="auto"/>
              <w:bottom w:val="single" w:sz="12" w:space="0" w:color="auto"/>
            </w:tcBorders>
            <w:vAlign w:val="center"/>
          </w:tcPr>
          <w:p w:rsidR="00376116" w:rsidRDefault="00376116" w:rsidP="00376116">
            <w:pPr>
              <w:jc w:val="center"/>
              <w:rPr>
                <w:b/>
              </w:rPr>
            </w:pPr>
            <w:r w:rsidRPr="00D73354">
              <w:rPr>
                <w:b/>
              </w:rPr>
              <w:t>Male</w:t>
            </w:r>
          </w:p>
          <w:p w:rsidR="009B4F14" w:rsidRPr="00D73354" w:rsidRDefault="009B4F14" w:rsidP="00376116">
            <w:pPr>
              <w:jc w:val="center"/>
              <w:rPr>
                <w:b/>
              </w:rPr>
            </w:pPr>
            <w:r>
              <w:rPr>
                <w:b/>
              </w:rPr>
              <w:t>(M)</w:t>
            </w:r>
          </w:p>
        </w:tc>
        <w:tc>
          <w:tcPr>
            <w:tcW w:w="1427" w:type="dxa"/>
            <w:tcBorders>
              <w:top w:val="single" w:sz="12" w:space="0" w:color="auto"/>
              <w:bottom w:val="single" w:sz="12" w:space="0" w:color="auto"/>
            </w:tcBorders>
            <w:vAlign w:val="center"/>
          </w:tcPr>
          <w:p w:rsidR="00376116" w:rsidRDefault="00376116" w:rsidP="00376116">
            <w:pPr>
              <w:jc w:val="center"/>
              <w:rPr>
                <w:b/>
              </w:rPr>
            </w:pPr>
            <w:r w:rsidRPr="00D73354">
              <w:rPr>
                <w:b/>
              </w:rPr>
              <w:t>Female non-reproductive capacity</w:t>
            </w:r>
          </w:p>
          <w:p w:rsidR="009B4F14" w:rsidRPr="00D73354" w:rsidRDefault="009B4F14" w:rsidP="00376116">
            <w:pPr>
              <w:jc w:val="center"/>
              <w:rPr>
                <w:b/>
              </w:rPr>
            </w:pPr>
            <w:r>
              <w:rPr>
                <w:b/>
              </w:rPr>
              <w:t>(FNR)</w:t>
            </w:r>
          </w:p>
        </w:tc>
        <w:tc>
          <w:tcPr>
            <w:tcW w:w="1091" w:type="dxa"/>
            <w:tcBorders>
              <w:top w:val="single" w:sz="12" w:space="0" w:color="auto"/>
              <w:bottom w:val="single" w:sz="12" w:space="0" w:color="auto"/>
            </w:tcBorders>
            <w:vAlign w:val="center"/>
          </w:tcPr>
          <w:p w:rsidR="00376116" w:rsidRDefault="00376116" w:rsidP="00376116">
            <w:pPr>
              <w:jc w:val="center"/>
              <w:rPr>
                <w:b/>
              </w:rPr>
            </w:pPr>
            <w:r w:rsidRPr="00D73354">
              <w:rPr>
                <w:b/>
              </w:rPr>
              <w:t>Female pregnant</w:t>
            </w:r>
          </w:p>
          <w:p w:rsidR="009B4F14" w:rsidRPr="00D73354" w:rsidRDefault="009B4F14" w:rsidP="00376116">
            <w:pPr>
              <w:jc w:val="center"/>
              <w:rPr>
                <w:b/>
              </w:rPr>
            </w:pPr>
            <w:r>
              <w:rPr>
                <w:b/>
              </w:rPr>
              <w:t>(FP)</w:t>
            </w:r>
          </w:p>
        </w:tc>
        <w:tc>
          <w:tcPr>
            <w:tcW w:w="1081" w:type="dxa"/>
            <w:tcBorders>
              <w:top w:val="single" w:sz="12" w:space="0" w:color="auto"/>
              <w:bottom w:val="single" w:sz="12" w:space="0" w:color="auto"/>
              <w:right w:val="single" w:sz="12" w:space="0" w:color="auto"/>
            </w:tcBorders>
            <w:vAlign w:val="center"/>
          </w:tcPr>
          <w:p w:rsidR="00376116" w:rsidRDefault="00376116" w:rsidP="00376116">
            <w:pPr>
              <w:jc w:val="center"/>
              <w:rPr>
                <w:b/>
              </w:rPr>
            </w:pPr>
            <w:r w:rsidRPr="00D73354">
              <w:rPr>
                <w:b/>
              </w:rPr>
              <w:t>Female breast feeding</w:t>
            </w:r>
          </w:p>
          <w:p w:rsidR="009B4F14" w:rsidRPr="00D73354" w:rsidRDefault="009B4F14" w:rsidP="00376116">
            <w:pPr>
              <w:jc w:val="center"/>
              <w:rPr>
                <w:b/>
              </w:rPr>
            </w:pPr>
            <w:r>
              <w:rPr>
                <w:b/>
              </w:rPr>
              <w:t>(FB)</w:t>
            </w:r>
          </w:p>
        </w:tc>
        <w:tc>
          <w:tcPr>
            <w:tcW w:w="3304" w:type="dxa"/>
            <w:vMerge/>
            <w:tcBorders>
              <w:left w:val="single" w:sz="12" w:space="0" w:color="auto"/>
              <w:bottom w:val="single" w:sz="12" w:space="0" w:color="auto"/>
              <w:right w:val="single" w:sz="12" w:space="0" w:color="auto"/>
            </w:tcBorders>
            <w:vAlign w:val="center"/>
          </w:tcPr>
          <w:p w:rsidR="00376116" w:rsidRDefault="00376116" w:rsidP="00376116">
            <w:pPr>
              <w:jc w:val="center"/>
            </w:pPr>
          </w:p>
        </w:tc>
      </w:tr>
      <w:tr w:rsidR="009B4F14" w:rsidTr="00E21B29">
        <w:trPr>
          <w:trHeight w:val="359"/>
          <w:jc w:val="center"/>
        </w:trPr>
        <w:tc>
          <w:tcPr>
            <w:tcW w:w="1876" w:type="dxa"/>
            <w:tcBorders>
              <w:top w:val="single" w:sz="12" w:space="0" w:color="auto"/>
              <w:left w:val="single" w:sz="12" w:space="0" w:color="auto"/>
              <w:right w:val="single" w:sz="12" w:space="0" w:color="auto"/>
            </w:tcBorders>
            <w:vAlign w:val="center"/>
          </w:tcPr>
          <w:p w:rsidR="009B4F14" w:rsidRPr="009B4F14" w:rsidRDefault="009B4F14" w:rsidP="00376116">
            <w:pPr>
              <w:jc w:val="center"/>
              <w:rPr>
                <w:sz w:val="18"/>
                <w:szCs w:val="18"/>
              </w:rPr>
            </w:pPr>
            <w:r>
              <w:rPr>
                <w:sz w:val="18"/>
                <w:szCs w:val="18"/>
              </w:rPr>
              <w:t xml:space="preserve">For females of reproductive capacity (FR) the BLRL is 20 </w:t>
            </w:r>
            <w:r>
              <w:rPr>
                <w:rFonts w:cs="Arial"/>
                <w:sz w:val="18"/>
                <w:szCs w:val="18"/>
              </w:rPr>
              <w:t>µ</w:t>
            </w:r>
            <w:r>
              <w:rPr>
                <w:sz w:val="18"/>
                <w:szCs w:val="18"/>
              </w:rPr>
              <w:t>g/dL</w:t>
            </w:r>
          </w:p>
        </w:tc>
        <w:tc>
          <w:tcPr>
            <w:tcW w:w="812" w:type="dxa"/>
            <w:tcBorders>
              <w:top w:val="single" w:sz="12" w:space="0" w:color="auto"/>
              <w:left w:val="single" w:sz="12" w:space="0" w:color="auto"/>
            </w:tcBorders>
            <w:vAlign w:val="center"/>
          </w:tcPr>
          <w:p w:rsidR="009B4F14" w:rsidRDefault="009B4F14" w:rsidP="00376116">
            <w:pPr>
              <w:jc w:val="center"/>
            </w:pPr>
            <w:r>
              <w:t>50</w:t>
            </w:r>
          </w:p>
        </w:tc>
        <w:tc>
          <w:tcPr>
            <w:tcW w:w="1427" w:type="dxa"/>
            <w:tcBorders>
              <w:top w:val="single" w:sz="12" w:space="0" w:color="auto"/>
            </w:tcBorders>
            <w:vAlign w:val="center"/>
          </w:tcPr>
          <w:p w:rsidR="009B4F14" w:rsidRDefault="009B4F14" w:rsidP="00376116">
            <w:pPr>
              <w:jc w:val="center"/>
            </w:pPr>
            <w:r>
              <w:t>50</w:t>
            </w:r>
          </w:p>
        </w:tc>
        <w:tc>
          <w:tcPr>
            <w:tcW w:w="1091" w:type="dxa"/>
            <w:tcBorders>
              <w:top w:val="single" w:sz="12" w:space="0" w:color="auto"/>
            </w:tcBorders>
            <w:vAlign w:val="center"/>
          </w:tcPr>
          <w:p w:rsidR="009B4F14" w:rsidRDefault="009B4F14" w:rsidP="00376116">
            <w:pPr>
              <w:jc w:val="center"/>
            </w:pPr>
            <w:r>
              <w:t>15</w:t>
            </w:r>
          </w:p>
        </w:tc>
        <w:tc>
          <w:tcPr>
            <w:tcW w:w="1081" w:type="dxa"/>
            <w:tcBorders>
              <w:top w:val="single" w:sz="12" w:space="0" w:color="auto"/>
              <w:right w:val="single" w:sz="12" w:space="0" w:color="auto"/>
            </w:tcBorders>
            <w:vAlign w:val="center"/>
          </w:tcPr>
          <w:p w:rsidR="009B4F14" w:rsidRDefault="009B4F14" w:rsidP="00376116">
            <w:pPr>
              <w:jc w:val="center"/>
            </w:pPr>
            <w:r>
              <w:t>15</w:t>
            </w:r>
          </w:p>
        </w:tc>
        <w:tc>
          <w:tcPr>
            <w:tcW w:w="3304" w:type="dxa"/>
            <w:tcBorders>
              <w:top w:val="single" w:sz="12" w:space="0" w:color="auto"/>
              <w:left w:val="single" w:sz="12" w:space="0" w:color="auto"/>
              <w:right w:val="single" w:sz="12" w:space="0" w:color="auto"/>
            </w:tcBorders>
            <w:vAlign w:val="center"/>
          </w:tcPr>
          <w:p w:rsidR="009B4F14" w:rsidRDefault="009B4F14" w:rsidP="00376116">
            <w:pPr>
              <w:jc w:val="center"/>
            </w:pPr>
            <w:r>
              <w:t>Australia (NOHSC 1994)</w:t>
            </w:r>
          </w:p>
        </w:tc>
      </w:tr>
      <w:tr w:rsidR="00376116" w:rsidTr="00E21B29">
        <w:trPr>
          <w:trHeight w:val="359"/>
          <w:jc w:val="center"/>
        </w:trPr>
        <w:tc>
          <w:tcPr>
            <w:tcW w:w="1876" w:type="dxa"/>
            <w:tcBorders>
              <w:top w:val="single" w:sz="4" w:space="0" w:color="auto"/>
              <w:left w:val="single" w:sz="12" w:space="0" w:color="auto"/>
              <w:right w:val="single" w:sz="12" w:space="0" w:color="auto"/>
            </w:tcBorders>
            <w:vAlign w:val="center"/>
          </w:tcPr>
          <w:p w:rsidR="00376116" w:rsidRDefault="00376116" w:rsidP="00376116">
            <w:pPr>
              <w:jc w:val="center"/>
            </w:pPr>
          </w:p>
        </w:tc>
        <w:tc>
          <w:tcPr>
            <w:tcW w:w="812" w:type="dxa"/>
            <w:tcBorders>
              <w:top w:val="single" w:sz="4" w:space="0" w:color="auto"/>
              <w:left w:val="single" w:sz="12" w:space="0" w:color="auto"/>
            </w:tcBorders>
            <w:vAlign w:val="center"/>
          </w:tcPr>
          <w:p w:rsidR="00376116" w:rsidRDefault="00376116" w:rsidP="00376116">
            <w:pPr>
              <w:jc w:val="center"/>
            </w:pPr>
            <w:r>
              <w:t>40</w:t>
            </w:r>
          </w:p>
        </w:tc>
        <w:tc>
          <w:tcPr>
            <w:tcW w:w="1427" w:type="dxa"/>
            <w:tcBorders>
              <w:top w:val="single" w:sz="4" w:space="0" w:color="auto"/>
            </w:tcBorders>
            <w:vAlign w:val="center"/>
          </w:tcPr>
          <w:p w:rsidR="00376116" w:rsidRDefault="00376116" w:rsidP="00376116">
            <w:pPr>
              <w:jc w:val="center"/>
            </w:pPr>
            <w:r>
              <w:t>30</w:t>
            </w:r>
          </w:p>
        </w:tc>
        <w:tc>
          <w:tcPr>
            <w:tcW w:w="1091" w:type="dxa"/>
            <w:tcBorders>
              <w:top w:val="single" w:sz="4" w:space="0" w:color="auto"/>
            </w:tcBorders>
            <w:vAlign w:val="center"/>
          </w:tcPr>
          <w:p w:rsidR="00376116" w:rsidRDefault="00376116" w:rsidP="00376116">
            <w:pPr>
              <w:jc w:val="center"/>
            </w:pPr>
            <w:r>
              <w:t>30</w:t>
            </w:r>
          </w:p>
        </w:tc>
        <w:tc>
          <w:tcPr>
            <w:tcW w:w="1081" w:type="dxa"/>
            <w:tcBorders>
              <w:top w:val="single" w:sz="4" w:space="0" w:color="auto"/>
              <w:right w:val="single" w:sz="12" w:space="0" w:color="auto"/>
            </w:tcBorders>
            <w:vAlign w:val="center"/>
          </w:tcPr>
          <w:p w:rsidR="00376116" w:rsidRDefault="00376116" w:rsidP="00376116">
            <w:pPr>
              <w:jc w:val="center"/>
            </w:pPr>
            <w:r>
              <w:t>30</w:t>
            </w:r>
          </w:p>
        </w:tc>
        <w:tc>
          <w:tcPr>
            <w:tcW w:w="3304" w:type="dxa"/>
            <w:tcBorders>
              <w:top w:val="single" w:sz="4" w:space="0" w:color="auto"/>
              <w:left w:val="single" w:sz="12" w:space="0" w:color="auto"/>
              <w:right w:val="single" w:sz="12" w:space="0" w:color="auto"/>
            </w:tcBorders>
            <w:vAlign w:val="center"/>
          </w:tcPr>
          <w:p w:rsidR="00376116" w:rsidRDefault="00376116" w:rsidP="00376116">
            <w:pPr>
              <w:jc w:val="center"/>
            </w:pPr>
            <w:r>
              <w:t>WHO (1980)</w:t>
            </w:r>
          </w:p>
        </w:tc>
      </w:tr>
      <w:tr w:rsidR="00376116" w:rsidTr="00E21B29">
        <w:trPr>
          <w:trHeight w:val="407"/>
          <w:jc w:val="center"/>
        </w:trPr>
        <w:tc>
          <w:tcPr>
            <w:tcW w:w="1876" w:type="dxa"/>
            <w:tcBorders>
              <w:left w:val="single" w:sz="12" w:space="0" w:color="auto"/>
              <w:bottom w:val="single" w:sz="12" w:space="0" w:color="auto"/>
              <w:right w:val="single" w:sz="12" w:space="0" w:color="auto"/>
            </w:tcBorders>
            <w:vAlign w:val="center"/>
          </w:tcPr>
          <w:p w:rsidR="00376116" w:rsidRDefault="00376116" w:rsidP="00376116">
            <w:pPr>
              <w:jc w:val="center"/>
            </w:pPr>
          </w:p>
        </w:tc>
        <w:tc>
          <w:tcPr>
            <w:tcW w:w="812" w:type="dxa"/>
            <w:tcBorders>
              <w:left w:val="single" w:sz="12" w:space="0" w:color="auto"/>
              <w:bottom w:val="single" w:sz="12" w:space="0" w:color="auto"/>
            </w:tcBorders>
            <w:vAlign w:val="center"/>
          </w:tcPr>
          <w:p w:rsidR="00376116" w:rsidRDefault="00376116" w:rsidP="00376116">
            <w:pPr>
              <w:jc w:val="center"/>
            </w:pPr>
            <w:r>
              <w:t>30</w:t>
            </w:r>
          </w:p>
        </w:tc>
        <w:tc>
          <w:tcPr>
            <w:tcW w:w="1427" w:type="dxa"/>
            <w:tcBorders>
              <w:bottom w:val="single" w:sz="12" w:space="0" w:color="auto"/>
            </w:tcBorders>
            <w:vAlign w:val="center"/>
          </w:tcPr>
          <w:p w:rsidR="00376116" w:rsidRDefault="00376116" w:rsidP="00376116">
            <w:pPr>
              <w:jc w:val="center"/>
            </w:pPr>
            <w:r>
              <w:t>30</w:t>
            </w:r>
          </w:p>
        </w:tc>
        <w:tc>
          <w:tcPr>
            <w:tcW w:w="1091" w:type="dxa"/>
            <w:tcBorders>
              <w:bottom w:val="single" w:sz="12" w:space="0" w:color="auto"/>
            </w:tcBorders>
            <w:vAlign w:val="center"/>
          </w:tcPr>
          <w:p w:rsidR="00376116" w:rsidRDefault="00376116" w:rsidP="00376116">
            <w:pPr>
              <w:jc w:val="center"/>
            </w:pPr>
            <w:r>
              <w:t>30</w:t>
            </w:r>
          </w:p>
        </w:tc>
        <w:tc>
          <w:tcPr>
            <w:tcW w:w="1081" w:type="dxa"/>
            <w:tcBorders>
              <w:bottom w:val="single" w:sz="12" w:space="0" w:color="auto"/>
              <w:right w:val="single" w:sz="12" w:space="0" w:color="auto"/>
            </w:tcBorders>
            <w:vAlign w:val="center"/>
          </w:tcPr>
          <w:p w:rsidR="00376116" w:rsidRDefault="00376116" w:rsidP="00376116">
            <w:pPr>
              <w:jc w:val="center"/>
            </w:pPr>
            <w:r>
              <w:t>30</w:t>
            </w:r>
          </w:p>
        </w:tc>
        <w:tc>
          <w:tcPr>
            <w:tcW w:w="3304" w:type="dxa"/>
            <w:tcBorders>
              <w:left w:val="single" w:sz="12" w:space="0" w:color="auto"/>
              <w:bottom w:val="single" w:sz="12" w:space="0" w:color="auto"/>
              <w:right w:val="single" w:sz="12" w:space="0" w:color="auto"/>
            </w:tcBorders>
            <w:vAlign w:val="center"/>
          </w:tcPr>
          <w:p w:rsidR="00376116" w:rsidRDefault="00376116" w:rsidP="00376116">
            <w:pPr>
              <w:jc w:val="center"/>
            </w:pPr>
            <w:r>
              <w:t>EC (SCOEL 2002)</w:t>
            </w:r>
          </w:p>
        </w:tc>
      </w:tr>
      <w:tr w:rsidR="00376116" w:rsidTr="00E21B29">
        <w:trPr>
          <w:trHeight w:val="407"/>
          <w:jc w:val="center"/>
        </w:trPr>
        <w:tc>
          <w:tcPr>
            <w:tcW w:w="1876" w:type="dxa"/>
            <w:tcBorders>
              <w:top w:val="single" w:sz="12" w:space="0" w:color="auto"/>
              <w:left w:val="single" w:sz="12" w:space="0" w:color="auto"/>
              <w:right w:val="single" w:sz="12" w:space="0" w:color="auto"/>
            </w:tcBorders>
            <w:vAlign w:val="center"/>
          </w:tcPr>
          <w:p w:rsidR="00376116" w:rsidRPr="00351AFE" w:rsidRDefault="00376116" w:rsidP="00376116">
            <w:pPr>
              <w:jc w:val="center"/>
              <w:rPr>
                <w:sz w:val="18"/>
                <w:szCs w:val="18"/>
              </w:rPr>
            </w:pPr>
            <w:r w:rsidRPr="00351AFE">
              <w:rPr>
                <w:sz w:val="18"/>
                <w:szCs w:val="18"/>
              </w:rPr>
              <w:t>Single measurement</w:t>
            </w:r>
          </w:p>
        </w:tc>
        <w:tc>
          <w:tcPr>
            <w:tcW w:w="812" w:type="dxa"/>
            <w:tcBorders>
              <w:top w:val="single" w:sz="12" w:space="0" w:color="auto"/>
              <w:left w:val="single" w:sz="12" w:space="0" w:color="auto"/>
            </w:tcBorders>
            <w:vAlign w:val="center"/>
          </w:tcPr>
          <w:p w:rsidR="00376116" w:rsidRPr="00D73354" w:rsidRDefault="00376116" w:rsidP="00376116">
            <w:pPr>
              <w:jc w:val="center"/>
              <w:rPr>
                <w:vertAlign w:val="superscript"/>
              </w:rPr>
            </w:pPr>
            <w:r>
              <w:t>30</w:t>
            </w:r>
            <w:r>
              <w:rPr>
                <w:vertAlign w:val="superscript"/>
              </w:rPr>
              <w:t>b</w:t>
            </w:r>
          </w:p>
        </w:tc>
        <w:tc>
          <w:tcPr>
            <w:tcW w:w="1427" w:type="dxa"/>
            <w:tcBorders>
              <w:top w:val="single" w:sz="12" w:space="0" w:color="auto"/>
            </w:tcBorders>
            <w:vAlign w:val="center"/>
          </w:tcPr>
          <w:p w:rsidR="00376116" w:rsidRPr="00D73354" w:rsidRDefault="00376116" w:rsidP="00376116">
            <w:pPr>
              <w:jc w:val="center"/>
              <w:rPr>
                <w:vertAlign w:val="superscript"/>
              </w:rPr>
            </w:pPr>
            <w:r>
              <w:t>30</w:t>
            </w:r>
            <w:r>
              <w:rPr>
                <w:vertAlign w:val="superscript"/>
              </w:rPr>
              <w:t>b</w:t>
            </w:r>
          </w:p>
        </w:tc>
        <w:tc>
          <w:tcPr>
            <w:tcW w:w="1091" w:type="dxa"/>
            <w:tcBorders>
              <w:top w:val="single" w:sz="12" w:space="0" w:color="auto"/>
            </w:tcBorders>
            <w:vAlign w:val="center"/>
          </w:tcPr>
          <w:p w:rsidR="00376116" w:rsidRPr="00D73354" w:rsidRDefault="00376116" w:rsidP="00376116">
            <w:pPr>
              <w:jc w:val="center"/>
              <w:rPr>
                <w:vertAlign w:val="superscript"/>
              </w:rPr>
            </w:pPr>
            <w:r>
              <w:t>30</w:t>
            </w:r>
            <w:r>
              <w:rPr>
                <w:vertAlign w:val="superscript"/>
              </w:rPr>
              <w:t>b</w:t>
            </w:r>
          </w:p>
        </w:tc>
        <w:tc>
          <w:tcPr>
            <w:tcW w:w="1081" w:type="dxa"/>
            <w:tcBorders>
              <w:top w:val="single" w:sz="12" w:space="0" w:color="auto"/>
              <w:right w:val="single" w:sz="12" w:space="0" w:color="auto"/>
            </w:tcBorders>
            <w:vAlign w:val="center"/>
          </w:tcPr>
          <w:p w:rsidR="00376116" w:rsidRPr="00D73354" w:rsidRDefault="00376116" w:rsidP="00376116">
            <w:pPr>
              <w:jc w:val="center"/>
              <w:rPr>
                <w:vertAlign w:val="superscript"/>
              </w:rPr>
            </w:pPr>
            <w:r>
              <w:t>30</w:t>
            </w:r>
            <w:r>
              <w:rPr>
                <w:vertAlign w:val="superscript"/>
              </w:rPr>
              <w:t>b</w:t>
            </w:r>
          </w:p>
        </w:tc>
        <w:tc>
          <w:tcPr>
            <w:tcW w:w="3304" w:type="dxa"/>
            <w:vMerge w:val="restart"/>
            <w:tcBorders>
              <w:top w:val="single" w:sz="12" w:space="0" w:color="auto"/>
              <w:left w:val="single" w:sz="12" w:space="0" w:color="auto"/>
              <w:right w:val="single" w:sz="12" w:space="0" w:color="auto"/>
            </w:tcBorders>
            <w:vAlign w:val="center"/>
          </w:tcPr>
          <w:p w:rsidR="00376116" w:rsidRDefault="00376116" w:rsidP="00376116">
            <w:pPr>
              <w:jc w:val="center"/>
            </w:pPr>
            <w:r w:rsidRPr="00351AFE">
              <w:t>Cal</w:t>
            </w:r>
            <w:r>
              <w:t>ifornia (Cal</w:t>
            </w:r>
            <w:r w:rsidRPr="00351AFE">
              <w:t xml:space="preserve"> DPH 2009, 2010, 2011, 2013</w:t>
            </w:r>
            <w:r>
              <w:t>)</w:t>
            </w:r>
          </w:p>
        </w:tc>
      </w:tr>
      <w:tr w:rsidR="00376116" w:rsidTr="00E21B29">
        <w:trPr>
          <w:trHeight w:val="407"/>
          <w:jc w:val="center"/>
        </w:trPr>
        <w:tc>
          <w:tcPr>
            <w:tcW w:w="1876" w:type="dxa"/>
            <w:tcBorders>
              <w:left w:val="single" w:sz="12" w:space="0" w:color="auto"/>
              <w:bottom w:val="single" w:sz="12" w:space="0" w:color="auto"/>
              <w:right w:val="single" w:sz="12" w:space="0" w:color="auto"/>
            </w:tcBorders>
            <w:vAlign w:val="center"/>
          </w:tcPr>
          <w:p w:rsidR="00376116" w:rsidRPr="00351AFE" w:rsidRDefault="00376116" w:rsidP="00376116">
            <w:pPr>
              <w:jc w:val="center"/>
              <w:rPr>
                <w:sz w:val="18"/>
                <w:szCs w:val="18"/>
              </w:rPr>
            </w:pPr>
            <w:r>
              <w:rPr>
                <w:sz w:val="18"/>
                <w:szCs w:val="18"/>
              </w:rPr>
              <w:t>2 consecutive measurements</w:t>
            </w:r>
          </w:p>
        </w:tc>
        <w:tc>
          <w:tcPr>
            <w:tcW w:w="812" w:type="dxa"/>
            <w:tcBorders>
              <w:left w:val="single" w:sz="12" w:space="0" w:color="auto"/>
              <w:bottom w:val="single" w:sz="12" w:space="0" w:color="auto"/>
            </w:tcBorders>
            <w:vAlign w:val="center"/>
          </w:tcPr>
          <w:p w:rsidR="00376116" w:rsidRPr="00D73354" w:rsidRDefault="00376116" w:rsidP="00376116">
            <w:pPr>
              <w:jc w:val="center"/>
              <w:rPr>
                <w:vertAlign w:val="superscript"/>
              </w:rPr>
            </w:pPr>
            <w:r>
              <w:t>20</w:t>
            </w:r>
            <w:r>
              <w:rPr>
                <w:vertAlign w:val="superscript"/>
              </w:rPr>
              <w:t>b</w:t>
            </w:r>
          </w:p>
        </w:tc>
        <w:tc>
          <w:tcPr>
            <w:tcW w:w="1427" w:type="dxa"/>
            <w:tcBorders>
              <w:bottom w:val="single" w:sz="12" w:space="0" w:color="auto"/>
            </w:tcBorders>
            <w:vAlign w:val="center"/>
          </w:tcPr>
          <w:p w:rsidR="00376116" w:rsidRPr="00D73354" w:rsidRDefault="00376116" w:rsidP="00376116">
            <w:pPr>
              <w:jc w:val="center"/>
              <w:rPr>
                <w:vertAlign w:val="superscript"/>
              </w:rPr>
            </w:pPr>
            <w:r>
              <w:t>20</w:t>
            </w:r>
            <w:r>
              <w:rPr>
                <w:vertAlign w:val="superscript"/>
              </w:rPr>
              <w:t>b</w:t>
            </w:r>
          </w:p>
        </w:tc>
        <w:tc>
          <w:tcPr>
            <w:tcW w:w="1091" w:type="dxa"/>
            <w:tcBorders>
              <w:bottom w:val="single" w:sz="12" w:space="0" w:color="auto"/>
            </w:tcBorders>
            <w:vAlign w:val="center"/>
          </w:tcPr>
          <w:p w:rsidR="00376116" w:rsidRPr="00D73354" w:rsidRDefault="00376116" w:rsidP="00376116">
            <w:pPr>
              <w:jc w:val="center"/>
              <w:rPr>
                <w:vertAlign w:val="superscript"/>
              </w:rPr>
            </w:pPr>
            <w:r>
              <w:t>20</w:t>
            </w:r>
            <w:r>
              <w:rPr>
                <w:vertAlign w:val="superscript"/>
              </w:rPr>
              <w:t>b</w:t>
            </w:r>
          </w:p>
        </w:tc>
        <w:tc>
          <w:tcPr>
            <w:tcW w:w="1081" w:type="dxa"/>
            <w:tcBorders>
              <w:bottom w:val="single" w:sz="12" w:space="0" w:color="auto"/>
              <w:right w:val="single" w:sz="12" w:space="0" w:color="auto"/>
            </w:tcBorders>
            <w:vAlign w:val="center"/>
          </w:tcPr>
          <w:p w:rsidR="00376116" w:rsidRPr="00D73354" w:rsidRDefault="00376116" w:rsidP="00376116">
            <w:pPr>
              <w:jc w:val="center"/>
              <w:rPr>
                <w:vertAlign w:val="superscript"/>
              </w:rPr>
            </w:pPr>
            <w:r>
              <w:t>20</w:t>
            </w:r>
            <w:r>
              <w:rPr>
                <w:vertAlign w:val="superscript"/>
              </w:rPr>
              <w:t>b</w:t>
            </w:r>
          </w:p>
        </w:tc>
        <w:tc>
          <w:tcPr>
            <w:tcW w:w="3304" w:type="dxa"/>
            <w:vMerge/>
            <w:tcBorders>
              <w:left w:val="single" w:sz="12" w:space="0" w:color="auto"/>
              <w:bottom w:val="single" w:sz="12" w:space="0" w:color="auto"/>
              <w:right w:val="single" w:sz="12" w:space="0" w:color="auto"/>
            </w:tcBorders>
            <w:vAlign w:val="center"/>
          </w:tcPr>
          <w:p w:rsidR="00376116" w:rsidRDefault="00376116" w:rsidP="00376116">
            <w:pPr>
              <w:jc w:val="center"/>
            </w:pPr>
          </w:p>
        </w:tc>
      </w:tr>
      <w:tr w:rsidR="00376116" w:rsidTr="00E21B29">
        <w:trPr>
          <w:trHeight w:val="427"/>
          <w:jc w:val="center"/>
        </w:trPr>
        <w:tc>
          <w:tcPr>
            <w:tcW w:w="1876" w:type="dxa"/>
            <w:tcBorders>
              <w:top w:val="single" w:sz="12" w:space="0" w:color="auto"/>
              <w:left w:val="single" w:sz="12" w:space="0" w:color="auto"/>
              <w:right w:val="single" w:sz="12" w:space="0" w:color="auto"/>
            </w:tcBorders>
            <w:vAlign w:val="center"/>
          </w:tcPr>
          <w:p w:rsidR="00376116" w:rsidRDefault="00376116" w:rsidP="00376116">
            <w:pPr>
              <w:jc w:val="center"/>
            </w:pPr>
          </w:p>
        </w:tc>
        <w:tc>
          <w:tcPr>
            <w:tcW w:w="812" w:type="dxa"/>
            <w:tcBorders>
              <w:top w:val="single" w:sz="12" w:space="0" w:color="auto"/>
              <w:left w:val="single" w:sz="12" w:space="0" w:color="auto"/>
            </w:tcBorders>
            <w:vAlign w:val="center"/>
          </w:tcPr>
          <w:p w:rsidR="00376116" w:rsidRDefault="00376116" w:rsidP="00376116">
            <w:pPr>
              <w:jc w:val="center"/>
            </w:pPr>
            <w:r>
              <w:t>30</w:t>
            </w:r>
          </w:p>
        </w:tc>
        <w:tc>
          <w:tcPr>
            <w:tcW w:w="1427" w:type="dxa"/>
            <w:tcBorders>
              <w:top w:val="single" w:sz="12" w:space="0" w:color="auto"/>
            </w:tcBorders>
            <w:vAlign w:val="center"/>
          </w:tcPr>
          <w:p w:rsidR="00376116" w:rsidRDefault="00376116" w:rsidP="00376116">
            <w:pPr>
              <w:jc w:val="center"/>
            </w:pPr>
            <w:r>
              <w:t>30</w:t>
            </w:r>
          </w:p>
        </w:tc>
        <w:tc>
          <w:tcPr>
            <w:tcW w:w="1091" w:type="dxa"/>
            <w:tcBorders>
              <w:top w:val="single" w:sz="12" w:space="0" w:color="auto"/>
            </w:tcBorders>
            <w:vAlign w:val="center"/>
          </w:tcPr>
          <w:p w:rsidR="00376116" w:rsidRPr="00C81C23" w:rsidRDefault="00376116" w:rsidP="00376116">
            <w:pPr>
              <w:jc w:val="center"/>
              <w:rPr>
                <w:vertAlign w:val="superscript"/>
              </w:rPr>
            </w:pPr>
            <w:r>
              <w:t>10</w:t>
            </w:r>
            <w:r>
              <w:rPr>
                <w:vertAlign w:val="superscript"/>
              </w:rPr>
              <w:t>c</w:t>
            </w:r>
          </w:p>
        </w:tc>
        <w:tc>
          <w:tcPr>
            <w:tcW w:w="1081" w:type="dxa"/>
            <w:tcBorders>
              <w:top w:val="single" w:sz="12" w:space="0" w:color="auto"/>
              <w:right w:val="single" w:sz="12" w:space="0" w:color="auto"/>
            </w:tcBorders>
            <w:vAlign w:val="center"/>
          </w:tcPr>
          <w:p w:rsidR="00376116" w:rsidRPr="00C81C23" w:rsidRDefault="00376116" w:rsidP="00376116">
            <w:pPr>
              <w:jc w:val="center"/>
              <w:rPr>
                <w:vertAlign w:val="superscript"/>
              </w:rPr>
            </w:pPr>
            <w:r>
              <w:t>10</w:t>
            </w:r>
            <w:r>
              <w:rPr>
                <w:vertAlign w:val="superscript"/>
              </w:rPr>
              <w:t>c</w:t>
            </w:r>
          </w:p>
        </w:tc>
        <w:tc>
          <w:tcPr>
            <w:tcW w:w="3304" w:type="dxa"/>
            <w:tcBorders>
              <w:top w:val="single" w:sz="12" w:space="0" w:color="auto"/>
              <w:left w:val="single" w:sz="12" w:space="0" w:color="auto"/>
              <w:right w:val="single" w:sz="12" w:space="0" w:color="auto"/>
            </w:tcBorders>
            <w:vAlign w:val="center"/>
          </w:tcPr>
          <w:p w:rsidR="00376116" w:rsidRDefault="00376116" w:rsidP="00376116">
            <w:pPr>
              <w:jc w:val="center"/>
            </w:pPr>
            <w:r>
              <w:t>ACGIH (2001a,b)</w:t>
            </w:r>
          </w:p>
        </w:tc>
      </w:tr>
      <w:tr w:rsidR="00376116" w:rsidTr="00E21B29">
        <w:trPr>
          <w:trHeight w:val="405"/>
          <w:jc w:val="center"/>
        </w:trPr>
        <w:tc>
          <w:tcPr>
            <w:tcW w:w="1876" w:type="dxa"/>
            <w:tcBorders>
              <w:left w:val="single" w:sz="12" w:space="0" w:color="auto"/>
              <w:bottom w:val="single" w:sz="12" w:space="0" w:color="auto"/>
              <w:right w:val="single" w:sz="12" w:space="0" w:color="auto"/>
            </w:tcBorders>
            <w:vAlign w:val="center"/>
          </w:tcPr>
          <w:p w:rsidR="00376116" w:rsidRDefault="00376116" w:rsidP="00376116">
            <w:pPr>
              <w:jc w:val="center"/>
            </w:pPr>
          </w:p>
        </w:tc>
        <w:tc>
          <w:tcPr>
            <w:tcW w:w="812" w:type="dxa"/>
            <w:tcBorders>
              <w:left w:val="single" w:sz="12" w:space="0" w:color="auto"/>
              <w:bottom w:val="single" w:sz="12" w:space="0" w:color="auto"/>
            </w:tcBorders>
            <w:vAlign w:val="center"/>
          </w:tcPr>
          <w:p w:rsidR="00376116" w:rsidRDefault="00376116" w:rsidP="00376116">
            <w:pPr>
              <w:jc w:val="center"/>
            </w:pPr>
            <w:r>
              <w:t>30</w:t>
            </w:r>
          </w:p>
        </w:tc>
        <w:tc>
          <w:tcPr>
            <w:tcW w:w="1427" w:type="dxa"/>
            <w:tcBorders>
              <w:bottom w:val="single" w:sz="12" w:space="0" w:color="auto"/>
            </w:tcBorders>
            <w:vAlign w:val="center"/>
          </w:tcPr>
          <w:p w:rsidR="00376116" w:rsidRDefault="00376116" w:rsidP="00376116">
            <w:pPr>
              <w:jc w:val="center"/>
            </w:pPr>
            <w:r>
              <w:t>30</w:t>
            </w:r>
          </w:p>
        </w:tc>
        <w:tc>
          <w:tcPr>
            <w:tcW w:w="1091" w:type="dxa"/>
            <w:tcBorders>
              <w:bottom w:val="single" w:sz="12" w:space="0" w:color="auto"/>
            </w:tcBorders>
            <w:vAlign w:val="center"/>
          </w:tcPr>
          <w:p w:rsidR="00376116" w:rsidRDefault="00376116" w:rsidP="00376116">
            <w:pPr>
              <w:jc w:val="center"/>
            </w:pPr>
            <w:r>
              <w:t>7</w:t>
            </w:r>
          </w:p>
        </w:tc>
        <w:tc>
          <w:tcPr>
            <w:tcW w:w="1081" w:type="dxa"/>
            <w:tcBorders>
              <w:bottom w:val="single" w:sz="12" w:space="0" w:color="auto"/>
              <w:right w:val="single" w:sz="12" w:space="0" w:color="auto"/>
            </w:tcBorders>
            <w:vAlign w:val="center"/>
          </w:tcPr>
          <w:p w:rsidR="00376116" w:rsidRDefault="00376116" w:rsidP="00376116">
            <w:pPr>
              <w:jc w:val="center"/>
            </w:pPr>
            <w:r>
              <w:t>7</w:t>
            </w:r>
          </w:p>
        </w:tc>
        <w:tc>
          <w:tcPr>
            <w:tcW w:w="3304" w:type="dxa"/>
            <w:tcBorders>
              <w:left w:val="single" w:sz="12" w:space="0" w:color="auto"/>
              <w:bottom w:val="single" w:sz="12" w:space="0" w:color="auto"/>
              <w:right w:val="single" w:sz="12" w:space="0" w:color="auto"/>
            </w:tcBorders>
            <w:vAlign w:val="center"/>
          </w:tcPr>
          <w:p w:rsidR="00376116" w:rsidRDefault="00376116" w:rsidP="00376116">
            <w:pPr>
              <w:jc w:val="center"/>
            </w:pPr>
            <w:r>
              <w:t>Germany (DFG 2005,2013a,b)</w:t>
            </w:r>
          </w:p>
        </w:tc>
      </w:tr>
      <w:tr w:rsidR="00376116" w:rsidTr="00E21B29">
        <w:trPr>
          <w:trHeight w:val="405"/>
          <w:jc w:val="center"/>
        </w:trPr>
        <w:tc>
          <w:tcPr>
            <w:tcW w:w="1876" w:type="dxa"/>
            <w:tcBorders>
              <w:left w:val="single" w:sz="12" w:space="0" w:color="auto"/>
              <w:bottom w:val="single" w:sz="4" w:space="0" w:color="auto"/>
              <w:right w:val="single" w:sz="12" w:space="0" w:color="auto"/>
            </w:tcBorders>
            <w:vAlign w:val="center"/>
          </w:tcPr>
          <w:p w:rsidR="00376116" w:rsidRPr="007F0914" w:rsidRDefault="00376116" w:rsidP="00376116">
            <w:pPr>
              <w:jc w:val="center"/>
              <w:rPr>
                <w:sz w:val="18"/>
                <w:szCs w:val="18"/>
              </w:rPr>
            </w:pPr>
            <w:r w:rsidRPr="007F0914">
              <w:rPr>
                <w:sz w:val="18"/>
                <w:szCs w:val="18"/>
              </w:rPr>
              <w:t>Definite removal</w:t>
            </w:r>
          </w:p>
        </w:tc>
        <w:tc>
          <w:tcPr>
            <w:tcW w:w="812" w:type="dxa"/>
            <w:tcBorders>
              <w:left w:val="single" w:sz="12" w:space="0" w:color="auto"/>
              <w:bottom w:val="single" w:sz="4" w:space="0" w:color="auto"/>
            </w:tcBorders>
            <w:vAlign w:val="center"/>
          </w:tcPr>
          <w:p w:rsidR="00376116" w:rsidRDefault="00376116" w:rsidP="00376116">
            <w:pPr>
              <w:jc w:val="center"/>
            </w:pPr>
            <w:r>
              <w:t>30</w:t>
            </w:r>
          </w:p>
        </w:tc>
        <w:tc>
          <w:tcPr>
            <w:tcW w:w="1427" w:type="dxa"/>
            <w:tcBorders>
              <w:bottom w:val="single" w:sz="4" w:space="0" w:color="auto"/>
            </w:tcBorders>
            <w:vAlign w:val="center"/>
          </w:tcPr>
          <w:p w:rsidR="00376116" w:rsidRDefault="00376116" w:rsidP="00376116">
            <w:pPr>
              <w:jc w:val="center"/>
            </w:pPr>
            <w:r>
              <w:t>30</w:t>
            </w:r>
          </w:p>
        </w:tc>
        <w:tc>
          <w:tcPr>
            <w:tcW w:w="1091" w:type="dxa"/>
            <w:tcBorders>
              <w:bottom w:val="single" w:sz="4" w:space="0" w:color="auto"/>
            </w:tcBorders>
            <w:vAlign w:val="center"/>
          </w:tcPr>
          <w:p w:rsidR="00376116" w:rsidRDefault="00376116" w:rsidP="00376116">
            <w:pPr>
              <w:jc w:val="center"/>
            </w:pPr>
            <w:r>
              <w:t>30</w:t>
            </w:r>
          </w:p>
        </w:tc>
        <w:tc>
          <w:tcPr>
            <w:tcW w:w="1081" w:type="dxa"/>
            <w:tcBorders>
              <w:bottom w:val="single" w:sz="4" w:space="0" w:color="auto"/>
              <w:right w:val="single" w:sz="12" w:space="0" w:color="auto"/>
            </w:tcBorders>
            <w:vAlign w:val="center"/>
          </w:tcPr>
          <w:p w:rsidR="00376116" w:rsidRDefault="00376116" w:rsidP="00376116">
            <w:pPr>
              <w:jc w:val="center"/>
            </w:pPr>
            <w:r>
              <w:t>30</w:t>
            </w:r>
          </w:p>
        </w:tc>
        <w:tc>
          <w:tcPr>
            <w:tcW w:w="3304" w:type="dxa"/>
            <w:vMerge w:val="restart"/>
            <w:tcBorders>
              <w:left w:val="single" w:sz="12" w:space="0" w:color="auto"/>
              <w:right w:val="single" w:sz="12" w:space="0" w:color="auto"/>
            </w:tcBorders>
            <w:vAlign w:val="center"/>
          </w:tcPr>
          <w:p w:rsidR="00376116" w:rsidRDefault="00376116" w:rsidP="00376116">
            <w:pPr>
              <w:jc w:val="center"/>
            </w:pPr>
            <w:r>
              <w:t>AOEC (2007)</w:t>
            </w:r>
          </w:p>
        </w:tc>
      </w:tr>
      <w:tr w:rsidR="00376116" w:rsidTr="00E21B29">
        <w:trPr>
          <w:trHeight w:val="405"/>
          <w:jc w:val="center"/>
        </w:trPr>
        <w:tc>
          <w:tcPr>
            <w:tcW w:w="1876" w:type="dxa"/>
            <w:tcBorders>
              <w:left w:val="single" w:sz="12" w:space="0" w:color="auto"/>
              <w:bottom w:val="single" w:sz="12" w:space="0" w:color="auto"/>
              <w:right w:val="single" w:sz="12" w:space="0" w:color="auto"/>
            </w:tcBorders>
            <w:vAlign w:val="center"/>
          </w:tcPr>
          <w:p w:rsidR="00376116" w:rsidRPr="007F0914" w:rsidRDefault="00376116" w:rsidP="00376116">
            <w:pPr>
              <w:jc w:val="center"/>
              <w:rPr>
                <w:sz w:val="18"/>
                <w:szCs w:val="18"/>
              </w:rPr>
            </w:pPr>
            <w:r w:rsidRPr="007F0914">
              <w:rPr>
                <w:sz w:val="18"/>
                <w:szCs w:val="18"/>
              </w:rPr>
              <w:t>Discretionary</w:t>
            </w:r>
          </w:p>
        </w:tc>
        <w:tc>
          <w:tcPr>
            <w:tcW w:w="812" w:type="dxa"/>
            <w:tcBorders>
              <w:left w:val="single" w:sz="12" w:space="0" w:color="auto"/>
              <w:bottom w:val="single" w:sz="12" w:space="0" w:color="auto"/>
            </w:tcBorders>
            <w:vAlign w:val="center"/>
          </w:tcPr>
          <w:p w:rsidR="00376116" w:rsidRDefault="00376116" w:rsidP="00376116">
            <w:pPr>
              <w:jc w:val="center"/>
            </w:pPr>
            <w:r>
              <w:t>&gt;10</w:t>
            </w:r>
          </w:p>
        </w:tc>
        <w:tc>
          <w:tcPr>
            <w:tcW w:w="1427" w:type="dxa"/>
            <w:tcBorders>
              <w:bottom w:val="single" w:sz="12" w:space="0" w:color="auto"/>
            </w:tcBorders>
            <w:vAlign w:val="center"/>
          </w:tcPr>
          <w:p w:rsidR="00376116" w:rsidRDefault="00376116" w:rsidP="00376116">
            <w:pPr>
              <w:jc w:val="center"/>
            </w:pPr>
            <w:r>
              <w:t>&gt;10</w:t>
            </w:r>
          </w:p>
        </w:tc>
        <w:tc>
          <w:tcPr>
            <w:tcW w:w="1091" w:type="dxa"/>
            <w:tcBorders>
              <w:bottom w:val="single" w:sz="12" w:space="0" w:color="auto"/>
            </w:tcBorders>
            <w:vAlign w:val="center"/>
          </w:tcPr>
          <w:p w:rsidR="00376116" w:rsidRDefault="00376116" w:rsidP="00376116">
            <w:pPr>
              <w:jc w:val="center"/>
            </w:pPr>
            <w:r>
              <w:t>&gt;10</w:t>
            </w:r>
          </w:p>
        </w:tc>
        <w:tc>
          <w:tcPr>
            <w:tcW w:w="1081" w:type="dxa"/>
            <w:tcBorders>
              <w:bottom w:val="single" w:sz="12" w:space="0" w:color="auto"/>
              <w:right w:val="single" w:sz="12" w:space="0" w:color="auto"/>
            </w:tcBorders>
            <w:vAlign w:val="center"/>
          </w:tcPr>
          <w:p w:rsidR="00376116" w:rsidRDefault="00376116" w:rsidP="00376116">
            <w:pPr>
              <w:jc w:val="center"/>
            </w:pPr>
            <w:r>
              <w:t>&gt;10</w:t>
            </w:r>
          </w:p>
        </w:tc>
        <w:tc>
          <w:tcPr>
            <w:tcW w:w="3304" w:type="dxa"/>
            <w:vMerge/>
            <w:tcBorders>
              <w:left w:val="single" w:sz="12" w:space="0" w:color="auto"/>
              <w:bottom w:val="single" w:sz="12" w:space="0" w:color="auto"/>
              <w:right w:val="single" w:sz="12" w:space="0" w:color="auto"/>
            </w:tcBorders>
            <w:vAlign w:val="center"/>
          </w:tcPr>
          <w:p w:rsidR="00376116" w:rsidRDefault="00376116" w:rsidP="00376116">
            <w:pPr>
              <w:jc w:val="center"/>
            </w:pPr>
          </w:p>
        </w:tc>
      </w:tr>
      <w:tr w:rsidR="00376116" w:rsidTr="00E21B29">
        <w:trPr>
          <w:trHeight w:val="424"/>
          <w:jc w:val="center"/>
        </w:trPr>
        <w:tc>
          <w:tcPr>
            <w:tcW w:w="1876" w:type="dxa"/>
            <w:tcBorders>
              <w:top w:val="single" w:sz="12" w:space="0" w:color="auto"/>
              <w:left w:val="single" w:sz="12" w:space="0" w:color="auto"/>
              <w:right w:val="single" w:sz="12" w:space="0" w:color="auto"/>
            </w:tcBorders>
            <w:vAlign w:val="center"/>
          </w:tcPr>
          <w:p w:rsidR="00376116" w:rsidRPr="00D73354" w:rsidRDefault="00376116" w:rsidP="00376116">
            <w:pPr>
              <w:jc w:val="center"/>
              <w:rPr>
                <w:vertAlign w:val="superscript"/>
              </w:rPr>
            </w:pPr>
            <w:r w:rsidRPr="00984ACF">
              <w:rPr>
                <w:sz w:val="18"/>
                <w:szCs w:val="18"/>
              </w:rPr>
              <w:t>Acute &amp; sub-chronic</w:t>
            </w:r>
            <w:r>
              <w:rPr>
                <w:vertAlign w:val="superscript"/>
              </w:rPr>
              <w:t>d</w:t>
            </w:r>
          </w:p>
        </w:tc>
        <w:tc>
          <w:tcPr>
            <w:tcW w:w="812" w:type="dxa"/>
            <w:tcBorders>
              <w:top w:val="single" w:sz="12" w:space="0" w:color="auto"/>
              <w:left w:val="single" w:sz="12" w:space="0" w:color="auto"/>
            </w:tcBorders>
            <w:vAlign w:val="center"/>
          </w:tcPr>
          <w:p w:rsidR="00376116" w:rsidRDefault="00376116" w:rsidP="00376116">
            <w:pPr>
              <w:jc w:val="center"/>
            </w:pPr>
            <w:r>
              <w:t>&lt;20</w:t>
            </w:r>
          </w:p>
        </w:tc>
        <w:tc>
          <w:tcPr>
            <w:tcW w:w="1427" w:type="dxa"/>
            <w:tcBorders>
              <w:top w:val="single" w:sz="12" w:space="0" w:color="auto"/>
            </w:tcBorders>
            <w:vAlign w:val="center"/>
          </w:tcPr>
          <w:p w:rsidR="00376116" w:rsidRDefault="00376116" w:rsidP="00376116">
            <w:pPr>
              <w:jc w:val="center"/>
            </w:pPr>
            <w:r>
              <w:t>&lt;20</w:t>
            </w:r>
          </w:p>
        </w:tc>
        <w:tc>
          <w:tcPr>
            <w:tcW w:w="1091" w:type="dxa"/>
            <w:tcBorders>
              <w:top w:val="single" w:sz="12" w:space="0" w:color="auto"/>
            </w:tcBorders>
            <w:vAlign w:val="center"/>
          </w:tcPr>
          <w:p w:rsidR="00376116" w:rsidRDefault="00376116" w:rsidP="00376116">
            <w:pPr>
              <w:jc w:val="center"/>
            </w:pPr>
            <w:r>
              <w:t>&lt;20</w:t>
            </w:r>
          </w:p>
        </w:tc>
        <w:tc>
          <w:tcPr>
            <w:tcW w:w="1081" w:type="dxa"/>
            <w:tcBorders>
              <w:top w:val="single" w:sz="12" w:space="0" w:color="auto"/>
              <w:right w:val="single" w:sz="12" w:space="0" w:color="auto"/>
            </w:tcBorders>
            <w:vAlign w:val="center"/>
          </w:tcPr>
          <w:p w:rsidR="00376116" w:rsidRDefault="00376116" w:rsidP="00376116">
            <w:pPr>
              <w:jc w:val="center"/>
            </w:pPr>
            <w:r>
              <w:t>&lt;20</w:t>
            </w:r>
          </w:p>
        </w:tc>
        <w:tc>
          <w:tcPr>
            <w:tcW w:w="3304" w:type="dxa"/>
            <w:vMerge w:val="restart"/>
            <w:tcBorders>
              <w:top w:val="single" w:sz="12" w:space="0" w:color="auto"/>
              <w:left w:val="single" w:sz="12" w:space="0" w:color="auto"/>
              <w:right w:val="single" w:sz="12" w:space="0" w:color="auto"/>
            </w:tcBorders>
            <w:vAlign w:val="center"/>
          </w:tcPr>
          <w:p w:rsidR="00376116" w:rsidRPr="00984ACF" w:rsidRDefault="00376116" w:rsidP="009B4F14">
            <w:pPr>
              <w:jc w:val="center"/>
              <w:rPr>
                <w:sz w:val="20"/>
                <w:szCs w:val="20"/>
              </w:rPr>
            </w:pPr>
            <w:r w:rsidRPr="00984ACF">
              <w:rPr>
                <w:sz w:val="20"/>
                <w:szCs w:val="20"/>
              </w:rPr>
              <w:t xml:space="preserve">Panel for development </w:t>
            </w:r>
            <w:r w:rsidR="009B4F14">
              <w:rPr>
                <w:sz w:val="20"/>
                <w:szCs w:val="20"/>
              </w:rPr>
              <w:t>of l</w:t>
            </w:r>
            <w:r w:rsidR="00637B4C">
              <w:rPr>
                <w:sz w:val="20"/>
                <w:szCs w:val="20"/>
              </w:rPr>
              <w:t>ead</w:t>
            </w:r>
            <w:r w:rsidR="009B4F14">
              <w:rPr>
                <w:sz w:val="20"/>
                <w:szCs w:val="20"/>
              </w:rPr>
              <w:t xml:space="preserve"> </w:t>
            </w:r>
            <w:r w:rsidRPr="00984ACF">
              <w:rPr>
                <w:sz w:val="20"/>
                <w:szCs w:val="20"/>
              </w:rPr>
              <w:t>management guidelines (Schwartz and Hu 2007)</w:t>
            </w:r>
          </w:p>
        </w:tc>
      </w:tr>
      <w:tr w:rsidR="00376116" w:rsidTr="00E21B29">
        <w:trPr>
          <w:trHeight w:val="403"/>
          <w:jc w:val="center"/>
        </w:trPr>
        <w:tc>
          <w:tcPr>
            <w:tcW w:w="1876" w:type="dxa"/>
            <w:tcBorders>
              <w:left w:val="single" w:sz="12" w:space="0" w:color="auto"/>
              <w:bottom w:val="single" w:sz="12" w:space="0" w:color="auto"/>
              <w:right w:val="single" w:sz="12" w:space="0" w:color="auto"/>
            </w:tcBorders>
            <w:vAlign w:val="center"/>
          </w:tcPr>
          <w:p w:rsidR="00376116" w:rsidRPr="00D73354" w:rsidRDefault="00376116" w:rsidP="00376116">
            <w:pPr>
              <w:jc w:val="center"/>
              <w:rPr>
                <w:vertAlign w:val="superscript"/>
              </w:rPr>
            </w:pPr>
            <w:r>
              <w:rPr>
                <w:sz w:val="18"/>
                <w:szCs w:val="18"/>
              </w:rPr>
              <w:t>Chronic</w:t>
            </w:r>
            <w:r>
              <w:rPr>
                <w:vertAlign w:val="superscript"/>
              </w:rPr>
              <w:t>d</w:t>
            </w:r>
          </w:p>
        </w:tc>
        <w:tc>
          <w:tcPr>
            <w:tcW w:w="812" w:type="dxa"/>
            <w:tcBorders>
              <w:left w:val="single" w:sz="12" w:space="0" w:color="auto"/>
              <w:bottom w:val="single" w:sz="12" w:space="0" w:color="auto"/>
            </w:tcBorders>
            <w:vAlign w:val="center"/>
          </w:tcPr>
          <w:p w:rsidR="00376116" w:rsidRDefault="00376116" w:rsidP="00376116">
            <w:pPr>
              <w:jc w:val="center"/>
            </w:pPr>
            <w:r>
              <w:t>10</w:t>
            </w:r>
          </w:p>
        </w:tc>
        <w:tc>
          <w:tcPr>
            <w:tcW w:w="1427" w:type="dxa"/>
            <w:tcBorders>
              <w:bottom w:val="single" w:sz="12" w:space="0" w:color="auto"/>
            </w:tcBorders>
            <w:vAlign w:val="center"/>
          </w:tcPr>
          <w:p w:rsidR="00376116" w:rsidRDefault="00376116" w:rsidP="00376116">
            <w:pPr>
              <w:jc w:val="center"/>
            </w:pPr>
            <w:r>
              <w:t>10</w:t>
            </w:r>
          </w:p>
        </w:tc>
        <w:tc>
          <w:tcPr>
            <w:tcW w:w="1091" w:type="dxa"/>
            <w:tcBorders>
              <w:bottom w:val="single" w:sz="12" w:space="0" w:color="auto"/>
            </w:tcBorders>
            <w:vAlign w:val="center"/>
          </w:tcPr>
          <w:p w:rsidR="00376116" w:rsidRDefault="00376116" w:rsidP="00376116">
            <w:pPr>
              <w:jc w:val="center"/>
            </w:pPr>
            <w:r>
              <w:t>10</w:t>
            </w:r>
          </w:p>
        </w:tc>
        <w:tc>
          <w:tcPr>
            <w:tcW w:w="1081" w:type="dxa"/>
            <w:tcBorders>
              <w:bottom w:val="single" w:sz="12" w:space="0" w:color="auto"/>
              <w:right w:val="single" w:sz="12" w:space="0" w:color="auto"/>
            </w:tcBorders>
            <w:vAlign w:val="center"/>
          </w:tcPr>
          <w:p w:rsidR="00376116" w:rsidRDefault="00376116" w:rsidP="00376116">
            <w:pPr>
              <w:jc w:val="center"/>
            </w:pPr>
            <w:r>
              <w:t>10</w:t>
            </w:r>
          </w:p>
        </w:tc>
        <w:tc>
          <w:tcPr>
            <w:tcW w:w="3304" w:type="dxa"/>
            <w:vMerge/>
            <w:tcBorders>
              <w:left w:val="single" w:sz="12" w:space="0" w:color="auto"/>
              <w:bottom w:val="single" w:sz="12" w:space="0" w:color="auto"/>
              <w:right w:val="single" w:sz="12" w:space="0" w:color="auto"/>
            </w:tcBorders>
            <w:vAlign w:val="center"/>
          </w:tcPr>
          <w:p w:rsidR="00376116" w:rsidRDefault="00376116" w:rsidP="00376116">
            <w:pPr>
              <w:jc w:val="center"/>
            </w:pPr>
          </w:p>
        </w:tc>
      </w:tr>
      <w:tr w:rsidR="00376116" w:rsidTr="00E21B29">
        <w:trPr>
          <w:trHeight w:val="333"/>
          <w:jc w:val="center"/>
        </w:trPr>
        <w:tc>
          <w:tcPr>
            <w:tcW w:w="1876" w:type="dxa"/>
            <w:tcBorders>
              <w:top w:val="single" w:sz="12" w:space="0" w:color="auto"/>
              <w:left w:val="single" w:sz="12" w:space="0" w:color="auto"/>
              <w:right w:val="single" w:sz="12" w:space="0" w:color="auto"/>
            </w:tcBorders>
            <w:vAlign w:val="center"/>
          </w:tcPr>
          <w:p w:rsidR="00376116" w:rsidRPr="00351AFE" w:rsidRDefault="00376116" w:rsidP="00376116">
            <w:pPr>
              <w:jc w:val="center"/>
              <w:rPr>
                <w:sz w:val="18"/>
                <w:szCs w:val="18"/>
              </w:rPr>
            </w:pPr>
            <w:r w:rsidRPr="00351AFE">
              <w:rPr>
                <w:sz w:val="18"/>
                <w:szCs w:val="18"/>
              </w:rPr>
              <w:t>Acute</w:t>
            </w:r>
          </w:p>
        </w:tc>
        <w:tc>
          <w:tcPr>
            <w:tcW w:w="812" w:type="dxa"/>
            <w:tcBorders>
              <w:top w:val="single" w:sz="12" w:space="0" w:color="auto"/>
              <w:left w:val="single" w:sz="12" w:space="0" w:color="auto"/>
            </w:tcBorders>
            <w:vAlign w:val="center"/>
          </w:tcPr>
          <w:p w:rsidR="00376116" w:rsidRDefault="00376116" w:rsidP="00376116">
            <w:pPr>
              <w:jc w:val="center"/>
            </w:pPr>
            <w:r>
              <w:t>30</w:t>
            </w:r>
          </w:p>
        </w:tc>
        <w:tc>
          <w:tcPr>
            <w:tcW w:w="1427" w:type="dxa"/>
            <w:tcBorders>
              <w:top w:val="single" w:sz="12" w:space="0" w:color="auto"/>
            </w:tcBorders>
            <w:vAlign w:val="center"/>
          </w:tcPr>
          <w:p w:rsidR="00376116" w:rsidRDefault="00376116" w:rsidP="00376116">
            <w:pPr>
              <w:jc w:val="center"/>
            </w:pPr>
            <w:r>
              <w:t>20</w:t>
            </w:r>
          </w:p>
        </w:tc>
        <w:tc>
          <w:tcPr>
            <w:tcW w:w="1091" w:type="dxa"/>
            <w:vMerge w:val="restart"/>
            <w:tcBorders>
              <w:top w:val="single" w:sz="12" w:space="0" w:color="auto"/>
            </w:tcBorders>
            <w:vAlign w:val="center"/>
          </w:tcPr>
          <w:p w:rsidR="00376116" w:rsidRDefault="00376116" w:rsidP="00376116">
            <w:pPr>
              <w:jc w:val="center"/>
            </w:pPr>
            <w:r>
              <w:t>5</w:t>
            </w:r>
          </w:p>
        </w:tc>
        <w:tc>
          <w:tcPr>
            <w:tcW w:w="1081" w:type="dxa"/>
            <w:vMerge w:val="restart"/>
            <w:tcBorders>
              <w:top w:val="single" w:sz="12" w:space="0" w:color="auto"/>
              <w:right w:val="single" w:sz="12" w:space="0" w:color="auto"/>
            </w:tcBorders>
            <w:vAlign w:val="center"/>
          </w:tcPr>
          <w:p w:rsidR="00376116" w:rsidRDefault="00376116" w:rsidP="00376116">
            <w:pPr>
              <w:jc w:val="center"/>
            </w:pPr>
            <w:r>
              <w:t>5</w:t>
            </w:r>
          </w:p>
        </w:tc>
        <w:tc>
          <w:tcPr>
            <w:tcW w:w="3304" w:type="dxa"/>
            <w:vMerge w:val="restart"/>
            <w:tcBorders>
              <w:top w:val="single" w:sz="12" w:space="0" w:color="auto"/>
              <w:left w:val="single" w:sz="12" w:space="0" w:color="auto"/>
              <w:right w:val="single" w:sz="12" w:space="0" w:color="auto"/>
            </w:tcBorders>
            <w:vAlign w:val="center"/>
          </w:tcPr>
          <w:p w:rsidR="00376116" w:rsidRPr="00351AFE" w:rsidRDefault="00376116" w:rsidP="00376116">
            <w:pPr>
              <w:jc w:val="center"/>
              <w:rPr>
                <w:sz w:val="20"/>
                <w:szCs w:val="20"/>
              </w:rPr>
            </w:pPr>
            <w:r>
              <w:rPr>
                <w:sz w:val="20"/>
                <w:szCs w:val="20"/>
              </w:rPr>
              <w:t>Recommendations from scientific committee (industry, university, government) (Kosnett et al. 2007)</w:t>
            </w:r>
          </w:p>
        </w:tc>
      </w:tr>
      <w:tr w:rsidR="00376116" w:rsidTr="00E21B29">
        <w:trPr>
          <w:jc w:val="center"/>
        </w:trPr>
        <w:tc>
          <w:tcPr>
            <w:tcW w:w="1876" w:type="dxa"/>
            <w:tcBorders>
              <w:left w:val="single" w:sz="12" w:space="0" w:color="auto"/>
              <w:bottom w:val="single" w:sz="12" w:space="0" w:color="auto"/>
              <w:right w:val="single" w:sz="12" w:space="0" w:color="auto"/>
            </w:tcBorders>
            <w:vAlign w:val="center"/>
          </w:tcPr>
          <w:p w:rsidR="00376116" w:rsidRPr="00351AFE" w:rsidRDefault="00376116" w:rsidP="00376116">
            <w:pPr>
              <w:jc w:val="center"/>
              <w:rPr>
                <w:sz w:val="18"/>
                <w:szCs w:val="18"/>
              </w:rPr>
            </w:pPr>
            <w:r>
              <w:rPr>
                <w:sz w:val="18"/>
                <w:szCs w:val="18"/>
              </w:rPr>
              <w:t>Chronic</w:t>
            </w:r>
          </w:p>
        </w:tc>
        <w:tc>
          <w:tcPr>
            <w:tcW w:w="812" w:type="dxa"/>
            <w:tcBorders>
              <w:left w:val="single" w:sz="12" w:space="0" w:color="auto"/>
              <w:bottom w:val="single" w:sz="12" w:space="0" w:color="auto"/>
            </w:tcBorders>
            <w:vAlign w:val="center"/>
          </w:tcPr>
          <w:p w:rsidR="00376116" w:rsidRDefault="00376116" w:rsidP="00376116">
            <w:pPr>
              <w:jc w:val="center"/>
            </w:pPr>
            <w:r>
              <w:t>10</w:t>
            </w:r>
          </w:p>
        </w:tc>
        <w:tc>
          <w:tcPr>
            <w:tcW w:w="1427" w:type="dxa"/>
            <w:tcBorders>
              <w:bottom w:val="single" w:sz="12" w:space="0" w:color="auto"/>
            </w:tcBorders>
            <w:vAlign w:val="center"/>
          </w:tcPr>
          <w:p w:rsidR="00376116" w:rsidRDefault="00376116" w:rsidP="00376116">
            <w:pPr>
              <w:jc w:val="center"/>
            </w:pPr>
            <w:r>
              <w:t>10</w:t>
            </w:r>
          </w:p>
        </w:tc>
        <w:tc>
          <w:tcPr>
            <w:tcW w:w="1091" w:type="dxa"/>
            <w:vMerge/>
            <w:tcBorders>
              <w:bottom w:val="single" w:sz="12" w:space="0" w:color="auto"/>
            </w:tcBorders>
            <w:vAlign w:val="center"/>
          </w:tcPr>
          <w:p w:rsidR="00376116" w:rsidRDefault="00376116" w:rsidP="00376116">
            <w:pPr>
              <w:jc w:val="center"/>
            </w:pPr>
          </w:p>
        </w:tc>
        <w:tc>
          <w:tcPr>
            <w:tcW w:w="1081" w:type="dxa"/>
            <w:vMerge/>
            <w:tcBorders>
              <w:bottom w:val="single" w:sz="12" w:space="0" w:color="auto"/>
              <w:right w:val="single" w:sz="12" w:space="0" w:color="auto"/>
            </w:tcBorders>
            <w:vAlign w:val="center"/>
          </w:tcPr>
          <w:p w:rsidR="00376116" w:rsidRDefault="00376116" w:rsidP="00376116">
            <w:pPr>
              <w:jc w:val="center"/>
            </w:pPr>
          </w:p>
        </w:tc>
        <w:tc>
          <w:tcPr>
            <w:tcW w:w="3304" w:type="dxa"/>
            <w:vMerge/>
            <w:tcBorders>
              <w:left w:val="single" w:sz="12" w:space="0" w:color="auto"/>
              <w:bottom w:val="single" w:sz="12" w:space="0" w:color="auto"/>
              <w:right w:val="single" w:sz="12" w:space="0" w:color="auto"/>
            </w:tcBorders>
            <w:vAlign w:val="center"/>
          </w:tcPr>
          <w:p w:rsidR="00376116" w:rsidRDefault="00376116" w:rsidP="00376116">
            <w:pPr>
              <w:jc w:val="center"/>
            </w:pPr>
          </w:p>
        </w:tc>
      </w:tr>
    </w:tbl>
    <w:p w:rsidR="00376116" w:rsidRDefault="00376116" w:rsidP="00376116">
      <w:pPr>
        <w:spacing w:line="240" w:lineRule="auto"/>
        <w:ind w:left="142" w:hanging="142"/>
        <w:rPr>
          <w:sz w:val="24"/>
          <w:szCs w:val="24"/>
        </w:rPr>
      </w:pPr>
      <w:r>
        <w:rPr>
          <w:sz w:val="24"/>
          <w:szCs w:val="24"/>
          <w:vertAlign w:val="superscript"/>
        </w:rPr>
        <w:t>a</w:t>
      </w:r>
      <w:r>
        <w:rPr>
          <w:sz w:val="24"/>
          <w:szCs w:val="24"/>
        </w:rPr>
        <w:t xml:space="preserve"> </w:t>
      </w:r>
      <w:r>
        <w:rPr>
          <w:sz w:val="20"/>
          <w:szCs w:val="20"/>
        </w:rPr>
        <w:t>The data in this table is compiled from Table 2.1 (i.e. from organisations that have provided documentation supporting the WES</w:t>
      </w:r>
      <w:r w:rsidR="001F2345">
        <w:rPr>
          <w:sz w:val="20"/>
          <w:szCs w:val="20"/>
        </w:rPr>
        <w:t xml:space="preserve"> and BLRL</w:t>
      </w:r>
      <w:r>
        <w:rPr>
          <w:sz w:val="20"/>
          <w:szCs w:val="20"/>
        </w:rPr>
        <w:t xml:space="preserve">). The </w:t>
      </w:r>
      <w:r w:rsidR="00314205">
        <w:rPr>
          <w:sz w:val="20"/>
          <w:szCs w:val="20"/>
        </w:rPr>
        <w:t>BLRL</w:t>
      </w:r>
      <w:r>
        <w:rPr>
          <w:sz w:val="20"/>
          <w:szCs w:val="20"/>
        </w:rPr>
        <w:t>s in the above table are generally lower than those suggested by organisations that have not provided documentation for the WES</w:t>
      </w:r>
      <w:r w:rsidR="001F2345">
        <w:rPr>
          <w:sz w:val="20"/>
          <w:szCs w:val="20"/>
        </w:rPr>
        <w:t xml:space="preserve"> and BLRL</w:t>
      </w:r>
      <w:r>
        <w:rPr>
          <w:sz w:val="20"/>
          <w:szCs w:val="20"/>
        </w:rPr>
        <w:t xml:space="preserve"> (Table 2.2).</w:t>
      </w:r>
    </w:p>
    <w:p w:rsidR="00376116" w:rsidRPr="00722D75" w:rsidRDefault="00376116" w:rsidP="00376116">
      <w:pPr>
        <w:spacing w:line="240" w:lineRule="auto"/>
        <w:ind w:left="142" w:hanging="142"/>
        <w:rPr>
          <w:sz w:val="20"/>
          <w:szCs w:val="20"/>
        </w:rPr>
      </w:pPr>
      <w:r>
        <w:rPr>
          <w:sz w:val="24"/>
          <w:szCs w:val="24"/>
          <w:vertAlign w:val="superscript"/>
        </w:rPr>
        <w:t xml:space="preserve">b </w:t>
      </w:r>
      <w:r>
        <w:rPr>
          <w:sz w:val="20"/>
          <w:szCs w:val="20"/>
        </w:rPr>
        <w:t>These are proposals and not yet in regulation in California. It appears that these PbB’s are not related to the proposed WES of 0.0005 mg/m</w:t>
      </w:r>
      <w:r>
        <w:rPr>
          <w:sz w:val="20"/>
          <w:szCs w:val="20"/>
          <w:vertAlign w:val="superscript"/>
        </w:rPr>
        <w:t>3</w:t>
      </w:r>
      <w:r>
        <w:rPr>
          <w:sz w:val="20"/>
          <w:szCs w:val="20"/>
        </w:rPr>
        <w:t xml:space="preserve">. This air concentration was determined from modelling air concentrations to prevent chronic PbB levels of 5 – 10 </w:t>
      </w:r>
      <w:r>
        <w:rPr>
          <w:rFonts w:cs="Arial"/>
          <w:sz w:val="20"/>
          <w:szCs w:val="20"/>
        </w:rPr>
        <w:t>µ</w:t>
      </w:r>
      <w:r>
        <w:rPr>
          <w:sz w:val="20"/>
          <w:szCs w:val="20"/>
        </w:rPr>
        <w:t xml:space="preserve">g/dL as per the recommendations of Kosnett et al. (2007). </w:t>
      </w:r>
    </w:p>
    <w:p w:rsidR="00376116" w:rsidRDefault="00376116" w:rsidP="00376116">
      <w:pPr>
        <w:spacing w:line="240" w:lineRule="auto"/>
        <w:rPr>
          <w:sz w:val="20"/>
          <w:szCs w:val="20"/>
        </w:rPr>
      </w:pPr>
      <w:r>
        <w:rPr>
          <w:sz w:val="24"/>
          <w:szCs w:val="24"/>
          <w:vertAlign w:val="superscript"/>
        </w:rPr>
        <w:t>c</w:t>
      </w:r>
      <w:r>
        <w:rPr>
          <w:sz w:val="24"/>
          <w:szCs w:val="24"/>
        </w:rPr>
        <w:t xml:space="preserve"> </w:t>
      </w:r>
      <w:r>
        <w:rPr>
          <w:sz w:val="20"/>
          <w:szCs w:val="20"/>
        </w:rPr>
        <w:t>Tacitly implied from discussion in documentation.</w:t>
      </w:r>
    </w:p>
    <w:p w:rsidR="00376116" w:rsidRDefault="00376116" w:rsidP="00376116">
      <w:pPr>
        <w:spacing w:line="240" w:lineRule="auto"/>
        <w:rPr>
          <w:sz w:val="20"/>
          <w:szCs w:val="20"/>
        </w:rPr>
      </w:pPr>
      <w:r>
        <w:rPr>
          <w:sz w:val="24"/>
          <w:szCs w:val="24"/>
          <w:vertAlign w:val="superscript"/>
        </w:rPr>
        <w:t>d</w:t>
      </w:r>
      <w:r>
        <w:rPr>
          <w:sz w:val="20"/>
          <w:szCs w:val="20"/>
        </w:rPr>
        <w:t xml:space="preserve"> Acute and sub-chronic is for exposure 10 – 20 yrs; chronic is for 20 – 40 year exposure.</w:t>
      </w:r>
    </w:p>
    <w:p w:rsidR="00376116" w:rsidRDefault="00376116" w:rsidP="00376116">
      <w:pPr>
        <w:spacing w:line="240" w:lineRule="auto"/>
        <w:rPr>
          <w:sz w:val="20"/>
          <w:szCs w:val="20"/>
        </w:rPr>
      </w:pPr>
    </w:p>
    <w:p w:rsidR="00376116" w:rsidRDefault="00376116" w:rsidP="00376116">
      <w:pPr>
        <w:spacing w:line="240" w:lineRule="auto"/>
        <w:rPr>
          <w:sz w:val="20"/>
          <w:szCs w:val="20"/>
        </w:rPr>
      </w:pPr>
    </w:p>
    <w:p w:rsidR="00376116" w:rsidRDefault="00376116" w:rsidP="00376116">
      <w:pPr>
        <w:pStyle w:val="Heading2"/>
        <w:rPr>
          <w:szCs w:val="24"/>
        </w:rPr>
      </w:pPr>
      <w:bookmarkStart w:id="36" w:name="_Toc391288244"/>
      <w:r>
        <w:rPr>
          <w:szCs w:val="24"/>
        </w:rPr>
        <w:t>5</w:t>
      </w:r>
      <w:r w:rsidRPr="00B13C51">
        <w:rPr>
          <w:szCs w:val="24"/>
        </w:rPr>
        <w:t xml:space="preserve">.3 Background </w:t>
      </w:r>
      <w:r w:rsidR="000C3863">
        <w:rPr>
          <w:szCs w:val="24"/>
        </w:rPr>
        <w:t>PbB</w:t>
      </w:r>
      <w:bookmarkEnd w:id="36"/>
    </w:p>
    <w:p w:rsidR="00376116" w:rsidRPr="001F5AE3" w:rsidRDefault="00376116" w:rsidP="00376116">
      <w:pPr>
        <w:pStyle w:val="Heading3"/>
      </w:pPr>
      <w:bookmarkStart w:id="37" w:name="_Toc391288245"/>
      <w:r>
        <w:t>5</w:t>
      </w:r>
      <w:r w:rsidRPr="001F5AE3">
        <w:t>.3.1 General considerations</w:t>
      </w:r>
      <w:bookmarkEnd w:id="37"/>
    </w:p>
    <w:p w:rsidR="00376116" w:rsidRDefault="00376116" w:rsidP="00376116">
      <w:r>
        <w:t xml:space="preserve">The non-linear characteristics of the ASF means the impact of background </w:t>
      </w:r>
      <w:r w:rsidR="00BE2EAA">
        <w:t>l</w:t>
      </w:r>
      <w:r w:rsidR="00637B4C">
        <w:t>ead</w:t>
      </w:r>
      <w:r w:rsidR="00BE2EAA">
        <w:t xml:space="preserve"> </w:t>
      </w:r>
      <w:r>
        <w:t xml:space="preserve">exposure is larger when considering relatively low </w:t>
      </w:r>
      <w:r w:rsidR="00314205">
        <w:t>BLRL</w:t>
      </w:r>
      <w:r>
        <w:t xml:space="preserve">s. Therefore background PbB needs to be specifically considered when setting a WES. Some but not all agencies have accounted for background </w:t>
      </w:r>
      <w:r w:rsidR="00BE2EAA">
        <w:t>l</w:t>
      </w:r>
      <w:r w:rsidR="00637B4C">
        <w:t>ead</w:t>
      </w:r>
      <w:r w:rsidR="00BE2EAA">
        <w:t xml:space="preserve"> </w:t>
      </w:r>
      <w:r>
        <w:t xml:space="preserve">exposure when setting a WES. For example, in proposing new WES and </w:t>
      </w:r>
      <w:r w:rsidR="00314205">
        <w:t>BLRL</w:t>
      </w:r>
      <w:r>
        <w:t xml:space="preserve">s California has specifically accounted for non-occupational lead exposures in their pharmacokinetic modelling of PbB (OEHHA 2013). ACGIH (2001) has tacitly allowed for background exposures by ensuring </w:t>
      </w:r>
      <w:r w:rsidR="0072100B">
        <w:t>PbAir</w:t>
      </w:r>
      <w:r>
        <w:t xml:space="preserve"> only </w:t>
      </w:r>
      <w:r>
        <w:lastRenderedPageBreak/>
        <w:t xml:space="preserve">contributed approximately a third to the </w:t>
      </w:r>
      <w:r w:rsidR="00314205">
        <w:t>BLRL</w:t>
      </w:r>
      <w:r>
        <w:t>, the balance being left for community sources and implicit allowance for variability in worker PbB, such as caused by the factors listed above</w:t>
      </w:r>
      <w:r w:rsidR="007128B1">
        <w:t xml:space="preserve"> </w:t>
      </w:r>
      <w:r w:rsidR="00720C2A">
        <w:t xml:space="preserve">in Section 5.1 </w:t>
      </w:r>
      <w:r w:rsidR="007128B1">
        <w:t>(see also Section 4.6)</w:t>
      </w:r>
      <w:r>
        <w:t>.</w:t>
      </w:r>
    </w:p>
    <w:p w:rsidR="00376116" w:rsidRDefault="00376116" w:rsidP="00376116"/>
    <w:p w:rsidR="00376116" w:rsidRDefault="00376116" w:rsidP="00376116">
      <w:r>
        <w:t>In this document:</w:t>
      </w:r>
    </w:p>
    <w:p w:rsidR="00376116" w:rsidRDefault="00376116" w:rsidP="00376116">
      <w:pPr>
        <w:pStyle w:val="ListParagraph"/>
        <w:numPr>
          <w:ilvl w:val="0"/>
          <w:numId w:val="22"/>
        </w:numPr>
      </w:pPr>
      <w:r>
        <w:t xml:space="preserve">The influence of </w:t>
      </w:r>
      <w:r w:rsidR="00C65033">
        <w:t xml:space="preserve">non-occupational </w:t>
      </w:r>
      <w:r>
        <w:t xml:space="preserve">(i.e. environmental) background lead exposures on the ASF is dealt with by subtracting an estimate of background PbB from the measured occupational PbB when calculating an ASF. This gives an ASF associated with the incremental increase in PbB due to </w:t>
      </w:r>
      <w:r w:rsidR="0072100B">
        <w:t>PbAir</w:t>
      </w:r>
      <w:r>
        <w:t xml:space="preserve">. </w:t>
      </w:r>
    </w:p>
    <w:p w:rsidR="00376116" w:rsidRDefault="00376116" w:rsidP="00376116">
      <w:pPr>
        <w:pStyle w:val="ListParagraph"/>
        <w:ind w:left="783"/>
      </w:pPr>
    </w:p>
    <w:p w:rsidR="00376116" w:rsidRDefault="00376116" w:rsidP="00376116">
      <w:pPr>
        <w:pStyle w:val="ListParagraph"/>
        <w:numPr>
          <w:ilvl w:val="0"/>
          <w:numId w:val="22"/>
        </w:numPr>
      </w:pPr>
      <w:r>
        <w:t xml:space="preserve">Subtracting background PbB from a target </w:t>
      </w:r>
      <w:r w:rsidR="00314205">
        <w:t>BLRL</w:t>
      </w:r>
      <w:r>
        <w:t xml:space="preserve"> incorporates background PbB into calculations of WESs.</w:t>
      </w:r>
    </w:p>
    <w:p w:rsidR="00376116" w:rsidRPr="001F5AE3" w:rsidRDefault="00376116" w:rsidP="00376116">
      <w:pPr>
        <w:pStyle w:val="ListParagraph"/>
        <w:ind w:left="783"/>
      </w:pPr>
      <w:r>
        <w:t xml:space="preserve">  </w:t>
      </w:r>
    </w:p>
    <w:p w:rsidR="00376116" w:rsidRPr="001F5AE3" w:rsidRDefault="00376116" w:rsidP="00376116">
      <w:pPr>
        <w:pStyle w:val="Heading3"/>
      </w:pPr>
      <w:bookmarkStart w:id="38" w:name="_Toc391288246"/>
      <w:r>
        <w:t>5</w:t>
      </w:r>
      <w:r w:rsidRPr="001F5AE3">
        <w:t xml:space="preserve">.3.2 Community ‘background’ </w:t>
      </w:r>
      <w:r w:rsidR="000C3863">
        <w:t>PbB</w:t>
      </w:r>
      <w:bookmarkEnd w:id="38"/>
    </w:p>
    <w:p w:rsidR="00376116" w:rsidRDefault="00376116" w:rsidP="00376116">
      <w:r w:rsidRPr="006A41C8">
        <w:t xml:space="preserve">A large number of general population studies </w:t>
      </w:r>
      <w:r>
        <w:t xml:space="preserve">in </w:t>
      </w:r>
      <w:r w:rsidRPr="006A41C8">
        <w:t>communities</w:t>
      </w:r>
      <w:r>
        <w:t xml:space="preserve"> not impacted by lead</w:t>
      </w:r>
      <w:r w:rsidRPr="006A41C8">
        <w:rPr>
          <w:vertAlign w:val="superscript"/>
        </w:rPr>
        <w:footnoteReference w:id="25"/>
      </w:r>
      <w:r>
        <w:t xml:space="preserve"> </w:t>
      </w:r>
      <w:r w:rsidRPr="006A41C8">
        <w:t xml:space="preserve"> have been evaluated (</w:t>
      </w:r>
      <w:r>
        <w:t xml:space="preserve">Figure 5.1 and </w:t>
      </w:r>
      <w:r w:rsidRPr="006A41C8">
        <w:t>Appendix C).</w:t>
      </w:r>
      <w:r>
        <w:t xml:space="preserve">  </w:t>
      </w:r>
      <w:r w:rsidRPr="00E9631E">
        <w:t xml:space="preserve">Population background </w:t>
      </w:r>
      <w:r w:rsidR="000C3863">
        <w:t>PbB</w:t>
      </w:r>
      <w:r w:rsidRPr="00E9631E">
        <w:t xml:space="preserve"> levels arising from general environmental lead exposures in Australia and overseas </w:t>
      </w:r>
      <w:r w:rsidRPr="00A41958">
        <w:t xml:space="preserve">were much higher in the past </w:t>
      </w:r>
      <w:r>
        <w:t xml:space="preserve">but </w:t>
      </w:r>
      <w:r w:rsidRPr="00E9631E">
        <w:t xml:space="preserve">have decreased with time. </w:t>
      </w:r>
      <w:r>
        <w:t xml:space="preserve">In recent years </w:t>
      </w:r>
      <w:r w:rsidR="00C65033">
        <w:t xml:space="preserve">non-occupational </w:t>
      </w:r>
      <w:r>
        <w:t xml:space="preserve">‘background’ </w:t>
      </w:r>
      <w:r w:rsidRPr="00A41958">
        <w:t xml:space="preserve">PbB levels appear to have plateaued at around 2 µg/dL. </w:t>
      </w:r>
      <w:r w:rsidRPr="00E9631E">
        <w:t>This is  primarily the result of phasing out of leaded petrol at the start to mid-1990s overseas, and in Australia during the late 1990s to early 2000 (DEWHA 2001</w:t>
      </w:r>
      <w:r>
        <w:t>, Richmond-Bryant et al. 2013</w:t>
      </w:r>
      <w:r w:rsidRPr="00E9631E">
        <w:t xml:space="preserve">) (see Appendix </w:t>
      </w:r>
      <w:r>
        <w:t>D</w:t>
      </w:r>
      <w:r w:rsidRPr="00E9631E">
        <w:t xml:space="preserve">). </w:t>
      </w:r>
    </w:p>
    <w:p w:rsidR="00376116" w:rsidRDefault="00376116" w:rsidP="00376116"/>
    <w:p w:rsidR="00376116" w:rsidRDefault="00376116" w:rsidP="00376116">
      <w:r w:rsidRPr="00884DF0">
        <w:t xml:space="preserve">Since many of the occupational studies </w:t>
      </w:r>
      <w:r>
        <w:t xml:space="preserve">relevant for determining an ASF </w:t>
      </w:r>
      <w:r w:rsidRPr="00884DF0">
        <w:t>were conducted at a time when leaded petrol was still in widespread use there was significant non-workplace contributions</w:t>
      </w:r>
      <w:r>
        <w:t xml:space="preserve"> to PbB. In </w:t>
      </w:r>
      <w:r w:rsidRPr="00DD211D">
        <w:t xml:space="preserve">Section </w:t>
      </w:r>
      <w:r>
        <w:t>5</w:t>
      </w:r>
      <w:r w:rsidRPr="00DD211D">
        <w:t>.6 occupational</w:t>
      </w:r>
      <w:r>
        <w:t xml:space="preserve"> PbB concentrations are corrected for background PbB when determining ASFs at the nominated PbAir.  If a background concentration could not be deduced from control groups within a particular occupational study, the regression curves generated for the background PbB data (Figure 5.1) were used to provide an approximate estimate for the period in which the study data was gathered. </w:t>
      </w:r>
    </w:p>
    <w:p w:rsidR="00376116" w:rsidRDefault="00376116" w:rsidP="00376116"/>
    <w:p w:rsidR="00376116" w:rsidRDefault="00376116" w:rsidP="00376116"/>
    <w:p w:rsidR="00376116" w:rsidRDefault="00685FBE" w:rsidP="00376116">
      <w:r>
        <w:rPr>
          <w:noProof/>
          <w:lang w:eastAsia="en-AU"/>
        </w:rPr>
        <w:lastRenderedPageBreak/>
        <mc:AlternateContent>
          <mc:Choice Requires="wpc">
            <w:drawing>
              <wp:inline distT="0" distB="0" distL="0" distR="0" wp14:anchorId="37E15212" wp14:editId="5A164093">
                <wp:extent cx="6299200" cy="8913495"/>
                <wp:effectExtent l="0" t="0" r="0" b="1905"/>
                <wp:docPr id="150" name="Canvas 40" title="Figure 5.1: Arithmetic and geometric mean background PbB in Australian and overseas adults 1960-201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0" name="Text Box 10" title="Figure 5.1: Arithmetic and geometric mean background PbB in Australian and overseas adults 1960-2011."/>
                        <wps:cNvSpPr txBox="1"/>
                        <wps:spPr>
                          <a:xfrm>
                            <a:off x="69847" y="4630730"/>
                            <a:ext cx="5924554" cy="424657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spacing w:line="240" w:lineRule="auto"/>
                                <w:rPr>
                                  <w:b/>
                                  <w:sz w:val="20"/>
                                  <w:szCs w:val="20"/>
                                </w:rPr>
                              </w:pPr>
                              <w:r w:rsidRPr="00223059">
                                <w:rPr>
                                  <w:b/>
                                  <w:sz w:val="20"/>
                                  <w:szCs w:val="20"/>
                                </w:rPr>
                                <w:t xml:space="preserve">Figure </w:t>
                              </w:r>
                              <w:r>
                                <w:rPr>
                                  <w:b/>
                                  <w:sz w:val="20"/>
                                  <w:szCs w:val="20"/>
                                </w:rPr>
                                <w:t>5</w:t>
                              </w:r>
                              <w:r w:rsidRPr="00223059">
                                <w:rPr>
                                  <w:b/>
                                  <w:sz w:val="20"/>
                                  <w:szCs w:val="20"/>
                                </w:rPr>
                                <w:t>.1</w:t>
                              </w:r>
                              <w:r w:rsidRPr="00FD7EA2">
                                <w:rPr>
                                  <w:b/>
                                  <w:sz w:val="20"/>
                                  <w:szCs w:val="20"/>
                                </w:rPr>
                                <w:t xml:space="preserve">: Arithmetic and geometric mean background </w:t>
                              </w:r>
                              <w:r>
                                <w:rPr>
                                  <w:b/>
                                  <w:sz w:val="20"/>
                                  <w:szCs w:val="20"/>
                                </w:rPr>
                                <w:t>PbB</w:t>
                              </w:r>
                              <w:r w:rsidRPr="00FD7EA2">
                                <w:rPr>
                                  <w:b/>
                                  <w:sz w:val="20"/>
                                  <w:szCs w:val="20"/>
                                </w:rPr>
                                <w:t xml:space="preserve"> in Australian and overseas adults 1960-2011.</w:t>
                              </w: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r>
                                <w:rPr>
                                  <w:sz w:val="18"/>
                                  <w:szCs w:val="18"/>
                                </w:rPr>
                                <w:t>The figures show a</w:t>
                              </w:r>
                              <w:r w:rsidRPr="00323341">
                                <w:rPr>
                                  <w:sz w:val="18"/>
                                  <w:szCs w:val="18"/>
                                </w:rPr>
                                <w:t xml:space="preserve">dult </w:t>
                              </w:r>
                              <w:r>
                                <w:rPr>
                                  <w:sz w:val="18"/>
                                  <w:szCs w:val="18"/>
                                </w:rPr>
                                <w:t>PbB</w:t>
                              </w:r>
                              <w:r w:rsidRPr="00323341">
                                <w:rPr>
                                  <w:sz w:val="18"/>
                                  <w:szCs w:val="18"/>
                                </w:rPr>
                                <w:t xml:space="preserve"> levels </w:t>
                              </w:r>
                              <w:r w:rsidRPr="00323341">
                                <w:rPr>
                                  <w:rFonts w:cs="Arial"/>
                                  <w:sz w:val="18"/>
                                  <w:szCs w:val="18"/>
                                </w:rPr>
                                <w:t>resulting from general environmental background exposure</w:t>
                              </w:r>
                              <w:r>
                                <w:rPr>
                                  <w:rFonts w:cs="Arial"/>
                                  <w:sz w:val="18"/>
                                  <w:szCs w:val="18"/>
                                </w:rPr>
                                <w:t>.</w:t>
                              </w:r>
                              <w:r w:rsidRPr="00323341">
                                <w:rPr>
                                  <w:rFonts w:cs="Arial"/>
                                  <w:sz w:val="18"/>
                                  <w:szCs w:val="18"/>
                                </w:rPr>
                                <w:t xml:space="preserve"> </w:t>
                              </w:r>
                              <w:r>
                                <w:rPr>
                                  <w:sz w:val="18"/>
                                  <w:szCs w:val="18"/>
                                </w:rPr>
                                <w:t>The data is in Appendix C.</w:t>
                              </w:r>
                              <w:r w:rsidRPr="00323341">
                                <w:rPr>
                                  <w:rFonts w:cs="Arial"/>
                                  <w:sz w:val="18"/>
                                  <w:szCs w:val="18"/>
                                </w:rPr>
                                <w:t xml:space="preserve"> The</w:t>
                              </w:r>
                              <w:r>
                                <w:rPr>
                                  <w:rFonts w:cs="Arial"/>
                                  <w:sz w:val="18"/>
                                  <w:szCs w:val="18"/>
                                </w:rPr>
                                <w:t>y exclude PbB</w:t>
                              </w:r>
                              <w:r w:rsidRPr="00323341">
                                <w:rPr>
                                  <w:rFonts w:cs="Arial"/>
                                  <w:sz w:val="18"/>
                                  <w:szCs w:val="18"/>
                                </w:rPr>
                                <w:t xml:space="preserve"> measured </w:t>
                              </w:r>
                              <w:r>
                                <w:rPr>
                                  <w:rFonts w:cs="Arial"/>
                                  <w:sz w:val="18"/>
                                  <w:szCs w:val="18"/>
                                </w:rPr>
                                <w:t>in</w:t>
                              </w:r>
                              <w:r w:rsidRPr="00323341">
                                <w:rPr>
                                  <w:rFonts w:cs="Arial"/>
                                  <w:sz w:val="18"/>
                                  <w:szCs w:val="18"/>
                                </w:rPr>
                                <w:t xml:space="preserve"> occupations considered to have had excessive exposure to leaded petrol fumes or automobile exhaust</w:t>
                              </w:r>
                              <w:r>
                                <w:rPr>
                                  <w:rFonts w:cs="Arial"/>
                                  <w:sz w:val="18"/>
                                  <w:szCs w:val="18"/>
                                </w:rPr>
                                <w:t xml:space="preserve"> (</w:t>
                              </w:r>
                              <w:r w:rsidRPr="00323341">
                                <w:rPr>
                                  <w:rFonts w:cs="Arial"/>
                                  <w:sz w:val="18"/>
                                  <w:szCs w:val="18"/>
                                </w:rPr>
                                <w:t>e.g. policemen on foot patrol, garage attendants</w:t>
                              </w:r>
                              <w:r>
                                <w:rPr>
                                  <w:rFonts w:cs="Arial"/>
                                  <w:sz w:val="18"/>
                                  <w:szCs w:val="18"/>
                                </w:rPr>
                                <w:t>).</w:t>
                              </w:r>
                              <w:r w:rsidRPr="00323341">
                                <w:rPr>
                                  <w:rFonts w:cs="Arial"/>
                                  <w:sz w:val="18"/>
                                  <w:szCs w:val="18"/>
                                </w:rPr>
                                <w:t xml:space="preserve"> </w:t>
                              </w:r>
                              <w:r w:rsidRPr="00323341">
                                <w:rPr>
                                  <w:sz w:val="18"/>
                                  <w:szCs w:val="18"/>
                                </w:rPr>
                                <w:t xml:space="preserve">No data could be </w:t>
                              </w:r>
                              <w:r>
                                <w:rPr>
                                  <w:sz w:val="18"/>
                                  <w:szCs w:val="18"/>
                                </w:rPr>
                                <w:t xml:space="preserve">located between 1989 and 1995. </w:t>
                              </w:r>
                            </w:p>
                            <w:p w:rsidR="00723BD5" w:rsidRDefault="00723BD5" w:rsidP="00376116">
                              <w:pPr>
                                <w:spacing w:line="240" w:lineRule="auto"/>
                                <w:rPr>
                                  <w:sz w:val="18"/>
                                  <w:szCs w:val="18"/>
                                </w:rPr>
                              </w:pPr>
                            </w:p>
                            <w:p w:rsidR="00723BD5" w:rsidRPr="00323341" w:rsidRDefault="00723BD5" w:rsidP="00376116">
                              <w:pPr>
                                <w:spacing w:line="240" w:lineRule="auto"/>
                                <w:rPr>
                                  <w:sz w:val="18"/>
                                  <w:szCs w:val="18"/>
                                </w:rPr>
                              </w:pPr>
                              <w:r>
                                <w:rPr>
                                  <w:sz w:val="18"/>
                                  <w:szCs w:val="18"/>
                                </w:rPr>
                                <w:t xml:space="preserve">The data collection year does not equal the publication date but precedes it by varying times. </w:t>
                              </w:r>
                            </w:p>
                            <w:p w:rsidR="00723BD5" w:rsidRPr="00323341" w:rsidRDefault="00723BD5" w:rsidP="00376116">
                              <w:pPr>
                                <w:spacing w:line="240" w:lineRule="auto"/>
                                <w:rPr>
                                  <w:sz w:val="18"/>
                                  <w:szCs w:val="18"/>
                                </w:rPr>
                              </w:pPr>
                            </w:p>
                            <w:p w:rsidR="00723BD5" w:rsidRDefault="00723BD5" w:rsidP="00376116">
                              <w:pPr>
                                <w:spacing w:line="240" w:lineRule="auto"/>
                                <w:rPr>
                                  <w:sz w:val="18"/>
                                  <w:szCs w:val="18"/>
                                </w:rPr>
                              </w:pPr>
                              <w:r w:rsidRPr="00323341">
                                <w:rPr>
                                  <w:sz w:val="18"/>
                                  <w:szCs w:val="18"/>
                                </w:rPr>
                                <w:t xml:space="preserve">An arithmetic mean </w:t>
                              </w:r>
                              <w:r>
                                <w:rPr>
                                  <w:sz w:val="18"/>
                                  <w:szCs w:val="18"/>
                                </w:rPr>
                                <w:t>PbB</w:t>
                              </w:r>
                              <w:r w:rsidRPr="00323341">
                                <w:rPr>
                                  <w:sz w:val="18"/>
                                  <w:szCs w:val="18"/>
                                </w:rPr>
                                <w:t xml:space="preserve"> of 12.4 </w:t>
                              </w:r>
                              <w:r w:rsidRPr="00323341">
                                <w:rPr>
                                  <w:rFonts w:cs="Arial"/>
                                  <w:sz w:val="18"/>
                                  <w:szCs w:val="18"/>
                                </w:rPr>
                                <w:t>µ</w:t>
                              </w:r>
                              <w:r w:rsidRPr="00323341">
                                <w:rPr>
                                  <w:sz w:val="18"/>
                                  <w:szCs w:val="18"/>
                                </w:rPr>
                                <w:t xml:space="preserve">g/dL was measured in the year 2000 in Egypt. This data point is much higher than other mean </w:t>
                              </w:r>
                              <w:r>
                                <w:rPr>
                                  <w:sz w:val="18"/>
                                  <w:szCs w:val="18"/>
                                </w:rPr>
                                <w:t>PbB</w:t>
                              </w:r>
                              <w:r w:rsidRPr="00323341">
                                <w:rPr>
                                  <w:sz w:val="18"/>
                                  <w:szCs w:val="18"/>
                                </w:rPr>
                                <w:t xml:space="preserve"> levels around that time (1.3-3.8 </w:t>
                              </w:r>
                              <w:r w:rsidRPr="00323341">
                                <w:rPr>
                                  <w:rFonts w:cs="Arial"/>
                                  <w:sz w:val="18"/>
                                  <w:szCs w:val="18"/>
                                </w:rPr>
                                <w:t>µ</w:t>
                              </w:r>
                              <w:r w:rsidRPr="00323341">
                                <w:rPr>
                                  <w:sz w:val="18"/>
                                  <w:szCs w:val="18"/>
                                </w:rPr>
                                <w:t xml:space="preserve">g/dL), and has been excluded </w:t>
                              </w:r>
                              <w:r>
                                <w:rPr>
                                  <w:sz w:val="18"/>
                                  <w:szCs w:val="18"/>
                                </w:rPr>
                                <w:t>when fitting</w:t>
                              </w:r>
                              <w:r w:rsidRPr="00323341">
                                <w:rPr>
                                  <w:sz w:val="18"/>
                                  <w:szCs w:val="18"/>
                                </w:rPr>
                                <w:t xml:space="preserve"> the polynomial trend line. </w:t>
                              </w:r>
                            </w:p>
                            <w:p w:rsidR="00723BD5" w:rsidRPr="00323341" w:rsidRDefault="00723BD5" w:rsidP="00376116">
                              <w:pPr>
                                <w:spacing w:line="240" w:lineRule="auto"/>
                                <w:rPr>
                                  <w:sz w:val="18"/>
                                  <w:szCs w:val="18"/>
                                </w:rPr>
                              </w:pPr>
                            </w:p>
                            <w:p w:rsidR="00723BD5" w:rsidRPr="00323341" w:rsidRDefault="00723BD5" w:rsidP="00376116">
                              <w:pPr>
                                <w:spacing w:line="240" w:lineRule="auto"/>
                                <w:rPr>
                                  <w:sz w:val="18"/>
                                  <w:szCs w:val="18"/>
                                </w:rPr>
                              </w:pPr>
                              <w:r w:rsidRPr="00323341">
                                <w:rPr>
                                  <w:sz w:val="18"/>
                                  <w:szCs w:val="18"/>
                                </w:rPr>
                                <w:t>The third degree polynomial trend line</w:t>
                              </w:r>
                              <w:r>
                                <w:rPr>
                                  <w:sz w:val="18"/>
                                  <w:szCs w:val="18"/>
                                </w:rPr>
                                <w:t>s</w:t>
                              </w:r>
                              <w:r w:rsidRPr="00323341">
                                <w:rPr>
                                  <w:sz w:val="18"/>
                                  <w:szCs w:val="18"/>
                                </w:rPr>
                                <w:t xml:space="preserve"> gave the best </w:t>
                              </w:r>
                              <w:r>
                                <w:rPr>
                                  <w:sz w:val="18"/>
                                  <w:szCs w:val="18"/>
                                </w:rPr>
                                <w:t xml:space="preserve">logical </w:t>
                              </w:r>
                              <w:r w:rsidRPr="00323341">
                                <w:rPr>
                                  <w:sz w:val="18"/>
                                  <w:szCs w:val="18"/>
                                </w:rPr>
                                <w:t>fit of the data</w:t>
                              </w:r>
                              <w:r>
                                <w:rPr>
                                  <w:sz w:val="18"/>
                                  <w:szCs w:val="18"/>
                                </w:rPr>
                                <w:t xml:space="preserve"> after visual inspection and comparison of various ‘goodness of fit’ criteria, e.g. residuals, residual sum of squares, R</w:t>
                              </w:r>
                              <w:r>
                                <w:rPr>
                                  <w:sz w:val="18"/>
                                  <w:szCs w:val="18"/>
                                  <w:vertAlign w:val="superscript"/>
                                </w:rPr>
                                <w:t>2</w:t>
                              </w:r>
                              <w:r w:rsidRPr="00323341">
                                <w:rPr>
                                  <w:sz w:val="18"/>
                                  <w:szCs w:val="18"/>
                                </w:rPr>
                                <w:t>.</w:t>
                              </w:r>
                              <w:r>
                                <w:rPr>
                                  <w:sz w:val="18"/>
                                  <w:szCs w:val="18"/>
                                </w:rPr>
                                <w:t xml:space="preserve"> Figures A and C show the upper and lower 95% confidence limits around the polynomial. Figures B and D show the 95% prediction intervals. Figures were generated using StatsDirect statistical software Version 2.7.9.</w:t>
                              </w:r>
                            </w:p>
                            <w:p w:rsidR="00723BD5" w:rsidRPr="00323341" w:rsidRDefault="00723BD5" w:rsidP="00376116">
                              <w:pPr>
                                <w:spacing w:line="240" w:lineRule="auto"/>
                                <w:rPr>
                                  <w:sz w:val="18"/>
                                  <w:szCs w:val="18"/>
                                </w:rPr>
                              </w:pPr>
                            </w:p>
                            <w:p w:rsidR="00723BD5" w:rsidRDefault="00723BD5" w:rsidP="00376116">
                              <w:pPr>
                                <w:spacing w:line="240" w:lineRule="auto"/>
                                <w:rPr>
                                  <w:sz w:val="18"/>
                                  <w:szCs w:val="18"/>
                                </w:rPr>
                              </w:pPr>
                              <w:r>
                                <w:rPr>
                                  <w:sz w:val="18"/>
                                  <w:szCs w:val="18"/>
                                </w:rPr>
                                <w:t xml:space="preserve">A </w:t>
                              </w:r>
                              <w:r w:rsidRPr="00323341">
                                <w:rPr>
                                  <w:sz w:val="18"/>
                                  <w:szCs w:val="18"/>
                                </w:rPr>
                                <w:t xml:space="preserve">decreasing trend of </w:t>
                              </w:r>
                              <w:r>
                                <w:rPr>
                                  <w:sz w:val="18"/>
                                  <w:szCs w:val="18"/>
                                </w:rPr>
                                <w:t>PbB</w:t>
                              </w:r>
                              <w:r w:rsidRPr="00323341">
                                <w:rPr>
                                  <w:sz w:val="18"/>
                                  <w:szCs w:val="18"/>
                                </w:rPr>
                                <w:t xml:space="preserve"> levels over time, coinciding with the phasing out of leaded petrol nat</w:t>
                              </w:r>
                              <w:r>
                                <w:rPr>
                                  <w:sz w:val="18"/>
                                  <w:szCs w:val="18"/>
                                </w:rPr>
                                <w:t>ionally and overseas (Appendix D</w:t>
                              </w:r>
                              <w:r w:rsidRPr="00323341">
                                <w:rPr>
                                  <w:sz w:val="18"/>
                                  <w:szCs w:val="18"/>
                                </w:rPr>
                                <w:t>)</w:t>
                              </w:r>
                              <w:r>
                                <w:rPr>
                                  <w:sz w:val="18"/>
                                  <w:szCs w:val="18"/>
                                </w:rPr>
                                <w:t xml:space="preserve"> is readily discernible</w:t>
                              </w:r>
                              <w:r w:rsidRPr="00323341">
                                <w:rPr>
                                  <w:sz w:val="18"/>
                                  <w:szCs w:val="18"/>
                                </w:rPr>
                                <w:t xml:space="preserve">.  </w:t>
                              </w:r>
                            </w:p>
                            <w:p w:rsidR="00723BD5" w:rsidRDefault="00723BD5" w:rsidP="00376116">
                              <w:pPr>
                                <w:spacing w:line="240" w:lineRule="auto"/>
                                <w:rPr>
                                  <w:sz w:val="18"/>
                                  <w:szCs w:val="18"/>
                                </w:rPr>
                              </w:pPr>
                            </w:p>
                            <w:p w:rsidR="00723BD5" w:rsidRDefault="00723BD5" w:rsidP="00376116">
                              <w:pPr>
                                <w:spacing w:line="240" w:lineRule="auto"/>
                                <w:rPr>
                                  <w:sz w:val="18"/>
                                  <w:szCs w:val="18"/>
                                </w:rPr>
                              </w:pPr>
                              <w:r>
                                <w:rPr>
                                  <w:sz w:val="18"/>
                                  <w:szCs w:val="18"/>
                                </w:rPr>
                                <w:t>The equations of the curves are provided below:</w:t>
                              </w:r>
                            </w:p>
                            <w:p w:rsidR="00723BD5" w:rsidRDefault="00723BD5" w:rsidP="00376116">
                              <w:pPr>
                                <w:spacing w:line="240" w:lineRule="auto"/>
                                <w:rPr>
                                  <w:sz w:val="18"/>
                                  <w:szCs w:val="18"/>
                                </w:rPr>
                              </w:pPr>
                              <w:r>
                                <w:rPr>
                                  <w:sz w:val="18"/>
                                  <w:szCs w:val="18"/>
                                </w:rPr>
                                <w:t>Geometric mean PbB = -817812.199 + 1244.631(Year) – 0.631 (Year)</w:t>
                              </w:r>
                              <w:r>
                                <w:rPr>
                                  <w:sz w:val="18"/>
                                  <w:szCs w:val="18"/>
                                  <w:vertAlign w:val="superscript"/>
                                </w:rPr>
                                <w:t>2</w:t>
                              </w:r>
                              <w:r>
                                <w:rPr>
                                  <w:sz w:val="18"/>
                                  <w:szCs w:val="18"/>
                                </w:rPr>
                                <w:t xml:space="preserve"> + 0.0001 (Year)</w:t>
                              </w:r>
                              <w:r>
                                <w:rPr>
                                  <w:sz w:val="18"/>
                                  <w:szCs w:val="18"/>
                                  <w:vertAlign w:val="superscript"/>
                                </w:rPr>
                                <w:t>3</w:t>
                              </w:r>
                            </w:p>
                            <w:p w:rsidR="00723BD5" w:rsidRDefault="00723BD5" w:rsidP="00376116">
                              <w:pPr>
                                <w:spacing w:line="240" w:lineRule="auto"/>
                                <w:rPr>
                                  <w:sz w:val="18"/>
                                  <w:szCs w:val="18"/>
                                </w:rPr>
                              </w:pPr>
                              <w:r>
                                <w:rPr>
                                  <w:sz w:val="18"/>
                                  <w:szCs w:val="18"/>
                                </w:rPr>
                                <w:t>Arithmetic mean PbB = -4003478.19 + 6057.1(Year) – 3.054(Year)</w:t>
                              </w:r>
                              <w:r>
                                <w:rPr>
                                  <w:sz w:val="18"/>
                                  <w:szCs w:val="18"/>
                                  <w:vertAlign w:val="superscript"/>
                                </w:rPr>
                                <w:t>2</w:t>
                              </w:r>
                              <w:r>
                                <w:rPr>
                                  <w:sz w:val="18"/>
                                  <w:szCs w:val="18"/>
                                </w:rPr>
                                <w:t xml:space="preserve"> + 0.000513 (Year)</w:t>
                              </w:r>
                              <w:r>
                                <w:rPr>
                                  <w:sz w:val="18"/>
                                  <w:szCs w:val="18"/>
                                  <w:vertAlign w:val="superscript"/>
                                </w:rPr>
                                <w:t>3</w:t>
                              </w:r>
                            </w:p>
                            <w:p w:rsidR="00723BD5" w:rsidRDefault="00723BD5" w:rsidP="00376116">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073546" y="0"/>
                            <a:ext cx="1024550" cy="234716"/>
                          </a:xfrm>
                          <a:prstGeom prst="rect">
                            <a:avLst/>
                          </a:prstGeom>
                          <a:solidFill>
                            <a:srgbClr val="FFFFCC"/>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Pr="00550A1B" w:rsidRDefault="00723BD5" w:rsidP="00376116">
                              <w:pPr>
                                <w:spacing w:line="240" w:lineRule="auto"/>
                                <w:rPr>
                                  <w:b/>
                                  <w:sz w:val="16"/>
                                  <w:szCs w:val="16"/>
                                </w:rPr>
                              </w:pPr>
                              <w:r w:rsidRPr="00550A1B">
                                <w:rPr>
                                  <w:b/>
                                  <w:sz w:val="16"/>
                                  <w:szCs w:val="16"/>
                                </w:rPr>
                                <w:t>Geometric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299"/>
                        <wps:cNvSpPr txBox="1"/>
                        <wps:spPr>
                          <a:xfrm>
                            <a:off x="1067240" y="0"/>
                            <a:ext cx="1001100" cy="234315"/>
                          </a:xfrm>
                          <a:prstGeom prst="rect">
                            <a:avLst/>
                          </a:prstGeom>
                          <a:solidFill>
                            <a:srgbClr val="FFFFCC"/>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360" w:lineRule="auto"/>
                              </w:pPr>
                              <w:r>
                                <w:rPr>
                                  <w:rFonts w:ascii="Arial" w:eastAsia="PMingLiU" w:hAnsi="Arial"/>
                                  <w:b/>
                                  <w:bCs/>
                                  <w:sz w:val="16"/>
                                  <w:szCs w:val="16"/>
                                </w:rPr>
                                <w:t>Arithmetic mean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3070512" y="0"/>
                            <a:ext cx="0" cy="43974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0" y="1441450"/>
                            <a:ext cx="215900" cy="130482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337309" w:rsidRDefault="00723BD5" w:rsidP="00376116">
                              <w:pPr>
                                <w:spacing w:line="240" w:lineRule="auto"/>
                                <w:textboxTightWrap w:val="allLines"/>
                                <w:rPr>
                                  <w:sz w:val="20"/>
                                  <w:szCs w:val="20"/>
                                </w:rPr>
                              </w:pPr>
                              <w:r w:rsidRPr="00337309">
                                <w:rPr>
                                  <w:sz w:val="20"/>
                                  <w:szCs w:val="20"/>
                                </w:rPr>
                                <w:t>Blood lead (</w:t>
                              </w:r>
                              <w:r w:rsidRPr="00337309">
                                <w:rPr>
                                  <w:rFonts w:cs="Arial"/>
                                  <w:sz w:val="20"/>
                                  <w:szCs w:val="20"/>
                                </w:rPr>
                                <w:t>µ</w:t>
                              </w:r>
                              <w:r w:rsidRPr="00337309">
                                <w:rPr>
                                  <w:sz w:val="20"/>
                                  <w:szCs w:val="20"/>
                                </w:rPr>
                                <w:t>g/dL)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7" name="Text Box 315"/>
                        <wps:cNvSpPr txBox="1"/>
                        <wps:spPr>
                          <a:xfrm>
                            <a:off x="2432490" y="4413324"/>
                            <a:ext cx="1455503" cy="28545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Pr="00337309" w:rsidRDefault="00723BD5" w:rsidP="00376116">
                              <w:pPr>
                                <w:pStyle w:val="NormalWeb"/>
                                <w:spacing w:before="0" w:beforeAutospacing="0" w:after="0" w:afterAutospacing="0" w:line="360" w:lineRule="auto"/>
                                <w:rPr>
                                  <w:sz w:val="20"/>
                                  <w:szCs w:val="20"/>
                                </w:rPr>
                              </w:pPr>
                              <w:r w:rsidRPr="00337309">
                                <w:rPr>
                                  <w:rFonts w:ascii="Arial" w:eastAsia="PMingLiU" w:hAnsi="Arial"/>
                                  <w:sz w:val="20"/>
                                  <w:szCs w:val="20"/>
                                </w:rPr>
                                <w:t>Data collection year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812800" y="317489"/>
                            <a:ext cx="1460207"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61"/>
                        <wps:cNvSpPr txBox="1"/>
                        <wps:spPr>
                          <a:xfrm>
                            <a:off x="1418657" y="431800"/>
                            <a:ext cx="411528" cy="2794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Pr="00684CD3" w:rsidRDefault="00723BD5" w:rsidP="00376116">
                              <w:pPr>
                                <w:pStyle w:val="NormalWeb"/>
                                <w:spacing w:before="0" w:beforeAutospacing="0" w:after="0" w:afterAutospacing="0" w:line="360" w:lineRule="auto"/>
                                <w:jc w:val="center"/>
                                <w:rPr>
                                  <w:b/>
                                </w:rPr>
                              </w:pPr>
                              <w:r w:rsidRPr="00684CD3">
                                <w:rPr>
                                  <w:rFonts w:ascii="Arial" w:eastAsia="PMingLiU" w:hAnsi="Arial"/>
                                  <w:b/>
                                  <w:sz w:val="20"/>
                                  <w:szCs w:val="2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61"/>
                        <wps:cNvSpPr txBox="1"/>
                        <wps:spPr>
                          <a:xfrm>
                            <a:off x="1372041" y="2618400"/>
                            <a:ext cx="411480" cy="2794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360" w:lineRule="auto"/>
                                <w:jc w:val="center"/>
                              </w:pPr>
                              <w:r>
                                <w:rPr>
                                  <w:rFonts w:ascii="Arial" w:eastAsia="PMingLiU" w:hAnsi="Arial"/>
                                  <w:b/>
                                  <w:bCs/>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60"/>
                        <wps:cNvSpPr txBox="1"/>
                        <wps:spPr>
                          <a:xfrm>
                            <a:off x="972625" y="2386895"/>
                            <a:ext cx="145986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360" w:lineRule="auto"/>
                              </w:pPr>
                              <w:r>
                                <w:rPr>
                                  <w:rFonts w:ascii="Arial" w:eastAsia="PMingLiU"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60"/>
                        <wps:cNvSpPr txBox="1"/>
                        <wps:spPr>
                          <a:xfrm>
                            <a:off x="3813196" y="279400"/>
                            <a:ext cx="145986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360" w:lineRule="auto"/>
                              </w:pPr>
                              <w:r>
                                <w:rPr>
                                  <w:rFonts w:ascii="Arial" w:eastAsia="PMingLiU"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60"/>
                        <wps:cNvSpPr txBox="1"/>
                        <wps:spPr>
                          <a:xfrm>
                            <a:off x="3978889" y="2414965"/>
                            <a:ext cx="145986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360" w:lineRule="auto"/>
                              </w:pPr>
                              <w:r>
                                <w:rPr>
                                  <w:rFonts w:ascii="Arial" w:eastAsia="PMingLiU"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61"/>
                        <wps:cNvSpPr txBox="1"/>
                        <wps:spPr>
                          <a:xfrm>
                            <a:off x="4362724" y="414950"/>
                            <a:ext cx="411480" cy="2794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360" w:lineRule="auto"/>
                                <w:jc w:val="center"/>
                              </w:pPr>
                              <w:r>
                                <w:rPr>
                                  <w:rFonts w:ascii="Arial" w:eastAsia="PMingLiU" w:hAnsi="Arial"/>
                                  <w:b/>
                                  <w:bCs/>
                                  <w:sz w:val="20"/>
                                  <w:szCs w:val="2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61"/>
                        <wps:cNvSpPr txBox="1"/>
                        <wps:spPr>
                          <a:xfrm>
                            <a:off x="4396400" y="2675550"/>
                            <a:ext cx="411480" cy="2794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360" w:lineRule="auto"/>
                                <w:jc w:val="center"/>
                              </w:pPr>
                              <w:r>
                                <w:rPr>
                                  <w:rFonts w:ascii="Arial" w:eastAsia="PMingLiU" w:hAnsi="Arial"/>
                                  <w:b/>
                                  <w:bCs/>
                                  <w:sz w:val="20"/>
                                  <w:szCs w:val="2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title="A"/>
                          <pic:cNvPicPr>
                            <a:picLocks noChangeAspect="1"/>
                          </pic:cNvPicPr>
                        </pic:nvPicPr>
                        <pic:blipFill rotWithShape="1">
                          <a:blip r:embed="rId19"/>
                          <a:srcRect l="6631" t="9167" r="22460" b="8684"/>
                          <a:stretch/>
                        </pic:blipFill>
                        <pic:spPr>
                          <a:xfrm>
                            <a:off x="120003" y="234315"/>
                            <a:ext cx="2988301" cy="2018979"/>
                          </a:xfrm>
                          <a:prstGeom prst="rect">
                            <a:avLst/>
                          </a:prstGeom>
                        </pic:spPr>
                      </pic:pic>
                      <pic:pic xmlns:pic="http://schemas.openxmlformats.org/drawingml/2006/picture">
                        <pic:nvPicPr>
                          <pic:cNvPr id="37" name="Picture 37" title="B"/>
                          <pic:cNvPicPr>
                            <a:picLocks noChangeAspect="1"/>
                          </pic:cNvPicPr>
                        </pic:nvPicPr>
                        <pic:blipFill rotWithShape="1">
                          <a:blip r:embed="rId20"/>
                          <a:srcRect l="6467" t="9833" r="23473" b="8941"/>
                          <a:stretch/>
                        </pic:blipFill>
                        <pic:spPr>
                          <a:xfrm>
                            <a:off x="120003" y="2415977"/>
                            <a:ext cx="2953663" cy="1997347"/>
                          </a:xfrm>
                          <a:prstGeom prst="rect">
                            <a:avLst/>
                          </a:prstGeom>
                        </pic:spPr>
                      </pic:pic>
                      <pic:pic xmlns:pic="http://schemas.openxmlformats.org/drawingml/2006/picture">
                        <pic:nvPicPr>
                          <pic:cNvPr id="38" name="Picture 38" title="C"/>
                          <pic:cNvPicPr>
                            <a:picLocks noChangeAspect="1"/>
                          </pic:cNvPicPr>
                        </pic:nvPicPr>
                        <pic:blipFill rotWithShape="1">
                          <a:blip r:embed="rId21"/>
                          <a:srcRect l="6435" t="8549" r="22788" b="7802"/>
                          <a:stretch/>
                        </pic:blipFill>
                        <pic:spPr>
                          <a:xfrm>
                            <a:off x="3076862" y="179224"/>
                            <a:ext cx="3073134" cy="2118520"/>
                          </a:xfrm>
                          <a:prstGeom prst="rect">
                            <a:avLst/>
                          </a:prstGeom>
                        </pic:spPr>
                      </pic:pic>
                      <pic:pic xmlns:pic="http://schemas.openxmlformats.org/drawingml/2006/picture">
                        <pic:nvPicPr>
                          <pic:cNvPr id="39" name="Picture 39" title="D"/>
                          <pic:cNvPicPr>
                            <a:picLocks noChangeAspect="1"/>
                          </pic:cNvPicPr>
                        </pic:nvPicPr>
                        <pic:blipFill rotWithShape="1">
                          <a:blip r:embed="rId22"/>
                          <a:srcRect l="6716" t="10359" r="22164" b="9427"/>
                          <a:stretch/>
                        </pic:blipFill>
                        <pic:spPr>
                          <a:xfrm>
                            <a:off x="3080343" y="2414965"/>
                            <a:ext cx="3009900" cy="1980068"/>
                          </a:xfrm>
                          <a:prstGeom prst="rect">
                            <a:avLst/>
                          </a:prstGeom>
                        </pic:spPr>
                      </pic:pic>
                      <wpg:wgp>
                        <wpg:cNvPr id="41" name="Group 41"/>
                        <wpg:cNvGrpSpPr/>
                        <wpg:grpSpPr>
                          <a:xfrm>
                            <a:off x="1785154" y="4961550"/>
                            <a:ext cx="882015" cy="638175"/>
                            <a:chOff x="0" y="0"/>
                            <a:chExt cx="882595" cy="638175"/>
                          </a:xfrm>
                        </wpg:grpSpPr>
                        <wps:wsp>
                          <wps:cNvPr id="42" name="Text Box 185"/>
                          <wps:cNvSpPr txBox="1"/>
                          <wps:spPr>
                            <a:xfrm>
                              <a:off x="0" y="0"/>
                              <a:ext cx="88259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pPr>
                                <w:r>
                                  <w:rPr>
                                    <w:rFonts w:ascii="Arial" w:eastAsia="PMingLiU" w:hAnsi="Arial"/>
                                    <w:sz w:val="18"/>
                                    <w:szCs w:val="18"/>
                                  </w:rPr>
                                  <w:t xml:space="preserve">       </w:t>
                                </w:r>
                                <w:r>
                                  <w:rPr>
                                    <w:rFonts w:ascii="Arial" w:eastAsia="PMingLiU" w:hAnsi="Arial"/>
                                    <w:sz w:val="12"/>
                                    <w:szCs w:val="12"/>
                                  </w:rPr>
                                  <w:t>Australia</w:t>
                                </w:r>
                              </w:p>
                              <w:p w:rsidR="00723BD5" w:rsidRDefault="00723BD5" w:rsidP="00376116">
                                <w:pPr>
                                  <w:pStyle w:val="NormalWeb"/>
                                  <w:spacing w:before="0" w:beforeAutospacing="0" w:after="0" w:afterAutospacing="0"/>
                                  <w:ind w:left="360"/>
                                </w:pPr>
                                <w:r>
                                  <w:rPr>
                                    <w:rFonts w:ascii="Arial" w:eastAsia="PMingLiU" w:hAnsi="Arial"/>
                                    <w:sz w:val="12"/>
                                    <w:szCs w:val="12"/>
                                  </w:rPr>
                                  <w:t>UK</w:t>
                                </w:r>
                              </w:p>
                              <w:p w:rsidR="00723BD5" w:rsidRDefault="00723BD5" w:rsidP="00376116">
                                <w:pPr>
                                  <w:pStyle w:val="NormalWeb"/>
                                  <w:spacing w:before="0" w:beforeAutospacing="0" w:after="0" w:afterAutospacing="0"/>
                                </w:pPr>
                                <w:r>
                                  <w:rPr>
                                    <w:rFonts w:ascii="Arial" w:eastAsia="PMingLiU" w:hAnsi="Arial"/>
                                    <w:sz w:val="12"/>
                                    <w:szCs w:val="12"/>
                                  </w:rPr>
                                  <w:t xml:space="preserve">           Germany</w:t>
                                </w:r>
                              </w:p>
                              <w:p w:rsidR="00723BD5" w:rsidRDefault="00723BD5" w:rsidP="00376116">
                                <w:pPr>
                                  <w:pStyle w:val="NormalWeb"/>
                                  <w:spacing w:before="0" w:beforeAutospacing="0" w:after="0" w:afterAutospacing="0"/>
                                </w:pPr>
                                <w:r>
                                  <w:rPr>
                                    <w:rFonts w:ascii="Arial" w:eastAsia="PMingLiU" w:hAnsi="Arial"/>
                                    <w:sz w:val="12"/>
                                    <w:szCs w:val="12"/>
                                  </w:rPr>
                                  <w:t xml:space="preserve">           USA</w:t>
                                </w:r>
                              </w:p>
                              <w:p w:rsidR="00723BD5" w:rsidRDefault="00723BD5" w:rsidP="00376116">
                                <w:pPr>
                                  <w:pStyle w:val="NormalWeb"/>
                                  <w:spacing w:before="0" w:beforeAutospacing="0" w:after="0" w:afterAutospacing="0"/>
                                </w:pPr>
                                <w:r>
                                  <w:rPr>
                                    <w:rFonts w:ascii="Arial" w:eastAsia="PMingLiU" w:hAnsi="Arial"/>
                                    <w:sz w:val="12"/>
                                    <w:szCs w:val="12"/>
                                  </w:rPr>
                                  <w:t xml:space="preserve">           New Zealand</w:t>
                                </w:r>
                              </w:p>
                              <w:p w:rsidR="00723BD5" w:rsidRDefault="00723BD5" w:rsidP="00376116">
                                <w:pPr>
                                  <w:pStyle w:val="NormalWeb"/>
                                  <w:spacing w:before="0" w:beforeAutospacing="0" w:after="0" w:afterAutospacing="0" w:line="360" w:lineRule="auto"/>
                                </w:pPr>
                                <w:r>
                                  <w:rPr>
                                    <w:rFonts w:ascii="Arial" w:eastAsia="PMingLiU" w:hAnsi="Arial"/>
                                    <w:sz w:val="12"/>
                                    <w:szCs w:val="12"/>
                                  </w:rPr>
                                  <w:t xml:space="preserve">           Other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Oval 43"/>
                          <wps:cNvSpPr/>
                          <wps:spPr>
                            <a:xfrm>
                              <a:off x="143124" y="151075"/>
                              <a:ext cx="50165" cy="4508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BD5" w:rsidRDefault="00723BD5" w:rsidP="0037611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Isosceles Triangle 44"/>
                          <wps:cNvSpPr/>
                          <wps:spPr>
                            <a:xfrm>
                              <a:off x="135172" y="222637"/>
                              <a:ext cx="58420" cy="53340"/>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BD5" w:rsidRDefault="00723BD5" w:rsidP="0037611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143124" y="326004"/>
                              <a:ext cx="46934" cy="48481"/>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BD5" w:rsidRDefault="00723BD5" w:rsidP="0037611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Isosceles Triangle 46"/>
                          <wps:cNvSpPr/>
                          <wps:spPr>
                            <a:xfrm>
                              <a:off x="143124" y="492981"/>
                              <a:ext cx="61595" cy="61623"/>
                            </a:xfrm>
                            <a:prstGeom prst="triangl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BD5" w:rsidRDefault="00723BD5" w:rsidP="0037611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5172" y="71562"/>
                              <a:ext cx="45719" cy="45719"/>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BD5" w:rsidRDefault="00723BD5" w:rsidP="0037611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51075" y="413468"/>
                              <a:ext cx="46355" cy="4571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BD5" w:rsidRDefault="00723BD5" w:rsidP="0037611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49" name="Text Box 207"/>
                        <wps:cNvSpPr txBox="1"/>
                        <wps:spPr>
                          <a:xfrm>
                            <a:off x="3080343" y="4964736"/>
                            <a:ext cx="1653540" cy="408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BD5" w:rsidRDefault="00723BD5" w:rsidP="00376116">
                              <w:pPr>
                                <w:pStyle w:val="NormalWeb"/>
                                <w:spacing w:before="0" w:beforeAutospacing="0" w:after="0" w:afterAutospacing="0" w:line="276" w:lineRule="auto"/>
                              </w:pPr>
                              <w:r>
                                <w:rPr>
                                  <w:rFonts w:ascii="Arial" w:eastAsia="PMingLiU" w:hAnsi="Arial"/>
                                  <w:sz w:val="12"/>
                                  <w:szCs w:val="12"/>
                                </w:rPr>
                                <w:t>A &amp; C = 95% confidence intervals</w:t>
                              </w:r>
                            </w:p>
                            <w:p w:rsidR="00723BD5" w:rsidRDefault="00723BD5" w:rsidP="00376116">
                              <w:pPr>
                                <w:pStyle w:val="NormalWeb"/>
                                <w:spacing w:before="0" w:beforeAutospacing="0" w:after="0" w:afterAutospacing="0" w:line="276" w:lineRule="auto"/>
                              </w:pPr>
                              <w:r>
                                <w:rPr>
                                  <w:rFonts w:ascii="Arial" w:eastAsia="PMingLiU" w:hAnsi="Arial"/>
                                  <w:sz w:val="12"/>
                                  <w:szCs w:val="12"/>
                                </w:rPr>
                                <w:t> </w:t>
                              </w:r>
                            </w:p>
                            <w:p w:rsidR="00723BD5" w:rsidRDefault="00723BD5" w:rsidP="00376116">
                              <w:pPr>
                                <w:pStyle w:val="NormalWeb"/>
                                <w:spacing w:before="0" w:beforeAutospacing="0" w:after="0" w:afterAutospacing="0" w:line="276" w:lineRule="auto"/>
                              </w:pPr>
                              <w:r>
                                <w:rPr>
                                  <w:rFonts w:ascii="Arial" w:eastAsia="PMingLiU" w:hAnsi="Arial"/>
                                  <w:sz w:val="12"/>
                                  <w:szCs w:val="12"/>
                                </w:rPr>
                                <w:t>B &amp; D = 95% prediction intervals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0" o:spid="_x0000_s1172" editas="canvas" alt="Title: Figure 5.1: Arithmetic and geometric mean background PbB in Australian and overseas adults 1960-2011" style="width:496pt;height:701.85pt;mso-position-horizontal-relative:char;mso-position-vertical-relative:line" coordsize="62992,89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">
                <v:shape id="_x0000_s1173" type="#_x0000_t75" style="position:absolute;width:62992;height:89134;visibility:visible;mso-wrap-style:square">
                  <v:fill o:detectmouseclick="t"/>
                  <v:path o:connecttype="none"/>
                </v:shape>
                <v:shape id="Text Box 10" o:spid="_x0000_s1174" type="#_x0000_t202" style="position:absolute;left:698;top:46307;width:59246;height:4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JHcYA&#10;AADbAAAADwAAAGRycy9kb3ducmV2LnhtbESPQU8CMRCF7yb+h2ZMuEkXDkRXCjEGEmPwwAKJ3ibb&#10;cbu6nS5thfXfMwcTbjN5b977Zr4cfKdOFFMb2MBkXIAiroNtuTGw363vH0CljGyxC0wG/ijBcnF7&#10;M8fShjNv6VTlRkkIpxINuJz7UutUO/KYxqEnFu0rRI9Z1thoG/Es4b7T06KYaY8tS4PDnl4c1T/V&#10;rzewjquq3U9cPD5u3j4+j4fde7/5NmZ0Nzw/gco05Kv5//rVCr7Qyy8y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WJHcYAAADbAAAADwAAAAAAAAAAAAAAAACYAgAAZHJz&#10;L2Rvd25yZXYueG1sUEsFBgAAAAAEAAQA9QAAAIsDAAAAAA==&#10;" filled="f" strokeweight="1.5pt">
                  <v:textbox>
                    <w:txbxContent>
                      <w:p w:rsidR="00723BD5" w:rsidRDefault="00723BD5" w:rsidP="00376116">
                        <w:pPr>
                          <w:spacing w:line="240" w:lineRule="auto"/>
                          <w:rPr>
                            <w:b/>
                            <w:sz w:val="20"/>
                            <w:szCs w:val="20"/>
                          </w:rPr>
                        </w:pPr>
                        <w:r w:rsidRPr="00223059">
                          <w:rPr>
                            <w:b/>
                            <w:sz w:val="20"/>
                            <w:szCs w:val="20"/>
                          </w:rPr>
                          <w:t xml:space="preserve">Figure </w:t>
                        </w:r>
                        <w:r>
                          <w:rPr>
                            <w:b/>
                            <w:sz w:val="20"/>
                            <w:szCs w:val="20"/>
                          </w:rPr>
                          <w:t>5</w:t>
                        </w:r>
                        <w:r w:rsidRPr="00223059">
                          <w:rPr>
                            <w:b/>
                            <w:sz w:val="20"/>
                            <w:szCs w:val="20"/>
                          </w:rPr>
                          <w:t>.1</w:t>
                        </w:r>
                        <w:r w:rsidRPr="00FD7EA2">
                          <w:rPr>
                            <w:b/>
                            <w:sz w:val="20"/>
                            <w:szCs w:val="20"/>
                          </w:rPr>
                          <w:t xml:space="preserve">: Arithmetic and geometric mean background </w:t>
                        </w:r>
                        <w:r>
                          <w:rPr>
                            <w:b/>
                            <w:sz w:val="20"/>
                            <w:szCs w:val="20"/>
                          </w:rPr>
                          <w:t>PbB</w:t>
                        </w:r>
                        <w:r w:rsidRPr="00FD7EA2">
                          <w:rPr>
                            <w:b/>
                            <w:sz w:val="20"/>
                            <w:szCs w:val="20"/>
                          </w:rPr>
                          <w:t xml:space="preserve"> in Australian and overseas adults 1960-2011.</w:t>
                        </w: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p>
                      <w:p w:rsidR="00723BD5" w:rsidRDefault="00723BD5" w:rsidP="00376116">
                        <w:pPr>
                          <w:spacing w:line="240" w:lineRule="auto"/>
                          <w:rPr>
                            <w:sz w:val="18"/>
                            <w:szCs w:val="18"/>
                          </w:rPr>
                        </w:pPr>
                        <w:r>
                          <w:rPr>
                            <w:sz w:val="18"/>
                            <w:szCs w:val="18"/>
                          </w:rPr>
                          <w:t>The figures show a</w:t>
                        </w:r>
                        <w:r w:rsidRPr="00323341">
                          <w:rPr>
                            <w:sz w:val="18"/>
                            <w:szCs w:val="18"/>
                          </w:rPr>
                          <w:t xml:space="preserve">dult </w:t>
                        </w:r>
                        <w:r>
                          <w:rPr>
                            <w:sz w:val="18"/>
                            <w:szCs w:val="18"/>
                          </w:rPr>
                          <w:t>PbB</w:t>
                        </w:r>
                        <w:r w:rsidRPr="00323341">
                          <w:rPr>
                            <w:sz w:val="18"/>
                            <w:szCs w:val="18"/>
                          </w:rPr>
                          <w:t xml:space="preserve"> levels </w:t>
                        </w:r>
                        <w:r w:rsidRPr="00323341">
                          <w:rPr>
                            <w:rFonts w:cs="Arial"/>
                            <w:sz w:val="18"/>
                            <w:szCs w:val="18"/>
                          </w:rPr>
                          <w:t>resulting from general environmental background exposure</w:t>
                        </w:r>
                        <w:r>
                          <w:rPr>
                            <w:rFonts w:cs="Arial"/>
                            <w:sz w:val="18"/>
                            <w:szCs w:val="18"/>
                          </w:rPr>
                          <w:t>.</w:t>
                        </w:r>
                        <w:r w:rsidRPr="00323341">
                          <w:rPr>
                            <w:rFonts w:cs="Arial"/>
                            <w:sz w:val="18"/>
                            <w:szCs w:val="18"/>
                          </w:rPr>
                          <w:t xml:space="preserve"> </w:t>
                        </w:r>
                        <w:r>
                          <w:rPr>
                            <w:sz w:val="18"/>
                            <w:szCs w:val="18"/>
                          </w:rPr>
                          <w:t>The data is in Appendix C.</w:t>
                        </w:r>
                        <w:r w:rsidRPr="00323341">
                          <w:rPr>
                            <w:rFonts w:cs="Arial"/>
                            <w:sz w:val="18"/>
                            <w:szCs w:val="18"/>
                          </w:rPr>
                          <w:t xml:space="preserve"> The</w:t>
                        </w:r>
                        <w:r>
                          <w:rPr>
                            <w:rFonts w:cs="Arial"/>
                            <w:sz w:val="18"/>
                            <w:szCs w:val="18"/>
                          </w:rPr>
                          <w:t>y exclude PbB</w:t>
                        </w:r>
                        <w:r w:rsidRPr="00323341">
                          <w:rPr>
                            <w:rFonts w:cs="Arial"/>
                            <w:sz w:val="18"/>
                            <w:szCs w:val="18"/>
                          </w:rPr>
                          <w:t xml:space="preserve"> measured </w:t>
                        </w:r>
                        <w:r>
                          <w:rPr>
                            <w:rFonts w:cs="Arial"/>
                            <w:sz w:val="18"/>
                            <w:szCs w:val="18"/>
                          </w:rPr>
                          <w:t>in</w:t>
                        </w:r>
                        <w:r w:rsidRPr="00323341">
                          <w:rPr>
                            <w:rFonts w:cs="Arial"/>
                            <w:sz w:val="18"/>
                            <w:szCs w:val="18"/>
                          </w:rPr>
                          <w:t xml:space="preserve"> occupations considered to have had excessive exposure to leaded petrol fumes or automobile exhaust</w:t>
                        </w:r>
                        <w:r>
                          <w:rPr>
                            <w:rFonts w:cs="Arial"/>
                            <w:sz w:val="18"/>
                            <w:szCs w:val="18"/>
                          </w:rPr>
                          <w:t xml:space="preserve"> (</w:t>
                        </w:r>
                        <w:r w:rsidRPr="00323341">
                          <w:rPr>
                            <w:rFonts w:cs="Arial"/>
                            <w:sz w:val="18"/>
                            <w:szCs w:val="18"/>
                          </w:rPr>
                          <w:t>e.g. policemen on foot patrol, garage attendants</w:t>
                        </w:r>
                        <w:r>
                          <w:rPr>
                            <w:rFonts w:cs="Arial"/>
                            <w:sz w:val="18"/>
                            <w:szCs w:val="18"/>
                          </w:rPr>
                          <w:t>).</w:t>
                        </w:r>
                        <w:r w:rsidRPr="00323341">
                          <w:rPr>
                            <w:rFonts w:cs="Arial"/>
                            <w:sz w:val="18"/>
                            <w:szCs w:val="18"/>
                          </w:rPr>
                          <w:t xml:space="preserve"> </w:t>
                        </w:r>
                        <w:r w:rsidRPr="00323341">
                          <w:rPr>
                            <w:sz w:val="18"/>
                            <w:szCs w:val="18"/>
                          </w:rPr>
                          <w:t xml:space="preserve">No data could be </w:t>
                        </w:r>
                        <w:r>
                          <w:rPr>
                            <w:sz w:val="18"/>
                            <w:szCs w:val="18"/>
                          </w:rPr>
                          <w:t xml:space="preserve">located between 1989 and 1995. </w:t>
                        </w:r>
                      </w:p>
                      <w:p w:rsidR="00723BD5" w:rsidRDefault="00723BD5" w:rsidP="00376116">
                        <w:pPr>
                          <w:spacing w:line="240" w:lineRule="auto"/>
                          <w:rPr>
                            <w:sz w:val="18"/>
                            <w:szCs w:val="18"/>
                          </w:rPr>
                        </w:pPr>
                      </w:p>
                      <w:p w:rsidR="00723BD5" w:rsidRPr="00323341" w:rsidRDefault="00723BD5" w:rsidP="00376116">
                        <w:pPr>
                          <w:spacing w:line="240" w:lineRule="auto"/>
                          <w:rPr>
                            <w:sz w:val="18"/>
                            <w:szCs w:val="18"/>
                          </w:rPr>
                        </w:pPr>
                        <w:r>
                          <w:rPr>
                            <w:sz w:val="18"/>
                            <w:szCs w:val="18"/>
                          </w:rPr>
                          <w:t xml:space="preserve">The data collection year does not equal the publication date but precedes it by varying times. </w:t>
                        </w:r>
                      </w:p>
                      <w:p w:rsidR="00723BD5" w:rsidRPr="00323341" w:rsidRDefault="00723BD5" w:rsidP="00376116">
                        <w:pPr>
                          <w:spacing w:line="240" w:lineRule="auto"/>
                          <w:rPr>
                            <w:sz w:val="18"/>
                            <w:szCs w:val="18"/>
                          </w:rPr>
                        </w:pPr>
                      </w:p>
                      <w:p w:rsidR="00723BD5" w:rsidRDefault="00723BD5" w:rsidP="00376116">
                        <w:pPr>
                          <w:spacing w:line="240" w:lineRule="auto"/>
                          <w:rPr>
                            <w:sz w:val="18"/>
                            <w:szCs w:val="18"/>
                          </w:rPr>
                        </w:pPr>
                        <w:r w:rsidRPr="00323341">
                          <w:rPr>
                            <w:sz w:val="18"/>
                            <w:szCs w:val="18"/>
                          </w:rPr>
                          <w:t xml:space="preserve">An arithmetic mean </w:t>
                        </w:r>
                        <w:r>
                          <w:rPr>
                            <w:sz w:val="18"/>
                            <w:szCs w:val="18"/>
                          </w:rPr>
                          <w:t>PbB</w:t>
                        </w:r>
                        <w:r w:rsidRPr="00323341">
                          <w:rPr>
                            <w:sz w:val="18"/>
                            <w:szCs w:val="18"/>
                          </w:rPr>
                          <w:t xml:space="preserve"> of 12.4 </w:t>
                        </w:r>
                        <w:r w:rsidRPr="00323341">
                          <w:rPr>
                            <w:rFonts w:cs="Arial"/>
                            <w:sz w:val="18"/>
                            <w:szCs w:val="18"/>
                          </w:rPr>
                          <w:t>µ</w:t>
                        </w:r>
                        <w:r w:rsidRPr="00323341">
                          <w:rPr>
                            <w:sz w:val="18"/>
                            <w:szCs w:val="18"/>
                          </w:rPr>
                          <w:t xml:space="preserve">g/dL was measured in the year 2000 in Egypt. This data point is much higher than other mean </w:t>
                        </w:r>
                        <w:r>
                          <w:rPr>
                            <w:sz w:val="18"/>
                            <w:szCs w:val="18"/>
                          </w:rPr>
                          <w:t>PbB</w:t>
                        </w:r>
                        <w:r w:rsidRPr="00323341">
                          <w:rPr>
                            <w:sz w:val="18"/>
                            <w:szCs w:val="18"/>
                          </w:rPr>
                          <w:t xml:space="preserve"> levels around that time (1.3-3.8 </w:t>
                        </w:r>
                        <w:r w:rsidRPr="00323341">
                          <w:rPr>
                            <w:rFonts w:cs="Arial"/>
                            <w:sz w:val="18"/>
                            <w:szCs w:val="18"/>
                          </w:rPr>
                          <w:t>µ</w:t>
                        </w:r>
                        <w:r w:rsidRPr="00323341">
                          <w:rPr>
                            <w:sz w:val="18"/>
                            <w:szCs w:val="18"/>
                          </w:rPr>
                          <w:t xml:space="preserve">g/dL), and has been excluded </w:t>
                        </w:r>
                        <w:r>
                          <w:rPr>
                            <w:sz w:val="18"/>
                            <w:szCs w:val="18"/>
                          </w:rPr>
                          <w:t>when fitting</w:t>
                        </w:r>
                        <w:r w:rsidRPr="00323341">
                          <w:rPr>
                            <w:sz w:val="18"/>
                            <w:szCs w:val="18"/>
                          </w:rPr>
                          <w:t xml:space="preserve"> the polynomial trend line. </w:t>
                        </w:r>
                      </w:p>
                      <w:p w:rsidR="00723BD5" w:rsidRPr="00323341" w:rsidRDefault="00723BD5" w:rsidP="00376116">
                        <w:pPr>
                          <w:spacing w:line="240" w:lineRule="auto"/>
                          <w:rPr>
                            <w:sz w:val="18"/>
                            <w:szCs w:val="18"/>
                          </w:rPr>
                        </w:pPr>
                      </w:p>
                      <w:p w:rsidR="00723BD5" w:rsidRPr="00323341" w:rsidRDefault="00723BD5" w:rsidP="00376116">
                        <w:pPr>
                          <w:spacing w:line="240" w:lineRule="auto"/>
                          <w:rPr>
                            <w:sz w:val="18"/>
                            <w:szCs w:val="18"/>
                          </w:rPr>
                        </w:pPr>
                        <w:r w:rsidRPr="00323341">
                          <w:rPr>
                            <w:sz w:val="18"/>
                            <w:szCs w:val="18"/>
                          </w:rPr>
                          <w:t>The third degree polynomial trend line</w:t>
                        </w:r>
                        <w:r>
                          <w:rPr>
                            <w:sz w:val="18"/>
                            <w:szCs w:val="18"/>
                          </w:rPr>
                          <w:t>s</w:t>
                        </w:r>
                        <w:r w:rsidRPr="00323341">
                          <w:rPr>
                            <w:sz w:val="18"/>
                            <w:szCs w:val="18"/>
                          </w:rPr>
                          <w:t xml:space="preserve"> gave the best </w:t>
                        </w:r>
                        <w:r>
                          <w:rPr>
                            <w:sz w:val="18"/>
                            <w:szCs w:val="18"/>
                          </w:rPr>
                          <w:t xml:space="preserve">logical </w:t>
                        </w:r>
                        <w:r w:rsidRPr="00323341">
                          <w:rPr>
                            <w:sz w:val="18"/>
                            <w:szCs w:val="18"/>
                          </w:rPr>
                          <w:t>fit of the data</w:t>
                        </w:r>
                        <w:r>
                          <w:rPr>
                            <w:sz w:val="18"/>
                            <w:szCs w:val="18"/>
                          </w:rPr>
                          <w:t xml:space="preserve"> after visual inspection and comparison of various ‘goodness of fit’ criteria, e.g. residuals, residual sum of squares, R</w:t>
                        </w:r>
                        <w:r>
                          <w:rPr>
                            <w:sz w:val="18"/>
                            <w:szCs w:val="18"/>
                            <w:vertAlign w:val="superscript"/>
                          </w:rPr>
                          <w:t>2</w:t>
                        </w:r>
                        <w:r w:rsidRPr="00323341">
                          <w:rPr>
                            <w:sz w:val="18"/>
                            <w:szCs w:val="18"/>
                          </w:rPr>
                          <w:t>.</w:t>
                        </w:r>
                        <w:r>
                          <w:rPr>
                            <w:sz w:val="18"/>
                            <w:szCs w:val="18"/>
                          </w:rPr>
                          <w:t xml:space="preserve"> Figures A and C show the upper and lower 95% confidence limits around the polynomial. Figures B and D show the 95% prediction intervals. Figures were generated using StatsDirect statistical software Version 2.7.9.</w:t>
                        </w:r>
                      </w:p>
                      <w:p w:rsidR="00723BD5" w:rsidRPr="00323341" w:rsidRDefault="00723BD5" w:rsidP="00376116">
                        <w:pPr>
                          <w:spacing w:line="240" w:lineRule="auto"/>
                          <w:rPr>
                            <w:sz w:val="18"/>
                            <w:szCs w:val="18"/>
                          </w:rPr>
                        </w:pPr>
                      </w:p>
                      <w:p w:rsidR="00723BD5" w:rsidRDefault="00723BD5" w:rsidP="00376116">
                        <w:pPr>
                          <w:spacing w:line="240" w:lineRule="auto"/>
                          <w:rPr>
                            <w:sz w:val="18"/>
                            <w:szCs w:val="18"/>
                          </w:rPr>
                        </w:pPr>
                        <w:r>
                          <w:rPr>
                            <w:sz w:val="18"/>
                            <w:szCs w:val="18"/>
                          </w:rPr>
                          <w:t xml:space="preserve">A </w:t>
                        </w:r>
                        <w:r w:rsidRPr="00323341">
                          <w:rPr>
                            <w:sz w:val="18"/>
                            <w:szCs w:val="18"/>
                          </w:rPr>
                          <w:t xml:space="preserve">decreasing trend of </w:t>
                        </w:r>
                        <w:r>
                          <w:rPr>
                            <w:sz w:val="18"/>
                            <w:szCs w:val="18"/>
                          </w:rPr>
                          <w:t>PbB</w:t>
                        </w:r>
                        <w:r w:rsidRPr="00323341">
                          <w:rPr>
                            <w:sz w:val="18"/>
                            <w:szCs w:val="18"/>
                          </w:rPr>
                          <w:t xml:space="preserve"> levels over time, coinciding with the phasing out of leaded petrol nat</w:t>
                        </w:r>
                        <w:r>
                          <w:rPr>
                            <w:sz w:val="18"/>
                            <w:szCs w:val="18"/>
                          </w:rPr>
                          <w:t>ionally and overseas (Appendix D</w:t>
                        </w:r>
                        <w:r w:rsidRPr="00323341">
                          <w:rPr>
                            <w:sz w:val="18"/>
                            <w:szCs w:val="18"/>
                          </w:rPr>
                          <w:t>)</w:t>
                        </w:r>
                        <w:r>
                          <w:rPr>
                            <w:sz w:val="18"/>
                            <w:szCs w:val="18"/>
                          </w:rPr>
                          <w:t xml:space="preserve"> is readily discernible</w:t>
                        </w:r>
                        <w:r w:rsidRPr="00323341">
                          <w:rPr>
                            <w:sz w:val="18"/>
                            <w:szCs w:val="18"/>
                          </w:rPr>
                          <w:t xml:space="preserve">.  </w:t>
                        </w:r>
                      </w:p>
                      <w:p w:rsidR="00723BD5" w:rsidRDefault="00723BD5" w:rsidP="00376116">
                        <w:pPr>
                          <w:spacing w:line="240" w:lineRule="auto"/>
                          <w:rPr>
                            <w:sz w:val="18"/>
                            <w:szCs w:val="18"/>
                          </w:rPr>
                        </w:pPr>
                      </w:p>
                      <w:p w:rsidR="00723BD5" w:rsidRDefault="00723BD5" w:rsidP="00376116">
                        <w:pPr>
                          <w:spacing w:line="240" w:lineRule="auto"/>
                          <w:rPr>
                            <w:sz w:val="18"/>
                            <w:szCs w:val="18"/>
                          </w:rPr>
                        </w:pPr>
                        <w:r>
                          <w:rPr>
                            <w:sz w:val="18"/>
                            <w:szCs w:val="18"/>
                          </w:rPr>
                          <w:t>The equations of the curves are provided below:</w:t>
                        </w:r>
                      </w:p>
                      <w:p w:rsidR="00723BD5" w:rsidRDefault="00723BD5" w:rsidP="00376116">
                        <w:pPr>
                          <w:spacing w:line="240" w:lineRule="auto"/>
                          <w:rPr>
                            <w:sz w:val="18"/>
                            <w:szCs w:val="18"/>
                          </w:rPr>
                        </w:pPr>
                        <w:r>
                          <w:rPr>
                            <w:sz w:val="18"/>
                            <w:szCs w:val="18"/>
                          </w:rPr>
                          <w:t>Geometric mean PbB = -817812.199 + 1244.631(Year) – 0.631 (Year)</w:t>
                        </w:r>
                        <w:r>
                          <w:rPr>
                            <w:sz w:val="18"/>
                            <w:szCs w:val="18"/>
                            <w:vertAlign w:val="superscript"/>
                          </w:rPr>
                          <w:t>2</w:t>
                        </w:r>
                        <w:r>
                          <w:rPr>
                            <w:sz w:val="18"/>
                            <w:szCs w:val="18"/>
                          </w:rPr>
                          <w:t xml:space="preserve"> + 0.0001 (Year)</w:t>
                        </w:r>
                        <w:r>
                          <w:rPr>
                            <w:sz w:val="18"/>
                            <w:szCs w:val="18"/>
                            <w:vertAlign w:val="superscript"/>
                          </w:rPr>
                          <w:t>3</w:t>
                        </w:r>
                      </w:p>
                      <w:p w:rsidR="00723BD5" w:rsidRDefault="00723BD5" w:rsidP="00376116">
                        <w:pPr>
                          <w:spacing w:line="240" w:lineRule="auto"/>
                          <w:rPr>
                            <w:sz w:val="18"/>
                            <w:szCs w:val="18"/>
                          </w:rPr>
                        </w:pPr>
                        <w:r>
                          <w:rPr>
                            <w:sz w:val="18"/>
                            <w:szCs w:val="18"/>
                          </w:rPr>
                          <w:t>Arithmetic mean PbB = -4003478.19 + 6057.1(Year) – 3.054(Year)</w:t>
                        </w:r>
                        <w:r>
                          <w:rPr>
                            <w:sz w:val="18"/>
                            <w:szCs w:val="18"/>
                            <w:vertAlign w:val="superscript"/>
                          </w:rPr>
                          <w:t>2</w:t>
                        </w:r>
                        <w:r>
                          <w:rPr>
                            <w:sz w:val="18"/>
                            <w:szCs w:val="18"/>
                          </w:rPr>
                          <w:t xml:space="preserve"> + 0.000513 (Year)</w:t>
                        </w:r>
                        <w:r>
                          <w:rPr>
                            <w:sz w:val="18"/>
                            <w:szCs w:val="18"/>
                            <w:vertAlign w:val="superscript"/>
                          </w:rPr>
                          <w:t>3</w:t>
                        </w:r>
                      </w:p>
                      <w:p w:rsidR="00723BD5" w:rsidRDefault="00723BD5" w:rsidP="00376116">
                        <w:pPr>
                          <w:spacing w:line="240" w:lineRule="auto"/>
                          <w:rPr>
                            <w:sz w:val="18"/>
                            <w:szCs w:val="18"/>
                          </w:rPr>
                        </w:pPr>
                      </w:p>
                    </w:txbxContent>
                  </v:textbox>
                </v:shape>
                <v:shape id="Text Box 11" o:spid="_x0000_s1175" type="#_x0000_t202" style="position:absolute;left:40735;width:10245;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NpsMA&#10;AADbAAAADwAAAGRycy9kb3ducmV2LnhtbESPQWvCQBCF70L/wzKFXkQ3yaFIdA1iafVWqh48jtkx&#10;G8zOhuw2Sf+9Kwi9zfDe9+bNqhhtI3rqfO1YQTpPQBCXTtdcKTgdP2cLED4ga2wck4I/8lCsXyYr&#10;zLUb+If6Q6hEDGGfowITQptL6UtDFv3ctcRRu7rOYohrV0nd4RDDbSOzJHmXFmuOFwy2tDVU3g6/&#10;NtawH+Z88X46WHNJyt33124xZkq9vY6bJYhAY/g3P+m9jlwKj1/i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7NpsMAAADbAAAADwAAAAAAAAAAAAAAAACYAgAAZHJzL2Rv&#10;d25yZXYueG1sUEsFBgAAAAAEAAQA9QAAAIgDAAAAAA==&#10;" fillcolor="#ffc" strokeweight="1.25pt">
                  <v:textbox>
                    <w:txbxContent>
                      <w:p w:rsidR="00723BD5" w:rsidRPr="00550A1B" w:rsidRDefault="00723BD5" w:rsidP="00376116">
                        <w:pPr>
                          <w:spacing w:line="240" w:lineRule="auto"/>
                          <w:rPr>
                            <w:b/>
                            <w:sz w:val="16"/>
                            <w:szCs w:val="16"/>
                          </w:rPr>
                        </w:pPr>
                        <w:r w:rsidRPr="00550A1B">
                          <w:rPr>
                            <w:b/>
                            <w:sz w:val="16"/>
                            <w:szCs w:val="16"/>
                          </w:rPr>
                          <w:t>Geometric mean</w:t>
                        </w:r>
                      </w:p>
                    </w:txbxContent>
                  </v:textbox>
                </v:shape>
                <v:shape id="Text Box 299" o:spid="_x0000_s1176" type="#_x0000_t202" style="position:absolute;left:10672;width:1001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2SsIA&#10;AADbAAAADwAAAGRycy9kb3ducmV2LnhtbESPT4vCMBDF7wt+hzCCl0XTVVikGkVc/HOTVQ8ex2Zs&#10;is2kNNHWb28EwdsM7/3evJnOW1uKO9W+cKzgZ5CAIM6cLjhXcDys+mMQPiBrLB2Tggd5mM86X1NM&#10;tWv4n+77kIsYwj5FBSaEKpXSZ4Ys+oGriKN2cbXFENc6l7rGJobbUg6T5FdaLDheMFjR0lB23d9s&#10;rGH/zOns/XdjzTnJNrv1ZtwOlep128UERKA2fMxveqsjN4LXL3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PZKwgAAANsAAAAPAAAAAAAAAAAAAAAAAJgCAABkcnMvZG93&#10;bnJldi54bWxQSwUGAAAAAAQABAD1AAAAhwMAAAAA&#10;" fillcolor="#ffc" strokeweight="1.25pt">
                  <v:textbox>
                    <w:txbxContent>
                      <w:p w:rsidR="00723BD5" w:rsidRDefault="00723BD5" w:rsidP="00376116">
                        <w:pPr>
                          <w:pStyle w:val="NormalWeb"/>
                          <w:spacing w:before="0" w:beforeAutospacing="0" w:after="0" w:afterAutospacing="0" w:line="360" w:lineRule="auto"/>
                        </w:pPr>
                        <w:r>
                          <w:rPr>
                            <w:rFonts w:ascii="Arial" w:eastAsia="PMingLiU" w:hAnsi="Arial"/>
                            <w:b/>
                            <w:bCs/>
                            <w:sz w:val="16"/>
                            <w:szCs w:val="16"/>
                          </w:rPr>
                          <w:t>Arithmetic mean</w:t>
                        </w:r>
                      </w:p>
                    </w:txbxContent>
                  </v:textbox>
                </v:shape>
                <v:line id="Straight Connector 25" o:spid="_x0000_s1177" style="position:absolute;visibility:visible;mso-wrap-style:square" from="30705,0" to="30705,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b8UAAADbAAAADwAAAGRycy9kb3ducmV2LnhtbESPQWvCQBSE74L/YXlCL6IbhdqSuoYo&#10;LZQiSK2Q6yP7mo1m34bs1qT/vlsQPA4z8w2zzgbbiCt1vnasYDFPQBCXTtdcKTh9vc2eQfiArLFx&#10;TAp+yUO2GY/WmGrX8yddj6ESEcI+RQUmhDaV0peGLPq5a4mj9+06iyHKrpK6wz7CbSOXSbKSFmuO&#10;CwZb2hkqL8cfq2D7es4P2jxNd31RFW2/LxL9USj1MBnyFxCBhnAP39rvWsHyEf6/x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b8UAAADbAAAADwAAAAAAAAAA&#10;AAAAAAChAgAAZHJzL2Rvd25yZXYueG1sUEsFBgAAAAAEAAQA+QAAAJMDAAAAAA==&#10;" strokecolor="black [3213]" strokeweight=".5pt"/>
                <v:shape id="Text Box 26" o:spid="_x0000_s1178" type="#_x0000_t202" style="position:absolute;top:14414;width:2159;height:1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8Qb8A&#10;AADbAAAADwAAAGRycy9kb3ducmV2LnhtbESPwQrCMBBE74L/EFbwpqkepFSjiKD04sHqxdvarG2x&#10;2dQmav17Iwgeh9l5s7NYdaYWT2pdZVnBZByBIM6trrhQcDpuRzEI55E11pZJwZscrJb93gITbV98&#10;oGfmCxEg7BJUUHrfJFK6vCSDbmwb4uBdbWvQB9kWUrf4CnBTy2kUzaTBikNDiQ1tSspv2cOEN+5H&#10;u+eU0lie9/H7MtllqTVKDQfdeg7CU+f/x790qhVMZ/DdEgA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PxBvwAAANsAAAAPAAAAAAAAAAAAAAAAAJgCAABkcnMvZG93bnJl&#10;di54bWxQSwUGAAAAAAQABAD1AAAAhAMAAAAA&#10;" fillcolor="white [3201]" stroked="f" strokeweight=".5pt">
                  <v:fill opacity="0"/>
                  <v:textbox style="layout-flow:vertical;mso-layout-flow-alt:bottom-to-top" inset="0,0,0,0">
                    <w:txbxContent>
                      <w:p w:rsidR="00723BD5" w:rsidRPr="00337309" w:rsidRDefault="00723BD5" w:rsidP="00376116">
                        <w:pPr>
                          <w:spacing w:line="240" w:lineRule="auto"/>
                          <w:textboxTightWrap w:val="allLines"/>
                          <w:rPr>
                            <w:sz w:val="20"/>
                            <w:szCs w:val="20"/>
                          </w:rPr>
                        </w:pPr>
                        <w:r w:rsidRPr="00337309">
                          <w:rPr>
                            <w:sz w:val="20"/>
                            <w:szCs w:val="20"/>
                          </w:rPr>
                          <w:t>Blood lead (</w:t>
                        </w:r>
                        <w:r w:rsidRPr="00337309">
                          <w:rPr>
                            <w:rFonts w:cs="Arial"/>
                            <w:sz w:val="20"/>
                            <w:szCs w:val="20"/>
                          </w:rPr>
                          <w:t>µ</w:t>
                        </w:r>
                        <w:r w:rsidRPr="00337309">
                          <w:rPr>
                            <w:sz w:val="20"/>
                            <w:szCs w:val="20"/>
                          </w:rPr>
                          <w:t>g/dL)</w:t>
                        </w:r>
                      </w:p>
                    </w:txbxContent>
                  </v:textbox>
                </v:shape>
                <v:shape id="Text Box 315" o:spid="_x0000_s1179" type="#_x0000_t202" style="position:absolute;left:24324;top:44133;width:14555;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IYMcA&#10;AADbAAAADwAAAGRycy9kb3ducmV2LnhtbESPT2sCMRTE70K/Q3iF3jRboVVWo5TWgtBa8c9Bb4/N&#10;czft5mVNUt320zcFweMwM79hxtPW1uJEPhjHCu57GQjiwmnDpYLt5rU7BBEissbaMSn4oQDTyU1n&#10;jLl2Z17RaR1LkSAcclRQxdjkUoaiIouh5xri5B2ctxiT9KXUHs8JbmvZz7JHadFwWqiwoeeKiq/1&#10;t1XwftwtHz5fdtt6+PE7X5jCm/3sTam72/ZpBCJSG6/hS3uuFfQH8P8l/Q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yGDHAAAA2wAAAA8AAAAAAAAAAAAAAAAAmAIAAGRy&#10;cy9kb3ducmV2LnhtbFBLBQYAAAAABAAEAPUAAACMAwAAAAA=&#10;" fillcolor="white [3201]" stroked="f" strokeweight=".5pt">
                  <v:fill opacity="0"/>
                  <v:textbox>
                    <w:txbxContent>
                      <w:p w:rsidR="00723BD5" w:rsidRPr="00337309" w:rsidRDefault="00723BD5" w:rsidP="00376116">
                        <w:pPr>
                          <w:pStyle w:val="NormalWeb"/>
                          <w:spacing w:before="0" w:beforeAutospacing="0" w:after="0" w:afterAutospacing="0" w:line="360" w:lineRule="auto"/>
                          <w:rPr>
                            <w:sz w:val="20"/>
                            <w:szCs w:val="20"/>
                          </w:rPr>
                        </w:pPr>
                        <w:r w:rsidRPr="00337309">
                          <w:rPr>
                            <w:rFonts w:ascii="Arial" w:eastAsia="PMingLiU" w:hAnsi="Arial"/>
                            <w:sz w:val="20"/>
                            <w:szCs w:val="20"/>
                          </w:rPr>
                          <w:t>Data collection year</w:t>
                        </w:r>
                      </w:p>
                    </w:txbxContent>
                  </v:textbox>
                </v:shape>
                <v:shape id="Text Box 28" o:spid="_x0000_s1180" type="#_x0000_t202" style="position:absolute;left:8128;top:3174;width:1460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723BD5" w:rsidRDefault="00723BD5" w:rsidP="00376116"/>
                    </w:txbxContent>
                  </v:textbox>
                </v:shape>
                <v:shape id="Text Box 61" o:spid="_x0000_s1181" type="#_x0000_t202" style="position:absolute;left:14186;top:4318;width:411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06cQA&#10;AADbAAAADwAAAGRycy9kb3ducmV2LnhtbESP3WrCQBSE7wu+w3KE3jUbLRSNboJKLb0R//IAh+wx&#10;CWbPhuwmpm/fFQq9HGbmG2adjaYRA3WutqxgFsUgiAuray4V5Nf92wKE88gaG8uk4IccZOnkZY2J&#10;tg8+03DxpQgQdgkqqLxvEyldUZFBF9mWOHg32xn0QXal1B0+Atw0ch7HH9JgzWGhwpZ2FRX3S28U&#10;yFPvd/ly+77pZ7QfvuLbof48KvU6HTcrEJ5G/x/+a39rBfMlPL+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NOnEAAAA2wAAAA8AAAAAAAAAAAAAAAAAmAIAAGRycy9k&#10;b3ducmV2LnhtbFBLBQYAAAAABAAEAPUAAACJAwAAAAA=&#10;" fillcolor="#c6d9f1 [671]" strokeweight=".5pt">
                  <v:textbox>
                    <w:txbxContent>
                      <w:p w:rsidR="00723BD5" w:rsidRPr="00684CD3" w:rsidRDefault="00723BD5" w:rsidP="00376116">
                        <w:pPr>
                          <w:pStyle w:val="NormalWeb"/>
                          <w:spacing w:before="0" w:beforeAutospacing="0" w:after="0" w:afterAutospacing="0" w:line="360" w:lineRule="auto"/>
                          <w:jc w:val="center"/>
                          <w:rPr>
                            <w:b/>
                          </w:rPr>
                        </w:pPr>
                        <w:r w:rsidRPr="00684CD3">
                          <w:rPr>
                            <w:rFonts w:ascii="Arial" w:eastAsia="PMingLiU" w:hAnsi="Arial"/>
                            <w:b/>
                            <w:sz w:val="20"/>
                            <w:szCs w:val="20"/>
                          </w:rPr>
                          <w:t>A</w:t>
                        </w:r>
                      </w:p>
                    </w:txbxContent>
                  </v:textbox>
                </v:shape>
                <v:shape id="Text Box 61" o:spid="_x0000_s1182" type="#_x0000_t202" style="position:absolute;left:13720;top:26184;width:411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Lqb8A&#10;AADbAAAADwAAAGRycy9kb3ducmV2LnhtbERPzYrCMBC+L/gOYQRva6qCaDWKispeRK0+wNCMbbGZ&#10;lCat9e03B8Hjx/e/XHemFC3VrrCsYDSMQBCnVhecKbjfDr8zEM4jaywtk4I3OVivej9LjLV98ZXa&#10;xGcihLCLUUHufRVL6dKcDLqhrYgD97C1QR9gnUld4yuEm1KOo2gqDRYcGnKsaJdT+kwao0BeGr+7&#10;z7eTTTOiQ3uMHqdif1Zq0O82CxCeOv8Vf9x/WsEkrA9fw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QupvwAAANsAAAAPAAAAAAAAAAAAAAAAAJgCAABkcnMvZG93bnJl&#10;di54bWxQSwUGAAAAAAQABAD1AAAAhAMAAAAA&#10;" fillcolor="#c6d9f1 [671]" strokeweight=".5pt">
                  <v:textbox>
                    <w:txbxContent>
                      <w:p w:rsidR="00723BD5" w:rsidRDefault="00723BD5" w:rsidP="00376116">
                        <w:pPr>
                          <w:pStyle w:val="NormalWeb"/>
                          <w:spacing w:before="0" w:beforeAutospacing="0" w:after="0" w:afterAutospacing="0" w:line="360" w:lineRule="auto"/>
                          <w:jc w:val="center"/>
                        </w:pPr>
                        <w:r>
                          <w:rPr>
                            <w:rFonts w:ascii="Arial" w:eastAsia="PMingLiU" w:hAnsi="Arial"/>
                            <w:b/>
                            <w:bCs/>
                            <w:sz w:val="20"/>
                            <w:szCs w:val="20"/>
                          </w:rPr>
                          <w:t>B</w:t>
                        </w:r>
                      </w:p>
                    </w:txbxContent>
                  </v:textbox>
                </v:shape>
                <v:shape id="Text Box 60" o:spid="_x0000_s1183" type="#_x0000_t202" style="position:absolute;left:9726;top:23868;width:1459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723BD5" w:rsidRDefault="00723BD5" w:rsidP="00376116">
                        <w:pPr>
                          <w:pStyle w:val="NormalWeb"/>
                          <w:spacing w:before="0" w:beforeAutospacing="0" w:after="0" w:afterAutospacing="0" w:line="360" w:lineRule="auto"/>
                        </w:pPr>
                        <w:r>
                          <w:rPr>
                            <w:rFonts w:ascii="Arial" w:eastAsia="PMingLiU" w:hAnsi="Arial"/>
                            <w:sz w:val="22"/>
                            <w:szCs w:val="22"/>
                          </w:rPr>
                          <w:t> </w:t>
                        </w:r>
                      </w:p>
                    </w:txbxContent>
                  </v:textbox>
                </v:shape>
                <v:shape id="Text Box 60" o:spid="_x0000_s1184" type="#_x0000_t202" style="position:absolute;left:38131;top:2794;width:1459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723BD5" w:rsidRDefault="00723BD5" w:rsidP="00376116">
                        <w:pPr>
                          <w:pStyle w:val="NormalWeb"/>
                          <w:spacing w:before="0" w:beforeAutospacing="0" w:after="0" w:afterAutospacing="0" w:line="360" w:lineRule="auto"/>
                        </w:pPr>
                        <w:r>
                          <w:rPr>
                            <w:rFonts w:ascii="Arial" w:eastAsia="PMingLiU" w:hAnsi="Arial"/>
                            <w:sz w:val="22"/>
                            <w:szCs w:val="22"/>
                          </w:rPr>
                          <w:t> </w:t>
                        </w:r>
                      </w:p>
                    </w:txbxContent>
                  </v:textbox>
                </v:shape>
                <v:shape id="Text Box 60" o:spid="_x0000_s1185" type="#_x0000_t202" style="position:absolute;left:39788;top:24149;width:1459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723BD5" w:rsidRDefault="00723BD5" w:rsidP="00376116">
                        <w:pPr>
                          <w:pStyle w:val="NormalWeb"/>
                          <w:spacing w:before="0" w:beforeAutospacing="0" w:after="0" w:afterAutospacing="0" w:line="360" w:lineRule="auto"/>
                        </w:pPr>
                        <w:r>
                          <w:rPr>
                            <w:rFonts w:ascii="Arial" w:eastAsia="PMingLiU" w:hAnsi="Arial"/>
                            <w:sz w:val="22"/>
                            <w:szCs w:val="22"/>
                          </w:rPr>
                          <w:t> </w:t>
                        </w:r>
                      </w:p>
                    </w:txbxContent>
                  </v:textbox>
                </v:shape>
                <v:shape id="Text Box 61" o:spid="_x0000_s1186" type="#_x0000_t202" style="position:absolute;left:43627;top:4149;width:411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NqsMA&#10;AADbAAAADwAAAGRycy9kb3ducmV2LnhtbESP3YrCMBSE7wXfIRxh72yqLuJ2jaKyijfiz/oAh+bY&#10;lm1OSpPW+vYbQfBymJlvmPmyM6VoqXaFZQWjKAZBnFpdcKbg+rsdzkA4j6yxtEwKHuRguej35pho&#10;e+cztRefiQBhl6CC3PsqkdKlORl0ka2Ig3eztUEfZJ1JXeM9wE0px3E8lQYLDgs5VrTJKf27NEaB&#10;PDV+c/1aT1bNiLbtLr4dip+jUh+DbvUNwlPn3+FXe68VTD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oNqsMAAADbAAAADwAAAAAAAAAAAAAAAACYAgAAZHJzL2Rv&#10;d25yZXYueG1sUEsFBgAAAAAEAAQA9QAAAIgDAAAAAA==&#10;" fillcolor="#c6d9f1 [671]" strokeweight=".5pt">
                  <v:textbox>
                    <w:txbxContent>
                      <w:p w:rsidR="00723BD5" w:rsidRDefault="00723BD5" w:rsidP="00376116">
                        <w:pPr>
                          <w:pStyle w:val="NormalWeb"/>
                          <w:spacing w:before="0" w:beforeAutospacing="0" w:after="0" w:afterAutospacing="0" w:line="360" w:lineRule="auto"/>
                          <w:jc w:val="center"/>
                        </w:pPr>
                        <w:r>
                          <w:rPr>
                            <w:rFonts w:ascii="Arial" w:eastAsia="PMingLiU" w:hAnsi="Arial"/>
                            <w:b/>
                            <w:bCs/>
                            <w:sz w:val="20"/>
                            <w:szCs w:val="20"/>
                          </w:rPr>
                          <w:t>C</w:t>
                        </w:r>
                      </w:p>
                    </w:txbxContent>
                  </v:textbox>
                </v:shape>
                <v:shape id="Text Box 61" o:spid="_x0000_s1187" type="#_x0000_t202" style="position:absolute;left:43964;top:26755;width:411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McMA&#10;AADbAAAADwAAAGRycy9kb3ducmV2LnhtbESP3YrCMBSE7wXfIRxh72yqsuJ2jaKyijfiz/oAh+bY&#10;lm1OSpPW+vYbQfBymJlvmPmyM6VoqXaFZQWjKAZBnFpdcKbg+rsdzkA4j6yxtEwKHuRguej35pho&#10;e+cztRefiQBhl6CC3PsqkdKlORl0ka2Ig3eztUEfZJ1JXeM9wE0px3E8lQYLDgs5VrTJKf27NEaB&#10;PDV+c/1aT1bNiLbtLr4dip+jUh+DbvUNwlPn3+FXe68VTD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oMcMAAADbAAAADwAAAAAAAAAAAAAAAACYAgAAZHJzL2Rv&#10;d25yZXYueG1sUEsFBgAAAAAEAAQA9QAAAIgDAAAAAA==&#10;" fillcolor="#c6d9f1 [671]" strokeweight=".5pt">
                  <v:textbox>
                    <w:txbxContent>
                      <w:p w:rsidR="00723BD5" w:rsidRDefault="00723BD5" w:rsidP="00376116">
                        <w:pPr>
                          <w:pStyle w:val="NormalWeb"/>
                          <w:spacing w:before="0" w:beforeAutospacing="0" w:after="0" w:afterAutospacing="0" w:line="360" w:lineRule="auto"/>
                          <w:jc w:val="center"/>
                        </w:pPr>
                        <w:r>
                          <w:rPr>
                            <w:rFonts w:ascii="Arial" w:eastAsia="PMingLiU" w:hAnsi="Arial"/>
                            <w:b/>
                            <w:bCs/>
                            <w:sz w:val="20"/>
                            <w:szCs w:val="20"/>
                          </w:rPr>
                          <w:t>D</w:t>
                        </w:r>
                      </w:p>
                    </w:txbxContent>
                  </v:textbox>
                </v:shape>
                <v:shape id="Picture 36" o:spid="_x0000_s1188" type="#_x0000_t75" style="position:absolute;left:1200;top:2343;width:29883;height:2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GqvGAAAA2wAAAA8AAABkcnMvZG93bnJldi54bWxEj0FrwkAUhO8F/8PyBG91YxWRNKtIoVCp&#10;UrQp2NtL9pkEs29DdmvS/npXKHgcZuYbJln1phYXal1lWcFkHIEgzq2uuFCQfr4+LkA4j6yxtkwK&#10;fsnBajl4SDDWtuM9XQ6+EAHCLkYFpfdNLKXLSzLoxrYhDt7JtgZ9kG0hdYtdgJtaPkXRXBqsOCyU&#10;2NBLSfn58GMUZK7PjseP3fvsb/eNm65LN9uvSKnRsF8/g/DU+3v4v/2mFUzncPsSfo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caq8YAAADbAAAADwAAAAAAAAAAAAAA&#10;AACfAgAAZHJzL2Rvd25yZXYueG1sUEsFBgAAAAAEAAQA9wAAAJIDAAAAAA==&#10;">
                  <v:imagedata r:id="rId23" o:title="" croptop="6008f" cropbottom="5691f" cropleft="4346f" cropright="14719f"/>
                  <v:path arrowok="t"/>
                </v:shape>
                <v:shape id="Picture 37" o:spid="_x0000_s1189" type="#_x0000_t75" style="position:absolute;left:1200;top:24159;width:29536;height:19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5hbFAAAA2wAAAA8AAABkcnMvZG93bnJldi54bWxEj09rAjEUxO+C3yG8Qi+i2VpQ2Rql1RYE&#10;Qfx38Pi6ec2u3bwsSarbb98UBI/DzPyGmc5bW4sL+VA5VvA0yEAQF05XbBQcDx/9CYgQkTXWjknB&#10;LwWYz7qdKebaXXlHl300IkE45KigjLHJpQxFSRbDwDXEyfty3mJM0hupPV4T3NZymGUjabHitFBi&#10;Q4uSiu/9j1Ww6i3fT+M36jXSn41ZVJ+77Wat1OND+/oCIlIb7+Fbe6UVPI/h/0v6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LOYWxQAAANsAAAAPAAAAAAAAAAAAAAAA&#10;AJ8CAABkcnMvZG93bnJldi54bWxQSwUGAAAAAAQABAD3AAAAkQMAAAAA&#10;">
                  <v:imagedata r:id="rId24" o:title="" croptop="6444f" cropbottom="5860f" cropleft="4238f" cropright="15383f"/>
                  <v:path arrowok="t"/>
                </v:shape>
                <v:shape id="Picture 38" o:spid="_x0000_s1190" type="#_x0000_t75" style="position:absolute;left:30768;top:1792;width:30731;height:2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4YAq+AAAA2wAAAA8AAABkcnMvZG93bnJldi54bWxET89rwjAUvg/8H8ITvM3UDqbURlFhsKtV&#10;PD+aZ9PavLRNVut/vxwGO358v/P9ZFsx0uBrxwpWywQEcel0zZWC6+XrfQPCB2SNrWNS8CIP+93s&#10;LcdMuyefaSxCJWII+wwVmBC6TEpfGrLol64jjtzdDRZDhEMl9YDPGG5bmSbJp7RYc2ww2NHJUPko&#10;fqwCNP26XYe+4eOtKUbqzkXqJqUW8+mwBRFoCv/iP/e3VvARx8Yv8QfI3S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M4YAq+AAAA2wAAAA8AAAAAAAAAAAAAAAAAnwIAAGRy&#10;cy9kb3ducmV2LnhtbFBLBQYAAAAABAAEAPcAAACKAwAAAAA=&#10;">
                  <v:imagedata r:id="rId25" o:title="" croptop="5603f" cropbottom="5113f" cropleft="4217f" cropright="14934f"/>
                  <v:path arrowok="t"/>
                </v:shape>
                <v:shape id="Picture 39" o:spid="_x0000_s1191" type="#_x0000_t75" style="position:absolute;left:30803;top:24149;width:30099;height:19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BgfCAAAA2wAAAA8AAABkcnMvZG93bnJldi54bWxEj0+LwjAUxO+C3yE8YW+augXRrrG4orAn&#10;wT/g9dG8bWubl9JE291PbwTB4zDzm2GWaW9qcafWlZYVTCcRCOLM6pJzBefTbjwH4TyyxtoyKfgj&#10;B+lqOFhiom3HB7offS5CCbsEFRTeN4mULivIoJvYhjh4v7Y16INsc6lb7EK5qeVnFM2kwZLDQoEN&#10;bQrKquPNKIjXbvO9iGUnrxe7Rb3f/se+Uupj1K+/QHjq/Tv8on904Bbw/B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SwYHwgAAANsAAAAPAAAAAAAAAAAAAAAAAJ8C&#10;AABkcnMvZG93bnJldi54bWxQSwUGAAAAAAQABAD3AAAAjgMAAAAA&#10;">
                  <v:imagedata r:id="rId26" o:title="" croptop="6789f" cropbottom="6178f" cropleft="4401f" cropright="14525f"/>
                  <v:path arrowok="t"/>
                </v:shape>
                <v:group id="Group 41" o:spid="_x0000_s1192" style="position:absolute;left:17851;top:49615;width:8820;height:6382" coordsize="8825,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85" o:spid="_x0000_s1193" type="#_x0000_t202" style="position:absolute;width:8825;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723BD5" w:rsidRDefault="00723BD5" w:rsidP="00376116">
                          <w:pPr>
                            <w:pStyle w:val="NormalWeb"/>
                            <w:spacing w:before="0" w:beforeAutospacing="0" w:after="0" w:afterAutospacing="0"/>
                          </w:pPr>
                          <w:r>
                            <w:rPr>
                              <w:rFonts w:ascii="Arial" w:eastAsia="PMingLiU" w:hAnsi="Arial"/>
                              <w:sz w:val="18"/>
                              <w:szCs w:val="18"/>
                            </w:rPr>
                            <w:t xml:space="preserve">       </w:t>
                          </w:r>
                          <w:r>
                            <w:rPr>
                              <w:rFonts w:ascii="Arial" w:eastAsia="PMingLiU" w:hAnsi="Arial"/>
                              <w:sz w:val="12"/>
                              <w:szCs w:val="12"/>
                            </w:rPr>
                            <w:t>Australia</w:t>
                          </w:r>
                        </w:p>
                        <w:p w:rsidR="00723BD5" w:rsidRDefault="00723BD5" w:rsidP="00376116">
                          <w:pPr>
                            <w:pStyle w:val="NormalWeb"/>
                            <w:spacing w:before="0" w:beforeAutospacing="0" w:after="0" w:afterAutospacing="0"/>
                            <w:ind w:left="360"/>
                          </w:pPr>
                          <w:r>
                            <w:rPr>
                              <w:rFonts w:ascii="Arial" w:eastAsia="PMingLiU" w:hAnsi="Arial"/>
                              <w:sz w:val="12"/>
                              <w:szCs w:val="12"/>
                            </w:rPr>
                            <w:t>UK</w:t>
                          </w:r>
                        </w:p>
                        <w:p w:rsidR="00723BD5" w:rsidRDefault="00723BD5" w:rsidP="00376116">
                          <w:pPr>
                            <w:pStyle w:val="NormalWeb"/>
                            <w:spacing w:before="0" w:beforeAutospacing="0" w:after="0" w:afterAutospacing="0"/>
                          </w:pPr>
                          <w:r>
                            <w:rPr>
                              <w:rFonts w:ascii="Arial" w:eastAsia="PMingLiU" w:hAnsi="Arial"/>
                              <w:sz w:val="12"/>
                              <w:szCs w:val="12"/>
                            </w:rPr>
                            <w:t xml:space="preserve">           Germany</w:t>
                          </w:r>
                        </w:p>
                        <w:p w:rsidR="00723BD5" w:rsidRDefault="00723BD5" w:rsidP="00376116">
                          <w:pPr>
                            <w:pStyle w:val="NormalWeb"/>
                            <w:spacing w:before="0" w:beforeAutospacing="0" w:after="0" w:afterAutospacing="0"/>
                          </w:pPr>
                          <w:r>
                            <w:rPr>
                              <w:rFonts w:ascii="Arial" w:eastAsia="PMingLiU" w:hAnsi="Arial"/>
                              <w:sz w:val="12"/>
                              <w:szCs w:val="12"/>
                            </w:rPr>
                            <w:t xml:space="preserve">           USA</w:t>
                          </w:r>
                        </w:p>
                        <w:p w:rsidR="00723BD5" w:rsidRDefault="00723BD5" w:rsidP="00376116">
                          <w:pPr>
                            <w:pStyle w:val="NormalWeb"/>
                            <w:spacing w:before="0" w:beforeAutospacing="0" w:after="0" w:afterAutospacing="0"/>
                          </w:pPr>
                          <w:r>
                            <w:rPr>
                              <w:rFonts w:ascii="Arial" w:eastAsia="PMingLiU" w:hAnsi="Arial"/>
                              <w:sz w:val="12"/>
                              <w:szCs w:val="12"/>
                            </w:rPr>
                            <w:t xml:space="preserve">           New Zealand</w:t>
                          </w:r>
                        </w:p>
                        <w:p w:rsidR="00723BD5" w:rsidRDefault="00723BD5" w:rsidP="00376116">
                          <w:pPr>
                            <w:pStyle w:val="NormalWeb"/>
                            <w:spacing w:before="0" w:beforeAutospacing="0" w:after="0" w:afterAutospacing="0" w:line="360" w:lineRule="auto"/>
                          </w:pPr>
                          <w:r>
                            <w:rPr>
                              <w:rFonts w:ascii="Arial" w:eastAsia="PMingLiU" w:hAnsi="Arial"/>
                              <w:sz w:val="12"/>
                              <w:szCs w:val="12"/>
                            </w:rPr>
                            <w:t xml:space="preserve">           Other</w:t>
                          </w:r>
                        </w:p>
                      </w:txbxContent>
                    </v:textbox>
                  </v:shape>
                  <v:oval id="Oval 43" o:spid="_x0000_s1194" style="position:absolute;left:1431;top:1510;width:50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GC8QA&#10;AADbAAAADwAAAGRycy9kb3ducmV2LnhtbESPT2vCQBTE7wW/w/IEb83GKrWkriJCgwehNI331+xr&#10;Es2+Ddk1f759t1DocZiZ3zDb/Wga0VPnassKllEMgriwuuZSQf759vgCwnlkjY1lUjCRg/1u9rDF&#10;RNuBP6jPfCkChF2CCirv20RKV1Rk0EW2JQ7et+0M+iC7UuoOhwA3jXyK42dpsOawUGFLx4qKW3Y3&#10;Cvprdq4v09cy36T6/u5XMp2mXqnFfDy8gvA0+v/wX/ukFaxX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gvEAAAA2wAAAA8AAAAAAAAAAAAAAAAAmAIAAGRycy9k&#10;b3ducmV2LnhtbFBLBQYAAAAABAAEAPUAAACJAwAAAAA=&#10;" fillcolor="white [3212]" strokecolor="black [3213]" strokeweight="1pt">
                    <v:textbox>
                      <w:txbxContent>
                        <w:p w:rsidR="00723BD5" w:rsidRDefault="00723BD5" w:rsidP="00376116">
                          <w:pPr>
                            <w:rPr>
                              <w:rFonts w:eastAsia="Times New Roman"/>
                            </w:rP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195" type="#_x0000_t5" style="position:absolute;left:1351;top:2226;width:584;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uEsUA&#10;AADbAAAADwAAAGRycy9kb3ducmV2LnhtbESPT2vCQBTE74LfYXkFL0U3LVI0dRWxBHLpwT8Hj4/s&#10;M0mbfZvurhrz6buC4HGYmd8wi1VnGnEh52vLCt4mCQjiwuqaSwWHfTaegfABWWNjmRTcyMNqORws&#10;MNX2ylu67EIpIoR9igqqENpUSl9UZNBPbEscvZN1BkOUrpTa4TXCTSPfk+RDGqw5LlTY0qai4nd3&#10;NgrC6/ffbJv1bv71I/v8eM76fJMpNXrp1p8gAnXhGX60c61gOoX7l/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W4SxQAAANsAAAAPAAAAAAAAAAAAAAAAAJgCAABkcnMv&#10;ZG93bnJldi54bWxQSwUGAAAAAAQABAD1AAAAigMAAAAA&#10;" fillcolor="black [3213]" strokecolor="black [3213]" strokeweight=".25pt">
                    <v:textbox>
                      <w:txbxContent>
                        <w:p w:rsidR="00723BD5" w:rsidRDefault="00723BD5" w:rsidP="00376116">
                          <w:pPr>
                            <w:rPr>
                              <w:rFonts w:eastAsia="Times New Roman"/>
                            </w:rPr>
                          </w:pPr>
                        </w:p>
                      </w:txbxContent>
                    </v:textbox>
                  </v:shape>
                  <v:oval id="Oval 45" o:spid="_x0000_s1196" style="position:absolute;left:1431;top:3260;width:469;height: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Xb8UA&#10;AADbAAAADwAAAGRycy9kb3ducmV2LnhtbESPT2vCQBTE7wW/w/KE3urG0haJbqQIgtCD9U/r9Zl9&#10;yYZm38bsNkm/vSsUPA4z8xtmsRxsLTpqfeVYwXSSgCDOna64VHA8rJ9mIHxA1lg7JgV/5GGZjR4W&#10;mGrX8466fShFhLBPUYEJoUml9Lkhi37iGuLoFa61GKJsS6lb7CPc1vI5Sd6kxYrjgsGGVobyn/2v&#10;VZB8HL4ua7stNvL7fNmWnzt5OhmlHsfD+xxEoCHcw//tjVbw8gq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VdvxQAAANsAAAAPAAAAAAAAAAAAAAAAAJgCAABkcnMv&#10;ZG93bnJldi54bWxQSwUGAAAAAAQABAD1AAAAigMAAAAA&#10;" fillcolor="black [3213]" strokecolor="black [3213]" strokeweight=".25pt">
                    <v:textbox>
                      <w:txbxContent>
                        <w:p w:rsidR="00723BD5" w:rsidRDefault="00723BD5" w:rsidP="00376116">
                          <w:pPr>
                            <w:rPr>
                              <w:rFonts w:eastAsia="Times New Roman"/>
                            </w:rPr>
                          </w:pPr>
                        </w:p>
                      </w:txbxContent>
                    </v:textbox>
                  </v:oval>
                  <v:shape id="Isosceles Triangle 46" o:spid="_x0000_s1197" type="#_x0000_t5" style="position:absolute;left:1431;top:4929;width:616;height: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kL8EA&#10;AADbAAAADwAAAGRycy9kb3ducmV2LnhtbESPQWsCMRSE74L/ITyhN00sRWQ1igiCUDxUxfMjeW4W&#10;Ny/rJrprf31TKPQ4zMw3zHLd+1o8qY1VYA3TiQJBbIKtuNRwPu3GcxAxIVusA5OGF0VYr4aDJRY2&#10;dPxFz2MqRYZwLFCDS6kppIzGkcc4CQ1x9q6h9ZiybEtpW+wy3NfyXamZ9FhxXnDY0NaRuR0fXkM/&#10;v6Aym3OdTq77VHyPh/230fpt1G8WIBL16T/8195bDR8z+P2Sf4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JC/BAAAA2wAAAA8AAAAAAAAAAAAAAAAAmAIAAGRycy9kb3du&#10;cmV2LnhtbFBLBQYAAAAABAAEAPUAAACGAwAAAAA=&#10;" fillcolor="white [3212]" strokecolor="black [3213]" strokeweight="1pt">
                    <v:textbox>
                      <w:txbxContent>
                        <w:p w:rsidR="00723BD5" w:rsidRDefault="00723BD5" w:rsidP="00376116">
                          <w:pPr>
                            <w:rPr>
                              <w:rFonts w:eastAsia="Times New Roman"/>
                            </w:rPr>
                          </w:pPr>
                        </w:p>
                      </w:txbxContent>
                    </v:textbox>
                  </v:shape>
                  <v:rect id="Rectangle 47" o:spid="_x0000_s1198" style="position:absolute;left:1351;top:7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C98MA&#10;AADbAAAADwAAAGRycy9kb3ducmV2LnhtbESPQWvCQBSE70L/w/IKvemmUlSim1CKVqEntSC9PbLP&#10;Teju25DdxuTfu4VCj8PMfMNsysFZ0VMXGs8KnmcZCOLK64aNgs/zbroCESKyRuuZFIwUoCweJhvM&#10;tb/xkfpTNCJBOOSooI6xzaUMVU0Ow8y3xMm7+s5hTLIzUnd4S3Bn5TzLFtJhw2mhxpbeaqq+Tz9O&#10;gf74GuyF3CU6vzd224+7dzMq9fQ4vK5BRBrif/ivfdAKXpb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1C98MAAADbAAAADwAAAAAAAAAAAAAAAACYAgAAZHJzL2Rv&#10;d25yZXYueG1sUEsFBgAAAAAEAAQA9QAAAIgDAAAAAA==&#10;" fillcolor="black [3213]" strokecolor="black [3213]" strokeweight=".25pt">
                    <v:textbox>
                      <w:txbxContent>
                        <w:p w:rsidR="00723BD5" w:rsidRDefault="00723BD5" w:rsidP="00376116">
                          <w:pPr>
                            <w:rPr>
                              <w:rFonts w:eastAsia="Times New Roman"/>
                            </w:rPr>
                          </w:pPr>
                        </w:p>
                      </w:txbxContent>
                    </v:textbox>
                  </v:rect>
                  <v:rect id="Rectangle 48" o:spid="_x0000_s1199" style="position:absolute;left:1510;top:4134;width:46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e+MAA&#10;AADbAAAADwAAAGRycy9kb3ducmV2LnhtbERPTU/CQBC9k/AfNmPiDbY2BExlaUCDAjdROU+6Q9vQ&#10;mW26K1R/PXsg4fjyvud5z406U+drJwaexgkoksLZWkoD31/r0TMoH1AsNk7IwB95yBfDwRwz6y7y&#10;Sed9KFUMEZ+hgSqENtPaFxUx+rFrSSJ3dB1jiLArte3wEsO50WmSTDVjLbGhwpZeKypO+182wDtZ&#10;tT8fCXI63f57Lt5nb/XBmMeHfvkCKlAf7uKbe2MNTOLY+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Te+MAAAADbAAAADwAAAAAAAAAAAAAAAACYAgAAZHJzL2Rvd25y&#10;ZXYueG1sUEsFBgAAAAAEAAQA9QAAAIUDAAAAAA==&#10;" fillcolor="white [3212]" strokecolor="black [3213]" strokeweight="1pt">
                    <v:textbox>
                      <w:txbxContent>
                        <w:p w:rsidR="00723BD5" w:rsidRDefault="00723BD5" w:rsidP="00376116">
                          <w:pPr>
                            <w:rPr>
                              <w:rFonts w:eastAsia="Times New Roman"/>
                            </w:rPr>
                          </w:pPr>
                        </w:p>
                      </w:txbxContent>
                    </v:textbox>
                  </v:rect>
                </v:group>
                <v:shape id="Text Box 207" o:spid="_x0000_s1200" type="#_x0000_t202" style="position:absolute;left:30803;top:49647;width:1653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723BD5" w:rsidRDefault="00723BD5" w:rsidP="00376116">
                        <w:pPr>
                          <w:pStyle w:val="NormalWeb"/>
                          <w:spacing w:before="0" w:beforeAutospacing="0" w:after="0" w:afterAutospacing="0" w:line="276" w:lineRule="auto"/>
                        </w:pPr>
                        <w:r>
                          <w:rPr>
                            <w:rFonts w:ascii="Arial" w:eastAsia="PMingLiU" w:hAnsi="Arial"/>
                            <w:sz w:val="12"/>
                            <w:szCs w:val="12"/>
                          </w:rPr>
                          <w:t>A &amp; C = 95% confidence intervals</w:t>
                        </w:r>
                      </w:p>
                      <w:p w:rsidR="00723BD5" w:rsidRDefault="00723BD5" w:rsidP="00376116">
                        <w:pPr>
                          <w:pStyle w:val="NormalWeb"/>
                          <w:spacing w:before="0" w:beforeAutospacing="0" w:after="0" w:afterAutospacing="0" w:line="276" w:lineRule="auto"/>
                        </w:pPr>
                        <w:r>
                          <w:rPr>
                            <w:rFonts w:ascii="Arial" w:eastAsia="PMingLiU" w:hAnsi="Arial"/>
                            <w:sz w:val="12"/>
                            <w:szCs w:val="12"/>
                          </w:rPr>
                          <w:t> </w:t>
                        </w:r>
                      </w:p>
                      <w:p w:rsidR="00723BD5" w:rsidRDefault="00723BD5" w:rsidP="00376116">
                        <w:pPr>
                          <w:pStyle w:val="NormalWeb"/>
                          <w:spacing w:before="0" w:beforeAutospacing="0" w:after="0" w:afterAutospacing="0" w:line="276" w:lineRule="auto"/>
                        </w:pPr>
                        <w:r>
                          <w:rPr>
                            <w:rFonts w:ascii="Arial" w:eastAsia="PMingLiU" w:hAnsi="Arial"/>
                            <w:sz w:val="12"/>
                            <w:szCs w:val="12"/>
                          </w:rPr>
                          <w:t>B &amp; D = 95% prediction intervals</w:t>
                        </w:r>
                      </w:p>
                    </w:txbxContent>
                  </v:textbox>
                </v:shape>
                <w10:anchorlock/>
              </v:group>
            </w:pict>
          </mc:Fallback>
        </mc:AlternateContent>
      </w:r>
    </w:p>
    <w:p w:rsidR="00376116" w:rsidRPr="00E9631E" w:rsidRDefault="00376116" w:rsidP="00376116">
      <w:r>
        <w:lastRenderedPageBreak/>
        <w:t>Figure 5.1 provides the 95% confidence intervals around the central estimate of the population means and therefore provides information about the precision of the central estimate. Also included are</w:t>
      </w:r>
      <w:r w:rsidRPr="00E9631E">
        <w:t xml:space="preserve"> the prediction interval</w:t>
      </w:r>
      <w:r>
        <w:t>s</w:t>
      </w:r>
      <w:r>
        <w:rPr>
          <w:rStyle w:val="FootnoteReference"/>
        </w:rPr>
        <w:footnoteReference w:id="26"/>
      </w:r>
      <w:r w:rsidRPr="00E9631E">
        <w:t xml:space="preserve"> within which a population mean </w:t>
      </w:r>
      <w:r w:rsidR="000C3863">
        <w:t>PbB</w:t>
      </w:r>
      <w:r w:rsidRPr="00E9631E">
        <w:t xml:space="preserve"> concentration is forecast to fall for any given year.</w:t>
      </w:r>
      <w:r>
        <w:t xml:space="preserve"> This is an indication of the variability of the population mean data points (see </w:t>
      </w:r>
      <w:r w:rsidRPr="00DD211D">
        <w:t xml:space="preserve">also Section </w:t>
      </w:r>
      <w:r>
        <w:t>5</w:t>
      </w:r>
      <w:r w:rsidRPr="00DD211D">
        <w:t>.5).</w:t>
      </w:r>
    </w:p>
    <w:p w:rsidR="00376116" w:rsidRDefault="00376116" w:rsidP="00376116"/>
    <w:p w:rsidR="00376116" w:rsidRDefault="00376116" w:rsidP="00376116">
      <w:r w:rsidRPr="00E14F33">
        <w:t xml:space="preserve">It is notable that </w:t>
      </w:r>
      <w:r w:rsidRPr="00DD211D">
        <w:t xml:space="preserve">none of the studies consulted </w:t>
      </w:r>
      <w:r w:rsidR="00780CE8">
        <w:t xml:space="preserve">in </w:t>
      </w:r>
      <w:r w:rsidRPr="00DD211D">
        <w:t xml:space="preserve">Section </w:t>
      </w:r>
      <w:r w:rsidR="00004157">
        <w:t>5</w:t>
      </w:r>
      <w:r>
        <w:t xml:space="preserve">.6 </w:t>
      </w:r>
      <w:r w:rsidRPr="00E14F33">
        <w:t xml:space="preserve">accounted for background </w:t>
      </w:r>
      <w:r>
        <w:t>PbB</w:t>
      </w:r>
      <w:r w:rsidRPr="00E14F33">
        <w:t xml:space="preserve"> when reporting an ASF.</w:t>
      </w:r>
      <w:r>
        <w:t xml:space="preserve">  </w:t>
      </w:r>
    </w:p>
    <w:p w:rsidR="00376116" w:rsidRDefault="00376116" w:rsidP="00376116">
      <w:pPr>
        <w:rPr>
          <w:b/>
        </w:rPr>
      </w:pPr>
    </w:p>
    <w:p w:rsidR="00376116" w:rsidRPr="001F5AE3" w:rsidRDefault="00376116" w:rsidP="00376116">
      <w:pPr>
        <w:pStyle w:val="Heading3"/>
      </w:pPr>
      <w:bookmarkStart w:id="39" w:name="_Toc391288247"/>
      <w:r>
        <w:t>5</w:t>
      </w:r>
      <w:r w:rsidRPr="001F5AE3">
        <w:t>.3.3 Non-airborne workplace contamination</w:t>
      </w:r>
      <w:bookmarkEnd w:id="39"/>
    </w:p>
    <w:p w:rsidR="00376116" w:rsidRDefault="00376116" w:rsidP="00376116">
      <w:r w:rsidRPr="00A43CC7">
        <w:t xml:space="preserve">In the context of setting a WES, ‘background’ exposure is taken to be any contribution to PbB that is not the result of </w:t>
      </w:r>
      <w:r w:rsidR="0072100B">
        <w:t>PbAir</w:t>
      </w:r>
      <w:r w:rsidRPr="00A43CC7">
        <w:t xml:space="preserve">. </w:t>
      </w:r>
      <w:r>
        <w:t xml:space="preserve">This designation of ‘background’ exposure </w:t>
      </w:r>
      <w:r w:rsidRPr="00A43CC7">
        <w:t>inc</w:t>
      </w:r>
      <w:r>
        <w:t>ludes general community sources and</w:t>
      </w:r>
      <w:r w:rsidRPr="00A43CC7">
        <w:t xml:space="preserve"> diet </w:t>
      </w:r>
      <w:r>
        <w:t xml:space="preserve">as described in Section 5.3.2 but also </w:t>
      </w:r>
      <w:r w:rsidRPr="00A43CC7">
        <w:t xml:space="preserve">non-airborne workplace contamination. The source of </w:t>
      </w:r>
      <w:r>
        <w:t xml:space="preserve">non-airborne workplace </w:t>
      </w:r>
      <w:r w:rsidRPr="00A43CC7">
        <w:t xml:space="preserve">exposure should be controllable to negligible </w:t>
      </w:r>
      <w:r>
        <w:t xml:space="preserve">or low </w:t>
      </w:r>
      <w:r w:rsidRPr="00A43CC7">
        <w:t>levels by good housekeeping and hygiene practice</w:t>
      </w:r>
      <w:r>
        <w:rPr>
          <w:rStyle w:val="FootnoteReference"/>
        </w:rPr>
        <w:footnoteReference w:id="27"/>
      </w:r>
      <w:r w:rsidRPr="00A43CC7">
        <w:t xml:space="preserve">. </w:t>
      </w:r>
      <w:r w:rsidR="00720C2A">
        <w:t xml:space="preserve">It is nonetheless acknowledged that incidental ingestion by hand-mouth transfer of workplace lead laden dust is an important and perhaps a major contributor to a </w:t>
      </w:r>
      <w:r w:rsidR="009655DC">
        <w:t>worker’s</w:t>
      </w:r>
      <w:r w:rsidR="00720C2A">
        <w:t xml:space="preserve"> PbB (Ulenbelt et al. 1990, Lai et al. 1997).</w:t>
      </w:r>
    </w:p>
    <w:p w:rsidR="00376116" w:rsidRDefault="00376116" w:rsidP="00376116"/>
    <w:p w:rsidR="00376116" w:rsidRDefault="00376116" w:rsidP="00376116">
      <w:r>
        <w:t>N</w:t>
      </w:r>
      <w:r w:rsidRPr="004000D4">
        <w:t>on-airborne workplace contamination</w:t>
      </w:r>
      <w:r w:rsidRPr="00A43CC7">
        <w:t xml:space="preserve"> could however be incorporated </w:t>
      </w:r>
      <w:r>
        <w:t xml:space="preserve">into a WES </w:t>
      </w:r>
      <w:r w:rsidRPr="00A43CC7">
        <w:t xml:space="preserve">in a similar way to how other exposure guidelines for substances in environmental media are set. That is by allocating a default fraction of the </w:t>
      </w:r>
      <w:r w:rsidR="00314205">
        <w:t>BLRL</w:t>
      </w:r>
      <w:r w:rsidRPr="00A43CC7">
        <w:t xml:space="preserve"> to non-airborne workplace contamination, say 20%, the balance (after deducting background PbB) is then assigned </w:t>
      </w:r>
      <w:r>
        <w:t xml:space="preserve">to </w:t>
      </w:r>
      <w:r w:rsidR="0072100B">
        <w:t>PbAir</w:t>
      </w:r>
      <w:r w:rsidRPr="00A43CC7">
        <w:t xml:space="preserve"> and calculated using the appropriate ASF. </w:t>
      </w:r>
      <w:r w:rsidR="00EE7359">
        <w:t xml:space="preserve">In this report however it was </w:t>
      </w:r>
      <w:r w:rsidR="009655DC">
        <w:t>chosen</w:t>
      </w:r>
      <w:r w:rsidR="00EE7359">
        <w:t xml:space="preserve"> to derive ASFs that inherently included an occupational non-inhalational component in the PbB used in calculations for the ASF. Since the studies are from a number of diverse industries it has been assumed the average ASF from these studies will be broadly applicable to Australian industries where there may be exposure by incidental ingestion of lead dust, as well as by inhalation of the dust. The uncertainty associated with this approach is discussed in Section 5.6.2.</w:t>
      </w:r>
      <w:r w:rsidRPr="00A43CC7">
        <w:t xml:space="preserve">  </w:t>
      </w:r>
    </w:p>
    <w:p w:rsidR="00376116" w:rsidRDefault="00376116" w:rsidP="00376116">
      <w:pPr>
        <w:ind w:left="2943"/>
      </w:pPr>
      <w:r>
        <w:br w:type="page"/>
      </w:r>
    </w:p>
    <w:p w:rsidR="00376116" w:rsidRPr="002E2EF8" w:rsidRDefault="00376116" w:rsidP="00376116">
      <w:pPr>
        <w:pStyle w:val="Heading2"/>
        <w:rPr>
          <w:szCs w:val="24"/>
        </w:rPr>
      </w:pPr>
      <w:bookmarkStart w:id="40" w:name="_Toc391288248"/>
      <w:r>
        <w:rPr>
          <w:szCs w:val="24"/>
        </w:rPr>
        <w:lastRenderedPageBreak/>
        <w:t>5</w:t>
      </w:r>
      <w:r w:rsidRPr="002E2EF8">
        <w:rPr>
          <w:szCs w:val="24"/>
        </w:rPr>
        <w:t>.4 Particle size</w:t>
      </w:r>
      <w:bookmarkEnd w:id="40"/>
    </w:p>
    <w:p w:rsidR="00376116" w:rsidRDefault="00376116" w:rsidP="00376116">
      <w:r w:rsidRPr="005C2E9D">
        <w:t>From a health perspective measurement of lead in the airborne inhalable (≤ 100 µm</w:t>
      </w:r>
      <w:r>
        <w:t>, 50% cut-off [NOHSC 1995]</w:t>
      </w:r>
      <w:r w:rsidRPr="005C2E9D">
        <w:t xml:space="preserve">) dust fraction is more informative than lead in total dust measurements. </w:t>
      </w:r>
      <w:r>
        <w:t xml:space="preserve">This is because lead particles larger than 100 </w:t>
      </w:r>
      <w:r>
        <w:rPr>
          <w:rFonts w:cs="Arial"/>
        </w:rPr>
        <w:t>µ</w:t>
      </w:r>
      <w:r>
        <w:t xml:space="preserve">m will tend not to remain airborne for long and will settle out. For </w:t>
      </w:r>
      <w:r w:rsidR="00CF26E9">
        <w:t xml:space="preserve">exposure to </w:t>
      </w:r>
      <w:r>
        <w:t xml:space="preserve">lead </w:t>
      </w:r>
      <w:r w:rsidR="00CF26E9">
        <w:t xml:space="preserve">dusts </w:t>
      </w:r>
      <w:r>
        <w:t xml:space="preserve">the inhalable fraction is also more relevant than the respirable fraction </w:t>
      </w:r>
      <w:r w:rsidRPr="00CC313B">
        <w:t>(50% cut off 5 µm</w:t>
      </w:r>
      <w:r>
        <w:t xml:space="preserve"> </w:t>
      </w:r>
      <w:r w:rsidRPr="00FB706B">
        <w:t>[NOHSC 1995]</w:t>
      </w:r>
      <w:r w:rsidRPr="00CC313B">
        <w:t>)</w:t>
      </w:r>
      <w:r>
        <w:t xml:space="preserve"> because a portion of the inhaled particles will be swallowed and be subject to absorption </w:t>
      </w:r>
      <w:r>
        <w:rPr>
          <w:rStyle w:val="FootnoteReference"/>
        </w:rPr>
        <w:footnoteReference w:id="28"/>
      </w:r>
      <w:r>
        <w:t xml:space="preserve">. </w:t>
      </w:r>
    </w:p>
    <w:p w:rsidR="00376116" w:rsidRDefault="00376116" w:rsidP="00376116"/>
    <w:p w:rsidR="00376116" w:rsidRDefault="00376116" w:rsidP="00376116">
      <w:r w:rsidRPr="0015416D">
        <w:t>More recent studies</w:t>
      </w:r>
      <w:r w:rsidRPr="005C2E9D">
        <w:t xml:space="preserve"> (Pierre et</w:t>
      </w:r>
      <w:r>
        <w:t xml:space="preserve"> al. 2002, Rodrigues et al. 2009</w:t>
      </w:r>
      <w:r w:rsidRPr="005C2E9D">
        <w:t xml:space="preserve">) have measured PbAir concentrations as inhalable dust. </w:t>
      </w:r>
      <w:r w:rsidR="00CF26E9">
        <w:t>Many</w:t>
      </w:r>
      <w:r w:rsidRPr="005C2E9D">
        <w:t xml:space="preserve"> of the older publications do not specify the fraction measured but it is likely these were either inhalable or ‘total’ dust. The samplers historically used in the UK for ‘total’ dust measurements generally provided equivalent results to contemporary inhalable samplers (UK HSE 1998). Samplers for ‘total’ dust used in the USA are likely to have been the traditional closed-faced 37-mm filter cassettes</w:t>
      </w:r>
      <w:r>
        <w:t xml:space="preserve"> which are</w:t>
      </w:r>
      <w:r w:rsidRPr="005C2E9D">
        <w:t xml:space="preserve"> recommended in several NIOSH analytical methods for lead (NIOSH 1994a, b). The </w:t>
      </w:r>
      <w:r w:rsidRPr="000A2952">
        <w:t xml:space="preserve">table in Section </w:t>
      </w:r>
      <w:r>
        <w:t>5</w:t>
      </w:r>
      <w:r w:rsidRPr="000A2952">
        <w:t>.6 contains</w:t>
      </w:r>
      <w:r w:rsidRPr="005C2E9D">
        <w:t xml:space="preserve"> two UK studies (King et al. 1979, Williams et al. 1969) and five US studies (Gartside et al. 1982, Bishop and Hill 1983, Chavalitnitikul et al. 1984, Matte et al. 1989, Hodgkins et al. 1992). When determining ASF values it has been assumed the US studies represent inhalable dust.</w:t>
      </w:r>
    </w:p>
    <w:p w:rsidR="00376116" w:rsidRDefault="00376116" w:rsidP="00376116"/>
    <w:p w:rsidR="00376116" w:rsidRPr="002E2EF8" w:rsidRDefault="00376116" w:rsidP="00376116">
      <w:pPr>
        <w:pStyle w:val="Heading2"/>
        <w:rPr>
          <w:szCs w:val="24"/>
        </w:rPr>
      </w:pPr>
      <w:bookmarkStart w:id="41" w:name="_Toc391288249"/>
      <w:r>
        <w:rPr>
          <w:szCs w:val="24"/>
        </w:rPr>
        <w:t>5</w:t>
      </w:r>
      <w:r w:rsidRPr="002E2EF8">
        <w:rPr>
          <w:szCs w:val="24"/>
        </w:rPr>
        <w:t>.5 Variability</w:t>
      </w:r>
      <w:bookmarkEnd w:id="41"/>
    </w:p>
    <w:p w:rsidR="00376116" w:rsidRDefault="00376116" w:rsidP="00376116">
      <w:r>
        <w:t>The purpose of a</w:t>
      </w:r>
      <w:r w:rsidR="00283F5E">
        <w:t>n 8 hour</w:t>
      </w:r>
      <w:r w:rsidR="0023661C">
        <w:t xml:space="preserve"> time-weighted average (TWA)</w:t>
      </w:r>
      <w:r>
        <w:t xml:space="preserve"> WES is to protect </w:t>
      </w:r>
      <w:r w:rsidR="00CF26E9">
        <w:t xml:space="preserve">“nearly all </w:t>
      </w:r>
      <w:r>
        <w:t>workers</w:t>
      </w:r>
      <w:r w:rsidR="00CF26E9">
        <w:t>”</w:t>
      </w:r>
      <w:r>
        <w:t xml:space="preserve"> from adverse effects from an airborne substance assuming a work lifetime of exposure. For lead, this inherently requires consideration of variability in achieved PbB and/or biological response to any given PbAir nominated as a potential WES. The PbB and ‘response’ correspond to the toxicokinetic and toxicodynamic variability between humans that are addressed when setting chemical guidelines for the protection of public health </w:t>
      </w:r>
      <w:r w:rsidRPr="00F02C5C">
        <w:t>(WHO 2001, NHMRC</w:t>
      </w:r>
      <w:r>
        <w:t xml:space="preserve"> 2006, enHealth 2012)</w:t>
      </w:r>
      <w:r w:rsidR="00CF26E9">
        <w:t xml:space="preserve"> (see Section 4.6)</w:t>
      </w:r>
      <w:r>
        <w:t>.</w:t>
      </w:r>
    </w:p>
    <w:p w:rsidR="00376116" w:rsidRDefault="00376116" w:rsidP="00376116"/>
    <w:p w:rsidR="00376116" w:rsidRDefault="00376116" w:rsidP="00376116">
      <w:r>
        <w:t xml:space="preserve">The calculations to derive a WES that will keep PbB for </w:t>
      </w:r>
      <w:r w:rsidR="00CF26E9">
        <w:t xml:space="preserve">nearly all </w:t>
      </w:r>
      <w:r>
        <w:t xml:space="preserve">workers below or just near a </w:t>
      </w:r>
      <w:r w:rsidR="00314205">
        <w:t>BLRL</w:t>
      </w:r>
      <w:r>
        <w:t xml:space="preserve"> incorporate a toxicokinetic variability factor derived from the average of the maximum to mean PbB ratio across a number and variety of population studies.  </w:t>
      </w:r>
    </w:p>
    <w:p w:rsidR="00376116" w:rsidRDefault="00376116" w:rsidP="00376116"/>
    <w:p w:rsidR="00376116" w:rsidRDefault="00376116" w:rsidP="00376116">
      <w:r w:rsidRPr="00A022FC">
        <w:lastRenderedPageBreak/>
        <w:t>In three occupational exposure studies (Chavalitnitikul et al. 1984, Pierre et al. 2002, Rodrig</w:t>
      </w:r>
      <w:r>
        <w:t>ues et al. 2009</w:t>
      </w:r>
      <w:r w:rsidRPr="00A022FC">
        <w:t xml:space="preserve">) variability between the worker population mean </w:t>
      </w:r>
      <w:r w:rsidR="000C3863">
        <w:t>PbB</w:t>
      </w:r>
      <w:r w:rsidRPr="00A022FC">
        <w:t xml:space="preserve"> and the maximum individual </w:t>
      </w:r>
      <w:r w:rsidR="000C3863">
        <w:t>PbB</w:t>
      </w:r>
      <w:r w:rsidRPr="00A022FC">
        <w:t xml:space="preserve"> concentration was about a factor of two.</w:t>
      </w:r>
    </w:p>
    <w:p w:rsidR="00376116" w:rsidRDefault="00376116" w:rsidP="00376116"/>
    <w:p w:rsidR="00376116" w:rsidRPr="00A022FC" w:rsidRDefault="00376116" w:rsidP="00376116">
      <w:r w:rsidRPr="00A022FC">
        <w:t xml:space="preserve">Tepper and Levin (1972), who examined </w:t>
      </w:r>
      <w:r>
        <w:t>PbB</w:t>
      </w:r>
      <w:r w:rsidRPr="00A022FC">
        <w:t xml:space="preserve"> concentrations in adults in 12 cities in the USA, found the maximum </w:t>
      </w:r>
      <w:r>
        <w:t>PbB</w:t>
      </w:r>
      <w:r w:rsidRPr="00A022FC">
        <w:t xml:space="preserve"> for an individual recorded at each location was approximately twice the geometric mean for that city population (1.7-2.3 fold). In more recent general population studies a similar variability has been reported (Table </w:t>
      </w:r>
      <w:r>
        <w:t>5.3</w:t>
      </w:r>
      <w:r w:rsidRPr="00A022FC">
        <w:t>).</w:t>
      </w:r>
      <w:r>
        <w:t xml:space="preserve"> This two fold factor is also reflected by the difference between the central PbB curve fitting in Figure 5.1 and the upper 95% prediction interval. It </w:t>
      </w:r>
      <w:r w:rsidRPr="00A022FC">
        <w:t xml:space="preserve">is </w:t>
      </w:r>
      <w:r>
        <w:t xml:space="preserve">also </w:t>
      </w:r>
      <w:r w:rsidRPr="00A022FC">
        <w:t xml:space="preserve">consistent with the deliberations of WHO (2000). WHO (2000) stated that a </w:t>
      </w:r>
      <w:r w:rsidR="000C3863">
        <w:t>PbB</w:t>
      </w:r>
      <w:r w:rsidRPr="00A022FC">
        <w:t xml:space="preserve"> concentration of ≤ 10 µg/dL for 98% of individuals in a population corresponds to a population mean of 5.4 µg/dL. </w:t>
      </w:r>
      <w:r w:rsidR="00CF26E9">
        <w:t>Notably</w:t>
      </w:r>
      <w:r w:rsidR="006C32E0">
        <w:t>,</w:t>
      </w:r>
      <w:r w:rsidR="006C32E0" w:rsidRPr="006C32E0">
        <w:t xml:space="preserve"> since hand-mouth dust exposure for the majority of this population sector should be minimal</w:t>
      </w:r>
      <w:r w:rsidR="006C32E0">
        <w:t>,</w:t>
      </w:r>
      <w:r w:rsidR="00CF26E9">
        <w:t xml:space="preserve"> </w:t>
      </w:r>
      <w:r w:rsidR="00825950">
        <w:t>the maximum to mean PbB ratio for</w:t>
      </w:r>
      <w:r w:rsidR="00CF26E9">
        <w:t xml:space="preserve"> adults from community studies represents primarily air and dietary exposure. </w:t>
      </w:r>
      <w:r w:rsidR="006C32E0">
        <w:t xml:space="preserve">Because these are long term exposures for </w:t>
      </w:r>
      <w:r w:rsidR="006C32E0" w:rsidRPr="00F02C5C">
        <w:t>large populations</w:t>
      </w:r>
      <w:r w:rsidR="006C32E0">
        <w:t xml:space="preserve"> it is assumed the overall study population has had approximately the same level of chronic lead exposure. </w:t>
      </w:r>
      <w:r w:rsidR="00825950">
        <w:t xml:space="preserve">While general community information has been used as an estimate of PbB variability arising from PbAir in the workplace, as noted above the same </w:t>
      </w:r>
      <w:r w:rsidR="003A7F6B">
        <w:t xml:space="preserve">PbB </w:t>
      </w:r>
      <w:r w:rsidR="00825950">
        <w:t>variability has been reported in occupational exposure studies (</w:t>
      </w:r>
      <w:r w:rsidR="00825950" w:rsidRPr="00825950">
        <w:t>Chavalitnitikul et al. 1984, Pierre et al. 2002, Rodrigues et al. 2009</w:t>
      </w:r>
      <w:r w:rsidR="00825950">
        <w:t xml:space="preserve">). </w:t>
      </w:r>
      <w:r w:rsidR="00C12B95">
        <w:t>This models w</w:t>
      </w:r>
      <w:r w:rsidR="003C4336">
        <w:t xml:space="preserve">orkplace </w:t>
      </w:r>
      <w:r w:rsidR="006F10BD">
        <w:t xml:space="preserve">PbB </w:t>
      </w:r>
      <w:r w:rsidR="003C4336">
        <w:t xml:space="preserve">variability and </w:t>
      </w:r>
      <w:r w:rsidR="00C12B95">
        <w:t xml:space="preserve">concludes </w:t>
      </w:r>
      <w:r w:rsidR="003C4336">
        <w:t xml:space="preserve">the overall variability at </w:t>
      </w:r>
      <w:r w:rsidR="009922B1">
        <w:t xml:space="preserve">the </w:t>
      </w:r>
      <w:r w:rsidR="003C4336">
        <w:t>proposed PbAir levels is close to</w:t>
      </w:r>
      <w:r w:rsidR="003C4336" w:rsidRPr="003C4336">
        <w:t xml:space="preserve"> </w:t>
      </w:r>
      <w:r w:rsidR="003C4336">
        <w:t xml:space="preserve">the </w:t>
      </w:r>
      <w:r w:rsidR="003C4336" w:rsidRPr="00A022FC">
        <w:t xml:space="preserve">two fold </w:t>
      </w:r>
      <w:r w:rsidR="003C4336">
        <w:t xml:space="preserve">estimate </w:t>
      </w:r>
      <w:r w:rsidR="009922B1">
        <w:t xml:space="preserve">in Table 5.3 for </w:t>
      </w:r>
      <w:r w:rsidR="003C4336" w:rsidRPr="00A022FC">
        <w:t xml:space="preserve">the ‘high end’ individual </w:t>
      </w:r>
      <w:r w:rsidR="00FB1F78">
        <w:t xml:space="preserve">PbB </w:t>
      </w:r>
      <w:r w:rsidR="003C4336" w:rsidRPr="00A022FC">
        <w:t>and the population mean</w:t>
      </w:r>
      <w:r w:rsidR="00FB1F78">
        <w:t xml:space="preserve"> PbB</w:t>
      </w:r>
      <w:r w:rsidR="003C4336">
        <w:t xml:space="preserve">. </w:t>
      </w:r>
      <w:r w:rsidR="00825950">
        <w:t xml:space="preserve">It is considered the assumed </w:t>
      </w:r>
      <w:r w:rsidR="003A7F6B">
        <w:t xml:space="preserve">two fold </w:t>
      </w:r>
      <w:r w:rsidR="00825950">
        <w:t xml:space="preserve">variability in worker PbB </w:t>
      </w:r>
      <w:r w:rsidR="003A7F6B">
        <w:t>is a</w:t>
      </w:r>
      <w:r w:rsidR="00825950">
        <w:t xml:space="preserve"> reasonably </w:t>
      </w:r>
      <w:r w:rsidR="003A7F6B">
        <w:t>good</w:t>
      </w:r>
      <w:r w:rsidR="00825950">
        <w:t xml:space="preserve"> estimate</w:t>
      </w:r>
      <w:r w:rsidR="006C32E0">
        <w:t xml:space="preserve">. </w:t>
      </w:r>
      <w:r w:rsidR="00825950">
        <w:t xml:space="preserve"> </w:t>
      </w:r>
      <w:r w:rsidR="006C32E0">
        <w:t xml:space="preserve"> </w:t>
      </w:r>
      <w:r w:rsidR="00825950">
        <w:t xml:space="preserve"> </w:t>
      </w:r>
      <w:r w:rsidRPr="00A022FC">
        <w:t xml:space="preserve">  </w:t>
      </w:r>
    </w:p>
    <w:p w:rsidR="00376116" w:rsidRDefault="00376116" w:rsidP="00376116"/>
    <w:p w:rsidR="00376116" w:rsidRDefault="00376116" w:rsidP="00376116">
      <w:r w:rsidRPr="00A022FC">
        <w:t>The worker population variability estimate in PbB of two fold between the ‘high end’ individual and the population mean</w:t>
      </w:r>
      <w:r>
        <w:t xml:space="preserve"> has therefore been applied to calculations of WES (</w:t>
      </w:r>
      <w:r w:rsidRPr="008B145D">
        <w:t>Section 6).</w:t>
      </w:r>
      <w:r>
        <w:t xml:space="preserve"> </w:t>
      </w:r>
    </w:p>
    <w:p w:rsidR="00376116" w:rsidRDefault="00376116" w:rsidP="00376116">
      <w:pPr>
        <w:pStyle w:val="ListParagraph"/>
        <w:numPr>
          <w:ilvl w:val="0"/>
          <w:numId w:val="23"/>
        </w:numPr>
      </w:pPr>
      <w:r>
        <w:t xml:space="preserve">To account for PbB variability when deriving a WES for a specific </w:t>
      </w:r>
      <w:r w:rsidR="00314205">
        <w:t>BLRL</w:t>
      </w:r>
      <w:r>
        <w:t xml:space="preserve">, the target </w:t>
      </w:r>
      <w:r w:rsidR="00314205">
        <w:t>BLRL</w:t>
      </w:r>
      <w:r>
        <w:t xml:space="preserve"> is divided by 2. </w:t>
      </w:r>
    </w:p>
    <w:p w:rsidR="00376116" w:rsidRDefault="00376116" w:rsidP="00376116">
      <w:pPr>
        <w:pStyle w:val="ListParagraph"/>
      </w:pPr>
    </w:p>
    <w:p w:rsidR="00376116" w:rsidRDefault="00376116" w:rsidP="00376116">
      <w:pPr>
        <w:pStyle w:val="ListParagraph"/>
        <w:numPr>
          <w:ilvl w:val="0"/>
          <w:numId w:val="23"/>
        </w:numPr>
      </w:pPr>
      <w:r>
        <w:t>When estimating a PbB associated with a given WES, the PbAir is multiplied by the appropriate ASF (which is an average)</w:t>
      </w:r>
      <w:r w:rsidR="006C32E0">
        <w:t xml:space="preserve"> for that lead air </w:t>
      </w:r>
      <w:r w:rsidR="009655DC">
        <w:t>concentration. The</w:t>
      </w:r>
      <w:r>
        <w:t xml:space="preserve"> result is an estimate of the average PbB for the exposed population. Applying (multiplying) this average PbB by two yields a PbB for the ‘high end’ assimilator of lead. </w:t>
      </w:r>
      <w:r w:rsidR="006C32E0">
        <w:t>From these considerations we assume t</w:t>
      </w:r>
      <w:r>
        <w:t xml:space="preserve">he </w:t>
      </w:r>
      <w:r w:rsidRPr="006C32E0">
        <w:t>majority</w:t>
      </w:r>
      <w:r>
        <w:t xml:space="preserve"> (</w:t>
      </w:r>
      <w:r w:rsidR="00004157">
        <w:t xml:space="preserve">say </w:t>
      </w:r>
      <w:r w:rsidR="006C32E0">
        <w:t xml:space="preserve">approximately </w:t>
      </w:r>
      <w:r>
        <w:t xml:space="preserve">95%) of a population of workers when exposed to the same PbAir will have PbB less than the ‘high end’ person. </w:t>
      </w:r>
    </w:p>
    <w:p w:rsidR="00A934A7" w:rsidRDefault="00A934A7">
      <w:r>
        <w:br w:type="page"/>
      </w:r>
    </w:p>
    <w:p w:rsidR="00376116" w:rsidRDefault="00376116" w:rsidP="00376116"/>
    <w:p w:rsidR="00376116" w:rsidRPr="007C7A29" w:rsidRDefault="00376116" w:rsidP="00376116">
      <w:pPr>
        <w:rPr>
          <w:rFonts w:eastAsia="PMingLiU" w:cs="Times New Roman"/>
          <w:b/>
          <w:sz w:val="24"/>
          <w:szCs w:val="24"/>
        </w:rPr>
      </w:pPr>
      <w:r w:rsidRPr="007C7A29">
        <w:rPr>
          <w:rFonts w:eastAsia="PMingLiU" w:cs="Times New Roman"/>
          <w:b/>
          <w:sz w:val="24"/>
          <w:szCs w:val="24"/>
        </w:rPr>
        <w:t xml:space="preserve">Table </w:t>
      </w:r>
      <w:r>
        <w:rPr>
          <w:rFonts w:eastAsia="PMingLiU" w:cs="Times New Roman"/>
          <w:b/>
          <w:sz w:val="24"/>
          <w:szCs w:val="24"/>
        </w:rPr>
        <w:t>5</w:t>
      </w:r>
      <w:r w:rsidRPr="007C7A29">
        <w:rPr>
          <w:rFonts w:eastAsia="PMingLiU" w:cs="Times New Roman"/>
          <w:b/>
          <w:sz w:val="24"/>
          <w:szCs w:val="24"/>
        </w:rPr>
        <w:t xml:space="preserve">.3: Variability in background </w:t>
      </w:r>
      <w:r>
        <w:rPr>
          <w:rFonts w:eastAsia="PMingLiU" w:cs="Times New Roman"/>
          <w:b/>
          <w:sz w:val="24"/>
          <w:szCs w:val="24"/>
        </w:rPr>
        <w:t>PbB</w:t>
      </w:r>
      <w:r w:rsidRPr="007C7A29">
        <w:rPr>
          <w:rFonts w:eastAsia="PMingLiU" w:cs="Times New Roman"/>
          <w:b/>
          <w:sz w:val="24"/>
          <w:szCs w:val="24"/>
        </w:rPr>
        <w:t xml:space="preserve"> in adults</w:t>
      </w:r>
    </w:p>
    <w:tbl>
      <w:tblPr>
        <w:tblStyle w:val="TableGrid1"/>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Caption w:val="Table 5.3: Variability in background PbB in adults"/>
      </w:tblPr>
      <w:tblGrid>
        <w:gridCol w:w="1835"/>
        <w:gridCol w:w="1250"/>
        <w:gridCol w:w="1276"/>
        <w:gridCol w:w="1417"/>
        <w:gridCol w:w="1418"/>
        <w:gridCol w:w="2126"/>
      </w:tblGrid>
      <w:tr w:rsidR="00376116" w:rsidRPr="007C7A29" w:rsidTr="006A5E40">
        <w:trPr>
          <w:trHeight w:val="463"/>
          <w:tblHeader/>
        </w:trPr>
        <w:tc>
          <w:tcPr>
            <w:tcW w:w="1835" w:type="dxa"/>
            <w:vMerge w:val="restart"/>
            <w:vAlign w:val="center"/>
          </w:tcPr>
          <w:p w:rsidR="00376116" w:rsidRPr="007C7A29" w:rsidRDefault="00376116" w:rsidP="00376116">
            <w:pPr>
              <w:jc w:val="center"/>
              <w:rPr>
                <w:rFonts w:cs="Times New Roman"/>
                <w:b/>
              </w:rPr>
            </w:pPr>
            <w:r w:rsidRPr="007C7A29">
              <w:rPr>
                <w:rFonts w:cs="Times New Roman"/>
                <w:b/>
              </w:rPr>
              <w:t>Study Reference</w:t>
            </w:r>
          </w:p>
        </w:tc>
        <w:tc>
          <w:tcPr>
            <w:tcW w:w="2526" w:type="dxa"/>
            <w:gridSpan w:val="2"/>
            <w:vAlign w:val="center"/>
          </w:tcPr>
          <w:p w:rsidR="00376116" w:rsidRPr="007C7A29" w:rsidRDefault="00376116" w:rsidP="00376116">
            <w:pPr>
              <w:jc w:val="center"/>
              <w:rPr>
                <w:rFonts w:cs="Times New Roman"/>
                <w:b/>
              </w:rPr>
            </w:pPr>
            <w:r w:rsidRPr="007C7A29">
              <w:rPr>
                <w:rFonts w:cs="Times New Roman"/>
                <w:b/>
              </w:rPr>
              <w:t xml:space="preserve">Central </w:t>
            </w:r>
            <w:r>
              <w:rPr>
                <w:rFonts w:cs="Times New Roman"/>
                <w:b/>
              </w:rPr>
              <w:t>PbB</w:t>
            </w:r>
            <w:r w:rsidRPr="007C7A29">
              <w:rPr>
                <w:rFonts w:cs="Times New Roman"/>
                <w:b/>
              </w:rPr>
              <w:t xml:space="preserve"> (</w:t>
            </w:r>
            <w:r w:rsidRPr="007C7A29">
              <w:rPr>
                <w:rFonts w:cs="Arial"/>
                <w:b/>
              </w:rPr>
              <w:t>µ</w:t>
            </w:r>
            <w:r w:rsidRPr="007C7A29">
              <w:rPr>
                <w:rFonts w:cs="Times New Roman"/>
                <w:b/>
              </w:rPr>
              <w:t>g/dL)</w:t>
            </w:r>
          </w:p>
        </w:tc>
        <w:tc>
          <w:tcPr>
            <w:tcW w:w="2835" w:type="dxa"/>
            <w:gridSpan w:val="2"/>
            <w:vAlign w:val="center"/>
          </w:tcPr>
          <w:p w:rsidR="00376116" w:rsidRPr="007C7A29" w:rsidRDefault="00376116" w:rsidP="00376116">
            <w:pPr>
              <w:jc w:val="center"/>
              <w:rPr>
                <w:rFonts w:cs="Times New Roman"/>
                <w:b/>
              </w:rPr>
            </w:pPr>
            <w:r w:rsidRPr="007C7A29">
              <w:rPr>
                <w:rFonts w:cs="Times New Roman"/>
                <w:b/>
              </w:rPr>
              <w:t xml:space="preserve">‘High end’ </w:t>
            </w:r>
            <w:r>
              <w:rPr>
                <w:rFonts w:cs="Times New Roman"/>
                <w:b/>
              </w:rPr>
              <w:t>PbB</w:t>
            </w:r>
            <w:r w:rsidRPr="007C7A29">
              <w:rPr>
                <w:rFonts w:cs="Times New Roman"/>
                <w:b/>
              </w:rPr>
              <w:t xml:space="preserve"> (</w:t>
            </w:r>
            <w:r w:rsidRPr="007C7A29">
              <w:rPr>
                <w:rFonts w:cs="Arial"/>
                <w:b/>
              </w:rPr>
              <w:t>µ</w:t>
            </w:r>
            <w:r w:rsidRPr="007C7A29">
              <w:rPr>
                <w:rFonts w:cs="Times New Roman"/>
                <w:b/>
              </w:rPr>
              <w:t>g/dL)</w:t>
            </w:r>
          </w:p>
        </w:tc>
        <w:tc>
          <w:tcPr>
            <w:tcW w:w="2126" w:type="dxa"/>
            <w:vMerge w:val="restart"/>
            <w:vAlign w:val="center"/>
          </w:tcPr>
          <w:p w:rsidR="00376116" w:rsidRPr="007C7A29" w:rsidRDefault="00376116" w:rsidP="00376116">
            <w:pPr>
              <w:jc w:val="center"/>
              <w:rPr>
                <w:rFonts w:cs="Times New Roman"/>
                <w:b/>
              </w:rPr>
            </w:pPr>
            <w:r w:rsidRPr="007C7A29">
              <w:rPr>
                <w:rFonts w:cs="Times New Roman"/>
                <w:b/>
              </w:rPr>
              <w:t>Ratio</w:t>
            </w:r>
          </w:p>
          <w:p w:rsidR="00376116" w:rsidRPr="007C7A29" w:rsidRDefault="00376116" w:rsidP="004607D3">
            <w:pPr>
              <w:jc w:val="center"/>
              <w:rPr>
                <w:rFonts w:cs="Times New Roman"/>
                <w:b/>
                <w:sz w:val="24"/>
                <w:szCs w:val="24"/>
                <w:vertAlign w:val="superscript"/>
              </w:rPr>
            </w:pPr>
            <w:r w:rsidRPr="007C7A29">
              <w:rPr>
                <w:rFonts w:cs="Times New Roman"/>
                <w:b/>
              </w:rPr>
              <w:t>high end</w:t>
            </w:r>
            <w:r>
              <w:rPr>
                <w:rFonts w:cs="Times New Roman"/>
                <w:b/>
              </w:rPr>
              <w:t>:</w:t>
            </w:r>
            <w:r w:rsidRPr="007C7A29">
              <w:rPr>
                <w:rFonts w:cs="Times New Roman"/>
                <w:b/>
              </w:rPr>
              <w:t xml:space="preserve">central </w:t>
            </w:r>
            <w:r w:rsidRPr="007C7A29">
              <w:rPr>
                <w:rFonts w:cs="Times New Roman"/>
                <w:b/>
                <w:vertAlign w:val="superscript"/>
              </w:rPr>
              <w:t>e</w:t>
            </w:r>
          </w:p>
        </w:tc>
      </w:tr>
      <w:tr w:rsidR="00376116" w:rsidRPr="007C7A29" w:rsidTr="006A5E40">
        <w:trPr>
          <w:trHeight w:val="408"/>
          <w:tblHeader/>
        </w:trPr>
        <w:tc>
          <w:tcPr>
            <w:tcW w:w="1835" w:type="dxa"/>
            <w:vMerge/>
            <w:tcBorders>
              <w:bottom w:val="single" w:sz="18" w:space="0" w:color="auto"/>
            </w:tcBorders>
            <w:vAlign w:val="center"/>
          </w:tcPr>
          <w:p w:rsidR="00376116" w:rsidRPr="007C7A29" w:rsidRDefault="00376116" w:rsidP="00376116">
            <w:pPr>
              <w:jc w:val="center"/>
              <w:rPr>
                <w:rFonts w:cs="Times New Roman"/>
              </w:rPr>
            </w:pPr>
          </w:p>
        </w:tc>
        <w:tc>
          <w:tcPr>
            <w:tcW w:w="1250" w:type="dxa"/>
            <w:tcBorders>
              <w:bottom w:val="single" w:sz="18" w:space="0" w:color="auto"/>
            </w:tcBorders>
            <w:vAlign w:val="center"/>
          </w:tcPr>
          <w:p w:rsidR="00376116" w:rsidRPr="007C7A29" w:rsidRDefault="00376116" w:rsidP="00376116">
            <w:pPr>
              <w:jc w:val="center"/>
              <w:rPr>
                <w:rFonts w:cs="Times New Roman"/>
                <w:b/>
              </w:rPr>
            </w:pPr>
            <w:r w:rsidRPr="007C7A29">
              <w:rPr>
                <w:rFonts w:cs="Times New Roman"/>
                <w:b/>
              </w:rPr>
              <w:t>AM</w:t>
            </w:r>
          </w:p>
        </w:tc>
        <w:tc>
          <w:tcPr>
            <w:tcW w:w="1276" w:type="dxa"/>
            <w:tcBorders>
              <w:bottom w:val="single" w:sz="18" w:space="0" w:color="auto"/>
            </w:tcBorders>
            <w:vAlign w:val="center"/>
          </w:tcPr>
          <w:p w:rsidR="00376116" w:rsidRPr="007C7A29" w:rsidRDefault="00376116" w:rsidP="00376116">
            <w:pPr>
              <w:jc w:val="center"/>
              <w:rPr>
                <w:rFonts w:cs="Times New Roman"/>
                <w:b/>
              </w:rPr>
            </w:pPr>
            <w:r w:rsidRPr="007C7A29">
              <w:rPr>
                <w:rFonts w:cs="Times New Roman"/>
                <w:b/>
              </w:rPr>
              <w:t>GM</w:t>
            </w:r>
          </w:p>
        </w:tc>
        <w:tc>
          <w:tcPr>
            <w:tcW w:w="1417" w:type="dxa"/>
            <w:tcBorders>
              <w:bottom w:val="single" w:sz="18" w:space="0" w:color="auto"/>
            </w:tcBorders>
            <w:vAlign w:val="center"/>
          </w:tcPr>
          <w:p w:rsidR="00376116" w:rsidRPr="007C7A29" w:rsidRDefault="00376116" w:rsidP="00376116">
            <w:pPr>
              <w:jc w:val="center"/>
              <w:rPr>
                <w:rFonts w:cs="Times New Roman"/>
                <w:b/>
              </w:rPr>
            </w:pPr>
            <w:r w:rsidRPr="007C7A29">
              <w:rPr>
                <w:rFonts w:cs="Times New Roman"/>
                <w:b/>
              </w:rPr>
              <w:t>95</w:t>
            </w:r>
            <w:r w:rsidRPr="007C7A29">
              <w:rPr>
                <w:rFonts w:cs="Times New Roman"/>
                <w:b/>
                <w:vertAlign w:val="superscript"/>
              </w:rPr>
              <w:t>th</w:t>
            </w:r>
            <w:r w:rsidRPr="007C7A29">
              <w:rPr>
                <w:rFonts w:cs="Times New Roman"/>
                <w:b/>
              </w:rPr>
              <w:t xml:space="preserve"> %ile</w:t>
            </w:r>
          </w:p>
        </w:tc>
        <w:tc>
          <w:tcPr>
            <w:tcW w:w="1418" w:type="dxa"/>
            <w:tcBorders>
              <w:bottom w:val="single" w:sz="18" w:space="0" w:color="auto"/>
            </w:tcBorders>
            <w:vAlign w:val="center"/>
          </w:tcPr>
          <w:p w:rsidR="00376116" w:rsidRPr="007C7A29" w:rsidRDefault="00376116" w:rsidP="00376116">
            <w:pPr>
              <w:jc w:val="center"/>
              <w:rPr>
                <w:rFonts w:cs="Times New Roman"/>
                <w:b/>
              </w:rPr>
            </w:pPr>
            <w:r w:rsidRPr="007C7A29">
              <w:rPr>
                <w:rFonts w:cs="Times New Roman"/>
                <w:b/>
              </w:rPr>
              <w:t>Maximum</w:t>
            </w:r>
          </w:p>
        </w:tc>
        <w:tc>
          <w:tcPr>
            <w:tcW w:w="2126" w:type="dxa"/>
            <w:vMerge/>
            <w:tcBorders>
              <w:bottom w:val="single" w:sz="18" w:space="0" w:color="auto"/>
            </w:tcBorders>
          </w:tcPr>
          <w:p w:rsidR="00376116" w:rsidRPr="007C7A29" w:rsidRDefault="00376116" w:rsidP="00376116">
            <w:pPr>
              <w:rPr>
                <w:rFonts w:cs="Times New Roman"/>
                <w:sz w:val="20"/>
                <w:szCs w:val="20"/>
              </w:rPr>
            </w:pPr>
          </w:p>
        </w:tc>
      </w:tr>
      <w:tr w:rsidR="00376116" w:rsidRPr="007C7A29" w:rsidTr="00376116">
        <w:tc>
          <w:tcPr>
            <w:tcW w:w="1835" w:type="dxa"/>
            <w:vMerge w:val="restart"/>
            <w:tcBorders>
              <w:top w:val="single" w:sz="18" w:space="0" w:color="auto"/>
              <w:bottom w:val="single" w:sz="8" w:space="0" w:color="auto"/>
            </w:tcBorders>
            <w:vAlign w:val="center"/>
          </w:tcPr>
          <w:p w:rsidR="00376116" w:rsidRPr="007C7A29" w:rsidRDefault="00376116" w:rsidP="00376116">
            <w:pPr>
              <w:rPr>
                <w:rFonts w:cs="Times New Roman"/>
                <w:sz w:val="20"/>
                <w:szCs w:val="20"/>
                <w:vertAlign w:val="superscript"/>
              </w:rPr>
            </w:pPr>
            <w:r w:rsidRPr="007C7A29">
              <w:rPr>
                <w:rFonts w:cs="Times New Roman"/>
                <w:sz w:val="20"/>
                <w:szCs w:val="20"/>
              </w:rPr>
              <w:t>Tepper and Levin (1972)</w:t>
            </w:r>
            <w:r w:rsidRPr="007C7A29">
              <w:rPr>
                <w:rFonts w:cs="Times New Roman"/>
                <w:sz w:val="24"/>
                <w:szCs w:val="24"/>
                <w:vertAlign w:val="superscript"/>
              </w:rPr>
              <w:t>f</w:t>
            </w:r>
          </w:p>
        </w:tc>
        <w:tc>
          <w:tcPr>
            <w:tcW w:w="1250" w:type="dxa"/>
            <w:tcBorders>
              <w:top w:val="single" w:sz="18"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tcBorders>
              <w:top w:val="single" w:sz="18"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17.5</w:t>
            </w:r>
          </w:p>
        </w:tc>
        <w:tc>
          <w:tcPr>
            <w:tcW w:w="1417" w:type="dxa"/>
            <w:tcBorders>
              <w:top w:val="single" w:sz="18"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tcBorders>
              <w:top w:val="single" w:sz="18"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38</w:t>
            </w:r>
          </w:p>
        </w:tc>
        <w:tc>
          <w:tcPr>
            <w:tcW w:w="2126" w:type="dxa"/>
            <w:tcBorders>
              <w:top w:val="single" w:sz="18"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2.2</w:t>
            </w:r>
          </w:p>
        </w:tc>
      </w:tr>
      <w:tr w:rsidR="00376116" w:rsidRPr="007C7A29" w:rsidTr="00376116">
        <w:tc>
          <w:tcPr>
            <w:tcW w:w="1835" w:type="dxa"/>
            <w:vMerge/>
            <w:tcBorders>
              <w:top w:val="single" w:sz="8" w:space="0" w:color="auto"/>
            </w:tcBorders>
          </w:tcPr>
          <w:p w:rsidR="00376116" w:rsidRPr="007C7A29" w:rsidRDefault="00376116" w:rsidP="00376116">
            <w:pPr>
              <w:rPr>
                <w:rFonts w:cs="Times New Roman"/>
                <w:sz w:val="20"/>
                <w:szCs w:val="20"/>
              </w:rPr>
            </w:pPr>
          </w:p>
        </w:tc>
        <w:tc>
          <w:tcPr>
            <w:tcW w:w="1250" w:type="dxa"/>
            <w:tcBorders>
              <w:top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tcBorders>
              <w:top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17.2 (M)</w:t>
            </w:r>
          </w:p>
        </w:tc>
        <w:tc>
          <w:tcPr>
            <w:tcW w:w="1417" w:type="dxa"/>
            <w:tcBorders>
              <w:top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tcBorders>
              <w:top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38</w:t>
            </w:r>
          </w:p>
        </w:tc>
        <w:tc>
          <w:tcPr>
            <w:tcW w:w="2126" w:type="dxa"/>
            <w:tcBorders>
              <w:top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2.2</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18</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32</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1.8</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20.5</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43</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2.1</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14.9 (F)</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29</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1.9</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15.7</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32</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2.0</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15.3</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29</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1.9</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16.6</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36</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2.2</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17.6</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40</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2.3</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13.9</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30</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2.2</w:t>
            </w:r>
          </w:p>
        </w:tc>
      </w:tr>
      <w:tr w:rsidR="00376116" w:rsidRPr="007C7A29" w:rsidTr="00376116">
        <w:tc>
          <w:tcPr>
            <w:tcW w:w="1835" w:type="dxa"/>
            <w:vMerge/>
          </w:tcPr>
          <w:p w:rsidR="00376116" w:rsidRPr="007C7A29" w:rsidRDefault="00376116" w:rsidP="00376116">
            <w:pPr>
              <w:rPr>
                <w:rFonts w:cs="Times New Roman"/>
                <w:sz w:val="20"/>
                <w:szCs w:val="20"/>
              </w:rPr>
            </w:pPr>
          </w:p>
        </w:tc>
        <w:tc>
          <w:tcPr>
            <w:tcW w:w="1250"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vAlign w:val="center"/>
          </w:tcPr>
          <w:p w:rsidR="00376116" w:rsidRPr="007C7A29" w:rsidRDefault="00376116" w:rsidP="00376116">
            <w:pPr>
              <w:jc w:val="center"/>
              <w:rPr>
                <w:rFonts w:cs="Times New Roman"/>
                <w:sz w:val="20"/>
                <w:szCs w:val="20"/>
              </w:rPr>
            </w:pPr>
            <w:r w:rsidRPr="007C7A29">
              <w:rPr>
                <w:rFonts w:cs="Times New Roman"/>
                <w:sz w:val="20"/>
                <w:szCs w:val="20"/>
              </w:rPr>
              <w:t>12.5</w:t>
            </w:r>
          </w:p>
        </w:tc>
        <w:tc>
          <w:tcPr>
            <w:tcW w:w="1417" w:type="dxa"/>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vAlign w:val="center"/>
          </w:tcPr>
          <w:p w:rsidR="00376116" w:rsidRPr="007C7A29" w:rsidRDefault="00376116" w:rsidP="00376116">
            <w:pPr>
              <w:jc w:val="center"/>
              <w:rPr>
                <w:rFonts w:cs="Times New Roman"/>
                <w:sz w:val="20"/>
                <w:szCs w:val="20"/>
              </w:rPr>
            </w:pPr>
            <w:r w:rsidRPr="007C7A29">
              <w:rPr>
                <w:rFonts w:cs="Times New Roman"/>
                <w:sz w:val="20"/>
                <w:szCs w:val="20"/>
              </w:rPr>
              <w:t>24</w:t>
            </w:r>
          </w:p>
        </w:tc>
        <w:tc>
          <w:tcPr>
            <w:tcW w:w="2126" w:type="dxa"/>
            <w:vAlign w:val="center"/>
          </w:tcPr>
          <w:p w:rsidR="00376116" w:rsidRPr="007C7A29" w:rsidRDefault="00376116" w:rsidP="00376116">
            <w:pPr>
              <w:jc w:val="center"/>
              <w:rPr>
                <w:rFonts w:cs="Times New Roman"/>
                <w:sz w:val="20"/>
                <w:szCs w:val="20"/>
              </w:rPr>
            </w:pPr>
            <w:r w:rsidRPr="007C7A29">
              <w:rPr>
                <w:rFonts w:cs="Times New Roman"/>
                <w:sz w:val="20"/>
                <w:szCs w:val="20"/>
              </w:rPr>
              <w:t>1.9</w:t>
            </w:r>
          </w:p>
        </w:tc>
      </w:tr>
      <w:tr w:rsidR="00376116" w:rsidRPr="007C7A29" w:rsidTr="00376116">
        <w:tc>
          <w:tcPr>
            <w:tcW w:w="1835" w:type="dxa"/>
            <w:vMerge/>
            <w:tcBorders>
              <w:bottom w:val="double" w:sz="4" w:space="0" w:color="auto"/>
            </w:tcBorders>
          </w:tcPr>
          <w:p w:rsidR="00376116" w:rsidRPr="007C7A29" w:rsidRDefault="00376116" w:rsidP="00376116">
            <w:pPr>
              <w:rPr>
                <w:rFonts w:cs="Times New Roman"/>
                <w:sz w:val="20"/>
                <w:szCs w:val="20"/>
              </w:rPr>
            </w:pPr>
          </w:p>
        </w:tc>
        <w:tc>
          <w:tcPr>
            <w:tcW w:w="1250" w:type="dxa"/>
            <w:tcBorders>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276" w:type="dxa"/>
            <w:tcBorders>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19.2</w:t>
            </w:r>
          </w:p>
        </w:tc>
        <w:tc>
          <w:tcPr>
            <w:tcW w:w="1417" w:type="dxa"/>
            <w:tcBorders>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tcBorders>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33</w:t>
            </w:r>
          </w:p>
        </w:tc>
        <w:tc>
          <w:tcPr>
            <w:tcW w:w="2126" w:type="dxa"/>
            <w:tcBorders>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1.7</w:t>
            </w:r>
          </w:p>
        </w:tc>
      </w:tr>
      <w:tr w:rsidR="00376116" w:rsidRPr="007C7A29" w:rsidTr="00376116">
        <w:tc>
          <w:tcPr>
            <w:tcW w:w="1835" w:type="dxa"/>
            <w:vMerge w:val="restart"/>
            <w:tcBorders>
              <w:top w:val="double" w:sz="4" w:space="0" w:color="auto"/>
              <w:bottom w:val="single" w:sz="8" w:space="0" w:color="auto"/>
            </w:tcBorders>
          </w:tcPr>
          <w:p w:rsidR="00376116" w:rsidRPr="007C7A29" w:rsidRDefault="00376116" w:rsidP="00376116">
            <w:pPr>
              <w:rPr>
                <w:rFonts w:cs="Times New Roman"/>
                <w:sz w:val="20"/>
                <w:szCs w:val="20"/>
              </w:rPr>
            </w:pPr>
            <w:r w:rsidRPr="007C7A29">
              <w:rPr>
                <w:rFonts w:cs="Times New Roman"/>
                <w:sz w:val="20"/>
                <w:szCs w:val="20"/>
              </w:rPr>
              <w:t>Becker et al. (2002)</w:t>
            </w:r>
          </w:p>
        </w:tc>
        <w:tc>
          <w:tcPr>
            <w:tcW w:w="1250"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4.1 (M)</w:t>
            </w:r>
          </w:p>
        </w:tc>
        <w:tc>
          <w:tcPr>
            <w:tcW w:w="1276"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3.6 (M)</w:t>
            </w:r>
          </w:p>
        </w:tc>
        <w:tc>
          <w:tcPr>
            <w:tcW w:w="1417"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7.9 (M)</w:t>
            </w:r>
          </w:p>
        </w:tc>
        <w:tc>
          <w:tcPr>
            <w:tcW w:w="1418"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2126"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1.9, 2.2</w:t>
            </w:r>
          </w:p>
        </w:tc>
      </w:tr>
      <w:tr w:rsidR="00376116" w:rsidRPr="007C7A29" w:rsidTr="00376116">
        <w:tc>
          <w:tcPr>
            <w:tcW w:w="1835" w:type="dxa"/>
            <w:vMerge/>
            <w:tcBorders>
              <w:top w:val="single" w:sz="8" w:space="0" w:color="auto"/>
              <w:bottom w:val="double" w:sz="4" w:space="0" w:color="auto"/>
            </w:tcBorders>
          </w:tcPr>
          <w:p w:rsidR="00376116" w:rsidRPr="007C7A29" w:rsidRDefault="00376116" w:rsidP="00376116">
            <w:pPr>
              <w:rPr>
                <w:rFonts w:cs="Times New Roman"/>
                <w:sz w:val="20"/>
                <w:szCs w:val="20"/>
              </w:rPr>
            </w:pPr>
          </w:p>
        </w:tc>
        <w:tc>
          <w:tcPr>
            <w:tcW w:w="1250"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3.1 (F)</w:t>
            </w:r>
          </w:p>
        </w:tc>
        <w:tc>
          <w:tcPr>
            <w:tcW w:w="1276"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2.6 (F)</w:t>
            </w:r>
          </w:p>
        </w:tc>
        <w:tc>
          <w:tcPr>
            <w:tcW w:w="1417"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6.2 (F)</w:t>
            </w:r>
          </w:p>
        </w:tc>
        <w:tc>
          <w:tcPr>
            <w:tcW w:w="1418"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2126"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2, 2.4</w:t>
            </w:r>
          </w:p>
        </w:tc>
      </w:tr>
      <w:tr w:rsidR="00376116" w:rsidRPr="007C7A29" w:rsidTr="00376116">
        <w:tc>
          <w:tcPr>
            <w:tcW w:w="1835" w:type="dxa"/>
            <w:tcBorders>
              <w:top w:val="double" w:sz="4" w:space="0" w:color="auto"/>
              <w:bottom w:val="double" w:sz="4" w:space="0" w:color="auto"/>
            </w:tcBorders>
          </w:tcPr>
          <w:p w:rsidR="00376116" w:rsidRPr="007C7A29" w:rsidRDefault="00376116" w:rsidP="00376116">
            <w:pPr>
              <w:rPr>
                <w:rFonts w:cs="Times New Roman"/>
                <w:sz w:val="20"/>
                <w:szCs w:val="20"/>
              </w:rPr>
            </w:pPr>
            <w:r w:rsidRPr="007C7A29">
              <w:rPr>
                <w:rFonts w:cs="Times New Roman"/>
                <w:sz w:val="20"/>
                <w:szCs w:val="20"/>
              </w:rPr>
              <w:t>Mortada et al. (2002)</w:t>
            </w:r>
          </w:p>
        </w:tc>
        <w:tc>
          <w:tcPr>
            <w:tcW w:w="1250" w:type="dxa"/>
            <w:tcBorders>
              <w:top w:val="double" w:sz="4"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12.4</w:t>
            </w:r>
          </w:p>
        </w:tc>
        <w:tc>
          <w:tcPr>
            <w:tcW w:w="1276" w:type="dxa"/>
            <w:tcBorders>
              <w:top w:val="double" w:sz="4"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7" w:type="dxa"/>
            <w:tcBorders>
              <w:top w:val="double" w:sz="4"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tcBorders>
              <w:top w:val="double" w:sz="4"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17.5</w:t>
            </w:r>
          </w:p>
        </w:tc>
        <w:tc>
          <w:tcPr>
            <w:tcW w:w="2126" w:type="dxa"/>
            <w:tcBorders>
              <w:top w:val="double" w:sz="4"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1.4</w:t>
            </w:r>
          </w:p>
        </w:tc>
      </w:tr>
      <w:tr w:rsidR="00376116" w:rsidRPr="007C7A29" w:rsidTr="00376116">
        <w:tc>
          <w:tcPr>
            <w:tcW w:w="1835" w:type="dxa"/>
            <w:vMerge w:val="restart"/>
            <w:tcBorders>
              <w:top w:val="double" w:sz="4" w:space="0" w:color="auto"/>
            </w:tcBorders>
          </w:tcPr>
          <w:p w:rsidR="00376116" w:rsidRPr="007C7A29" w:rsidRDefault="00376116" w:rsidP="00376116">
            <w:pPr>
              <w:rPr>
                <w:rFonts w:cs="Times New Roman"/>
                <w:sz w:val="20"/>
                <w:szCs w:val="20"/>
              </w:rPr>
            </w:pPr>
            <w:r w:rsidRPr="007C7A29">
              <w:rPr>
                <w:rFonts w:cs="Times New Roman"/>
                <w:sz w:val="20"/>
                <w:szCs w:val="20"/>
              </w:rPr>
              <w:t>Apostoli et al. (2002)</w:t>
            </w:r>
          </w:p>
        </w:tc>
        <w:tc>
          <w:tcPr>
            <w:tcW w:w="1250"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4.5 (M)</w:t>
            </w:r>
          </w:p>
        </w:tc>
        <w:tc>
          <w:tcPr>
            <w:tcW w:w="1276"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7"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10.1 (M)</w:t>
            </w:r>
          </w:p>
        </w:tc>
        <w:tc>
          <w:tcPr>
            <w:tcW w:w="1418"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2126"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2.2</w:t>
            </w:r>
          </w:p>
        </w:tc>
      </w:tr>
      <w:tr w:rsidR="00376116" w:rsidRPr="007C7A29" w:rsidTr="00376116">
        <w:tc>
          <w:tcPr>
            <w:tcW w:w="1835" w:type="dxa"/>
            <w:vMerge/>
            <w:tcBorders>
              <w:bottom w:val="double" w:sz="4" w:space="0" w:color="auto"/>
            </w:tcBorders>
          </w:tcPr>
          <w:p w:rsidR="00376116" w:rsidRPr="007C7A29" w:rsidRDefault="00376116" w:rsidP="00376116">
            <w:pPr>
              <w:rPr>
                <w:rFonts w:cs="Times New Roman"/>
                <w:sz w:val="20"/>
                <w:szCs w:val="20"/>
              </w:rPr>
            </w:pPr>
          </w:p>
        </w:tc>
        <w:tc>
          <w:tcPr>
            <w:tcW w:w="1250"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3.1 (F)</w:t>
            </w:r>
          </w:p>
        </w:tc>
        <w:tc>
          <w:tcPr>
            <w:tcW w:w="1276"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7"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 xml:space="preserve">       6.1 (F)</w:t>
            </w:r>
          </w:p>
        </w:tc>
        <w:tc>
          <w:tcPr>
            <w:tcW w:w="1418"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2126"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2.0</w:t>
            </w:r>
          </w:p>
        </w:tc>
      </w:tr>
      <w:tr w:rsidR="00376116" w:rsidRPr="007C7A29" w:rsidTr="00376116">
        <w:tc>
          <w:tcPr>
            <w:tcW w:w="1835" w:type="dxa"/>
            <w:vMerge w:val="restart"/>
            <w:tcBorders>
              <w:top w:val="double" w:sz="4" w:space="0" w:color="auto"/>
            </w:tcBorders>
            <w:vAlign w:val="center"/>
          </w:tcPr>
          <w:p w:rsidR="00376116" w:rsidRPr="007C7A29" w:rsidRDefault="00376116" w:rsidP="00376116">
            <w:pPr>
              <w:rPr>
                <w:rFonts w:cs="Times New Roman"/>
                <w:sz w:val="20"/>
                <w:szCs w:val="20"/>
              </w:rPr>
            </w:pPr>
            <w:r w:rsidRPr="007C7A29">
              <w:rPr>
                <w:rFonts w:cs="Times New Roman"/>
                <w:sz w:val="20"/>
                <w:szCs w:val="20"/>
              </w:rPr>
              <w:t>Gulson et al. (2006)</w:t>
            </w:r>
          </w:p>
        </w:tc>
        <w:tc>
          <w:tcPr>
            <w:tcW w:w="1250" w:type="dxa"/>
            <w:tcBorders>
              <w:top w:val="double" w:sz="4" w:space="0" w:color="auto"/>
              <w:bottom w:val="single" w:sz="8" w:space="0" w:color="auto"/>
            </w:tcBorders>
            <w:vAlign w:val="center"/>
          </w:tcPr>
          <w:p w:rsidR="00376116" w:rsidRPr="007C7A29" w:rsidRDefault="00376116" w:rsidP="00376116">
            <w:pPr>
              <w:jc w:val="center"/>
              <w:rPr>
                <w:rFonts w:cs="Times New Roman"/>
                <w:sz w:val="24"/>
                <w:szCs w:val="24"/>
                <w:vertAlign w:val="superscript"/>
              </w:rPr>
            </w:pPr>
            <w:r w:rsidRPr="007C7A29">
              <w:rPr>
                <w:rFonts w:cs="Times New Roman"/>
                <w:sz w:val="20"/>
                <w:szCs w:val="20"/>
              </w:rPr>
              <w:t xml:space="preserve"> 2.7 </w:t>
            </w:r>
            <w:r w:rsidRPr="007C7A29">
              <w:rPr>
                <w:rFonts w:cs="Times New Roman"/>
                <w:sz w:val="24"/>
                <w:szCs w:val="24"/>
                <w:vertAlign w:val="superscript"/>
              </w:rPr>
              <w:t>a</w:t>
            </w:r>
          </w:p>
        </w:tc>
        <w:tc>
          <w:tcPr>
            <w:tcW w:w="1276" w:type="dxa"/>
            <w:tcBorders>
              <w:top w:val="double" w:sz="4" w:space="0" w:color="auto"/>
              <w:bottom w:val="single" w:sz="8" w:space="0" w:color="auto"/>
            </w:tcBorders>
            <w:vAlign w:val="center"/>
          </w:tcPr>
          <w:p w:rsidR="00376116" w:rsidRPr="007C7A29" w:rsidRDefault="00376116" w:rsidP="00376116">
            <w:pPr>
              <w:jc w:val="center"/>
              <w:rPr>
                <w:rFonts w:cs="Times New Roman"/>
                <w:sz w:val="24"/>
                <w:szCs w:val="24"/>
                <w:vertAlign w:val="superscript"/>
              </w:rPr>
            </w:pPr>
            <w:r w:rsidRPr="007C7A29">
              <w:rPr>
                <w:rFonts w:cs="Times New Roman"/>
                <w:sz w:val="20"/>
                <w:szCs w:val="20"/>
              </w:rPr>
              <w:t xml:space="preserve">  2.6 </w:t>
            </w:r>
            <w:r w:rsidRPr="007C7A29">
              <w:rPr>
                <w:rFonts w:cs="Times New Roman"/>
                <w:sz w:val="24"/>
                <w:szCs w:val="24"/>
                <w:vertAlign w:val="superscript"/>
              </w:rPr>
              <w:t>a</w:t>
            </w:r>
          </w:p>
        </w:tc>
        <w:tc>
          <w:tcPr>
            <w:tcW w:w="1417"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4.8</w:t>
            </w:r>
          </w:p>
        </w:tc>
        <w:tc>
          <w:tcPr>
            <w:tcW w:w="2126" w:type="dxa"/>
            <w:tcBorders>
              <w:top w:val="double" w:sz="4" w:space="0" w:color="auto"/>
              <w:bottom w:val="single" w:sz="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1.8</w:t>
            </w:r>
          </w:p>
        </w:tc>
      </w:tr>
      <w:tr w:rsidR="00376116" w:rsidRPr="007C7A29" w:rsidTr="00376116">
        <w:tc>
          <w:tcPr>
            <w:tcW w:w="1835" w:type="dxa"/>
            <w:vMerge/>
            <w:tcBorders>
              <w:bottom w:val="double" w:sz="4" w:space="0" w:color="auto"/>
            </w:tcBorders>
          </w:tcPr>
          <w:p w:rsidR="00376116" w:rsidRPr="007C7A29" w:rsidRDefault="00376116" w:rsidP="00376116">
            <w:pPr>
              <w:rPr>
                <w:rFonts w:cs="Times New Roman"/>
                <w:sz w:val="20"/>
                <w:szCs w:val="20"/>
              </w:rPr>
            </w:pPr>
          </w:p>
        </w:tc>
        <w:tc>
          <w:tcPr>
            <w:tcW w:w="1250" w:type="dxa"/>
            <w:tcBorders>
              <w:top w:val="single" w:sz="8" w:space="0" w:color="auto"/>
              <w:bottom w:val="double" w:sz="4" w:space="0" w:color="auto"/>
            </w:tcBorders>
            <w:vAlign w:val="center"/>
          </w:tcPr>
          <w:p w:rsidR="00376116" w:rsidRPr="007C7A29" w:rsidRDefault="00376116" w:rsidP="00376116">
            <w:pPr>
              <w:jc w:val="center"/>
              <w:rPr>
                <w:rFonts w:cs="Times New Roman"/>
                <w:sz w:val="24"/>
                <w:szCs w:val="24"/>
                <w:vertAlign w:val="superscript"/>
              </w:rPr>
            </w:pPr>
            <w:r w:rsidRPr="007C7A29">
              <w:rPr>
                <w:rFonts w:cs="Times New Roman"/>
                <w:sz w:val="20"/>
                <w:szCs w:val="20"/>
              </w:rPr>
              <w:t xml:space="preserve"> 2.3 </w:t>
            </w:r>
            <w:r w:rsidRPr="007C7A29">
              <w:rPr>
                <w:rFonts w:cs="Times New Roman"/>
                <w:sz w:val="24"/>
                <w:szCs w:val="24"/>
                <w:vertAlign w:val="superscript"/>
              </w:rPr>
              <w:t>b</w:t>
            </w:r>
          </w:p>
        </w:tc>
        <w:tc>
          <w:tcPr>
            <w:tcW w:w="1276" w:type="dxa"/>
            <w:tcBorders>
              <w:top w:val="single" w:sz="8" w:space="0" w:color="auto"/>
              <w:bottom w:val="double" w:sz="4" w:space="0" w:color="auto"/>
            </w:tcBorders>
            <w:vAlign w:val="center"/>
          </w:tcPr>
          <w:p w:rsidR="00376116" w:rsidRPr="007C7A29" w:rsidRDefault="00376116" w:rsidP="00376116">
            <w:pPr>
              <w:jc w:val="center"/>
              <w:rPr>
                <w:rFonts w:cs="Times New Roman"/>
                <w:sz w:val="24"/>
                <w:szCs w:val="24"/>
                <w:vertAlign w:val="superscript"/>
              </w:rPr>
            </w:pPr>
            <w:r w:rsidRPr="007C7A29">
              <w:rPr>
                <w:rFonts w:cs="Times New Roman"/>
                <w:sz w:val="20"/>
                <w:szCs w:val="20"/>
              </w:rPr>
              <w:t xml:space="preserve">  2.1 </w:t>
            </w:r>
            <w:r w:rsidRPr="007C7A29">
              <w:rPr>
                <w:rFonts w:cs="Times New Roman"/>
                <w:sz w:val="24"/>
                <w:szCs w:val="24"/>
                <w:vertAlign w:val="superscript"/>
              </w:rPr>
              <w:t>b</w:t>
            </w:r>
          </w:p>
        </w:tc>
        <w:tc>
          <w:tcPr>
            <w:tcW w:w="1417"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8"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4.8</w:t>
            </w:r>
          </w:p>
        </w:tc>
        <w:tc>
          <w:tcPr>
            <w:tcW w:w="2126" w:type="dxa"/>
            <w:tcBorders>
              <w:top w:val="single" w:sz="8" w:space="0" w:color="auto"/>
              <w:bottom w:val="double" w:sz="4"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2.1, 2.3</w:t>
            </w:r>
          </w:p>
        </w:tc>
      </w:tr>
      <w:tr w:rsidR="00376116" w:rsidRPr="007C7A29" w:rsidTr="00376116">
        <w:tc>
          <w:tcPr>
            <w:tcW w:w="1835" w:type="dxa"/>
            <w:tcBorders>
              <w:top w:val="double" w:sz="4" w:space="0" w:color="auto"/>
              <w:bottom w:val="single" w:sz="18" w:space="0" w:color="auto"/>
            </w:tcBorders>
          </w:tcPr>
          <w:p w:rsidR="00376116" w:rsidRPr="007C7A29" w:rsidRDefault="00376116" w:rsidP="00376116">
            <w:pPr>
              <w:rPr>
                <w:rFonts w:cs="Times New Roman"/>
                <w:sz w:val="20"/>
                <w:szCs w:val="20"/>
              </w:rPr>
            </w:pPr>
            <w:r w:rsidRPr="007C7A29">
              <w:rPr>
                <w:rFonts w:cs="Times New Roman"/>
                <w:sz w:val="20"/>
                <w:szCs w:val="20"/>
              </w:rPr>
              <w:t>WA DoH (2007)</w:t>
            </w:r>
          </w:p>
        </w:tc>
        <w:tc>
          <w:tcPr>
            <w:tcW w:w="1250" w:type="dxa"/>
            <w:tcBorders>
              <w:top w:val="double" w:sz="4" w:space="0" w:color="auto"/>
              <w:bottom w:val="single" w:sz="18" w:space="0" w:color="auto"/>
            </w:tcBorders>
            <w:vAlign w:val="center"/>
          </w:tcPr>
          <w:p w:rsidR="00376116" w:rsidRPr="007C7A29" w:rsidRDefault="00376116" w:rsidP="00376116">
            <w:pPr>
              <w:jc w:val="center"/>
              <w:rPr>
                <w:rFonts w:cs="Times New Roman"/>
                <w:sz w:val="24"/>
                <w:szCs w:val="24"/>
                <w:vertAlign w:val="superscript"/>
              </w:rPr>
            </w:pPr>
            <w:r w:rsidRPr="007C7A29">
              <w:rPr>
                <w:rFonts w:cs="Times New Roman"/>
                <w:sz w:val="20"/>
                <w:szCs w:val="20"/>
              </w:rPr>
              <w:t xml:space="preserve">1.9 </w:t>
            </w:r>
            <w:r w:rsidRPr="007C7A29">
              <w:rPr>
                <w:rFonts w:cs="Times New Roman"/>
                <w:sz w:val="24"/>
                <w:szCs w:val="24"/>
                <w:vertAlign w:val="superscript"/>
              </w:rPr>
              <w:t>c</w:t>
            </w:r>
          </w:p>
        </w:tc>
        <w:tc>
          <w:tcPr>
            <w:tcW w:w="1276" w:type="dxa"/>
            <w:tcBorders>
              <w:top w:val="double" w:sz="4" w:space="0" w:color="auto"/>
              <w:bottom w:val="single" w:sz="1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1417" w:type="dxa"/>
            <w:tcBorders>
              <w:top w:val="double" w:sz="4" w:space="0" w:color="auto"/>
              <w:bottom w:val="single" w:sz="18" w:space="0" w:color="auto"/>
            </w:tcBorders>
            <w:vAlign w:val="center"/>
          </w:tcPr>
          <w:p w:rsidR="00376116" w:rsidRPr="007C7A29" w:rsidRDefault="00376116" w:rsidP="00376116">
            <w:pPr>
              <w:jc w:val="center"/>
              <w:rPr>
                <w:rFonts w:cs="Times New Roman"/>
                <w:sz w:val="24"/>
                <w:szCs w:val="24"/>
                <w:vertAlign w:val="superscript"/>
              </w:rPr>
            </w:pPr>
            <w:r w:rsidRPr="007C7A29">
              <w:rPr>
                <w:rFonts w:cs="Times New Roman"/>
                <w:sz w:val="20"/>
                <w:szCs w:val="20"/>
              </w:rPr>
              <w:t xml:space="preserve">~ 5 </w:t>
            </w:r>
            <w:r w:rsidRPr="007C7A29">
              <w:rPr>
                <w:rFonts w:cs="Times New Roman"/>
                <w:sz w:val="24"/>
                <w:szCs w:val="24"/>
                <w:vertAlign w:val="superscript"/>
              </w:rPr>
              <w:t>c, d</w:t>
            </w:r>
          </w:p>
        </w:tc>
        <w:tc>
          <w:tcPr>
            <w:tcW w:w="1418" w:type="dxa"/>
            <w:tcBorders>
              <w:top w:val="double" w:sz="4" w:space="0" w:color="auto"/>
              <w:bottom w:val="single" w:sz="1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w:t>
            </w:r>
          </w:p>
        </w:tc>
        <w:tc>
          <w:tcPr>
            <w:tcW w:w="2126" w:type="dxa"/>
            <w:tcBorders>
              <w:top w:val="double" w:sz="4" w:space="0" w:color="auto"/>
              <w:bottom w:val="single" w:sz="18" w:space="0" w:color="auto"/>
            </w:tcBorders>
            <w:vAlign w:val="center"/>
          </w:tcPr>
          <w:p w:rsidR="00376116" w:rsidRPr="007C7A29" w:rsidRDefault="00376116" w:rsidP="00376116">
            <w:pPr>
              <w:jc w:val="center"/>
              <w:rPr>
                <w:rFonts w:cs="Times New Roman"/>
                <w:sz w:val="20"/>
                <w:szCs w:val="20"/>
              </w:rPr>
            </w:pPr>
            <w:r w:rsidRPr="007C7A29">
              <w:rPr>
                <w:rFonts w:cs="Times New Roman"/>
                <w:sz w:val="20"/>
                <w:szCs w:val="20"/>
              </w:rPr>
              <w:t>2.6</w:t>
            </w:r>
          </w:p>
        </w:tc>
      </w:tr>
      <w:tr w:rsidR="00376116" w:rsidRPr="007C7A29" w:rsidTr="00376116">
        <w:tc>
          <w:tcPr>
            <w:tcW w:w="7196" w:type="dxa"/>
            <w:gridSpan w:val="5"/>
            <w:tcBorders>
              <w:top w:val="single" w:sz="18" w:space="0" w:color="auto"/>
              <w:bottom w:val="single" w:sz="8" w:space="0" w:color="auto"/>
            </w:tcBorders>
            <w:shd w:val="clear" w:color="auto" w:fill="FFFFCC"/>
            <w:vAlign w:val="center"/>
          </w:tcPr>
          <w:p w:rsidR="00376116" w:rsidRPr="007C7A29" w:rsidRDefault="00376116" w:rsidP="00376116">
            <w:pPr>
              <w:jc w:val="right"/>
              <w:rPr>
                <w:rFonts w:cs="Times New Roman"/>
                <w:b/>
                <w:sz w:val="20"/>
                <w:szCs w:val="20"/>
              </w:rPr>
            </w:pPr>
            <w:r w:rsidRPr="007C7A29">
              <w:rPr>
                <w:rFonts w:cs="Times New Roman"/>
                <w:b/>
                <w:sz w:val="20"/>
                <w:szCs w:val="20"/>
              </w:rPr>
              <w:t>Ratio range</w:t>
            </w:r>
          </w:p>
        </w:tc>
        <w:tc>
          <w:tcPr>
            <w:tcW w:w="2126" w:type="dxa"/>
            <w:tcBorders>
              <w:top w:val="single" w:sz="18" w:space="0" w:color="auto"/>
              <w:bottom w:val="single" w:sz="8" w:space="0" w:color="auto"/>
            </w:tcBorders>
            <w:vAlign w:val="center"/>
          </w:tcPr>
          <w:p w:rsidR="00376116" w:rsidRPr="007C7A29" w:rsidRDefault="00376116" w:rsidP="00376116">
            <w:pPr>
              <w:jc w:val="center"/>
              <w:rPr>
                <w:rFonts w:cs="Times New Roman"/>
                <w:b/>
                <w:sz w:val="20"/>
                <w:szCs w:val="20"/>
              </w:rPr>
            </w:pPr>
            <w:r w:rsidRPr="007C7A29">
              <w:rPr>
                <w:rFonts w:cs="Times New Roman"/>
                <w:b/>
                <w:sz w:val="20"/>
                <w:szCs w:val="20"/>
              </w:rPr>
              <w:t>1.4 – 2.6</w:t>
            </w:r>
          </w:p>
        </w:tc>
      </w:tr>
      <w:tr w:rsidR="00376116" w:rsidRPr="007C7A29" w:rsidTr="00376116">
        <w:tc>
          <w:tcPr>
            <w:tcW w:w="7196" w:type="dxa"/>
            <w:gridSpan w:val="5"/>
            <w:tcBorders>
              <w:top w:val="single" w:sz="8" w:space="0" w:color="auto"/>
              <w:bottom w:val="single" w:sz="12" w:space="0" w:color="auto"/>
            </w:tcBorders>
            <w:shd w:val="clear" w:color="auto" w:fill="FFFFCC"/>
          </w:tcPr>
          <w:p w:rsidR="00376116" w:rsidRPr="007C7A29" w:rsidRDefault="00376116" w:rsidP="00376116">
            <w:pPr>
              <w:jc w:val="right"/>
              <w:rPr>
                <w:rFonts w:cs="Times New Roman"/>
                <w:b/>
                <w:sz w:val="20"/>
                <w:szCs w:val="20"/>
              </w:rPr>
            </w:pPr>
            <w:r w:rsidRPr="007C7A29">
              <w:rPr>
                <w:rFonts w:cs="Times New Roman"/>
                <w:b/>
                <w:sz w:val="20"/>
                <w:szCs w:val="20"/>
              </w:rPr>
              <w:t>Average ratio</w:t>
            </w:r>
          </w:p>
        </w:tc>
        <w:tc>
          <w:tcPr>
            <w:tcW w:w="2126" w:type="dxa"/>
            <w:tcBorders>
              <w:top w:val="single" w:sz="8" w:space="0" w:color="auto"/>
            </w:tcBorders>
            <w:vAlign w:val="center"/>
          </w:tcPr>
          <w:p w:rsidR="00376116" w:rsidRPr="007C7A29" w:rsidRDefault="00376116" w:rsidP="00376116">
            <w:pPr>
              <w:jc w:val="center"/>
              <w:rPr>
                <w:rFonts w:cs="Times New Roman"/>
                <w:b/>
                <w:sz w:val="20"/>
                <w:szCs w:val="20"/>
              </w:rPr>
            </w:pPr>
            <w:r w:rsidRPr="007C7A29">
              <w:rPr>
                <w:rFonts w:cs="Times New Roman"/>
                <w:b/>
                <w:sz w:val="20"/>
                <w:szCs w:val="20"/>
              </w:rPr>
              <w:t xml:space="preserve">            2 (n = 23)</w:t>
            </w:r>
          </w:p>
        </w:tc>
      </w:tr>
    </w:tbl>
    <w:p w:rsidR="00376116" w:rsidRPr="007C7A29" w:rsidRDefault="00376116" w:rsidP="00376116">
      <w:pPr>
        <w:spacing w:line="240" w:lineRule="auto"/>
        <w:rPr>
          <w:rFonts w:eastAsia="PMingLiU" w:cs="Times New Roman"/>
          <w:sz w:val="18"/>
          <w:szCs w:val="18"/>
        </w:rPr>
      </w:pPr>
      <w:r w:rsidRPr="007C7A29">
        <w:rPr>
          <w:rFonts w:eastAsia="PMingLiU" w:cs="Times New Roman"/>
          <w:sz w:val="18"/>
          <w:szCs w:val="18"/>
        </w:rPr>
        <w:t>AM = arithmetic mean; GM = geometric mean; %ile = percentile; M= males; F= females</w:t>
      </w:r>
    </w:p>
    <w:p w:rsidR="00376116" w:rsidRPr="007C7A29" w:rsidRDefault="00376116" w:rsidP="00376116">
      <w:pPr>
        <w:spacing w:line="240" w:lineRule="auto"/>
        <w:ind w:left="142" w:hanging="142"/>
        <w:rPr>
          <w:rFonts w:eastAsia="PMingLiU" w:cs="Times New Roman"/>
          <w:sz w:val="18"/>
          <w:szCs w:val="18"/>
        </w:rPr>
      </w:pPr>
      <w:r w:rsidRPr="007C7A29">
        <w:rPr>
          <w:rFonts w:eastAsia="PMingLiU" w:cs="Times New Roman"/>
          <w:sz w:val="24"/>
          <w:szCs w:val="24"/>
          <w:vertAlign w:val="superscript"/>
        </w:rPr>
        <w:t>a</w:t>
      </w:r>
      <w:r w:rsidRPr="007C7A29">
        <w:rPr>
          <w:rFonts w:eastAsia="PMingLiU" w:cs="Times New Roman"/>
          <w:sz w:val="18"/>
          <w:szCs w:val="18"/>
        </w:rPr>
        <w:t xml:space="preserve"> Calculated from data in Gulson et al. (2006) for pregnant and non-pregnant females (n=30) between 1993-1998. </w:t>
      </w:r>
    </w:p>
    <w:p w:rsidR="00376116" w:rsidRPr="007C7A29" w:rsidRDefault="00376116" w:rsidP="00376116">
      <w:pPr>
        <w:spacing w:line="240" w:lineRule="auto"/>
        <w:ind w:left="142" w:hanging="142"/>
        <w:rPr>
          <w:rFonts w:eastAsia="PMingLiU" w:cs="Times New Roman"/>
          <w:sz w:val="18"/>
          <w:szCs w:val="18"/>
        </w:rPr>
      </w:pPr>
      <w:r w:rsidRPr="007C7A29">
        <w:rPr>
          <w:rFonts w:eastAsia="PMingLiU" w:cs="Times New Roman"/>
          <w:sz w:val="24"/>
          <w:szCs w:val="24"/>
          <w:vertAlign w:val="superscript"/>
        </w:rPr>
        <w:t>b</w:t>
      </w:r>
      <w:r w:rsidRPr="007C7A29">
        <w:rPr>
          <w:rFonts w:eastAsia="PMingLiU" w:cs="Times New Roman"/>
          <w:sz w:val="18"/>
          <w:szCs w:val="18"/>
        </w:rPr>
        <w:t xml:space="preserve"> Calculated from data in Gulson et al. (2006) for pregnant females (n=9) between 1999-2002. </w:t>
      </w:r>
    </w:p>
    <w:p w:rsidR="00376116" w:rsidRPr="007C7A29" w:rsidRDefault="00376116" w:rsidP="00376116">
      <w:pPr>
        <w:spacing w:line="240" w:lineRule="auto"/>
        <w:rPr>
          <w:rFonts w:eastAsia="PMingLiU" w:cs="Times New Roman"/>
          <w:sz w:val="18"/>
          <w:szCs w:val="18"/>
        </w:rPr>
      </w:pPr>
      <w:r w:rsidRPr="007C7A29">
        <w:rPr>
          <w:rFonts w:eastAsia="PMingLiU" w:cs="Times New Roman"/>
          <w:sz w:val="24"/>
          <w:szCs w:val="24"/>
          <w:vertAlign w:val="superscript"/>
        </w:rPr>
        <w:t>c</w:t>
      </w:r>
      <w:r w:rsidRPr="007C7A29">
        <w:rPr>
          <w:rFonts w:eastAsia="PMingLiU" w:cs="Times New Roman"/>
          <w:sz w:val="18"/>
          <w:szCs w:val="18"/>
        </w:rPr>
        <w:t xml:space="preserve"> Adults aged 20 - &lt;40 years.</w:t>
      </w:r>
    </w:p>
    <w:p w:rsidR="00376116" w:rsidRPr="007C7A29" w:rsidRDefault="00376116" w:rsidP="00376116">
      <w:pPr>
        <w:spacing w:line="240" w:lineRule="auto"/>
        <w:ind w:left="142" w:hanging="142"/>
        <w:rPr>
          <w:rFonts w:eastAsia="PMingLiU" w:cs="Times New Roman"/>
          <w:sz w:val="18"/>
          <w:szCs w:val="18"/>
        </w:rPr>
      </w:pPr>
      <w:r w:rsidRPr="007C7A29">
        <w:rPr>
          <w:rFonts w:eastAsia="PMingLiU" w:cs="Times New Roman"/>
          <w:sz w:val="24"/>
          <w:szCs w:val="24"/>
          <w:vertAlign w:val="superscript"/>
        </w:rPr>
        <w:t>d</w:t>
      </w:r>
      <w:r w:rsidRPr="007C7A29">
        <w:rPr>
          <w:rFonts w:eastAsia="PMingLiU" w:cs="Times New Roman"/>
          <w:sz w:val="18"/>
          <w:szCs w:val="18"/>
        </w:rPr>
        <w:t xml:space="preserve"> The 95</w:t>
      </w:r>
      <w:r w:rsidRPr="007C7A29">
        <w:rPr>
          <w:rFonts w:eastAsia="PMingLiU" w:cs="Times New Roman"/>
          <w:sz w:val="18"/>
          <w:szCs w:val="18"/>
          <w:vertAlign w:val="superscript"/>
        </w:rPr>
        <w:t>th</w:t>
      </w:r>
      <w:r w:rsidRPr="007C7A29">
        <w:rPr>
          <w:rFonts w:eastAsia="PMingLiU" w:cs="Times New Roman"/>
          <w:sz w:val="18"/>
          <w:szCs w:val="18"/>
        </w:rPr>
        <w:t xml:space="preserve"> percentile is not reported in the publication. However, approximately 5% of individuals have </w:t>
      </w:r>
      <w:r>
        <w:rPr>
          <w:rFonts w:eastAsia="PMingLiU" w:cs="Times New Roman"/>
          <w:sz w:val="18"/>
          <w:szCs w:val="18"/>
        </w:rPr>
        <w:t>PbB</w:t>
      </w:r>
      <w:r w:rsidRPr="007C7A29">
        <w:rPr>
          <w:rFonts w:eastAsia="PMingLiU" w:cs="Times New Roman"/>
          <w:sz w:val="18"/>
          <w:szCs w:val="18"/>
        </w:rPr>
        <w:t xml:space="preserve"> &gt;5 </w:t>
      </w:r>
      <w:r w:rsidRPr="007C7A29">
        <w:rPr>
          <w:rFonts w:eastAsia="PMingLiU" w:cs="Arial"/>
          <w:sz w:val="18"/>
          <w:szCs w:val="18"/>
        </w:rPr>
        <w:t>µ</w:t>
      </w:r>
      <w:r w:rsidRPr="007C7A29">
        <w:rPr>
          <w:rFonts w:eastAsia="PMingLiU" w:cs="Times New Roman"/>
          <w:sz w:val="18"/>
          <w:szCs w:val="18"/>
        </w:rPr>
        <w:t xml:space="preserve">g/dL (4 out of 565 individuals had </w:t>
      </w:r>
      <w:r>
        <w:rPr>
          <w:rFonts w:eastAsia="PMingLiU" w:cs="Times New Roman"/>
          <w:sz w:val="18"/>
          <w:szCs w:val="18"/>
        </w:rPr>
        <w:t>PbB</w:t>
      </w:r>
      <w:r w:rsidRPr="007C7A29">
        <w:rPr>
          <w:rFonts w:eastAsia="PMingLiU" w:cs="Times New Roman"/>
          <w:sz w:val="18"/>
          <w:szCs w:val="18"/>
        </w:rPr>
        <w:t xml:space="preserve"> &gt; 10 </w:t>
      </w:r>
      <w:r w:rsidRPr="007C7A29">
        <w:rPr>
          <w:rFonts w:eastAsia="PMingLiU" w:cs="Arial"/>
          <w:sz w:val="18"/>
          <w:szCs w:val="18"/>
        </w:rPr>
        <w:t>µ</w:t>
      </w:r>
      <w:r w:rsidRPr="007C7A29">
        <w:rPr>
          <w:rFonts w:eastAsia="PMingLiU" w:cs="Times New Roman"/>
          <w:sz w:val="18"/>
          <w:szCs w:val="18"/>
        </w:rPr>
        <w:t xml:space="preserve">g/dL, i.e. 0.7%; 24 out of 565 individuals had </w:t>
      </w:r>
      <w:r>
        <w:rPr>
          <w:rFonts w:eastAsia="PMingLiU" w:cs="Times New Roman"/>
          <w:sz w:val="18"/>
          <w:szCs w:val="18"/>
        </w:rPr>
        <w:t>PbB</w:t>
      </w:r>
      <w:r w:rsidRPr="007C7A29">
        <w:rPr>
          <w:rFonts w:eastAsia="PMingLiU" w:cs="Times New Roman"/>
          <w:sz w:val="18"/>
          <w:szCs w:val="18"/>
        </w:rPr>
        <w:t xml:space="preserve"> of 5 – 9 </w:t>
      </w:r>
      <w:r w:rsidRPr="007C7A29">
        <w:rPr>
          <w:rFonts w:eastAsia="PMingLiU" w:cs="Arial"/>
          <w:sz w:val="18"/>
          <w:szCs w:val="18"/>
        </w:rPr>
        <w:t>µ</w:t>
      </w:r>
      <w:r w:rsidRPr="007C7A29">
        <w:rPr>
          <w:rFonts w:eastAsia="PMingLiU" w:cs="Times New Roman"/>
          <w:sz w:val="18"/>
          <w:szCs w:val="18"/>
        </w:rPr>
        <w:t>g/dL, i.e. 4.2%). Thus 5</w:t>
      </w:r>
      <w:r w:rsidRPr="007C7A29">
        <w:rPr>
          <w:rFonts w:eastAsia="PMingLiU" w:cs="Arial"/>
          <w:sz w:val="18"/>
          <w:szCs w:val="18"/>
        </w:rPr>
        <w:t>µ</w:t>
      </w:r>
      <w:r w:rsidRPr="007C7A29">
        <w:rPr>
          <w:rFonts w:eastAsia="PMingLiU" w:cs="Times New Roman"/>
          <w:sz w:val="18"/>
          <w:szCs w:val="18"/>
        </w:rPr>
        <w:t>g/dL was taken to be the 95</w:t>
      </w:r>
      <w:r w:rsidRPr="007C7A29">
        <w:rPr>
          <w:rFonts w:eastAsia="PMingLiU" w:cs="Times New Roman"/>
          <w:sz w:val="18"/>
          <w:szCs w:val="18"/>
          <w:vertAlign w:val="superscript"/>
        </w:rPr>
        <w:t>th</w:t>
      </w:r>
      <w:r w:rsidRPr="007C7A29">
        <w:rPr>
          <w:rFonts w:eastAsia="PMingLiU" w:cs="Times New Roman"/>
          <w:sz w:val="18"/>
          <w:szCs w:val="18"/>
        </w:rPr>
        <w:t xml:space="preserve"> percentile. </w:t>
      </w:r>
    </w:p>
    <w:p w:rsidR="00376116" w:rsidRPr="007C7A29" w:rsidRDefault="00376116" w:rsidP="00376116">
      <w:pPr>
        <w:spacing w:line="240" w:lineRule="auto"/>
        <w:ind w:left="142" w:hanging="142"/>
        <w:rPr>
          <w:rFonts w:eastAsia="PMingLiU" w:cs="Times New Roman"/>
          <w:sz w:val="18"/>
          <w:szCs w:val="18"/>
        </w:rPr>
      </w:pPr>
      <w:r w:rsidRPr="007C7A29">
        <w:rPr>
          <w:rFonts w:eastAsia="PMingLiU" w:cs="Times New Roman"/>
          <w:sz w:val="24"/>
          <w:szCs w:val="24"/>
          <w:vertAlign w:val="superscript"/>
        </w:rPr>
        <w:t>e</w:t>
      </w:r>
      <w:r w:rsidRPr="007C7A29">
        <w:rPr>
          <w:rFonts w:eastAsia="PMingLiU" w:cs="Times New Roman"/>
          <w:sz w:val="18"/>
          <w:szCs w:val="18"/>
        </w:rPr>
        <w:t xml:space="preserve"> The ratio is calculated by dividing the maximum or 95</w:t>
      </w:r>
      <w:r w:rsidRPr="007C7A29">
        <w:rPr>
          <w:rFonts w:eastAsia="PMingLiU" w:cs="Times New Roman"/>
          <w:sz w:val="18"/>
          <w:szCs w:val="18"/>
          <w:vertAlign w:val="superscript"/>
        </w:rPr>
        <w:t>th</w:t>
      </w:r>
      <w:r w:rsidRPr="007C7A29">
        <w:rPr>
          <w:rFonts w:eastAsia="PMingLiU" w:cs="Times New Roman"/>
          <w:sz w:val="18"/>
          <w:szCs w:val="18"/>
        </w:rPr>
        <w:t xml:space="preserve"> percentile </w:t>
      </w:r>
      <w:r>
        <w:rPr>
          <w:rFonts w:eastAsia="PMingLiU" w:cs="Times New Roman"/>
          <w:sz w:val="18"/>
          <w:szCs w:val="18"/>
        </w:rPr>
        <w:t>PbB</w:t>
      </w:r>
      <w:r w:rsidRPr="007C7A29">
        <w:rPr>
          <w:rFonts w:eastAsia="PMingLiU" w:cs="Times New Roman"/>
          <w:sz w:val="18"/>
          <w:szCs w:val="18"/>
        </w:rPr>
        <w:t xml:space="preserve"> concentration by the corresponding geometric or arithmetic mean </w:t>
      </w:r>
      <w:r>
        <w:rPr>
          <w:rFonts w:eastAsia="PMingLiU" w:cs="Times New Roman"/>
          <w:sz w:val="18"/>
          <w:szCs w:val="18"/>
        </w:rPr>
        <w:t>PbB</w:t>
      </w:r>
      <w:r w:rsidRPr="007C7A29">
        <w:rPr>
          <w:rFonts w:eastAsia="PMingLiU" w:cs="Times New Roman"/>
          <w:sz w:val="18"/>
          <w:szCs w:val="18"/>
        </w:rPr>
        <w:t xml:space="preserve"> from the same study population. This provides an estimate of the average variability that could be expected between central and ‘high end’ estimates of </w:t>
      </w:r>
      <w:r>
        <w:rPr>
          <w:rFonts w:eastAsia="PMingLiU" w:cs="Times New Roman"/>
          <w:sz w:val="18"/>
          <w:szCs w:val="18"/>
        </w:rPr>
        <w:t>PbB</w:t>
      </w:r>
      <w:r w:rsidRPr="007C7A29">
        <w:rPr>
          <w:rFonts w:eastAsia="PMingLiU" w:cs="Times New Roman"/>
          <w:sz w:val="18"/>
          <w:szCs w:val="18"/>
        </w:rPr>
        <w:t xml:space="preserve"> in a population. </w:t>
      </w:r>
    </w:p>
    <w:p w:rsidR="00376116" w:rsidRPr="007C7A29" w:rsidRDefault="00376116" w:rsidP="00376116">
      <w:pPr>
        <w:spacing w:line="240" w:lineRule="auto"/>
        <w:ind w:left="142" w:hanging="142"/>
        <w:rPr>
          <w:rFonts w:eastAsia="PMingLiU" w:cs="Times New Roman"/>
          <w:sz w:val="18"/>
          <w:szCs w:val="18"/>
        </w:rPr>
      </w:pPr>
      <w:r w:rsidRPr="007C7A29">
        <w:rPr>
          <w:rFonts w:eastAsia="PMingLiU" w:cs="Times New Roman"/>
          <w:sz w:val="24"/>
          <w:szCs w:val="24"/>
          <w:vertAlign w:val="superscript"/>
        </w:rPr>
        <w:t>f</w:t>
      </w:r>
      <w:r w:rsidRPr="007C7A29">
        <w:rPr>
          <w:rFonts w:eastAsia="PMingLiU" w:cs="Times New Roman"/>
          <w:sz w:val="18"/>
          <w:szCs w:val="18"/>
        </w:rPr>
        <w:t xml:space="preserve"> Tepper and Levin (1972) examined </w:t>
      </w:r>
      <w:r>
        <w:rPr>
          <w:rFonts w:eastAsia="PMingLiU" w:cs="Times New Roman"/>
          <w:sz w:val="18"/>
          <w:szCs w:val="18"/>
        </w:rPr>
        <w:t>PbB</w:t>
      </w:r>
      <w:r w:rsidRPr="007C7A29">
        <w:rPr>
          <w:rFonts w:eastAsia="PMingLiU" w:cs="Times New Roman"/>
          <w:sz w:val="18"/>
          <w:szCs w:val="18"/>
        </w:rPr>
        <w:t xml:space="preserve"> concentrations in adults in 12 cities in the USA.</w:t>
      </w:r>
    </w:p>
    <w:p w:rsidR="00376116" w:rsidRPr="007C7A29" w:rsidRDefault="00376116" w:rsidP="00376116">
      <w:pPr>
        <w:spacing w:line="240" w:lineRule="auto"/>
        <w:rPr>
          <w:rFonts w:eastAsia="PMingLiU" w:cs="Times New Roman"/>
          <w:sz w:val="18"/>
          <w:szCs w:val="18"/>
        </w:rPr>
      </w:pPr>
    </w:p>
    <w:p w:rsidR="00C72C1A" w:rsidRDefault="00C72C1A">
      <w:r>
        <w:br w:type="page"/>
      </w:r>
    </w:p>
    <w:p w:rsidR="00376116" w:rsidRDefault="00376116" w:rsidP="00376116"/>
    <w:p w:rsidR="00376116" w:rsidRDefault="00376116" w:rsidP="00376116">
      <w:pPr>
        <w:pStyle w:val="Heading2"/>
        <w:rPr>
          <w:szCs w:val="24"/>
        </w:rPr>
      </w:pPr>
      <w:bookmarkStart w:id="42" w:name="_Toc391288250"/>
      <w:r>
        <w:rPr>
          <w:szCs w:val="24"/>
        </w:rPr>
        <w:t>5</w:t>
      </w:r>
      <w:r w:rsidRPr="002E2EF8">
        <w:rPr>
          <w:szCs w:val="24"/>
        </w:rPr>
        <w:t>.6 Air slope factors</w:t>
      </w:r>
      <w:bookmarkEnd w:id="42"/>
    </w:p>
    <w:p w:rsidR="00376116" w:rsidRPr="003A0F9B" w:rsidRDefault="00376116" w:rsidP="00376116">
      <w:pPr>
        <w:pStyle w:val="Heading3"/>
      </w:pPr>
      <w:bookmarkStart w:id="43" w:name="_Toc391288251"/>
      <w:r>
        <w:t>5</w:t>
      </w:r>
      <w:r w:rsidRPr="003A0F9B">
        <w:t>.6.1 Determination</w:t>
      </w:r>
      <w:bookmarkEnd w:id="43"/>
    </w:p>
    <w:p w:rsidR="00376116" w:rsidRDefault="00376116" w:rsidP="00376116">
      <w:r>
        <w:t xml:space="preserve">A variety of occupational exposure studies have been consulted for ASF. The studies represent a number of lead related industries (crystal factory, lead battery factories, dye/pigment production, </w:t>
      </w:r>
      <w:r w:rsidR="005227EC">
        <w:t>lead</w:t>
      </w:r>
      <w:r>
        <w:t>/</w:t>
      </w:r>
      <w:r w:rsidR="005227EC">
        <w:t xml:space="preserve">zinc </w:t>
      </w:r>
      <w:r>
        <w:t xml:space="preserve">smelter, bridge painters) but no lead extractive industry (Table </w:t>
      </w:r>
      <w:r w:rsidR="00887734">
        <w:t>5.4).</w:t>
      </w:r>
      <w:r>
        <w:t xml:space="preserve"> </w:t>
      </w:r>
    </w:p>
    <w:p w:rsidR="00376116" w:rsidRDefault="00376116" w:rsidP="00376116"/>
    <w:p w:rsidR="00700508" w:rsidRDefault="00376116" w:rsidP="00376116">
      <w:r>
        <w:t xml:space="preserve">The studies encompassed a wide range of PbAir concentrations and either provided regression equations or graphical representation for the relationship of occupational PbB with PbAir. This allowed the pairing of a PbAir (0.05, 0.1 or 0.15 </w:t>
      </w:r>
      <w:r>
        <w:rPr>
          <w:rFonts w:cs="Arial"/>
        </w:rPr>
        <w:t>m</w:t>
      </w:r>
      <w:r>
        <w:t>g/m</w:t>
      </w:r>
      <w:r>
        <w:rPr>
          <w:vertAlign w:val="superscript"/>
        </w:rPr>
        <w:t>3</w:t>
      </w:r>
      <w:r>
        <w:t xml:space="preserve"> – Section 5.2) with a PbB. The studies were also interrogated for a ‘background’ PbB concentration; if one was not available from within the study the polynomial regression equation for the arithmetic mean in Figure 5.1 was used to estimate a background concentration. </w:t>
      </w:r>
    </w:p>
    <w:p w:rsidR="00376116" w:rsidRDefault="00376116" w:rsidP="00376116">
      <w:r>
        <w:t>The models used to mathematically describe the relationship of PbB with PbAir were different between different studies. This prevented amalgamation into a master mathematical portrayal for use in establishing a WES.</w:t>
      </w:r>
    </w:p>
    <w:p w:rsidR="004B1FE9" w:rsidRDefault="004B1FE9" w:rsidP="00407D5F"/>
    <w:p w:rsidR="00407D5F" w:rsidRDefault="00407D5F" w:rsidP="00407D5F">
      <w:r>
        <w:t xml:space="preserve">For the purpose of </w:t>
      </w:r>
      <w:r w:rsidR="006E38C9">
        <w:t xml:space="preserve">modelling in </w:t>
      </w:r>
      <w:r>
        <w:t>this report, an average ASF</w:t>
      </w:r>
      <w:r w:rsidR="002979CF">
        <w:t xml:space="preserve"> </w:t>
      </w:r>
      <w:r>
        <w:t xml:space="preserve">between the background PbB and the </w:t>
      </w:r>
      <w:r w:rsidRPr="00407D5F">
        <w:t>PbB in the occupational exposure study associated with the nominated PbAir</w:t>
      </w:r>
      <w:r>
        <w:t xml:space="preserve"> was calculated using Equation 1.</w:t>
      </w:r>
      <w:r w:rsidR="006E38C9">
        <w:t xml:space="preserve">  </w:t>
      </w:r>
    </w:p>
    <w:p w:rsidR="00376116" w:rsidRDefault="00376116" w:rsidP="00376116"/>
    <w:p w:rsidR="00376116" w:rsidRDefault="00376116" w:rsidP="00376116">
      <w:r>
        <w:t>ASF (</w:t>
      </w:r>
      <w:r w:rsidRPr="00BD65D5">
        <w:t>µg/dL)(µg/m</w:t>
      </w:r>
      <w:r w:rsidRPr="00BD65D5">
        <w:rPr>
          <w:vertAlign w:val="superscript"/>
        </w:rPr>
        <w:t>3</w:t>
      </w:r>
      <w:r w:rsidRPr="00BD65D5">
        <w:t>)</w:t>
      </w:r>
      <w:r w:rsidRPr="00BD65D5">
        <w:rPr>
          <w:vertAlign w:val="superscript"/>
        </w:rPr>
        <w:t>-1</w:t>
      </w:r>
      <w:r>
        <w:t xml:space="preserve"> = (PbB</w:t>
      </w:r>
      <w:r>
        <w:rPr>
          <w:vertAlign w:val="subscript"/>
        </w:rPr>
        <w:t>OCC</w:t>
      </w:r>
      <w:r>
        <w:t xml:space="preserve"> – PbB</w:t>
      </w:r>
      <w:r>
        <w:rPr>
          <w:vertAlign w:val="subscript"/>
        </w:rPr>
        <w:t>Bkgd</w:t>
      </w:r>
      <w:r>
        <w:t>)(</w:t>
      </w:r>
      <w:r>
        <w:rPr>
          <w:rFonts w:cs="Arial"/>
        </w:rPr>
        <w:t>µ</w:t>
      </w:r>
      <w:r>
        <w:t xml:space="preserve">g/dL) </w:t>
      </w:r>
      <w:r>
        <w:rPr>
          <w:rFonts w:cs="Arial"/>
        </w:rPr>
        <w:t>÷</w:t>
      </w:r>
      <w:r>
        <w:t xml:space="preserve"> PbAir (</w:t>
      </w:r>
      <w:r>
        <w:rPr>
          <w:rFonts w:cs="Arial"/>
        </w:rPr>
        <w:t>µ</w:t>
      </w:r>
      <w:r>
        <w:t>g/m</w:t>
      </w:r>
      <w:r>
        <w:rPr>
          <w:vertAlign w:val="superscript"/>
        </w:rPr>
        <w:t>3</w:t>
      </w:r>
      <w:r>
        <w:t>) ………………Equation 1</w:t>
      </w:r>
    </w:p>
    <w:p w:rsidR="00376116" w:rsidRDefault="00376116" w:rsidP="00376116"/>
    <w:p w:rsidR="00376116" w:rsidRDefault="00376116" w:rsidP="00376116">
      <w:pPr>
        <w:spacing w:line="240" w:lineRule="auto"/>
        <w:rPr>
          <w:sz w:val="20"/>
          <w:szCs w:val="20"/>
        </w:rPr>
      </w:pPr>
      <w:r>
        <w:rPr>
          <w:sz w:val="20"/>
          <w:szCs w:val="20"/>
        </w:rPr>
        <w:t>Where:</w:t>
      </w:r>
    </w:p>
    <w:p w:rsidR="00376116" w:rsidRPr="00BD65D5" w:rsidRDefault="00376116" w:rsidP="00376116">
      <w:pPr>
        <w:spacing w:line="240" w:lineRule="auto"/>
        <w:rPr>
          <w:sz w:val="20"/>
          <w:szCs w:val="20"/>
        </w:rPr>
      </w:pPr>
      <w:r>
        <w:rPr>
          <w:sz w:val="20"/>
          <w:szCs w:val="20"/>
        </w:rPr>
        <w:t xml:space="preserve">ASF = </w:t>
      </w:r>
      <w:r w:rsidR="002979CF">
        <w:rPr>
          <w:sz w:val="20"/>
          <w:szCs w:val="20"/>
        </w:rPr>
        <w:t xml:space="preserve">Average </w:t>
      </w:r>
      <w:r>
        <w:rPr>
          <w:sz w:val="20"/>
          <w:szCs w:val="20"/>
        </w:rPr>
        <w:t>Air Slope Factor</w:t>
      </w:r>
      <w:r w:rsidR="002979CF" w:rsidRPr="002979CF">
        <w:t xml:space="preserve"> </w:t>
      </w:r>
      <w:r w:rsidR="002979CF">
        <w:t xml:space="preserve">between </w:t>
      </w:r>
      <w:r w:rsidR="002979CF" w:rsidRPr="002979CF">
        <w:t>PbB</w:t>
      </w:r>
      <w:r w:rsidR="00B719D0" w:rsidRPr="00B719D0">
        <w:rPr>
          <w:vertAlign w:val="subscript"/>
        </w:rPr>
        <w:t xml:space="preserve">Bkgd </w:t>
      </w:r>
      <w:r w:rsidR="002979CF">
        <w:t xml:space="preserve">and </w:t>
      </w:r>
      <w:r w:rsidR="002979CF" w:rsidRPr="002979CF">
        <w:t>PbB</w:t>
      </w:r>
      <w:r w:rsidR="00B719D0" w:rsidRPr="00B719D0">
        <w:rPr>
          <w:vertAlign w:val="subscript"/>
        </w:rPr>
        <w:t>OCC</w:t>
      </w:r>
      <w:r w:rsidR="002979CF" w:rsidRPr="002979CF">
        <w:t xml:space="preserve"> </w:t>
      </w:r>
      <w:r w:rsidRPr="00BD65D5">
        <w:rPr>
          <w:sz w:val="20"/>
          <w:szCs w:val="20"/>
        </w:rPr>
        <w:t>(µg/dL)(µg/m</w:t>
      </w:r>
      <w:r w:rsidRPr="00BD65D5">
        <w:rPr>
          <w:sz w:val="20"/>
          <w:szCs w:val="20"/>
          <w:vertAlign w:val="superscript"/>
        </w:rPr>
        <w:t>3</w:t>
      </w:r>
      <w:r w:rsidRPr="00BD65D5">
        <w:rPr>
          <w:sz w:val="20"/>
          <w:szCs w:val="20"/>
        </w:rPr>
        <w:t>)</w:t>
      </w:r>
      <w:r w:rsidRPr="00BD65D5">
        <w:rPr>
          <w:sz w:val="20"/>
          <w:szCs w:val="20"/>
          <w:vertAlign w:val="superscript"/>
        </w:rPr>
        <w:t>-1</w:t>
      </w:r>
    </w:p>
    <w:p w:rsidR="00376116" w:rsidRDefault="00376116" w:rsidP="00376116">
      <w:pPr>
        <w:spacing w:line="240" w:lineRule="auto"/>
        <w:rPr>
          <w:sz w:val="20"/>
          <w:szCs w:val="20"/>
        </w:rPr>
      </w:pPr>
      <w:r w:rsidRPr="00BD65D5">
        <w:rPr>
          <w:sz w:val="20"/>
          <w:szCs w:val="20"/>
        </w:rPr>
        <w:t>PbB</w:t>
      </w:r>
      <w:r w:rsidRPr="00BD65D5">
        <w:rPr>
          <w:sz w:val="20"/>
          <w:szCs w:val="20"/>
          <w:vertAlign w:val="subscript"/>
        </w:rPr>
        <w:t>OCC</w:t>
      </w:r>
      <w:r>
        <w:rPr>
          <w:sz w:val="20"/>
          <w:szCs w:val="20"/>
        </w:rPr>
        <w:t xml:space="preserve"> = PbB </w:t>
      </w:r>
      <w:r w:rsidRPr="00BD65D5">
        <w:rPr>
          <w:sz w:val="20"/>
          <w:szCs w:val="20"/>
        </w:rPr>
        <w:t xml:space="preserve">(µg/dL) </w:t>
      </w:r>
      <w:r>
        <w:rPr>
          <w:sz w:val="20"/>
          <w:szCs w:val="20"/>
        </w:rPr>
        <w:t>in the occupational exposure study associated with the nominated PbAir.</w:t>
      </w:r>
    </w:p>
    <w:p w:rsidR="00376116" w:rsidRDefault="00376116" w:rsidP="00376116">
      <w:pPr>
        <w:spacing w:line="240" w:lineRule="auto"/>
        <w:rPr>
          <w:sz w:val="20"/>
          <w:szCs w:val="20"/>
        </w:rPr>
      </w:pPr>
      <w:r w:rsidRPr="00BD65D5">
        <w:rPr>
          <w:sz w:val="20"/>
          <w:szCs w:val="20"/>
        </w:rPr>
        <w:t>PbB</w:t>
      </w:r>
      <w:r w:rsidRPr="00BD65D5">
        <w:rPr>
          <w:sz w:val="20"/>
          <w:szCs w:val="20"/>
          <w:vertAlign w:val="subscript"/>
        </w:rPr>
        <w:t>Bkgd</w:t>
      </w:r>
      <w:r>
        <w:rPr>
          <w:sz w:val="20"/>
          <w:szCs w:val="20"/>
        </w:rPr>
        <w:t xml:space="preserve"> = Background PbB </w:t>
      </w:r>
      <w:r w:rsidRPr="00BD65D5">
        <w:rPr>
          <w:sz w:val="20"/>
          <w:szCs w:val="20"/>
        </w:rPr>
        <w:t>(µg/dL)</w:t>
      </w:r>
      <w:r>
        <w:rPr>
          <w:sz w:val="20"/>
          <w:szCs w:val="20"/>
        </w:rPr>
        <w:t xml:space="preserve"> (see Section 6.3) from the study or from Figure </w:t>
      </w:r>
      <w:r w:rsidR="009B2458">
        <w:rPr>
          <w:sz w:val="20"/>
          <w:szCs w:val="20"/>
        </w:rPr>
        <w:t>5.</w:t>
      </w:r>
      <w:r>
        <w:rPr>
          <w:sz w:val="20"/>
          <w:szCs w:val="20"/>
        </w:rPr>
        <w:t>1.</w:t>
      </w:r>
    </w:p>
    <w:p w:rsidR="00376116" w:rsidRDefault="00376116" w:rsidP="00376116">
      <w:pPr>
        <w:spacing w:line="240" w:lineRule="auto"/>
        <w:rPr>
          <w:sz w:val="20"/>
          <w:szCs w:val="20"/>
        </w:rPr>
      </w:pPr>
      <w:r>
        <w:rPr>
          <w:sz w:val="20"/>
          <w:szCs w:val="20"/>
        </w:rPr>
        <w:t>PbAir = Lead concentration in air (</w:t>
      </w:r>
      <w:r>
        <w:rPr>
          <w:rFonts w:cs="Arial"/>
          <w:sz w:val="20"/>
          <w:szCs w:val="20"/>
        </w:rPr>
        <w:t>µ</w:t>
      </w:r>
      <w:r>
        <w:rPr>
          <w:sz w:val="20"/>
          <w:szCs w:val="20"/>
        </w:rPr>
        <w:t>g/m</w:t>
      </w:r>
      <w:r>
        <w:rPr>
          <w:sz w:val="20"/>
          <w:szCs w:val="20"/>
          <w:vertAlign w:val="superscript"/>
        </w:rPr>
        <w:t>3</w:t>
      </w:r>
      <w:r>
        <w:rPr>
          <w:sz w:val="20"/>
          <w:szCs w:val="20"/>
        </w:rPr>
        <w:t>).</w:t>
      </w:r>
    </w:p>
    <w:p w:rsidR="00376116" w:rsidRDefault="00376116" w:rsidP="00376116">
      <w:pPr>
        <w:spacing w:line="240" w:lineRule="auto"/>
        <w:rPr>
          <w:sz w:val="20"/>
          <w:szCs w:val="20"/>
        </w:rPr>
      </w:pPr>
      <w:r>
        <w:rPr>
          <w:sz w:val="20"/>
          <w:szCs w:val="20"/>
        </w:rPr>
        <w:t>PbB = Lead concentration in blood (</w:t>
      </w:r>
      <w:r>
        <w:rPr>
          <w:rFonts w:cs="Arial"/>
          <w:sz w:val="20"/>
          <w:szCs w:val="20"/>
        </w:rPr>
        <w:t>µ</w:t>
      </w:r>
      <w:r>
        <w:rPr>
          <w:sz w:val="20"/>
          <w:szCs w:val="20"/>
        </w:rPr>
        <w:t>g/dL).</w:t>
      </w:r>
    </w:p>
    <w:p w:rsidR="0026406E" w:rsidRDefault="0026406E">
      <w:pPr>
        <w:rPr>
          <w:sz w:val="20"/>
          <w:szCs w:val="20"/>
        </w:rPr>
      </w:pPr>
      <w:r>
        <w:rPr>
          <w:sz w:val="20"/>
          <w:szCs w:val="20"/>
        </w:rPr>
        <w:br w:type="page"/>
      </w:r>
    </w:p>
    <w:p w:rsidR="00376116" w:rsidRPr="004B57D9" w:rsidRDefault="00376116" w:rsidP="00376116">
      <w:pPr>
        <w:jc w:val="center"/>
        <w:rPr>
          <w:b/>
          <w:sz w:val="24"/>
          <w:szCs w:val="24"/>
        </w:rPr>
      </w:pPr>
      <w:r w:rsidRPr="004B57D9">
        <w:rPr>
          <w:b/>
          <w:sz w:val="24"/>
          <w:szCs w:val="24"/>
        </w:rPr>
        <w:lastRenderedPageBreak/>
        <w:t xml:space="preserve">Table </w:t>
      </w:r>
      <w:r>
        <w:rPr>
          <w:b/>
          <w:sz w:val="24"/>
          <w:szCs w:val="24"/>
        </w:rPr>
        <w:t>5</w:t>
      </w:r>
      <w:r w:rsidRPr="004B57D9">
        <w:rPr>
          <w:b/>
          <w:sz w:val="24"/>
          <w:szCs w:val="24"/>
        </w:rPr>
        <w:t xml:space="preserve">.4: </w:t>
      </w:r>
      <w:r>
        <w:rPr>
          <w:b/>
          <w:sz w:val="24"/>
          <w:szCs w:val="24"/>
        </w:rPr>
        <w:t xml:space="preserve">Brief synopsis </w:t>
      </w:r>
      <w:r w:rsidRPr="004B57D9">
        <w:rPr>
          <w:b/>
          <w:sz w:val="24"/>
          <w:szCs w:val="24"/>
        </w:rPr>
        <w:t>of occupational studies providing ASF</w:t>
      </w:r>
    </w:p>
    <w:tbl>
      <w:tblPr>
        <w:tblpPr w:leftFromText="180" w:rightFromText="180" w:vertAnchor="text" w:horzAnchor="margin" w:tblpXSpec="center"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485"/>
        <w:gridCol w:w="1078"/>
        <w:gridCol w:w="868"/>
        <w:gridCol w:w="2674"/>
      </w:tblGrid>
      <w:tr w:rsidR="00376116" w:rsidRPr="00445FE4" w:rsidTr="00376116">
        <w:tc>
          <w:tcPr>
            <w:tcW w:w="1269" w:type="dxa"/>
            <w:tcBorders>
              <w:top w:val="single" w:sz="12" w:space="0" w:color="auto"/>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rPr>
            </w:pPr>
            <w:r w:rsidRPr="00445FE4">
              <w:rPr>
                <w:rFonts w:eastAsia="PMingLiU" w:cs="Arial"/>
              </w:rPr>
              <w:t>Reference</w:t>
            </w:r>
          </w:p>
        </w:tc>
        <w:tc>
          <w:tcPr>
            <w:tcW w:w="1485" w:type="dxa"/>
            <w:tcBorders>
              <w:top w:val="single" w:sz="12" w:space="0" w:color="auto"/>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rPr>
            </w:pPr>
            <w:r w:rsidRPr="00445FE4">
              <w:rPr>
                <w:rFonts w:eastAsia="PMingLiU" w:cs="Arial"/>
              </w:rPr>
              <w:t>Description</w:t>
            </w:r>
          </w:p>
        </w:tc>
        <w:tc>
          <w:tcPr>
            <w:tcW w:w="1078" w:type="dxa"/>
            <w:tcBorders>
              <w:top w:val="single" w:sz="12" w:space="0" w:color="auto"/>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vertAlign w:val="superscript"/>
              </w:rPr>
            </w:pPr>
            <w:r w:rsidRPr="00445FE4">
              <w:rPr>
                <w:rFonts w:eastAsia="PMingLiU" w:cs="Arial"/>
              </w:rPr>
              <w:t xml:space="preserve">PbAir </w:t>
            </w:r>
            <w:r w:rsidRPr="00445FE4">
              <w:rPr>
                <w:rFonts w:eastAsia="PMingLiU" w:cs="Arial"/>
                <w:vertAlign w:val="superscript"/>
              </w:rPr>
              <w:t>a</w:t>
            </w:r>
          </w:p>
          <w:p w:rsidR="00376116" w:rsidRPr="00445FE4" w:rsidRDefault="00376116" w:rsidP="00376116">
            <w:pPr>
              <w:spacing w:line="240" w:lineRule="auto"/>
              <w:rPr>
                <w:rFonts w:eastAsia="PMingLiU" w:cs="Arial"/>
              </w:rPr>
            </w:pPr>
            <w:r w:rsidRPr="00445FE4">
              <w:rPr>
                <w:rFonts w:eastAsia="PMingLiU" w:cs="Arial"/>
                <w:sz w:val="18"/>
                <w:szCs w:val="18"/>
              </w:rPr>
              <w:t>(µg/m</w:t>
            </w:r>
            <w:r w:rsidRPr="00445FE4">
              <w:rPr>
                <w:rFonts w:eastAsia="PMingLiU" w:cs="Arial"/>
                <w:sz w:val="18"/>
                <w:szCs w:val="18"/>
                <w:vertAlign w:val="superscript"/>
              </w:rPr>
              <w:t>3</w:t>
            </w:r>
            <w:r w:rsidRPr="00445FE4">
              <w:rPr>
                <w:rFonts w:eastAsia="PMingLiU" w:cs="Arial"/>
                <w:sz w:val="18"/>
                <w:szCs w:val="18"/>
              </w:rPr>
              <w:t>)</w:t>
            </w:r>
          </w:p>
        </w:tc>
        <w:tc>
          <w:tcPr>
            <w:tcW w:w="868" w:type="dxa"/>
            <w:tcBorders>
              <w:top w:val="single" w:sz="12" w:space="0" w:color="auto"/>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vertAlign w:val="superscript"/>
              </w:rPr>
            </w:pPr>
            <w:r w:rsidRPr="00445FE4">
              <w:rPr>
                <w:rFonts w:eastAsia="PMingLiU" w:cs="Arial"/>
              </w:rPr>
              <w:t xml:space="preserve">Bkgd </w:t>
            </w:r>
            <w:r>
              <w:rPr>
                <w:rFonts w:eastAsia="PMingLiU" w:cs="Arial"/>
                <w:vertAlign w:val="superscript"/>
              </w:rPr>
              <w:t>b</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(µg/dL)</w:t>
            </w:r>
          </w:p>
        </w:tc>
        <w:tc>
          <w:tcPr>
            <w:tcW w:w="2674" w:type="dxa"/>
            <w:tcBorders>
              <w:top w:val="single" w:sz="12" w:space="0" w:color="auto"/>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rPr>
            </w:pPr>
            <w:r w:rsidRPr="00445FE4">
              <w:rPr>
                <w:rFonts w:eastAsia="PMingLiU" w:cs="Arial"/>
              </w:rPr>
              <w:t>Comment</w:t>
            </w:r>
            <w:r>
              <w:rPr>
                <w:rFonts w:eastAsia="PMingLiU" w:cs="Arial"/>
              </w:rPr>
              <w:t xml:space="preserve"> </w:t>
            </w:r>
          </w:p>
        </w:tc>
      </w:tr>
      <w:tr w:rsidR="00376116" w:rsidRPr="00445FE4" w:rsidTr="00376116">
        <w:tc>
          <w:tcPr>
            <w:tcW w:w="1269" w:type="dxa"/>
            <w:tcBorders>
              <w:top w:val="single" w:sz="12" w:space="0" w:color="auto"/>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 xml:space="preserve">Pierre et al. (2002) </w:t>
            </w:r>
          </w:p>
        </w:tc>
        <w:tc>
          <w:tcPr>
            <w:tcW w:w="1485" w:type="dxa"/>
            <w:tcBorders>
              <w:top w:val="single" w:sz="12" w:space="0" w:color="auto"/>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Cross section study.</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 xml:space="preserve">Crystal factory </w:t>
            </w:r>
          </w:p>
        </w:tc>
        <w:tc>
          <w:tcPr>
            <w:tcW w:w="1078" w:type="dxa"/>
            <w:tcBorders>
              <w:top w:val="single" w:sz="12" w:space="0" w:color="auto"/>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1 - 2131</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(36 - 403</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arithmetic means)</w:t>
            </w:r>
          </w:p>
          <w:p w:rsidR="00376116" w:rsidRPr="00445FE4" w:rsidRDefault="00376116" w:rsidP="00376116">
            <w:pPr>
              <w:spacing w:line="240" w:lineRule="auto"/>
              <w:rPr>
                <w:rFonts w:eastAsia="PMingLiU" w:cs="Arial"/>
                <w:sz w:val="18"/>
                <w:szCs w:val="18"/>
              </w:rPr>
            </w:pPr>
          </w:p>
        </w:tc>
        <w:tc>
          <w:tcPr>
            <w:tcW w:w="868" w:type="dxa"/>
            <w:tcBorders>
              <w:top w:val="single" w:sz="12" w:space="0" w:color="auto"/>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9.9</w:t>
            </w:r>
          </w:p>
        </w:tc>
        <w:tc>
          <w:tcPr>
            <w:tcW w:w="2674" w:type="dxa"/>
            <w:tcBorders>
              <w:top w:val="single" w:sz="12" w:space="0" w:color="auto"/>
              <w:left w:val="single" w:sz="12" w:space="0" w:color="auto"/>
              <w:right w:val="single" w:sz="12" w:space="0" w:color="auto"/>
            </w:tcBorders>
            <w:vAlign w:val="center"/>
          </w:tcPr>
          <w:p w:rsidR="00376116" w:rsidRDefault="00376116" w:rsidP="00376116">
            <w:pPr>
              <w:spacing w:line="240" w:lineRule="auto"/>
              <w:rPr>
                <w:rFonts w:eastAsia="PMingLiU" w:cs="Arial"/>
                <w:sz w:val="18"/>
                <w:szCs w:val="18"/>
              </w:rPr>
            </w:pPr>
            <w:r w:rsidRPr="00445FE4">
              <w:rPr>
                <w:rFonts w:eastAsia="PMingLiU" w:cs="Arial"/>
                <w:sz w:val="18"/>
                <w:szCs w:val="18"/>
              </w:rPr>
              <w:t>Linear regression</w:t>
            </w:r>
            <w:r w:rsidR="008E13DB">
              <w:rPr>
                <w:rFonts w:eastAsia="PMingLiU" w:cs="Arial"/>
                <w:sz w:val="18"/>
                <w:szCs w:val="18"/>
              </w:rPr>
              <w:t>.</w:t>
            </w:r>
          </w:p>
          <w:p w:rsidR="008E13DB" w:rsidRPr="00445FE4" w:rsidRDefault="008E13DB" w:rsidP="00376116">
            <w:pPr>
              <w:spacing w:line="240" w:lineRule="auto"/>
              <w:rPr>
                <w:rFonts w:eastAsia="PMingLiU" w:cs="Arial"/>
                <w:sz w:val="18"/>
                <w:szCs w:val="18"/>
              </w:rPr>
            </w:pPr>
            <w:r>
              <w:rPr>
                <w:rFonts w:eastAsia="PMingLiU" w:cs="Arial"/>
                <w:sz w:val="18"/>
                <w:szCs w:val="18"/>
              </w:rPr>
              <w:t>Inhalable dust ~80% and respirable dust ~25 – 50% (MMAD &lt; 10µm).</w:t>
            </w:r>
          </w:p>
        </w:tc>
      </w:tr>
      <w:tr w:rsidR="00376116" w:rsidRPr="00445FE4" w:rsidTr="00376116">
        <w:tc>
          <w:tcPr>
            <w:tcW w:w="1269"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Gartside et al. (1982)</w:t>
            </w:r>
          </w:p>
        </w:tc>
        <w:tc>
          <w:tcPr>
            <w:tcW w:w="1485"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Cross section study.</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Battery factory</w:t>
            </w:r>
          </w:p>
        </w:tc>
        <w:tc>
          <w:tcPr>
            <w:tcW w:w="1078"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&lt;10 - 350</w:t>
            </w:r>
          </w:p>
        </w:tc>
        <w:tc>
          <w:tcPr>
            <w:tcW w:w="868"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Pr>
                <w:rFonts w:eastAsia="PMingLiU" w:cs="Arial"/>
                <w:sz w:val="20"/>
                <w:szCs w:val="20"/>
              </w:rPr>
              <w:t>12</w:t>
            </w:r>
          </w:p>
        </w:tc>
        <w:tc>
          <w:tcPr>
            <w:tcW w:w="2674"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Linear regression</w:t>
            </w:r>
          </w:p>
          <w:p w:rsidR="00376116" w:rsidRPr="00445FE4" w:rsidRDefault="00376116" w:rsidP="00376116">
            <w:pPr>
              <w:spacing w:line="240" w:lineRule="auto"/>
              <w:rPr>
                <w:rFonts w:eastAsia="PMingLiU" w:cs="Arial"/>
                <w:sz w:val="18"/>
                <w:szCs w:val="18"/>
              </w:rPr>
            </w:pPr>
            <w:r>
              <w:rPr>
                <w:rFonts w:eastAsia="PMingLiU" w:cs="Arial"/>
                <w:sz w:val="18"/>
                <w:szCs w:val="18"/>
              </w:rPr>
              <w:t>Background from Figure 5.1</w:t>
            </w:r>
            <w:r w:rsidRPr="00445FE4">
              <w:rPr>
                <w:rFonts w:eastAsia="PMingLiU" w:cs="Arial"/>
                <w:sz w:val="18"/>
                <w:szCs w:val="18"/>
              </w:rPr>
              <w:t>.</w:t>
            </w:r>
          </w:p>
        </w:tc>
      </w:tr>
      <w:tr w:rsidR="00376116" w:rsidRPr="00445FE4" w:rsidTr="00376116">
        <w:trPr>
          <w:trHeight w:val="332"/>
        </w:trPr>
        <w:tc>
          <w:tcPr>
            <w:tcW w:w="1269" w:type="dxa"/>
            <w:vMerge w:val="restart"/>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King et al. (1979)</w:t>
            </w:r>
          </w:p>
        </w:tc>
        <w:tc>
          <w:tcPr>
            <w:tcW w:w="1485"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Battery factory</w:t>
            </w:r>
          </w:p>
        </w:tc>
        <w:tc>
          <w:tcPr>
            <w:tcW w:w="1078" w:type="dxa"/>
            <w:vMerge w:val="restart"/>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~50 - 800</w:t>
            </w:r>
          </w:p>
        </w:tc>
        <w:tc>
          <w:tcPr>
            <w:tcW w:w="868" w:type="dxa"/>
            <w:vMerge w:val="restart"/>
            <w:tcBorders>
              <w:left w:val="single" w:sz="12" w:space="0" w:color="auto"/>
              <w:right w:val="single" w:sz="12" w:space="0" w:color="auto"/>
            </w:tcBorders>
            <w:vAlign w:val="center"/>
          </w:tcPr>
          <w:p w:rsidR="00376116" w:rsidRPr="00445FE4" w:rsidRDefault="00780CE8" w:rsidP="00376116">
            <w:pPr>
              <w:spacing w:line="240" w:lineRule="auto"/>
              <w:rPr>
                <w:rFonts w:eastAsia="PMingLiU" w:cs="Arial"/>
                <w:sz w:val="20"/>
                <w:szCs w:val="20"/>
              </w:rPr>
            </w:pPr>
            <w:r>
              <w:rPr>
                <w:rFonts w:eastAsia="PMingLiU" w:cs="Arial"/>
                <w:sz w:val="20"/>
                <w:szCs w:val="20"/>
              </w:rPr>
              <w:t>2</w:t>
            </w:r>
            <w:r w:rsidR="00376116">
              <w:rPr>
                <w:rFonts w:eastAsia="PMingLiU" w:cs="Arial"/>
                <w:sz w:val="20"/>
                <w:szCs w:val="20"/>
              </w:rPr>
              <w:t>3</w:t>
            </w:r>
          </w:p>
        </w:tc>
        <w:tc>
          <w:tcPr>
            <w:tcW w:w="2674" w:type="dxa"/>
            <w:vMerge w:val="restart"/>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 xml:space="preserve">Regression equations used to calculate </w:t>
            </w:r>
            <w:r>
              <w:rPr>
                <w:rFonts w:eastAsia="PMingLiU" w:cs="Arial"/>
                <w:sz w:val="18"/>
                <w:szCs w:val="18"/>
              </w:rPr>
              <w:t>PbB</w:t>
            </w:r>
            <w:r w:rsidRPr="00445FE4">
              <w:rPr>
                <w:rFonts w:eastAsia="PMingLiU" w:cs="Arial"/>
                <w:sz w:val="18"/>
                <w:szCs w:val="18"/>
              </w:rPr>
              <w:t xml:space="preserve"> at </w:t>
            </w:r>
            <w:r>
              <w:rPr>
                <w:rFonts w:eastAsia="PMingLiU" w:cs="Arial"/>
                <w:sz w:val="18"/>
                <w:szCs w:val="18"/>
              </w:rPr>
              <w:t>the nominated</w:t>
            </w:r>
            <w:r w:rsidRPr="00445FE4">
              <w:rPr>
                <w:rFonts w:eastAsia="PMingLiU" w:cs="Arial"/>
                <w:sz w:val="18"/>
                <w:szCs w:val="18"/>
              </w:rPr>
              <w:t xml:space="preserve"> </w:t>
            </w:r>
            <w:r>
              <w:rPr>
                <w:rFonts w:eastAsia="PMingLiU" w:cs="Arial"/>
                <w:sz w:val="18"/>
                <w:szCs w:val="18"/>
              </w:rPr>
              <w:t>PbAir (</w:t>
            </w:r>
            <w:r w:rsidRPr="00445FE4">
              <w:rPr>
                <w:rFonts w:eastAsia="PMingLiU" w:cs="Arial"/>
                <w:sz w:val="18"/>
                <w:szCs w:val="18"/>
              </w:rPr>
              <w:t>µg/m</w:t>
            </w:r>
            <w:r w:rsidRPr="00445FE4">
              <w:rPr>
                <w:rFonts w:eastAsia="PMingLiU" w:cs="Arial"/>
                <w:sz w:val="18"/>
                <w:szCs w:val="18"/>
                <w:vertAlign w:val="superscript"/>
              </w:rPr>
              <w:t>3</w:t>
            </w:r>
            <w:r>
              <w:rPr>
                <w:rFonts w:eastAsia="PMingLiU" w:cs="Arial"/>
                <w:sz w:val="18"/>
                <w:szCs w:val="18"/>
              </w:rPr>
              <w:t>)</w:t>
            </w:r>
            <w:r w:rsidRPr="00445FE4">
              <w:rPr>
                <w:rFonts w:eastAsia="PMingLiU" w:cs="Arial"/>
                <w:sz w:val="18"/>
                <w:szCs w:val="18"/>
                <w:vertAlign w:val="superscript"/>
              </w:rPr>
              <w:t xml:space="preserve"> </w:t>
            </w:r>
            <w:r w:rsidRPr="00445FE4">
              <w:rPr>
                <w:rFonts w:eastAsia="PMingLiU" w:cs="Arial"/>
                <w:sz w:val="18"/>
                <w:szCs w:val="18"/>
              </w:rPr>
              <w:t>for each factory, background taken from surveys of UK taxi drivers as cited by King et al.</w:t>
            </w:r>
          </w:p>
        </w:tc>
      </w:tr>
      <w:tr w:rsidR="00376116" w:rsidRPr="00445FE4" w:rsidTr="00376116">
        <w:tc>
          <w:tcPr>
            <w:tcW w:w="1269"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p>
        </w:tc>
        <w:tc>
          <w:tcPr>
            <w:tcW w:w="1485"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Dye/pigment production</w:t>
            </w:r>
          </w:p>
        </w:tc>
        <w:tc>
          <w:tcPr>
            <w:tcW w:w="1078"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p>
        </w:tc>
        <w:tc>
          <w:tcPr>
            <w:tcW w:w="868"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p>
        </w:tc>
        <w:tc>
          <w:tcPr>
            <w:tcW w:w="2674"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p>
        </w:tc>
      </w:tr>
      <w:tr w:rsidR="00376116" w:rsidRPr="00445FE4" w:rsidTr="00376116">
        <w:tc>
          <w:tcPr>
            <w:tcW w:w="1269"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p>
        </w:tc>
        <w:tc>
          <w:tcPr>
            <w:tcW w:w="1485" w:type="dxa"/>
            <w:tcBorders>
              <w:left w:val="single" w:sz="12" w:space="0" w:color="auto"/>
              <w:right w:val="single" w:sz="12" w:space="0" w:color="auto"/>
            </w:tcBorders>
            <w:vAlign w:val="center"/>
          </w:tcPr>
          <w:p w:rsidR="00376116" w:rsidRPr="00445FE4" w:rsidRDefault="005227EC" w:rsidP="005227EC">
            <w:pPr>
              <w:spacing w:line="240" w:lineRule="auto"/>
              <w:rPr>
                <w:rFonts w:eastAsia="PMingLiU" w:cs="Arial"/>
                <w:sz w:val="18"/>
                <w:szCs w:val="18"/>
              </w:rPr>
            </w:pPr>
            <w:r>
              <w:rPr>
                <w:rFonts w:eastAsia="PMingLiU" w:cs="Arial"/>
                <w:sz w:val="18"/>
                <w:szCs w:val="18"/>
              </w:rPr>
              <w:t>Lead</w:t>
            </w:r>
            <w:r w:rsidR="00376116" w:rsidRPr="00445FE4">
              <w:rPr>
                <w:rFonts w:eastAsia="PMingLiU" w:cs="Arial"/>
                <w:sz w:val="18"/>
                <w:szCs w:val="18"/>
              </w:rPr>
              <w:t>/</w:t>
            </w:r>
            <w:r>
              <w:rPr>
                <w:rFonts w:eastAsia="PMingLiU" w:cs="Arial"/>
                <w:sz w:val="18"/>
                <w:szCs w:val="18"/>
              </w:rPr>
              <w:t>zinc</w:t>
            </w:r>
            <w:r w:rsidRPr="00445FE4">
              <w:rPr>
                <w:rFonts w:eastAsia="PMingLiU" w:cs="Arial"/>
                <w:sz w:val="18"/>
                <w:szCs w:val="18"/>
              </w:rPr>
              <w:t xml:space="preserve"> </w:t>
            </w:r>
            <w:r w:rsidR="00376116" w:rsidRPr="00445FE4">
              <w:rPr>
                <w:rFonts w:eastAsia="PMingLiU" w:cs="Arial"/>
                <w:sz w:val="18"/>
                <w:szCs w:val="18"/>
              </w:rPr>
              <w:t>smelter</w:t>
            </w:r>
          </w:p>
        </w:tc>
        <w:tc>
          <w:tcPr>
            <w:tcW w:w="1078"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p>
        </w:tc>
        <w:tc>
          <w:tcPr>
            <w:tcW w:w="868"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p>
        </w:tc>
        <w:tc>
          <w:tcPr>
            <w:tcW w:w="2674" w:type="dxa"/>
            <w:vMerge/>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p>
        </w:tc>
      </w:tr>
      <w:tr w:rsidR="00376116" w:rsidRPr="00445FE4" w:rsidTr="00376116">
        <w:tc>
          <w:tcPr>
            <w:tcW w:w="1269"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Bishop and Hill (1983)</w:t>
            </w:r>
          </w:p>
        </w:tc>
        <w:tc>
          <w:tcPr>
            <w:tcW w:w="1485"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Cross section study.</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6 battery factories</w:t>
            </w:r>
          </w:p>
        </w:tc>
        <w:tc>
          <w:tcPr>
            <w:tcW w:w="1078"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&lt;10 - 200</w:t>
            </w:r>
          </w:p>
        </w:tc>
        <w:tc>
          <w:tcPr>
            <w:tcW w:w="868"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Pr>
                <w:rFonts w:eastAsia="PMingLiU" w:cs="Arial"/>
                <w:sz w:val="20"/>
                <w:szCs w:val="20"/>
              </w:rPr>
              <w:t>14</w:t>
            </w:r>
          </w:p>
        </w:tc>
        <w:tc>
          <w:tcPr>
            <w:tcW w:w="2674" w:type="dxa"/>
            <w:tcBorders>
              <w:left w:val="single" w:sz="12" w:space="0" w:color="auto"/>
              <w:right w:val="single" w:sz="12" w:space="0" w:color="auto"/>
            </w:tcBorders>
            <w:vAlign w:val="center"/>
          </w:tcPr>
          <w:p w:rsidR="00376116" w:rsidRDefault="00376116" w:rsidP="00376116">
            <w:pPr>
              <w:spacing w:line="240" w:lineRule="auto"/>
              <w:rPr>
                <w:rFonts w:eastAsia="PMingLiU" w:cs="Arial"/>
                <w:sz w:val="18"/>
                <w:szCs w:val="18"/>
              </w:rPr>
            </w:pPr>
            <w:r w:rsidRPr="00445FE4">
              <w:rPr>
                <w:rFonts w:eastAsia="PMingLiU" w:cs="Arial"/>
                <w:sz w:val="18"/>
                <w:szCs w:val="18"/>
              </w:rPr>
              <w:t>Data from Factory F used as this showed the largest curvilinear relationship.</w:t>
            </w:r>
          </w:p>
          <w:p w:rsidR="00376116" w:rsidRPr="00445FE4" w:rsidRDefault="00376116" w:rsidP="00376116">
            <w:pPr>
              <w:spacing w:line="240" w:lineRule="auto"/>
              <w:rPr>
                <w:rFonts w:eastAsia="PMingLiU" w:cs="Arial"/>
                <w:sz w:val="18"/>
                <w:szCs w:val="18"/>
              </w:rPr>
            </w:pPr>
            <w:r>
              <w:rPr>
                <w:rFonts w:eastAsia="PMingLiU" w:cs="Arial"/>
                <w:sz w:val="18"/>
                <w:szCs w:val="18"/>
              </w:rPr>
              <w:t>Background from Figure 5.1.</w:t>
            </w:r>
          </w:p>
        </w:tc>
      </w:tr>
      <w:tr w:rsidR="00376116" w:rsidRPr="00445FE4" w:rsidTr="00376116">
        <w:tc>
          <w:tcPr>
            <w:tcW w:w="1269"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 xml:space="preserve">Chavalitnikul et al. (1984)  </w:t>
            </w:r>
          </w:p>
        </w:tc>
        <w:tc>
          <w:tcPr>
            <w:tcW w:w="1485"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Cross section study.</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Battery factory</w:t>
            </w:r>
          </w:p>
        </w:tc>
        <w:tc>
          <w:tcPr>
            <w:tcW w:w="1078"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1 - 165</w:t>
            </w:r>
          </w:p>
        </w:tc>
        <w:tc>
          <w:tcPr>
            <w:tcW w:w="868"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12</w:t>
            </w:r>
          </w:p>
        </w:tc>
        <w:tc>
          <w:tcPr>
            <w:tcW w:w="2674" w:type="dxa"/>
            <w:tcBorders>
              <w:left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Log-log regression</w:t>
            </w:r>
          </w:p>
        </w:tc>
      </w:tr>
      <w:tr w:rsidR="00376116" w:rsidRPr="00445FE4" w:rsidTr="00376116">
        <w:tc>
          <w:tcPr>
            <w:tcW w:w="1269" w:type="dxa"/>
            <w:tcBorders>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Williams et al. (1969)</w:t>
            </w:r>
          </w:p>
        </w:tc>
        <w:tc>
          <w:tcPr>
            <w:tcW w:w="1485" w:type="dxa"/>
            <w:tcBorders>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Cross section study.</w:t>
            </w:r>
          </w:p>
          <w:p w:rsidR="00376116" w:rsidRPr="00445FE4" w:rsidRDefault="00376116" w:rsidP="00376116">
            <w:pPr>
              <w:spacing w:line="240" w:lineRule="auto"/>
              <w:rPr>
                <w:rFonts w:eastAsia="PMingLiU" w:cs="Arial"/>
                <w:sz w:val="18"/>
                <w:szCs w:val="18"/>
              </w:rPr>
            </w:pPr>
            <w:r w:rsidRPr="00445FE4">
              <w:rPr>
                <w:rFonts w:eastAsia="PMingLiU" w:cs="Arial"/>
                <w:sz w:val="18"/>
                <w:szCs w:val="18"/>
              </w:rPr>
              <w:t>Battery factory</w:t>
            </w:r>
          </w:p>
        </w:tc>
        <w:tc>
          <w:tcPr>
            <w:tcW w:w="1078" w:type="dxa"/>
            <w:tcBorders>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sidRPr="00445FE4">
              <w:rPr>
                <w:rFonts w:eastAsia="PMingLiU" w:cs="Arial"/>
                <w:sz w:val="20"/>
                <w:szCs w:val="20"/>
              </w:rPr>
              <w:t>9 - 218</w:t>
            </w:r>
          </w:p>
        </w:tc>
        <w:tc>
          <w:tcPr>
            <w:tcW w:w="868" w:type="dxa"/>
            <w:tcBorders>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sz w:val="20"/>
                <w:szCs w:val="20"/>
              </w:rPr>
            </w:pPr>
            <w:r>
              <w:rPr>
                <w:rFonts w:eastAsia="PMingLiU" w:cs="Arial"/>
                <w:sz w:val="20"/>
                <w:szCs w:val="20"/>
              </w:rPr>
              <w:t>18</w:t>
            </w:r>
          </w:p>
        </w:tc>
        <w:tc>
          <w:tcPr>
            <w:tcW w:w="2674" w:type="dxa"/>
            <w:tcBorders>
              <w:left w:val="single" w:sz="12" w:space="0" w:color="auto"/>
              <w:bottom w:val="single" w:sz="12" w:space="0" w:color="auto"/>
              <w:right w:val="single" w:sz="12" w:space="0" w:color="auto"/>
            </w:tcBorders>
            <w:vAlign w:val="center"/>
          </w:tcPr>
          <w:p w:rsidR="00376116" w:rsidRPr="00445FE4" w:rsidRDefault="00376116" w:rsidP="00376116">
            <w:pPr>
              <w:spacing w:line="240" w:lineRule="auto"/>
              <w:rPr>
                <w:rFonts w:eastAsia="PMingLiU" w:cs="Arial"/>
                <w:sz w:val="18"/>
                <w:szCs w:val="18"/>
              </w:rPr>
            </w:pPr>
            <w:r w:rsidRPr="00445FE4">
              <w:rPr>
                <w:rFonts w:eastAsia="PMingLiU" w:cs="Arial"/>
                <w:sz w:val="18"/>
                <w:szCs w:val="18"/>
              </w:rPr>
              <w:t>Low exposure (9 µg/m</w:t>
            </w:r>
            <w:r w:rsidRPr="00445FE4">
              <w:rPr>
                <w:rFonts w:eastAsia="PMingLiU" w:cs="Arial"/>
                <w:sz w:val="18"/>
                <w:szCs w:val="18"/>
                <w:vertAlign w:val="superscript"/>
              </w:rPr>
              <w:t>3</w:t>
            </w:r>
            <w:r w:rsidRPr="00445FE4">
              <w:rPr>
                <w:rFonts w:eastAsia="PMingLiU" w:cs="Arial"/>
                <w:sz w:val="18"/>
                <w:szCs w:val="18"/>
              </w:rPr>
              <w:t>) gave 29.1 µg/dL, regression equation intercept 30.1 µg/dL. This is used for background.</w:t>
            </w:r>
          </w:p>
        </w:tc>
      </w:tr>
    </w:tbl>
    <w:p w:rsidR="00376116" w:rsidRDefault="00376116" w:rsidP="00376116"/>
    <w:p w:rsidR="00376116" w:rsidRDefault="00376116" w:rsidP="00376116">
      <w:pPr>
        <w:spacing w:line="240" w:lineRule="auto"/>
        <w:ind w:left="993" w:hanging="993"/>
        <w:rPr>
          <w:rFonts w:eastAsia="PMingLiU" w:cs="Arial"/>
          <w:sz w:val="24"/>
          <w:szCs w:val="24"/>
          <w:vertAlign w:val="superscript"/>
        </w:rPr>
      </w:pPr>
    </w:p>
    <w:p w:rsidR="002979CF" w:rsidRDefault="00376116" w:rsidP="008E13DB">
      <w:pPr>
        <w:spacing w:line="240" w:lineRule="auto"/>
        <w:ind w:left="993" w:hanging="142"/>
        <w:rPr>
          <w:rFonts w:eastAsia="PMingLiU" w:cs="Arial"/>
          <w:sz w:val="24"/>
          <w:szCs w:val="24"/>
          <w:vertAlign w:val="superscript"/>
        </w:rPr>
      </w:pPr>
      <w:r>
        <w:rPr>
          <w:rFonts w:eastAsia="PMingLiU" w:cs="Arial"/>
          <w:sz w:val="24"/>
          <w:szCs w:val="24"/>
          <w:vertAlign w:val="superscript"/>
        </w:rPr>
        <w:t xml:space="preserve">         </w:t>
      </w:r>
      <w:r w:rsidR="008E13DB">
        <w:rPr>
          <w:rFonts w:eastAsia="PMingLiU" w:cs="Arial"/>
          <w:sz w:val="24"/>
          <w:szCs w:val="24"/>
          <w:vertAlign w:val="superscript"/>
        </w:rPr>
        <w:t xml:space="preserve"> </w:t>
      </w:r>
    </w:p>
    <w:p w:rsidR="008E13DB" w:rsidRDefault="008E13DB" w:rsidP="008E13DB">
      <w:pPr>
        <w:spacing w:line="240" w:lineRule="auto"/>
        <w:ind w:left="993" w:hanging="142"/>
        <w:rPr>
          <w:rFonts w:eastAsia="PMingLiU" w:cs="Arial"/>
          <w:sz w:val="24"/>
          <w:szCs w:val="24"/>
          <w:vertAlign w:val="superscript"/>
        </w:rPr>
      </w:pPr>
      <w:r>
        <w:rPr>
          <w:rFonts w:eastAsia="PMingLiU" w:cs="Arial"/>
          <w:sz w:val="24"/>
          <w:szCs w:val="24"/>
          <w:vertAlign w:val="superscript"/>
        </w:rPr>
        <w:t xml:space="preserve">MMAD = mass </w:t>
      </w:r>
      <w:r w:rsidRPr="008E13DB">
        <w:rPr>
          <w:rFonts w:eastAsia="PMingLiU" w:cs="Arial"/>
          <w:sz w:val="24"/>
          <w:szCs w:val="24"/>
          <w:vertAlign w:val="superscript"/>
        </w:rPr>
        <w:t>median aerodynamic diameter</w:t>
      </w:r>
    </w:p>
    <w:p w:rsidR="00700508" w:rsidRDefault="00376116" w:rsidP="00700508">
      <w:pPr>
        <w:spacing w:line="240" w:lineRule="auto"/>
        <w:ind w:left="993" w:hanging="142"/>
        <w:rPr>
          <w:rFonts w:eastAsia="PMingLiU" w:cs="Arial"/>
          <w:sz w:val="24"/>
          <w:szCs w:val="24"/>
          <w:vertAlign w:val="superscript"/>
        </w:rPr>
      </w:pPr>
      <w:r w:rsidRPr="006B510F">
        <w:rPr>
          <w:rFonts w:eastAsia="PMingLiU" w:cs="Arial"/>
          <w:sz w:val="24"/>
          <w:szCs w:val="24"/>
          <w:vertAlign w:val="superscript"/>
        </w:rPr>
        <w:t>a</w:t>
      </w:r>
      <w:r w:rsidRPr="006B510F">
        <w:rPr>
          <w:rFonts w:eastAsia="PMingLiU" w:cs="Arial"/>
          <w:sz w:val="24"/>
          <w:szCs w:val="24"/>
        </w:rPr>
        <w:t xml:space="preserve"> </w:t>
      </w:r>
      <w:r w:rsidRPr="006B510F">
        <w:rPr>
          <w:rFonts w:eastAsia="PMingLiU" w:cs="Arial"/>
          <w:sz w:val="18"/>
          <w:szCs w:val="18"/>
        </w:rPr>
        <w:t>PbAir = Range of air lead concentration reported for the study workplace</w:t>
      </w:r>
    </w:p>
    <w:p w:rsidR="00376116" w:rsidRPr="006B510F" w:rsidRDefault="00376116" w:rsidP="00700508">
      <w:pPr>
        <w:spacing w:line="240" w:lineRule="auto"/>
        <w:ind w:left="993" w:hanging="142"/>
        <w:rPr>
          <w:rFonts w:eastAsia="PMingLiU" w:cs="Arial"/>
          <w:sz w:val="18"/>
          <w:szCs w:val="18"/>
        </w:rPr>
      </w:pPr>
      <w:r>
        <w:rPr>
          <w:rFonts w:eastAsia="PMingLiU" w:cs="Arial"/>
          <w:sz w:val="24"/>
          <w:szCs w:val="24"/>
          <w:vertAlign w:val="superscript"/>
        </w:rPr>
        <w:t>b</w:t>
      </w:r>
      <w:r w:rsidRPr="006B510F">
        <w:rPr>
          <w:rFonts w:eastAsia="PMingLiU" w:cs="Arial"/>
          <w:sz w:val="18"/>
          <w:szCs w:val="18"/>
        </w:rPr>
        <w:t xml:space="preserve"> Bkgd = Background blood lead not associated with workplace lead exposure. Determined from the study ‘control’ group or from </w:t>
      </w:r>
      <w:r>
        <w:rPr>
          <w:rFonts w:eastAsia="PMingLiU" w:cs="Arial"/>
          <w:sz w:val="18"/>
          <w:szCs w:val="18"/>
        </w:rPr>
        <w:t>Figure 5.1.</w:t>
      </w:r>
    </w:p>
    <w:p w:rsidR="00376116" w:rsidRDefault="00376116" w:rsidP="00376116">
      <w:pPr>
        <w:spacing w:line="240" w:lineRule="auto"/>
        <w:ind w:left="993" w:firstLine="283"/>
        <w:rPr>
          <w:rFonts w:eastAsia="PMingLiU" w:cs="Arial"/>
          <w:sz w:val="18"/>
          <w:szCs w:val="18"/>
        </w:rPr>
      </w:pPr>
    </w:p>
    <w:p w:rsidR="00700508" w:rsidRDefault="00700508" w:rsidP="00376116"/>
    <w:p w:rsidR="00376116" w:rsidRDefault="00376116" w:rsidP="00376116">
      <w:r>
        <w:t>Table 5.5 summarises the ASFs at the PbAir nominated in Section 5.2</w:t>
      </w:r>
      <w:r w:rsidR="006E38C9">
        <w:t>, as calculated by Equation 1</w:t>
      </w:r>
      <w:r>
        <w:t xml:space="preserve">.  As has been observed by others (US EPA 2013, NIWL 2005) the association of the ASF with PbAir is not linear. </w:t>
      </w:r>
    </w:p>
    <w:p w:rsidR="00376116" w:rsidRDefault="00376116" w:rsidP="00376116"/>
    <w:p w:rsidR="00376116" w:rsidRDefault="00376116" w:rsidP="00376116">
      <w:r>
        <w:t xml:space="preserve">It should also be noted that because estimates of background PbB are a large proportion of the PbB as </w:t>
      </w:r>
      <w:r w:rsidRPr="002E1E60">
        <w:t xml:space="preserve">measured </w:t>
      </w:r>
      <w:r>
        <w:t xml:space="preserve">in the occupational setting, it has a marked influence on the calculated ASF. None of studies in Table 5.5 corrected the measured occupational PbB for background contributions at the time.  </w:t>
      </w:r>
    </w:p>
    <w:p w:rsidR="00376116" w:rsidRDefault="00376116" w:rsidP="00376116"/>
    <w:p w:rsidR="00376116" w:rsidRDefault="00376116" w:rsidP="00376116">
      <w:r>
        <w:t>ASFs for PbAir lower than 0.05 mg/m</w:t>
      </w:r>
      <w:r>
        <w:rPr>
          <w:vertAlign w:val="superscript"/>
        </w:rPr>
        <w:t>3</w:t>
      </w:r>
      <w:r>
        <w:t xml:space="preserve"> could not be estimated because such </w:t>
      </w:r>
      <w:r w:rsidR="0072100B">
        <w:t>PbAir</w:t>
      </w:r>
      <w:r>
        <w:t xml:space="preserve"> concentrations were frequently beyond the range of the experimental data and study authors warned against extrapolating to lower air concentrations. It is recommended that an ASF of 0.4 </w:t>
      </w:r>
      <w:r w:rsidRPr="003A0F9B">
        <w:t>(µg/dL)/(µg/m</w:t>
      </w:r>
      <w:r w:rsidRPr="003A0F9B">
        <w:rPr>
          <w:vertAlign w:val="superscript"/>
        </w:rPr>
        <w:t>3</w:t>
      </w:r>
      <w:r w:rsidRPr="003A0F9B">
        <w:t>)</w:t>
      </w:r>
      <w:r>
        <w:t xml:space="preserve"> be used for PbAir </w:t>
      </w:r>
      <w:r>
        <w:rPr>
          <w:rFonts w:cs="Arial"/>
        </w:rPr>
        <w:t>≤</w:t>
      </w:r>
      <w:r>
        <w:t xml:space="preserve"> 0.</w:t>
      </w:r>
      <w:r w:rsidR="00780CE8">
        <w:t>0</w:t>
      </w:r>
      <w:r>
        <w:t xml:space="preserve">5 </w:t>
      </w:r>
      <w:r>
        <w:rPr>
          <w:rFonts w:cs="Arial"/>
        </w:rPr>
        <w:t>m</w:t>
      </w:r>
      <w:r>
        <w:t>g/m</w:t>
      </w:r>
      <w:r>
        <w:rPr>
          <w:vertAlign w:val="superscript"/>
        </w:rPr>
        <w:t>3</w:t>
      </w:r>
      <w:r>
        <w:rPr>
          <w:vertAlign w:val="subscript"/>
        </w:rPr>
        <w:t xml:space="preserve">, </w:t>
      </w:r>
      <w:r>
        <w:t xml:space="preserve">recognising that at these air concentrations the relationship is becoming more curvilinear and the ASF may underestimate the PbB. This is however balanced by the fact that </w:t>
      </w:r>
      <w:r w:rsidRPr="00FC7F5A">
        <w:t>none</w:t>
      </w:r>
      <w:r>
        <w:t xml:space="preserve"> of the studies depict workplace exposure purely from air, other non-air related exposures are </w:t>
      </w:r>
      <w:r>
        <w:lastRenderedPageBreak/>
        <w:t xml:space="preserve">also occurring. Many of the studies not included in this analysis were rejected because it was obvious non-air exposures were the major contributors to PbB. </w:t>
      </w:r>
    </w:p>
    <w:p w:rsidR="00376116" w:rsidRDefault="00376116" w:rsidP="00376116"/>
    <w:p w:rsidR="00376116" w:rsidRPr="004B57D9" w:rsidRDefault="00376116" w:rsidP="00376116">
      <w:pPr>
        <w:jc w:val="center"/>
        <w:rPr>
          <w:b/>
          <w:sz w:val="24"/>
          <w:szCs w:val="24"/>
        </w:rPr>
      </w:pPr>
      <w:r w:rsidRPr="004B57D9">
        <w:rPr>
          <w:b/>
          <w:sz w:val="24"/>
          <w:szCs w:val="24"/>
        </w:rPr>
        <w:t xml:space="preserve">Table </w:t>
      </w:r>
      <w:r>
        <w:rPr>
          <w:b/>
          <w:sz w:val="24"/>
          <w:szCs w:val="24"/>
        </w:rPr>
        <w:t>5</w:t>
      </w:r>
      <w:r w:rsidRPr="004B57D9">
        <w:rPr>
          <w:b/>
          <w:sz w:val="24"/>
          <w:szCs w:val="24"/>
        </w:rPr>
        <w:t xml:space="preserve">.5: Summary of ASFs at nominated </w:t>
      </w:r>
      <w:r w:rsidR="006610BE">
        <w:rPr>
          <w:b/>
          <w:sz w:val="24"/>
          <w:szCs w:val="24"/>
        </w:rPr>
        <w:t>PbAir</w:t>
      </w:r>
      <w:r w:rsidRPr="004B57D9">
        <w:rPr>
          <w:b/>
          <w:sz w:val="24"/>
          <w:szCs w:val="24"/>
        </w:rPr>
        <w:t xml:space="preserve"> concentrations</w:t>
      </w:r>
    </w:p>
    <w:tbl>
      <w:tblPr>
        <w:tblpPr w:leftFromText="180" w:rightFromText="180" w:vertAnchor="text" w:horzAnchor="margin" w:tblpXSpec="center"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5"/>
        <w:gridCol w:w="1008"/>
        <w:gridCol w:w="882"/>
        <w:gridCol w:w="868"/>
        <w:gridCol w:w="853"/>
        <w:gridCol w:w="853"/>
        <w:gridCol w:w="853"/>
        <w:gridCol w:w="853"/>
      </w:tblGrid>
      <w:tr w:rsidR="00376116" w:rsidRPr="004B57D9" w:rsidTr="00376116">
        <w:trPr>
          <w:trHeight w:val="399"/>
        </w:trPr>
        <w:tc>
          <w:tcPr>
            <w:tcW w:w="1445" w:type="dxa"/>
            <w:vMerge w:val="restart"/>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rPr>
                <w:rFonts w:eastAsia="PMingLiU" w:cs="Arial"/>
                <w:b/>
              </w:rPr>
            </w:pPr>
            <w:r w:rsidRPr="004B57D9">
              <w:rPr>
                <w:rFonts w:eastAsia="PMingLiU" w:cs="Arial"/>
                <w:b/>
              </w:rPr>
              <w:t>Reference</w:t>
            </w:r>
          </w:p>
        </w:tc>
        <w:tc>
          <w:tcPr>
            <w:tcW w:w="1008" w:type="dxa"/>
            <w:vMerge w:val="restart"/>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rPr>
                <w:rFonts w:eastAsia="PMingLiU" w:cs="Arial"/>
                <w:b/>
                <w:vertAlign w:val="superscript"/>
              </w:rPr>
            </w:pPr>
            <w:r w:rsidRPr="004B57D9">
              <w:rPr>
                <w:rFonts w:eastAsia="PMingLiU" w:cs="Arial"/>
                <w:b/>
              </w:rPr>
              <w:t xml:space="preserve">Bkgd </w:t>
            </w:r>
            <w:r>
              <w:rPr>
                <w:rFonts w:eastAsia="PMingLiU" w:cs="Arial"/>
                <w:b/>
                <w:vertAlign w:val="superscript"/>
              </w:rPr>
              <w:t>a</w:t>
            </w:r>
          </w:p>
          <w:p w:rsidR="00376116" w:rsidRPr="004B57D9" w:rsidRDefault="00376116" w:rsidP="00376116">
            <w:pPr>
              <w:spacing w:line="240" w:lineRule="auto"/>
              <w:rPr>
                <w:rFonts w:eastAsia="PMingLiU" w:cs="Arial"/>
                <w:b/>
                <w:sz w:val="18"/>
                <w:szCs w:val="18"/>
              </w:rPr>
            </w:pPr>
            <w:r w:rsidRPr="004B57D9">
              <w:rPr>
                <w:rFonts w:eastAsia="PMingLiU" w:cs="Arial"/>
                <w:b/>
                <w:sz w:val="18"/>
                <w:szCs w:val="18"/>
              </w:rPr>
              <w:t>(µg/dL)</w:t>
            </w:r>
          </w:p>
        </w:tc>
        <w:tc>
          <w:tcPr>
            <w:tcW w:w="2603" w:type="dxa"/>
            <w:gridSpan w:val="3"/>
            <w:tcBorders>
              <w:top w:val="single" w:sz="12" w:space="0" w:color="auto"/>
              <w:left w:val="single" w:sz="12" w:space="0" w:color="auto"/>
              <w:bottom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b/>
                <w:vertAlign w:val="superscript"/>
              </w:rPr>
            </w:pPr>
            <w:r>
              <w:rPr>
                <w:rFonts w:eastAsia="PMingLiU" w:cs="Arial"/>
                <w:b/>
              </w:rPr>
              <w:t>PbB</w:t>
            </w:r>
            <w:r w:rsidRPr="004B57D9">
              <w:rPr>
                <w:rFonts w:eastAsia="PMingLiU" w:cs="Arial"/>
                <w:b/>
              </w:rPr>
              <w:t xml:space="preserve"> </w:t>
            </w:r>
            <w:r w:rsidRPr="004B57D9">
              <w:rPr>
                <w:rFonts w:eastAsia="PMingLiU" w:cs="Arial"/>
                <w:b/>
                <w:vertAlign w:val="superscript"/>
              </w:rPr>
              <w:t>b</w:t>
            </w:r>
            <w:r w:rsidRPr="00F507EA">
              <w:rPr>
                <w:rFonts w:eastAsia="PMingLiU" w:cs="Arial"/>
                <w:b/>
                <w:vertAlign w:val="superscript"/>
              </w:rPr>
              <w:t xml:space="preserve"> </w:t>
            </w:r>
            <w:r w:rsidRPr="004B57D9">
              <w:rPr>
                <w:rFonts w:eastAsia="PMingLiU" w:cs="Arial"/>
                <w:b/>
                <w:sz w:val="18"/>
                <w:szCs w:val="18"/>
              </w:rPr>
              <w:t>(µg/dL)</w:t>
            </w:r>
          </w:p>
        </w:tc>
        <w:tc>
          <w:tcPr>
            <w:tcW w:w="2559" w:type="dxa"/>
            <w:gridSpan w:val="3"/>
            <w:tcBorders>
              <w:top w:val="single" w:sz="12" w:space="0" w:color="auto"/>
              <w:left w:val="single" w:sz="12" w:space="0" w:color="auto"/>
              <w:bottom w:val="single" w:sz="12" w:space="0" w:color="auto"/>
              <w:right w:val="single" w:sz="12" w:space="0" w:color="auto"/>
            </w:tcBorders>
            <w:vAlign w:val="center"/>
          </w:tcPr>
          <w:p w:rsidR="00376116" w:rsidRPr="00F507EA" w:rsidRDefault="00376116" w:rsidP="006E38C9">
            <w:pPr>
              <w:spacing w:line="240" w:lineRule="auto"/>
              <w:jc w:val="center"/>
              <w:rPr>
                <w:rFonts w:eastAsia="PMingLiU" w:cs="Arial"/>
                <w:b/>
              </w:rPr>
            </w:pPr>
            <w:r w:rsidRPr="004B57D9">
              <w:rPr>
                <w:rFonts w:eastAsia="PMingLiU" w:cs="Arial"/>
                <w:b/>
              </w:rPr>
              <w:t xml:space="preserve">ASF </w:t>
            </w:r>
            <w:r>
              <w:rPr>
                <w:rFonts w:eastAsia="PMingLiU" w:cs="Arial"/>
                <w:b/>
                <w:vertAlign w:val="superscript"/>
              </w:rPr>
              <w:t>c</w:t>
            </w:r>
            <w:r w:rsidRPr="00F507EA">
              <w:rPr>
                <w:rFonts w:eastAsia="PMingLiU" w:cs="Arial"/>
                <w:b/>
              </w:rPr>
              <w:t xml:space="preserve"> </w:t>
            </w:r>
            <w:r w:rsidRPr="004B57D9">
              <w:rPr>
                <w:rFonts w:eastAsia="PMingLiU" w:cs="Arial"/>
                <w:b/>
                <w:sz w:val="18"/>
                <w:szCs w:val="18"/>
              </w:rPr>
              <w:t>(µg/dL)/(µg/m</w:t>
            </w:r>
            <w:r w:rsidRPr="004B57D9">
              <w:rPr>
                <w:rFonts w:eastAsia="PMingLiU" w:cs="Arial"/>
                <w:b/>
                <w:sz w:val="18"/>
                <w:szCs w:val="18"/>
                <w:vertAlign w:val="superscript"/>
              </w:rPr>
              <w:t>3</w:t>
            </w:r>
            <w:r w:rsidRPr="00F507EA">
              <w:rPr>
                <w:rFonts w:eastAsia="PMingLiU" w:cs="Arial"/>
                <w:b/>
                <w:sz w:val="18"/>
                <w:szCs w:val="18"/>
              </w:rPr>
              <w:t>)</w:t>
            </w:r>
          </w:p>
        </w:tc>
      </w:tr>
      <w:tr w:rsidR="00376116" w:rsidRPr="004B57D9" w:rsidTr="00376116">
        <w:trPr>
          <w:trHeight w:val="564"/>
        </w:trPr>
        <w:tc>
          <w:tcPr>
            <w:tcW w:w="1445" w:type="dxa"/>
            <w:vMerge/>
            <w:tcBorders>
              <w:left w:val="single" w:sz="12" w:space="0" w:color="auto"/>
              <w:bottom w:val="single" w:sz="12" w:space="0" w:color="auto"/>
              <w:right w:val="single" w:sz="12" w:space="0" w:color="auto"/>
            </w:tcBorders>
            <w:vAlign w:val="center"/>
          </w:tcPr>
          <w:p w:rsidR="00376116" w:rsidRPr="00F507EA" w:rsidRDefault="00376116" w:rsidP="00376116">
            <w:pPr>
              <w:spacing w:line="240" w:lineRule="auto"/>
              <w:rPr>
                <w:rFonts w:eastAsia="PMingLiU" w:cs="Arial"/>
                <w:b/>
              </w:rPr>
            </w:pPr>
          </w:p>
        </w:tc>
        <w:tc>
          <w:tcPr>
            <w:tcW w:w="1008" w:type="dxa"/>
            <w:vMerge/>
            <w:tcBorders>
              <w:left w:val="single" w:sz="12" w:space="0" w:color="auto"/>
              <w:bottom w:val="single" w:sz="12" w:space="0" w:color="auto"/>
              <w:right w:val="single" w:sz="12" w:space="0" w:color="auto"/>
            </w:tcBorders>
            <w:vAlign w:val="center"/>
          </w:tcPr>
          <w:p w:rsidR="00376116" w:rsidRPr="00F507EA" w:rsidRDefault="00376116" w:rsidP="00376116">
            <w:pPr>
              <w:spacing w:line="240" w:lineRule="auto"/>
              <w:rPr>
                <w:rFonts w:eastAsia="PMingLiU" w:cs="Arial"/>
                <w:b/>
              </w:rPr>
            </w:pPr>
          </w:p>
        </w:tc>
        <w:tc>
          <w:tcPr>
            <w:tcW w:w="882" w:type="dxa"/>
            <w:tcBorders>
              <w:top w:val="single" w:sz="12" w:space="0" w:color="auto"/>
              <w:left w:val="single" w:sz="12" w:space="0" w:color="auto"/>
              <w:bottom w:val="single" w:sz="12" w:space="0" w:color="auto"/>
            </w:tcBorders>
            <w:vAlign w:val="center"/>
          </w:tcPr>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0.05 mg/m</w:t>
            </w:r>
            <w:r w:rsidRPr="00F507EA">
              <w:rPr>
                <w:rFonts w:eastAsia="PMingLiU" w:cs="Arial"/>
                <w:b/>
                <w:sz w:val="20"/>
                <w:szCs w:val="20"/>
                <w:vertAlign w:val="superscript"/>
              </w:rPr>
              <w:t>3</w:t>
            </w:r>
          </w:p>
        </w:tc>
        <w:tc>
          <w:tcPr>
            <w:tcW w:w="868" w:type="dxa"/>
            <w:tcBorders>
              <w:top w:val="single" w:sz="12" w:space="0" w:color="auto"/>
              <w:bottom w:val="single" w:sz="12" w:space="0" w:color="auto"/>
            </w:tcBorders>
            <w:vAlign w:val="center"/>
          </w:tcPr>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0.1</w:t>
            </w:r>
          </w:p>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mg/m</w:t>
            </w:r>
            <w:r w:rsidRPr="00F507EA">
              <w:rPr>
                <w:rFonts w:eastAsia="PMingLiU" w:cs="Arial"/>
                <w:b/>
                <w:sz w:val="20"/>
                <w:szCs w:val="20"/>
                <w:vertAlign w:val="superscript"/>
              </w:rPr>
              <w:t>3</w:t>
            </w:r>
          </w:p>
        </w:tc>
        <w:tc>
          <w:tcPr>
            <w:tcW w:w="853" w:type="dxa"/>
            <w:tcBorders>
              <w:top w:val="single" w:sz="12" w:space="0" w:color="auto"/>
              <w:bottom w:val="single" w:sz="12" w:space="0" w:color="auto"/>
              <w:right w:val="single" w:sz="12" w:space="0" w:color="auto"/>
            </w:tcBorders>
            <w:vAlign w:val="center"/>
          </w:tcPr>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0.15</w:t>
            </w:r>
          </w:p>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mg/m</w:t>
            </w:r>
            <w:r w:rsidRPr="00F507EA">
              <w:rPr>
                <w:rFonts w:eastAsia="PMingLiU" w:cs="Arial"/>
                <w:b/>
                <w:sz w:val="20"/>
                <w:szCs w:val="20"/>
                <w:vertAlign w:val="superscript"/>
              </w:rPr>
              <w:t>3</w:t>
            </w:r>
          </w:p>
        </w:tc>
        <w:tc>
          <w:tcPr>
            <w:tcW w:w="853" w:type="dxa"/>
            <w:tcBorders>
              <w:top w:val="single" w:sz="12" w:space="0" w:color="auto"/>
              <w:left w:val="single" w:sz="12" w:space="0" w:color="auto"/>
              <w:bottom w:val="single" w:sz="12" w:space="0" w:color="auto"/>
            </w:tcBorders>
            <w:vAlign w:val="center"/>
          </w:tcPr>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0.05 mg/m</w:t>
            </w:r>
            <w:r w:rsidRPr="00F507EA">
              <w:rPr>
                <w:rFonts w:eastAsia="PMingLiU" w:cs="Arial"/>
                <w:b/>
                <w:sz w:val="20"/>
                <w:szCs w:val="20"/>
                <w:vertAlign w:val="superscript"/>
              </w:rPr>
              <w:t>3</w:t>
            </w:r>
          </w:p>
        </w:tc>
        <w:tc>
          <w:tcPr>
            <w:tcW w:w="853" w:type="dxa"/>
            <w:tcBorders>
              <w:top w:val="single" w:sz="12" w:space="0" w:color="auto"/>
              <w:bottom w:val="single" w:sz="12" w:space="0" w:color="auto"/>
            </w:tcBorders>
            <w:vAlign w:val="center"/>
          </w:tcPr>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0.1</w:t>
            </w:r>
          </w:p>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mg/m</w:t>
            </w:r>
            <w:r w:rsidRPr="00F507EA">
              <w:rPr>
                <w:rFonts w:eastAsia="PMingLiU" w:cs="Arial"/>
                <w:b/>
                <w:sz w:val="20"/>
                <w:szCs w:val="20"/>
                <w:vertAlign w:val="superscript"/>
              </w:rPr>
              <w:t>3</w:t>
            </w:r>
          </w:p>
        </w:tc>
        <w:tc>
          <w:tcPr>
            <w:tcW w:w="853" w:type="dxa"/>
            <w:tcBorders>
              <w:top w:val="single" w:sz="12" w:space="0" w:color="auto"/>
              <w:bottom w:val="single" w:sz="12" w:space="0" w:color="auto"/>
              <w:right w:val="single" w:sz="12" w:space="0" w:color="auto"/>
            </w:tcBorders>
            <w:vAlign w:val="center"/>
          </w:tcPr>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0.15</w:t>
            </w:r>
          </w:p>
          <w:p w:rsidR="00376116" w:rsidRPr="00F507EA" w:rsidRDefault="00376116" w:rsidP="0016072C">
            <w:pPr>
              <w:spacing w:line="240" w:lineRule="auto"/>
              <w:jc w:val="center"/>
              <w:rPr>
                <w:rFonts w:eastAsia="PMingLiU" w:cs="Arial"/>
                <w:b/>
                <w:sz w:val="20"/>
                <w:szCs w:val="20"/>
              </w:rPr>
            </w:pPr>
            <w:r w:rsidRPr="00F507EA">
              <w:rPr>
                <w:rFonts w:eastAsia="PMingLiU" w:cs="Arial"/>
                <w:b/>
                <w:sz w:val="20"/>
                <w:szCs w:val="20"/>
              </w:rPr>
              <w:t>mg/m</w:t>
            </w:r>
            <w:r w:rsidRPr="00F507EA">
              <w:rPr>
                <w:rFonts w:eastAsia="PMingLiU" w:cs="Arial"/>
                <w:b/>
                <w:sz w:val="20"/>
                <w:szCs w:val="20"/>
                <w:vertAlign w:val="superscript"/>
              </w:rPr>
              <w:t>3</w:t>
            </w:r>
          </w:p>
        </w:tc>
      </w:tr>
      <w:tr w:rsidR="00376116" w:rsidRPr="004B57D9" w:rsidTr="00376116">
        <w:tc>
          <w:tcPr>
            <w:tcW w:w="1445" w:type="dxa"/>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rPr>
                <w:rFonts w:eastAsia="PMingLiU" w:cs="Arial"/>
                <w:sz w:val="20"/>
                <w:szCs w:val="20"/>
              </w:rPr>
            </w:pPr>
            <w:r w:rsidRPr="004B57D9">
              <w:rPr>
                <w:rFonts w:eastAsia="PMingLiU" w:cs="Arial"/>
                <w:sz w:val="20"/>
                <w:szCs w:val="20"/>
              </w:rPr>
              <w:t xml:space="preserve">Pierre et al. (2002) </w:t>
            </w:r>
          </w:p>
        </w:tc>
        <w:tc>
          <w:tcPr>
            <w:tcW w:w="1008" w:type="dxa"/>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9.9</w:t>
            </w:r>
          </w:p>
        </w:tc>
        <w:tc>
          <w:tcPr>
            <w:tcW w:w="882" w:type="dxa"/>
            <w:tcBorders>
              <w:top w:val="single" w:sz="12" w:space="0" w:color="auto"/>
              <w:lef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25</w:t>
            </w:r>
          </w:p>
        </w:tc>
        <w:tc>
          <w:tcPr>
            <w:tcW w:w="868" w:type="dxa"/>
            <w:tcBorders>
              <w:top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27</w:t>
            </w:r>
          </w:p>
        </w:tc>
        <w:tc>
          <w:tcPr>
            <w:tcW w:w="853" w:type="dxa"/>
            <w:tcBorders>
              <w:top w:val="single" w:sz="12" w:space="0" w:color="auto"/>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796404">
              <w:rPr>
                <w:rFonts w:eastAsia="PMingLiU" w:cs="Arial"/>
                <w:sz w:val="20"/>
                <w:szCs w:val="20"/>
              </w:rPr>
              <w:t>31</w:t>
            </w:r>
          </w:p>
        </w:tc>
        <w:tc>
          <w:tcPr>
            <w:tcW w:w="853" w:type="dxa"/>
            <w:tcBorders>
              <w:top w:val="single" w:sz="12" w:space="0" w:color="auto"/>
              <w:left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0.3</w:t>
            </w:r>
            <w:r w:rsidR="00C65033">
              <w:rPr>
                <w:rFonts w:eastAsia="PMingLiU" w:cs="Arial"/>
                <w:sz w:val="20"/>
                <w:szCs w:val="20"/>
              </w:rPr>
              <w:t>0</w:t>
            </w:r>
          </w:p>
        </w:tc>
        <w:tc>
          <w:tcPr>
            <w:tcW w:w="853" w:type="dxa"/>
            <w:tcBorders>
              <w:top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w:t>
            </w:r>
            <w:r>
              <w:rPr>
                <w:rFonts w:eastAsia="PMingLiU" w:cs="Arial"/>
                <w:sz w:val="20"/>
                <w:szCs w:val="20"/>
              </w:rPr>
              <w:t>17</w:t>
            </w:r>
          </w:p>
        </w:tc>
        <w:tc>
          <w:tcPr>
            <w:tcW w:w="853" w:type="dxa"/>
            <w:tcBorders>
              <w:top w:val="single" w:sz="12" w:space="0" w:color="auto"/>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0.14</w:t>
            </w:r>
          </w:p>
        </w:tc>
      </w:tr>
      <w:tr w:rsidR="00376116" w:rsidRPr="004B57D9" w:rsidTr="00376116">
        <w:tc>
          <w:tcPr>
            <w:tcW w:w="1445" w:type="dxa"/>
            <w:tcBorders>
              <w:left w:val="single" w:sz="12" w:space="0" w:color="auto"/>
              <w:bottom w:val="single" w:sz="12" w:space="0" w:color="auto"/>
              <w:right w:val="single" w:sz="12" w:space="0" w:color="auto"/>
            </w:tcBorders>
            <w:vAlign w:val="center"/>
          </w:tcPr>
          <w:p w:rsidR="00376116" w:rsidRPr="004B57D9" w:rsidRDefault="00376116" w:rsidP="00376116">
            <w:pPr>
              <w:spacing w:line="240" w:lineRule="auto"/>
              <w:rPr>
                <w:rFonts w:eastAsia="PMingLiU" w:cs="Arial"/>
                <w:sz w:val="20"/>
                <w:szCs w:val="20"/>
              </w:rPr>
            </w:pPr>
            <w:r w:rsidRPr="004B57D9">
              <w:rPr>
                <w:rFonts w:eastAsia="PMingLiU" w:cs="Arial"/>
                <w:sz w:val="20"/>
                <w:szCs w:val="20"/>
              </w:rPr>
              <w:t>Gartside et al. (1982)</w:t>
            </w:r>
          </w:p>
        </w:tc>
        <w:tc>
          <w:tcPr>
            <w:tcW w:w="1008" w:type="dxa"/>
            <w:tcBorders>
              <w:left w:val="single" w:sz="12" w:space="0" w:color="auto"/>
              <w:bottom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12</w:t>
            </w:r>
          </w:p>
        </w:tc>
        <w:tc>
          <w:tcPr>
            <w:tcW w:w="882" w:type="dxa"/>
            <w:tcBorders>
              <w:left w:val="single" w:sz="12" w:space="0" w:color="auto"/>
              <w:bottom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42</w:t>
            </w:r>
          </w:p>
        </w:tc>
        <w:tc>
          <w:tcPr>
            <w:tcW w:w="868" w:type="dxa"/>
            <w:tcBorders>
              <w:bottom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44</w:t>
            </w:r>
          </w:p>
        </w:tc>
        <w:tc>
          <w:tcPr>
            <w:tcW w:w="853" w:type="dxa"/>
            <w:tcBorders>
              <w:bottom w:val="single" w:sz="12" w:space="0" w:color="auto"/>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47</w:t>
            </w:r>
          </w:p>
        </w:tc>
        <w:tc>
          <w:tcPr>
            <w:tcW w:w="853" w:type="dxa"/>
            <w:tcBorders>
              <w:left w:val="single" w:sz="12" w:space="0" w:color="auto"/>
              <w:bottom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sz w:val="20"/>
                <w:szCs w:val="20"/>
              </w:rPr>
            </w:pPr>
            <w:r w:rsidRPr="00383286">
              <w:rPr>
                <w:rFonts w:eastAsia="PMingLiU" w:cs="Arial"/>
                <w:sz w:val="20"/>
                <w:szCs w:val="20"/>
              </w:rPr>
              <w:t>0.6</w:t>
            </w:r>
            <w:r w:rsidR="00C65033">
              <w:rPr>
                <w:rFonts w:eastAsia="PMingLiU" w:cs="Arial"/>
                <w:sz w:val="20"/>
                <w:szCs w:val="20"/>
              </w:rPr>
              <w:t>0</w:t>
            </w:r>
          </w:p>
        </w:tc>
        <w:tc>
          <w:tcPr>
            <w:tcW w:w="853" w:type="dxa"/>
            <w:tcBorders>
              <w:bottom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0.32</w:t>
            </w:r>
          </w:p>
        </w:tc>
        <w:tc>
          <w:tcPr>
            <w:tcW w:w="853" w:type="dxa"/>
            <w:tcBorders>
              <w:bottom w:val="single" w:sz="12" w:space="0" w:color="auto"/>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0.23</w:t>
            </w:r>
          </w:p>
        </w:tc>
      </w:tr>
      <w:tr w:rsidR="00376116" w:rsidRPr="004B57D9" w:rsidTr="00376116">
        <w:trPr>
          <w:trHeight w:val="332"/>
        </w:trPr>
        <w:tc>
          <w:tcPr>
            <w:tcW w:w="1445" w:type="dxa"/>
            <w:vMerge w:val="restart"/>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rPr>
                <w:rFonts w:eastAsia="PMingLiU" w:cs="Arial"/>
                <w:sz w:val="20"/>
                <w:szCs w:val="20"/>
              </w:rPr>
            </w:pPr>
            <w:r w:rsidRPr="004B57D9">
              <w:rPr>
                <w:rFonts w:eastAsia="PMingLiU" w:cs="Arial"/>
                <w:sz w:val="20"/>
                <w:szCs w:val="20"/>
              </w:rPr>
              <w:t>King et al. (1979)</w:t>
            </w:r>
          </w:p>
        </w:tc>
        <w:tc>
          <w:tcPr>
            <w:tcW w:w="1008" w:type="dxa"/>
            <w:vMerge w:val="restart"/>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23</w:t>
            </w:r>
          </w:p>
        </w:tc>
        <w:tc>
          <w:tcPr>
            <w:tcW w:w="882" w:type="dxa"/>
            <w:tcBorders>
              <w:top w:val="single" w:sz="12" w:space="0" w:color="auto"/>
              <w:left w:val="single" w:sz="12" w:space="0" w:color="auto"/>
              <w:bottom w:val="single" w:sz="6"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48</w:t>
            </w:r>
          </w:p>
        </w:tc>
        <w:tc>
          <w:tcPr>
            <w:tcW w:w="868" w:type="dxa"/>
            <w:tcBorders>
              <w:top w:val="single" w:sz="12" w:space="0" w:color="auto"/>
              <w:bottom w:val="single" w:sz="6"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49</w:t>
            </w:r>
          </w:p>
        </w:tc>
        <w:tc>
          <w:tcPr>
            <w:tcW w:w="853" w:type="dxa"/>
            <w:tcBorders>
              <w:top w:val="single" w:sz="12" w:space="0" w:color="auto"/>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color w:val="FF0000"/>
                <w:sz w:val="20"/>
                <w:szCs w:val="20"/>
              </w:rPr>
            </w:pPr>
            <w:r w:rsidRPr="00080966">
              <w:rPr>
                <w:rFonts w:eastAsia="PMingLiU" w:cs="Arial"/>
                <w:sz w:val="20"/>
                <w:szCs w:val="20"/>
              </w:rPr>
              <w:t>51</w:t>
            </w:r>
          </w:p>
        </w:tc>
        <w:tc>
          <w:tcPr>
            <w:tcW w:w="853" w:type="dxa"/>
            <w:tcBorders>
              <w:top w:val="single" w:sz="12" w:space="0" w:color="auto"/>
              <w:left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color w:val="FF0000"/>
                <w:sz w:val="20"/>
                <w:szCs w:val="20"/>
              </w:rPr>
            </w:pPr>
            <w:r w:rsidRPr="004B57D9">
              <w:rPr>
                <w:rFonts w:eastAsia="PMingLiU" w:cs="Arial"/>
                <w:sz w:val="20"/>
                <w:szCs w:val="20"/>
              </w:rPr>
              <w:t>0.</w:t>
            </w:r>
            <w:r>
              <w:rPr>
                <w:rFonts w:eastAsia="PMingLiU" w:cs="Arial"/>
                <w:sz w:val="20"/>
                <w:szCs w:val="20"/>
              </w:rPr>
              <w:t>5</w:t>
            </w:r>
            <w:r w:rsidR="00C65033">
              <w:rPr>
                <w:rFonts w:eastAsia="PMingLiU" w:cs="Arial"/>
                <w:sz w:val="20"/>
                <w:szCs w:val="20"/>
              </w:rPr>
              <w:t>0</w:t>
            </w:r>
          </w:p>
        </w:tc>
        <w:tc>
          <w:tcPr>
            <w:tcW w:w="853" w:type="dxa"/>
            <w:tcBorders>
              <w:top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w:t>
            </w:r>
            <w:r>
              <w:rPr>
                <w:rFonts w:eastAsia="PMingLiU" w:cs="Arial"/>
                <w:sz w:val="20"/>
                <w:szCs w:val="20"/>
              </w:rPr>
              <w:t>26</w:t>
            </w:r>
          </w:p>
        </w:tc>
        <w:tc>
          <w:tcPr>
            <w:tcW w:w="853" w:type="dxa"/>
            <w:tcBorders>
              <w:top w:val="single" w:sz="12" w:space="0" w:color="auto"/>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0.19</w:t>
            </w:r>
          </w:p>
        </w:tc>
      </w:tr>
      <w:tr w:rsidR="00376116" w:rsidRPr="004B57D9" w:rsidTr="00376116">
        <w:trPr>
          <w:trHeight w:val="356"/>
        </w:trPr>
        <w:tc>
          <w:tcPr>
            <w:tcW w:w="1445" w:type="dxa"/>
            <w:vMerge/>
            <w:tcBorders>
              <w:left w:val="single" w:sz="12" w:space="0" w:color="auto"/>
              <w:right w:val="single" w:sz="12" w:space="0" w:color="auto"/>
            </w:tcBorders>
            <w:vAlign w:val="center"/>
          </w:tcPr>
          <w:p w:rsidR="00376116" w:rsidRPr="004B57D9" w:rsidRDefault="00376116" w:rsidP="00376116">
            <w:pPr>
              <w:spacing w:line="240" w:lineRule="auto"/>
              <w:rPr>
                <w:rFonts w:eastAsia="PMingLiU" w:cs="Arial"/>
                <w:sz w:val="20"/>
                <w:szCs w:val="20"/>
              </w:rPr>
            </w:pPr>
          </w:p>
        </w:tc>
        <w:tc>
          <w:tcPr>
            <w:tcW w:w="1008" w:type="dxa"/>
            <w:vMerge/>
            <w:tcBorders>
              <w:left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p>
        </w:tc>
        <w:tc>
          <w:tcPr>
            <w:tcW w:w="882" w:type="dxa"/>
            <w:tcBorders>
              <w:top w:val="single" w:sz="6" w:space="0" w:color="auto"/>
              <w:left w:val="single" w:sz="12" w:space="0" w:color="auto"/>
              <w:bottom w:val="single" w:sz="6"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34</w:t>
            </w:r>
          </w:p>
        </w:tc>
        <w:tc>
          <w:tcPr>
            <w:tcW w:w="868" w:type="dxa"/>
            <w:tcBorders>
              <w:top w:val="single" w:sz="6" w:space="0" w:color="auto"/>
              <w:bottom w:val="single" w:sz="6"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37</w:t>
            </w:r>
          </w:p>
        </w:tc>
        <w:tc>
          <w:tcPr>
            <w:tcW w:w="853" w:type="dxa"/>
            <w:tcBorders>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41</w:t>
            </w:r>
          </w:p>
        </w:tc>
        <w:tc>
          <w:tcPr>
            <w:tcW w:w="853" w:type="dxa"/>
            <w:tcBorders>
              <w:left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0.2</w:t>
            </w:r>
            <w:r>
              <w:rPr>
                <w:rFonts w:eastAsia="PMingLiU" w:cs="Arial"/>
                <w:sz w:val="20"/>
                <w:szCs w:val="20"/>
              </w:rPr>
              <w:t>2</w:t>
            </w:r>
          </w:p>
        </w:tc>
        <w:tc>
          <w:tcPr>
            <w:tcW w:w="853" w:type="dxa"/>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w:t>
            </w:r>
            <w:r>
              <w:rPr>
                <w:rFonts w:eastAsia="PMingLiU" w:cs="Arial"/>
                <w:sz w:val="20"/>
                <w:szCs w:val="20"/>
              </w:rPr>
              <w:t>14</w:t>
            </w:r>
          </w:p>
        </w:tc>
        <w:tc>
          <w:tcPr>
            <w:tcW w:w="853" w:type="dxa"/>
            <w:tcBorders>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0.12</w:t>
            </w:r>
          </w:p>
        </w:tc>
      </w:tr>
      <w:tr w:rsidR="00376116" w:rsidRPr="004B57D9" w:rsidTr="00376116">
        <w:trPr>
          <w:trHeight w:val="369"/>
        </w:trPr>
        <w:tc>
          <w:tcPr>
            <w:tcW w:w="1445" w:type="dxa"/>
            <w:vMerge/>
            <w:tcBorders>
              <w:left w:val="single" w:sz="12" w:space="0" w:color="auto"/>
              <w:bottom w:val="single" w:sz="12" w:space="0" w:color="auto"/>
              <w:right w:val="single" w:sz="12" w:space="0" w:color="auto"/>
            </w:tcBorders>
            <w:vAlign w:val="center"/>
          </w:tcPr>
          <w:p w:rsidR="00376116" w:rsidRPr="004B57D9" w:rsidRDefault="00376116" w:rsidP="00376116">
            <w:pPr>
              <w:spacing w:line="240" w:lineRule="auto"/>
              <w:rPr>
                <w:rFonts w:eastAsia="PMingLiU" w:cs="Arial"/>
                <w:sz w:val="20"/>
                <w:szCs w:val="20"/>
              </w:rPr>
            </w:pPr>
          </w:p>
        </w:tc>
        <w:tc>
          <w:tcPr>
            <w:tcW w:w="1008" w:type="dxa"/>
            <w:vMerge/>
            <w:tcBorders>
              <w:left w:val="single" w:sz="12" w:space="0" w:color="auto"/>
              <w:bottom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p>
        </w:tc>
        <w:tc>
          <w:tcPr>
            <w:tcW w:w="882" w:type="dxa"/>
            <w:tcBorders>
              <w:top w:val="single" w:sz="6" w:space="0" w:color="auto"/>
              <w:left w:val="single" w:sz="12" w:space="0" w:color="auto"/>
              <w:bottom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48</w:t>
            </w:r>
          </w:p>
        </w:tc>
        <w:tc>
          <w:tcPr>
            <w:tcW w:w="868" w:type="dxa"/>
            <w:tcBorders>
              <w:top w:val="single" w:sz="6" w:space="0" w:color="auto"/>
              <w:bottom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52</w:t>
            </w:r>
          </w:p>
        </w:tc>
        <w:tc>
          <w:tcPr>
            <w:tcW w:w="853" w:type="dxa"/>
            <w:tcBorders>
              <w:bottom w:val="single" w:sz="12" w:space="0" w:color="auto"/>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55</w:t>
            </w:r>
          </w:p>
        </w:tc>
        <w:tc>
          <w:tcPr>
            <w:tcW w:w="853" w:type="dxa"/>
            <w:tcBorders>
              <w:left w:val="single" w:sz="12" w:space="0" w:color="auto"/>
              <w:bottom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0.5</w:t>
            </w:r>
            <w:r w:rsidR="00C65033">
              <w:rPr>
                <w:rFonts w:eastAsia="PMingLiU" w:cs="Arial"/>
                <w:sz w:val="20"/>
                <w:szCs w:val="20"/>
              </w:rPr>
              <w:t>0</w:t>
            </w:r>
          </w:p>
        </w:tc>
        <w:tc>
          <w:tcPr>
            <w:tcW w:w="853" w:type="dxa"/>
            <w:tcBorders>
              <w:bottom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w:t>
            </w:r>
            <w:r>
              <w:rPr>
                <w:rFonts w:eastAsia="PMingLiU" w:cs="Arial"/>
                <w:sz w:val="20"/>
                <w:szCs w:val="20"/>
              </w:rPr>
              <w:t>29</w:t>
            </w:r>
          </w:p>
        </w:tc>
        <w:tc>
          <w:tcPr>
            <w:tcW w:w="853" w:type="dxa"/>
            <w:tcBorders>
              <w:bottom w:val="single" w:sz="12" w:space="0" w:color="auto"/>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0.21</w:t>
            </w:r>
          </w:p>
        </w:tc>
      </w:tr>
      <w:tr w:rsidR="00376116" w:rsidRPr="004B57D9" w:rsidTr="00376116">
        <w:tc>
          <w:tcPr>
            <w:tcW w:w="1445" w:type="dxa"/>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rPr>
                <w:rFonts w:eastAsia="PMingLiU" w:cs="Arial"/>
                <w:sz w:val="20"/>
                <w:szCs w:val="20"/>
              </w:rPr>
            </w:pPr>
            <w:r w:rsidRPr="004B57D9">
              <w:rPr>
                <w:rFonts w:eastAsia="PMingLiU" w:cs="Arial"/>
                <w:sz w:val="20"/>
                <w:szCs w:val="20"/>
              </w:rPr>
              <w:t>Bishop and Hill (1983)</w:t>
            </w:r>
          </w:p>
        </w:tc>
        <w:tc>
          <w:tcPr>
            <w:tcW w:w="1008" w:type="dxa"/>
            <w:tcBorders>
              <w:top w:val="single" w:sz="12" w:space="0" w:color="auto"/>
              <w:left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14</w:t>
            </w:r>
          </w:p>
        </w:tc>
        <w:tc>
          <w:tcPr>
            <w:tcW w:w="882" w:type="dxa"/>
            <w:tcBorders>
              <w:top w:val="single" w:sz="12" w:space="0" w:color="auto"/>
              <w:lef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32</w:t>
            </w:r>
          </w:p>
        </w:tc>
        <w:tc>
          <w:tcPr>
            <w:tcW w:w="868" w:type="dxa"/>
            <w:tcBorders>
              <w:top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36</w:t>
            </w:r>
          </w:p>
        </w:tc>
        <w:tc>
          <w:tcPr>
            <w:tcW w:w="853" w:type="dxa"/>
            <w:tcBorders>
              <w:top w:val="single" w:sz="12" w:space="0" w:color="auto"/>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37</w:t>
            </w:r>
          </w:p>
        </w:tc>
        <w:tc>
          <w:tcPr>
            <w:tcW w:w="853" w:type="dxa"/>
            <w:tcBorders>
              <w:top w:val="single" w:sz="12" w:space="0" w:color="auto"/>
              <w:left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sz w:val="20"/>
                <w:szCs w:val="20"/>
              </w:rPr>
            </w:pPr>
            <w:r w:rsidRPr="00383286">
              <w:rPr>
                <w:rFonts w:eastAsia="PMingLiU" w:cs="Arial"/>
                <w:sz w:val="20"/>
                <w:szCs w:val="20"/>
              </w:rPr>
              <w:t>0.3</w:t>
            </w:r>
            <w:r w:rsidRPr="004B57D9">
              <w:rPr>
                <w:rFonts w:eastAsia="PMingLiU" w:cs="Arial"/>
                <w:sz w:val="20"/>
                <w:szCs w:val="20"/>
              </w:rPr>
              <w:t>6</w:t>
            </w:r>
          </w:p>
        </w:tc>
        <w:tc>
          <w:tcPr>
            <w:tcW w:w="853" w:type="dxa"/>
            <w:tcBorders>
              <w:top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0.22</w:t>
            </w:r>
          </w:p>
        </w:tc>
        <w:tc>
          <w:tcPr>
            <w:tcW w:w="853" w:type="dxa"/>
            <w:tcBorders>
              <w:top w:val="single" w:sz="12" w:space="0" w:color="auto"/>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0.1</w:t>
            </w:r>
            <w:r>
              <w:rPr>
                <w:rFonts w:eastAsia="PMingLiU" w:cs="Arial"/>
                <w:sz w:val="20"/>
                <w:szCs w:val="20"/>
              </w:rPr>
              <w:t>5</w:t>
            </w:r>
          </w:p>
        </w:tc>
      </w:tr>
      <w:tr w:rsidR="00376116" w:rsidRPr="004B57D9" w:rsidTr="00376116">
        <w:tc>
          <w:tcPr>
            <w:tcW w:w="1445" w:type="dxa"/>
            <w:tcBorders>
              <w:left w:val="single" w:sz="12" w:space="0" w:color="auto"/>
              <w:right w:val="single" w:sz="12" w:space="0" w:color="auto"/>
            </w:tcBorders>
            <w:vAlign w:val="center"/>
          </w:tcPr>
          <w:p w:rsidR="00376116" w:rsidRPr="004B57D9" w:rsidRDefault="00376116" w:rsidP="00376116">
            <w:pPr>
              <w:spacing w:line="240" w:lineRule="auto"/>
              <w:rPr>
                <w:rFonts w:eastAsia="PMingLiU" w:cs="Arial"/>
                <w:sz w:val="18"/>
                <w:szCs w:val="18"/>
              </w:rPr>
            </w:pPr>
            <w:r w:rsidRPr="004B57D9">
              <w:rPr>
                <w:rFonts w:eastAsia="PMingLiU" w:cs="Arial"/>
                <w:sz w:val="18"/>
                <w:szCs w:val="18"/>
              </w:rPr>
              <w:t xml:space="preserve">Chavalitnikul et al. (1984)  </w:t>
            </w:r>
          </w:p>
        </w:tc>
        <w:tc>
          <w:tcPr>
            <w:tcW w:w="1008" w:type="dxa"/>
            <w:tcBorders>
              <w:left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12</w:t>
            </w:r>
          </w:p>
        </w:tc>
        <w:tc>
          <w:tcPr>
            <w:tcW w:w="882" w:type="dxa"/>
            <w:tcBorders>
              <w:lef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32</w:t>
            </w:r>
          </w:p>
        </w:tc>
        <w:tc>
          <w:tcPr>
            <w:tcW w:w="868" w:type="dxa"/>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39</w:t>
            </w:r>
          </w:p>
        </w:tc>
        <w:tc>
          <w:tcPr>
            <w:tcW w:w="853" w:type="dxa"/>
            <w:tcBorders>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44</w:t>
            </w:r>
          </w:p>
        </w:tc>
        <w:tc>
          <w:tcPr>
            <w:tcW w:w="853" w:type="dxa"/>
            <w:tcBorders>
              <w:left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0.4</w:t>
            </w:r>
            <w:r w:rsidR="00C65033">
              <w:rPr>
                <w:rFonts w:eastAsia="PMingLiU" w:cs="Arial"/>
                <w:sz w:val="20"/>
                <w:szCs w:val="20"/>
              </w:rPr>
              <w:t>0</w:t>
            </w:r>
          </w:p>
        </w:tc>
        <w:tc>
          <w:tcPr>
            <w:tcW w:w="853" w:type="dxa"/>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0.27</w:t>
            </w:r>
          </w:p>
        </w:tc>
        <w:tc>
          <w:tcPr>
            <w:tcW w:w="853" w:type="dxa"/>
            <w:tcBorders>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0.21</w:t>
            </w:r>
          </w:p>
        </w:tc>
      </w:tr>
      <w:tr w:rsidR="00376116" w:rsidRPr="004B57D9" w:rsidTr="00376116">
        <w:tc>
          <w:tcPr>
            <w:tcW w:w="1445" w:type="dxa"/>
            <w:tcBorders>
              <w:left w:val="single" w:sz="12" w:space="0" w:color="auto"/>
              <w:right w:val="single" w:sz="12" w:space="0" w:color="auto"/>
            </w:tcBorders>
            <w:vAlign w:val="center"/>
          </w:tcPr>
          <w:p w:rsidR="00376116" w:rsidRPr="004B57D9" w:rsidRDefault="00376116" w:rsidP="00376116">
            <w:pPr>
              <w:spacing w:line="240" w:lineRule="auto"/>
              <w:rPr>
                <w:rFonts w:eastAsia="PMingLiU" w:cs="Arial"/>
                <w:sz w:val="20"/>
                <w:szCs w:val="20"/>
              </w:rPr>
            </w:pPr>
            <w:r w:rsidRPr="004B57D9">
              <w:rPr>
                <w:rFonts w:eastAsia="PMingLiU" w:cs="Arial"/>
                <w:sz w:val="20"/>
                <w:szCs w:val="20"/>
              </w:rPr>
              <w:t>Williams et al. (1969)</w:t>
            </w:r>
          </w:p>
        </w:tc>
        <w:tc>
          <w:tcPr>
            <w:tcW w:w="1008" w:type="dxa"/>
            <w:tcBorders>
              <w:left w:val="single" w:sz="12" w:space="0" w:color="auto"/>
              <w:right w:val="single" w:sz="12" w:space="0" w:color="auto"/>
            </w:tcBorders>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18</w:t>
            </w:r>
          </w:p>
        </w:tc>
        <w:tc>
          <w:tcPr>
            <w:tcW w:w="882" w:type="dxa"/>
            <w:tcBorders>
              <w:lef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sidRPr="004B57D9">
              <w:rPr>
                <w:rFonts w:eastAsia="PMingLiU" w:cs="Arial"/>
                <w:sz w:val="20"/>
                <w:szCs w:val="20"/>
              </w:rPr>
              <w:t>40</w:t>
            </w:r>
          </w:p>
        </w:tc>
        <w:tc>
          <w:tcPr>
            <w:tcW w:w="868" w:type="dxa"/>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50</w:t>
            </w:r>
          </w:p>
        </w:tc>
        <w:tc>
          <w:tcPr>
            <w:tcW w:w="853" w:type="dxa"/>
            <w:tcBorders>
              <w:right w:val="single" w:sz="12" w:space="0" w:color="auto"/>
            </w:tcBorders>
            <w:shd w:val="clear" w:color="auto" w:fill="FFFFCC"/>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60</w:t>
            </w:r>
          </w:p>
        </w:tc>
        <w:tc>
          <w:tcPr>
            <w:tcW w:w="853" w:type="dxa"/>
            <w:tcBorders>
              <w:left w:val="single" w:sz="12" w:space="0" w:color="auto"/>
            </w:tcBorders>
            <w:shd w:val="clear" w:color="auto" w:fill="F2F2F2" w:themeFill="background1" w:themeFillShade="F2"/>
            <w:vAlign w:val="center"/>
          </w:tcPr>
          <w:p w:rsidR="00376116" w:rsidRPr="004B57D9" w:rsidRDefault="00376116" w:rsidP="00376116">
            <w:pPr>
              <w:spacing w:line="240" w:lineRule="auto"/>
              <w:jc w:val="center"/>
              <w:rPr>
                <w:rFonts w:eastAsia="PMingLiU" w:cs="Arial"/>
                <w:sz w:val="20"/>
                <w:szCs w:val="20"/>
              </w:rPr>
            </w:pPr>
            <w:r>
              <w:rPr>
                <w:rFonts w:eastAsia="PMingLiU" w:cs="Arial"/>
                <w:sz w:val="20"/>
                <w:szCs w:val="20"/>
              </w:rPr>
              <w:t>0.44</w:t>
            </w:r>
          </w:p>
        </w:tc>
        <w:tc>
          <w:tcPr>
            <w:tcW w:w="853" w:type="dxa"/>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w:t>
            </w:r>
            <w:r>
              <w:rPr>
                <w:rFonts w:eastAsia="PMingLiU" w:cs="Arial"/>
                <w:sz w:val="20"/>
                <w:szCs w:val="20"/>
              </w:rPr>
              <w:t>32</w:t>
            </w:r>
          </w:p>
        </w:tc>
        <w:tc>
          <w:tcPr>
            <w:tcW w:w="853" w:type="dxa"/>
            <w:tcBorders>
              <w:right w:val="single" w:sz="12" w:space="0" w:color="auto"/>
            </w:tcBorders>
            <w:shd w:val="clear" w:color="auto" w:fill="F2F2F2" w:themeFill="background1" w:themeFillShade="F2"/>
            <w:vAlign w:val="center"/>
          </w:tcPr>
          <w:p w:rsidR="00376116" w:rsidRPr="00383286" w:rsidRDefault="00376116" w:rsidP="00376116">
            <w:pPr>
              <w:spacing w:line="240" w:lineRule="auto"/>
              <w:jc w:val="center"/>
              <w:rPr>
                <w:rFonts w:eastAsia="PMingLiU" w:cs="Arial"/>
                <w:sz w:val="20"/>
                <w:szCs w:val="20"/>
              </w:rPr>
            </w:pPr>
            <w:r w:rsidRPr="00383286">
              <w:rPr>
                <w:rFonts w:eastAsia="PMingLiU" w:cs="Arial"/>
                <w:sz w:val="20"/>
                <w:szCs w:val="20"/>
              </w:rPr>
              <w:t>0.2</w:t>
            </w:r>
            <w:r>
              <w:rPr>
                <w:rFonts w:eastAsia="PMingLiU" w:cs="Arial"/>
                <w:sz w:val="20"/>
                <w:szCs w:val="20"/>
              </w:rPr>
              <w:t>8</w:t>
            </w:r>
          </w:p>
        </w:tc>
      </w:tr>
      <w:tr w:rsidR="00376116" w:rsidRPr="004B57D9" w:rsidTr="00B7382E">
        <w:trPr>
          <w:trHeight w:val="367"/>
        </w:trPr>
        <w:tc>
          <w:tcPr>
            <w:tcW w:w="5056" w:type="dxa"/>
            <w:gridSpan w:val="5"/>
            <w:tcBorders>
              <w:top w:val="single" w:sz="12" w:space="0" w:color="auto"/>
              <w:left w:val="single" w:sz="12" w:space="0" w:color="auto"/>
              <w:bottom w:val="single" w:sz="12" w:space="0" w:color="auto"/>
              <w:right w:val="single" w:sz="12" w:space="0" w:color="auto"/>
            </w:tcBorders>
            <w:vAlign w:val="center"/>
          </w:tcPr>
          <w:p w:rsidR="00376116" w:rsidRPr="004B57D9" w:rsidRDefault="0021080C" w:rsidP="00376116">
            <w:pPr>
              <w:spacing w:line="240" w:lineRule="auto"/>
              <w:jc w:val="right"/>
              <w:rPr>
                <w:rFonts w:eastAsia="PMingLiU" w:cs="Arial"/>
                <w:b/>
              </w:rPr>
            </w:pPr>
            <w:r>
              <w:rPr>
                <w:rFonts w:eastAsia="PMingLiU" w:cs="Arial"/>
                <w:b/>
              </w:rPr>
              <w:t xml:space="preserve">Overall </w:t>
            </w:r>
            <w:r w:rsidR="00376116" w:rsidRPr="004B57D9">
              <w:rPr>
                <w:rFonts w:eastAsia="PMingLiU" w:cs="Arial"/>
                <w:b/>
              </w:rPr>
              <w:t>Average</w:t>
            </w:r>
          </w:p>
        </w:tc>
        <w:tc>
          <w:tcPr>
            <w:tcW w:w="853" w:type="dxa"/>
            <w:tcBorders>
              <w:top w:val="single" w:sz="12" w:space="0" w:color="auto"/>
              <w:left w:val="single" w:sz="12" w:space="0" w:color="auto"/>
              <w:bottom w:val="single" w:sz="12" w:space="0" w:color="auto"/>
            </w:tcBorders>
            <w:vAlign w:val="center"/>
          </w:tcPr>
          <w:p w:rsidR="00376116" w:rsidRPr="004B57D9" w:rsidRDefault="00376116" w:rsidP="00B7382E">
            <w:pPr>
              <w:spacing w:line="240" w:lineRule="auto"/>
              <w:jc w:val="center"/>
              <w:rPr>
                <w:rFonts w:eastAsia="PMingLiU" w:cs="Arial"/>
                <w:b/>
              </w:rPr>
            </w:pPr>
            <w:r>
              <w:rPr>
                <w:rFonts w:eastAsia="PMingLiU" w:cs="Arial"/>
                <w:b/>
              </w:rPr>
              <w:t>0.42</w:t>
            </w:r>
          </w:p>
        </w:tc>
        <w:tc>
          <w:tcPr>
            <w:tcW w:w="853" w:type="dxa"/>
            <w:tcBorders>
              <w:top w:val="single" w:sz="12" w:space="0" w:color="auto"/>
              <w:bottom w:val="single" w:sz="12" w:space="0" w:color="auto"/>
            </w:tcBorders>
            <w:vAlign w:val="center"/>
          </w:tcPr>
          <w:p w:rsidR="00376116" w:rsidRPr="004B57D9" w:rsidRDefault="00376116" w:rsidP="00B7382E">
            <w:pPr>
              <w:spacing w:line="240" w:lineRule="auto"/>
              <w:jc w:val="center"/>
              <w:rPr>
                <w:rFonts w:eastAsia="PMingLiU" w:cs="Arial"/>
                <w:b/>
              </w:rPr>
            </w:pPr>
            <w:r>
              <w:rPr>
                <w:rFonts w:eastAsia="PMingLiU" w:cs="Arial"/>
                <w:b/>
              </w:rPr>
              <w:t>0.25</w:t>
            </w:r>
          </w:p>
        </w:tc>
        <w:tc>
          <w:tcPr>
            <w:tcW w:w="853" w:type="dxa"/>
            <w:tcBorders>
              <w:top w:val="single" w:sz="12" w:space="0" w:color="auto"/>
              <w:bottom w:val="single" w:sz="12" w:space="0" w:color="auto"/>
              <w:right w:val="single" w:sz="12" w:space="0" w:color="auto"/>
            </w:tcBorders>
            <w:vAlign w:val="center"/>
          </w:tcPr>
          <w:p w:rsidR="00376116" w:rsidRPr="004B57D9" w:rsidRDefault="00376116" w:rsidP="00B7382E">
            <w:pPr>
              <w:spacing w:line="240" w:lineRule="auto"/>
              <w:jc w:val="center"/>
              <w:rPr>
                <w:rFonts w:eastAsia="PMingLiU" w:cs="Arial"/>
                <w:b/>
              </w:rPr>
            </w:pPr>
            <w:r>
              <w:rPr>
                <w:rFonts w:eastAsia="PMingLiU" w:cs="Arial"/>
                <w:b/>
              </w:rPr>
              <w:t>0.19</w:t>
            </w:r>
          </w:p>
        </w:tc>
      </w:tr>
    </w:tbl>
    <w:p w:rsidR="00376116" w:rsidRDefault="00376116" w:rsidP="00376116"/>
    <w:p w:rsidR="00376116" w:rsidRPr="00D30889" w:rsidRDefault="00376116" w:rsidP="00376116"/>
    <w:p w:rsidR="004B1FE9" w:rsidRDefault="004B1FE9" w:rsidP="00376116"/>
    <w:p w:rsidR="004B1FE9" w:rsidRDefault="004B1FE9" w:rsidP="00376116"/>
    <w:p w:rsidR="004B1FE9" w:rsidRDefault="004B1FE9" w:rsidP="00376116"/>
    <w:p w:rsidR="004B1FE9" w:rsidRDefault="004B1FE9" w:rsidP="00376116"/>
    <w:p w:rsidR="004B1FE9" w:rsidRDefault="004B1FE9" w:rsidP="00376116"/>
    <w:p w:rsidR="004B1FE9" w:rsidRDefault="004B1FE9" w:rsidP="00376116"/>
    <w:p w:rsidR="004B1FE9" w:rsidRDefault="004B1FE9" w:rsidP="00376116"/>
    <w:p w:rsidR="004B1FE9" w:rsidRDefault="004B1FE9" w:rsidP="00376116"/>
    <w:p w:rsidR="004B1FE9" w:rsidRDefault="004B1FE9" w:rsidP="00376116"/>
    <w:p w:rsidR="004B1FE9" w:rsidRDefault="004B1FE9" w:rsidP="00376116"/>
    <w:p w:rsidR="004B1FE9" w:rsidRDefault="004B1FE9" w:rsidP="00376116"/>
    <w:p w:rsidR="004B1FE9" w:rsidRPr="00D30889" w:rsidRDefault="004B1FE9" w:rsidP="00376116"/>
    <w:p w:rsidR="00376116" w:rsidRPr="00D30889" w:rsidRDefault="00376116" w:rsidP="00376116">
      <w:pPr>
        <w:spacing w:line="240" w:lineRule="auto"/>
        <w:ind w:left="168" w:hanging="168"/>
        <w:rPr>
          <w:rFonts w:eastAsia="PMingLiU" w:cs="Arial"/>
          <w:sz w:val="18"/>
          <w:szCs w:val="18"/>
        </w:rPr>
      </w:pPr>
      <w:r>
        <w:rPr>
          <w:rFonts w:eastAsia="PMingLiU" w:cs="Arial"/>
          <w:sz w:val="24"/>
          <w:szCs w:val="24"/>
          <w:vertAlign w:val="superscript"/>
        </w:rPr>
        <w:t>a</w:t>
      </w:r>
      <w:r w:rsidRPr="00D30889">
        <w:rPr>
          <w:rFonts w:eastAsia="PMingLiU" w:cs="Arial"/>
          <w:sz w:val="18"/>
          <w:szCs w:val="18"/>
        </w:rPr>
        <w:t xml:space="preserve"> Bkgd = Background blood lead not associated with workplace lead exposure. Determined from the study ‘control’ group or from </w:t>
      </w:r>
      <w:r>
        <w:rPr>
          <w:rFonts w:eastAsia="PMingLiU" w:cs="Arial"/>
          <w:sz w:val="18"/>
          <w:szCs w:val="18"/>
        </w:rPr>
        <w:t>Figure 5.1.</w:t>
      </w:r>
    </w:p>
    <w:p w:rsidR="00376116" w:rsidRDefault="00376116" w:rsidP="00376116">
      <w:pPr>
        <w:spacing w:line="240" w:lineRule="auto"/>
        <w:ind w:left="168" w:hanging="168"/>
        <w:rPr>
          <w:rFonts w:eastAsia="PMingLiU" w:cs="Arial"/>
          <w:sz w:val="18"/>
          <w:szCs w:val="18"/>
        </w:rPr>
      </w:pPr>
      <w:r w:rsidRPr="00D30889">
        <w:rPr>
          <w:rFonts w:eastAsia="PMingLiU" w:cs="Arial"/>
          <w:sz w:val="24"/>
          <w:szCs w:val="24"/>
          <w:vertAlign w:val="superscript"/>
        </w:rPr>
        <w:t>b</w:t>
      </w:r>
      <w:r w:rsidRPr="00D30889">
        <w:rPr>
          <w:rFonts w:eastAsia="PMingLiU" w:cs="Arial"/>
          <w:sz w:val="18"/>
          <w:szCs w:val="18"/>
        </w:rPr>
        <w:t xml:space="preserve"> </w:t>
      </w:r>
      <w:r>
        <w:rPr>
          <w:rFonts w:eastAsia="PMingLiU" w:cs="Arial"/>
          <w:sz w:val="18"/>
          <w:szCs w:val="18"/>
        </w:rPr>
        <w:t>PbB</w:t>
      </w:r>
      <w:r w:rsidRPr="00D30889">
        <w:rPr>
          <w:rFonts w:eastAsia="PMingLiU" w:cs="Arial"/>
          <w:sz w:val="18"/>
          <w:szCs w:val="18"/>
        </w:rPr>
        <w:t xml:space="preserve"> = Blood lead concentration at </w:t>
      </w:r>
      <w:r>
        <w:rPr>
          <w:rFonts w:eastAsia="PMingLiU" w:cs="Arial"/>
          <w:sz w:val="18"/>
          <w:szCs w:val="18"/>
        </w:rPr>
        <w:t>the nominated</w:t>
      </w:r>
      <w:r w:rsidR="006610BE">
        <w:rPr>
          <w:rFonts w:eastAsia="PMingLiU" w:cs="Arial"/>
          <w:sz w:val="18"/>
          <w:szCs w:val="18"/>
        </w:rPr>
        <w:t xml:space="preserve"> </w:t>
      </w:r>
      <w:r w:rsidRPr="00D30889">
        <w:rPr>
          <w:rFonts w:eastAsia="PMingLiU" w:cs="Arial"/>
          <w:sz w:val="18"/>
          <w:szCs w:val="18"/>
        </w:rPr>
        <w:t>PbAir</w:t>
      </w:r>
      <w:r>
        <w:rPr>
          <w:rFonts w:eastAsia="PMingLiU" w:cs="Arial"/>
          <w:sz w:val="18"/>
          <w:szCs w:val="18"/>
        </w:rPr>
        <w:t xml:space="preserve"> </w:t>
      </w:r>
      <w:r w:rsidR="009655DC">
        <w:rPr>
          <w:rFonts w:eastAsia="PMingLiU" w:cs="Arial"/>
          <w:sz w:val="18"/>
          <w:szCs w:val="18"/>
        </w:rPr>
        <w:t>concentrations</w:t>
      </w:r>
      <w:r w:rsidRPr="00D30889">
        <w:rPr>
          <w:rFonts w:eastAsia="PMingLiU" w:cs="Arial"/>
          <w:sz w:val="18"/>
          <w:szCs w:val="18"/>
        </w:rPr>
        <w:t xml:space="preserve">. </w:t>
      </w:r>
      <w:r>
        <w:rPr>
          <w:rFonts w:eastAsia="PMingLiU" w:cs="Arial"/>
          <w:sz w:val="18"/>
          <w:szCs w:val="18"/>
        </w:rPr>
        <w:t>These are d</w:t>
      </w:r>
      <w:r w:rsidRPr="00D30889">
        <w:rPr>
          <w:rFonts w:eastAsia="PMingLiU" w:cs="Arial"/>
          <w:sz w:val="18"/>
          <w:szCs w:val="18"/>
        </w:rPr>
        <w:t xml:space="preserve">etermined from the reported graphical data or </w:t>
      </w:r>
      <w:r>
        <w:rPr>
          <w:rFonts w:eastAsia="PMingLiU" w:cs="Arial"/>
          <w:sz w:val="18"/>
          <w:szCs w:val="18"/>
        </w:rPr>
        <w:t xml:space="preserve">the studies </w:t>
      </w:r>
      <w:r w:rsidRPr="00D30889">
        <w:rPr>
          <w:rFonts w:eastAsia="PMingLiU" w:cs="Arial"/>
          <w:sz w:val="18"/>
          <w:szCs w:val="18"/>
        </w:rPr>
        <w:t>regression equation</w:t>
      </w:r>
      <w:r>
        <w:rPr>
          <w:rFonts w:eastAsia="PMingLiU" w:cs="Arial"/>
          <w:sz w:val="18"/>
          <w:szCs w:val="18"/>
        </w:rPr>
        <w:t xml:space="preserve"> when available</w:t>
      </w:r>
      <w:r w:rsidRPr="00D30889">
        <w:rPr>
          <w:rFonts w:eastAsia="PMingLiU" w:cs="Arial"/>
          <w:sz w:val="18"/>
          <w:szCs w:val="18"/>
        </w:rPr>
        <w:t>.</w:t>
      </w:r>
    </w:p>
    <w:p w:rsidR="00376116" w:rsidRDefault="00376116" w:rsidP="00376116">
      <w:pPr>
        <w:spacing w:line="240" w:lineRule="auto"/>
        <w:ind w:left="168" w:hanging="168"/>
        <w:rPr>
          <w:rFonts w:eastAsia="PMingLiU" w:cs="Arial"/>
          <w:sz w:val="18"/>
          <w:szCs w:val="18"/>
        </w:rPr>
      </w:pPr>
      <w:r>
        <w:rPr>
          <w:rFonts w:eastAsia="PMingLiU" w:cs="Arial"/>
          <w:sz w:val="24"/>
          <w:szCs w:val="24"/>
          <w:vertAlign w:val="superscript"/>
        </w:rPr>
        <w:t>c</w:t>
      </w:r>
      <w:r w:rsidRPr="00D30889">
        <w:rPr>
          <w:rFonts w:eastAsia="PMingLiU" w:cs="Arial"/>
          <w:sz w:val="18"/>
          <w:szCs w:val="18"/>
        </w:rPr>
        <w:t xml:space="preserve"> ASF = </w:t>
      </w:r>
      <w:r w:rsidR="006E38C9">
        <w:rPr>
          <w:rFonts w:eastAsia="PMingLiU" w:cs="Arial"/>
          <w:sz w:val="18"/>
          <w:szCs w:val="18"/>
        </w:rPr>
        <w:t xml:space="preserve">Average </w:t>
      </w:r>
      <w:r w:rsidRPr="00D30889">
        <w:rPr>
          <w:rFonts w:eastAsia="PMingLiU" w:cs="Arial"/>
          <w:sz w:val="18"/>
          <w:szCs w:val="18"/>
        </w:rPr>
        <w:t xml:space="preserve">Air Slope Factor for the contribution of lead in air to </w:t>
      </w:r>
      <w:r w:rsidR="000C3863">
        <w:rPr>
          <w:rFonts w:eastAsia="PMingLiU" w:cs="Arial"/>
          <w:sz w:val="18"/>
          <w:szCs w:val="18"/>
        </w:rPr>
        <w:t>PbB</w:t>
      </w:r>
      <w:r w:rsidRPr="00D30889">
        <w:rPr>
          <w:rFonts w:eastAsia="PMingLiU" w:cs="Arial"/>
          <w:sz w:val="18"/>
          <w:szCs w:val="18"/>
        </w:rPr>
        <w:t xml:space="preserve"> level. Unit</w:t>
      </w:r>
      <w:r>
        <w:rPr>
          <w:rFonts w:eastAsia="PMingLiU" w:cs="Arial"/>
          <w:sz w:val="18"/>
          <w:szCs w:val="18"/>
        </w:rPr>
        <w:t>s</w:t>
      </w:r>
      <w:r w:rsidRPr="00D30889">
        <w:rPr>
          <w:rFonts w:eastAsia="PMingLiU" w:cs="Arial"/>
          <w:sz w:val="18"/>
          <w:szCs w:val="18"/>
        </w:rPr>
        <w:t xml:space="preserve"> (µg/dL)(µg/m</w:t>
      </w:r>
      <w:r w:rsidRPr="00D30889">
        <w:rPr>
          <w:rFonts w:eastAsia="PMingLiU" w:cs="Arial"/>
          <w:sz w:val="18"/>
          <w:szCs w:val="18"/>
          <w:vertAlign w:val="superscript"/>
        </w:rPr>
        <w:t>3</w:t>
      </w:r>
      <w:r w:rsidRPr="00D30889">
        <w:rPr>
          <w:rFonts w:eastAsia="PMingLiU" w:cs="Arial"/>
          <w:sz w:val="18"/>
          <w:szCs w:val="18"/>
        </w:rPr>
        <w:t>)</w:t>
      </w:r>
      <w:r w:rsidRPr="00D30889">
        <w:rPr>
          <w:rFonts w:eastAsia="PMingLiU" w:cs="Arial"/>
          <w:sz w:val="18"/>
          <w:szCs w:val="18"/>
          <w:vertAlign w:val="superscript"/>
        </w:rPr>
        <w:t>-1</w:t>
      </w:r>
      <w:r w:rsidRPr="00D30889">
        <w:rPr>
          <w:rFonts w:eastAsia="PMingLiU" w:cs="Arial"/>
          <w:sz w:val="18"/>
          <w:szCs w:val="18"/>
        </w:rPr>
        <w:t>.</w:t>
      </w:r>
      <w:r>
        <w:rPr>
          <w:rFonts w:eastAsia="PMingLiU" w:cs="Arial"/>
          <w:sz w:val="18"/>
          <w:szCs w:val="18"/>
        </w:rPr>
        <w:t xml:space="preserve"> Calculated as per Equation 1.</w:t>
      </w:r>
    </w:p>
    <w:p w:rsidR="006E38C9" w:rsidRDefault="006E38C9" w:rsidP="00283F5E"/>
    <w:p w:rsidR="00061B8B" w:rsidRPr="003A0F9B" w:rsidRDefault="00061B8B" w:rsidP="00061B8B">
      <w:pPr>
        <w:pStyle w:val="Heading3"/>
      </w:pPr>
      <w:bookmarkStart w:id="44" w:name="_Toc391288252"/>
      <w:r>
        <w:t>5</w:t>
      </w:r>
      <w:r w:rsidRPr="003A0F9B">
        <w:t>.6.2 Uncertainties</w:t>
      </w:r>
      <w:bookmarkEnd w:id="44"/>
    </w:p>
    <w:p w:rsidR="00061B8B" w:rsidRDefault="00061B8B" w:rsidP="00061B8B">
      <w:r>
        <w:t>There is uncertainty in the estimations of the ASF. Apart from the uncertainties associated with the experimental data and the different models used by investigators to describe the PbB-PbAir relationship, additional uncertainties introduced in this analysis relate to the determination of background PbB and the occupational PbB corresponding to the nominated PbAir.  Particularly since in some instances PbB was visually read from graphical presentations of the data. However, taking an average of the calculated ASF will tend to smooth differences and uncertainties associated with any single study.</w:t>
      </w:r>
    </w:p>
    <w:p w:rsidR="00061B8B" w:rsidRDefault="00061B8B" w:rsidP="00061B8B"/>
    <w:p w:rsidR="00061B8B" w:rsidRDefault="00061B8B" w:rsidP="00061B8B">
      <w:r>
        <w:t xml:space="preserve">As noted above the determined ASF do not represent a ‘pure’ relationship between PbAir and PbB. In the studies used to </w:t>
      </w:r>
      <w:r w:rsidR="009655DC">
        <w:t>estimate</w:t>
      </w:r>
      <w:r>
        <w:t xml:space="preserve"> the ASF exposures other than PbAir are occurring. While an attempt has been made to account for background (i.e. non-occupational) exposures, no correction has been made for occupational exposures such as hand-to-mouth for lead dusts. In the context of developing </w:t>
      </w:r>
      <w:r>
        <w:lastRenderedPageBreak/>
        <w:t xml:space="preserve">a WES this is not considered to be a major detraction for the suggested WES’s since there will </w:t>
      </w:r>
      <w:r w:rsidRPr="00FC7F5A">
        <w:t>inevitably</w:t>
      </w:r>
      <w:r>
        <w:t xml:space="preserve"> be some non-inhalation exposure accompanying any PbAir concentration. This will occur as a result of lead particulate fallout and although influenced by particle size, presumably will be proportional to PbAir. In this document it has been assumed the </w:t>
      </w:r>
      <w:r w:rsidR="006E38C9">
        <w:t xml:space="preserve">overall </w:t>
      </w:r>
      <w:r>
        <w:t xml:space="preserve">average ASF (comprised of workplace air and other workplace exposure pathways) from a number of studies and different lead industries is representative of  lead workplaces in Australia.  It is recognised the estimated ASFs in this document will likely overestimate the fraction of PbB attributable to PbAir. </w:t>
      </w:r>
      <w:r w:rsidR="009655DC">
        <w:t>Nonetheless</w:t>
      </w:r>
      <w:r>
        <w:t xml:space="preserve"> the calculated WESs (Section 6) using these ASFs are consistent with the international WESs summarised in Table 5.1 for BLRLs of 30 </w:t>
      </w:r>
      <w:r>
        <w:rPr>
          <w:rFonts w:cs="Arial"/>
        </w:rPr>
        <w:t>µ</w:t>
      </w:r>
      <w:r>
        <w:t>g/dL.</w:t>
      </w:r>
    </w:p>
    <w:p w:rsidR="00061B8B" w:rsidRDefault="00061B8B" w:rsidP="00061B8B"/>
    <w:p w:rsidR="00376116" w:rsidRDefault="00061B8B" w:rsidP="00061B8B">
      <w:r>
        <w:t>Notwithstanding the varied workplace circumstances of each of the studies, the different modelling and the uncertainties associated with ASF estimation, the ASF at each of the nominated PbAir concentrations is remarkably similar between studies. It is further noted the ASF for 0.15 mg/m</w:t>
      </w:r>
      <w:r>
        <w:rPr>
          <w:vertAlign w:val="superscript"/>
        </w:rPr>
        <w:t>3</w:t>
      </w:r>
      <w:r>
        <w:t xml:space="preserve"> (0.18 (</w:t>
      </w:r>
      <w:r w:rsidRPr="00FB094C">
        <w:t>µg/dL)/(µg/m</w:t>
      </w:r>
      <w:r w:rsidRPr="00FB094C">
        <w:rPr>
          <w:vertAlign w:val="superscript"/>
        </w:rPr>
        <w:t>3</w:t>
      </w:r>
      <w:r w:rsidRPr="00FB094C">
        <w:t>)</w:t>
      </w:r>
      <w:r>
        <w:t>)</w:t>
      </w:r>
      <w:r w:rsidRPr="00FB094C">
        <w:t xml:space="preserve"> </w:t>
      </w:r>
      <w:r>
        <w:t xml:space="preserve">is the same as that used by the ACGIH (2001)(0.19 </w:t>
      </w:r>
      <w:r w:rsidRPr="00FB094C">
        <w:t>(µg/dL)/(µg/m</w:t>
      </w:r>
      <w:r w:rsidRPr="00FB094C">
        <w:rPr>
          <w:vertAlign w:val="superscript"/>
        </w:rPr>
        <w:t>3</w:t>
      </w:r>
      <w:r w:rsidRPr="00FB094C">
        <w:t>)</w:t>
      </w:r>
      <w:r>
        <w:t>). However the ACGIH had no quantitative regard for different ASF at different PbAir levels. They chose the steepest from four studies.</w:t>
      </w:r>
    </w:p>
    <w:p w:rsidR="00061B8B" w:rsidRPr="00061B8B" w:rsidRDefault="00061B8B" w:rsidP="00061B8B">
      <w:pPr>
        <w:rPr>
          <w:rFonts w:eastAsia="PMingLiU" w:cs="Arial"/>
        </w:rPr>
      </w:pPr>
    </w:p>
    <w:p w:rsidR="00376116" w:rsidRPr="00D30889" w:rsidRDefault="00376116" w:rsidP="00376116">
      <w:pPr>
        <w:spacing w:line="240" w:lineRule="auto"/>
        <w:ind w:left="168" w:hanging="168"/>
        <w:rPr>
          <w:rFonts w:eastAsia="PMingLiU" w:cs="Arial"/>
          <w:sz w:val="18"/>
          <w:szCs w:val="18"/>
        </w:rPr>
      </w:pPr>
    </w:p>
    <w:p w:rsidR="00376116" w:rsidRDefault="00376116" w:rsidP="00376116">
      <w:pPr>
        <w:pStyle w:val="Heading2"/>
      </w:pPr>
      <w:bookmarkStart w:id="45" w:name="_Toc391288253"/>
      <w:r>
        <w:t>5.7 Key points in Section 5</w:t>
      </w:r>
      <w:bookmarkEnd w:id="45"/>
    </w:p>
    <w:p w:rsidR="00376116" w:rsidRDefault="00376116" w:rsidP="00376116">
      <w:r>
        <w:t xml:space="preserve">The ASF </w:t>
      </w:r>
      <w:r w:rsidRPr="00CE306E">
        <w:t>reflec</w:t>
      </w:r>
      <w:r>
        <w:t xml:space="preserve">ts the incremental increase in </w:t>
      </w:r>
      <w:r w:rsidRPr="00CE306E">
        <w:t>Pb</w:t>
      </w:r>
      <w:r>
        <w:t>B</w:t>
      </w:r>
      <w:r w:rsidRPr="00CE306E">
        <w:t xml:space="preserve"> for each unit increase in air concentration and has the units (µg/dL)(µg/m</w:t>
      </w:r>
      <w:r w:rsidRPr="00CE306E">
        <w:rPr>
          <w:vertAlign w:val="superscript"/>
        </w:rPr>
        <w:t>3</w:t>
      </w:r>
      <w:r w:rsidRPr="00CE306E">
        <w:t>)</w:t>
      </w:r>
      <w:r w:rsidRPr="00CE306E">
        <w:rPr>
          <w:vertAlign w:val="superscript"/>
        </w:rPr>
        <w:t>-1</w:t>
      </w:r>
      <w:r>
        <w:t>. The relative contribution of PbAir to PbB is greater at low air concentrations relative to high concentrations.</w:t>
      </w:r>
    </w:p>
    <w:p w:rsidR="00376116" w:rsidRDefault="00376116" w:rsidP="00376116"/>
    <w:p w:rsidR="00376116" w:rsidRDefault="00376116" w:rsidP="00376116">
      <w:r w:rsidRPr="005F6A23">
        <w:t xml:space="preserve">Given the non-linear nature of the association of </w:t>
      </w:r>
      <w:r>
        <w:t xml:space="preserve">PbAir </w:t>
      </w:r>
      <w:r w:rsidRPr="005F6A23">
        <w:t xml:space="preserve">with PbB, and PbB with health effects, a single </w:t>
      </w:r>
      <w:r>
        <w:t>ASF</w:t>
      </w:r>
      <w:r w:rsidRPr="005F6A23">
        <w:t xml:space="preserve"> to describe the relationship of PbB (and health effects) with an air concentration </w:t>
      </w:r>
      <w:r w:rsidR="00331F4F">
        <w:t>is</w:t>
      </w:r>
      <w:r w:rsidRPr="005F6A23">
        <w:t xml:space="preserve"> misleading. </w:t>
      </w:r>
      <w:r>
        <w:t xml:space="preserve">Therefore ASFs have been estimated in this report for three PbAir concentrations: 0.15 </w:t>
      </w:r>
      <w:r>
        <w:rPr>
          <w:rFonts w:cs="Arial"/>
        </w:rPr>
        <w:t>m</w:t>
      </w:r>
      <w:r w:rsidRPr="000F5B19">
        <w:rPr>
          <w:rFonts w:cs="Arial"/>
        </w:rPr>
        <w:t>g/m</w:t>
      </w:r>
      <w:r w:rsidRPr="000F5B19">
        <w:rPr>
          <w:rFonts w:cs="Arial"/>
          <w:vertAlign w:val="superscript"/>
        </w:rPr>
        <w:t>3</w:t>
      </w:r>
      <w:r>
        <w:rPr>
          <w:rFonts w:cs="Arial"/>
        </w:rPr>
        <w:t xml:space="preserve"> (the current WES), 0.1 and 0.05 m</w:t>
      </w:r>
      <w:r w:rsidRPr="000F5B19">
        <w:rPr>
          <w:rFonts w:cs="Arial"/>
        </w:rPr>
        <w:t>g/m</w:t>
      </w:r>
      <w:r w:rsidRPr="000F5B19">
        <w:rPr>
          <w:rFonts w:cs="Arial"/>
          <w:vertAlign w:val="superscript"/>
        </w:rPr>
        <w:t>3</w:t>
      </w:r>
      <w:r>
        <w:rPr>
          <w:rFonts w:cs="Arial"/>
        </w:rPr>
        <w:t xml:space="preserve">. </w:t>
      </w:r>
      <w:r>
        <w:t xml:space="preserve">These PbAir concentrations have been variously nominated as 8 hour WES’s by organisations around the </w:t>
      </w:r>
      <w:r w:rsidR="00780CE8">
        <w:t>w</w:t>
      </w:r>
      <w:r>
        <w:t>orld (Tables 2.1 and 2.2). C</w:t>
      </w:r>
      <w:r w:rsidRPr="00894A00">
        <w:t xml:space="preserve">onsiderations </w:t>
      </w:r>
      <w:r>
        <w:t xml:space="preserve">explored in this report </w:t>
      </w:r>
      <w:r w:rsidRPr="00894A00">
        <w:t>when evaluating studies reporting ASF values</w:t>
      </w:r>
      <w:r>
        <w:t xml:space="preserve"> are background PbB, particle size, and worker population PbB variability under the same exposure conditions. </w:t>
      </w:r>
    </w:p>
    <w:p w:rsidR="00376116" w:rsidRDefault="00376116" w:rsidP="00376116"/>
    <w:p w:rsidR="00376116" w:rsidRDefault="00376116" w:rsidP="00376116">
      <w:r>
        <w:t xml:space="preserve">Background PbB, i.e. </w:t>
      </w:r>
      <w:r w:rsidR="000C3863">
        <w:t>PbB</w:t>
      </w:r>
      <w:r>
        <w:t xml:space="preserve"> concentration not due to work exposures, have substantially decreased over the last two decades. This has corresponded with the phase out of leaded petrol during the 1990’s. Current background PbB is approximately 2 </w:t>
      </w:r>
      <w:r w:rsidRPr="00770DC2">
        <w:t>µg/dL</w:t>
      </w:r>
      <w:r>
        <w:t xml:space="preserve">. </w:t>
      </w:r>
    </w:p>
    <w:p w:rsidR="00376116" w:rsidRDefault="00376116" w:rsidP="00376116"/>
    <w:p w:rsidR="00376116" w:rsidRPr="000F5B19" w:rsidRDefault="00376116" w:rsidP="00376116">
      <w:r>
        <w:t xml:space="preserve">Accounting for background PbB at the time studies investigated the relationship between PbAir and PbB has a marked influence on the ASF values. Averaging the ASFs from six studies which had </w:t>
      </w:r>
      <w:r>
        <w:lastRenderedPageBreak/>
        <w:t xml:space="preserve">sufficient reliable information to be able to determine an ASF resulted in an average ASF of 0.19 at 0.15 </w:t>
      </w:r>
      <w:r>
        <w:rPr>
          <w:rFonts w:cs="Arial"/>
        </w:rPr>
        <w:t>m</w:t>
      </w:r>
      <w:r w:rsidRPr="000F5B19">
        <w:rPr>
          <w:rFonts w:cs="Arial"/>
        </w:rPr>
        <w:t>g/m</w:t>
      </w:r>
      <w:r w:rsidRPr="000F5B19">
        <w:rPr>
          <w:rFonts w:cs="Arial"/>
          <w:vertAlign w:val="superscript"/>
        </w:rPr>
        <w:t>3</w:t>
      </w:r>
      <w:r>
        <w:rPr>
          <w:rFonts w:cs="Arial"/>
        </w:rPr>
        <w:t>, 0.25 at 0.1 m</w:t>
      </w:r>
      <w:r w:rsidRPr="000F5B19">
        <w:rPr>
          <w:rFonts w:cs="Arial"/>
        </w:rPr>
        <w:t>g/m</w:t>
      </w:r>
      <w:r w:rsidRPr="000F5B19">
        <w:rPr>
          <w:rFonts w:cs="Arial"/>
          <w:vertAlign w:val="superscript"/>
        </w:rPr>
        <w:t>3</w:t>
      </w:r>
      <w:r>
        <w:rPr>
          <w:rFonts w:cs="Arial"/>
        </w:rPr>
        <w:t xml:space="preserve"> and 0.42 at 0.05 m</w:t>
      </w:r>
      <w:r w:rsidRPr="000F5B19">
        <w:rPr>
          <w:rFonts w:cs="Arial"/>
        </w:rPr>
        <w:t>g/m</w:t>
      </w:r>
      <w:r w:rsidRPr="000F5B19">
        <w:rPr>
          <w:rFonts w:cs="Arial"/>
          <w:vertAlign w:val="superscript"/>
        </w:rPr>
        <w:t>3</w:t>
      </w:r>
      <w:r>
        <w:rPr>
          <w:rFonts w:cs="Arial"/>
        </w:rPr>
        <w:t>. For toxicokinetic reasons, and the fact that the studies used to determine the ASFs measured inhalable dust, these concentrations of PbAir are for the inhalable fraction (i.e. &lt; 100 µm, 50% cut point).</w:t>
      </w:r>
    </w:p>
    <w:p w:rsidR="00376116" w:rsidRDefault="00376116" w:rsidP="00376116"/>
    <w:p w:rsidR="00376116" w:rsidRDefault="00376116" w:rsidP="00376116">
      <w:r>
        <w:t>ASFs for PbAir lower than 0.05 mg/m</w:t>
      </w:r>
      <w:r>
        <w:rPr>
          <w:vertAlign w:val="superscript"/>
        </w:rPr>
        <w:t>3</w:t>
      </w:r>
      <w:r>
        <w:t xml:space="preserve"> could not be estimated because such </w:t>
      </w:r>
      <w:r w:rsidR="00FF060A">
        <w:t>PbAir</w:t>
      </w:r>
      <w:r>
        <w:t xml:space="preserve"> concentrations were frequently beyond the range of the experimental data and study authors warned against extrapolating to lower air concentrations. It is recommended that an ASF of 0.4 </w:t>
      </w:r>
      <w:r w:rsidRPr="003A0F9B">
        <w:t>(µg/dL)/(µg/m</w:t>
      </w:r>
      <w:r w:rsidRPr="003A0F9B">
        <w:rPr>
          <w:vertAlign w:val="superscript"/>
        </w:rPr>
        <w:t>3</w:t>
      </w:r>
      <w:r w:rsidRPr="003A0F9B">
        <w:t>)</w:t>
      </w:r>
      <w:r>
        <w:t xml:space="preserve"> be used for PbAir </w:t>
      </w:r>
      <w:r>
        <w:rPr>
          <w:rFonts w:cs="Arial"/>
        </w:rPr>
        <w:t>≤</w:t>
      </w:r>
      <w:r>
        <w:t xml:space="preserve"> 0.5 </w:t>
      </w:r>
      <w:r>
        <w:rPr>
          <w:rFonts w:cs="Arial"/>
        </w:rPr>
        <w:t>m</w:t>
      </w:r>
      <w:r>
        <w:t>g/m</w:t>
      </w:r>
      <w:r>
        <w:rPr>
          <w:vertAlign w:val="superscript"/>
        </w:rPr>
        <w:t>3</w:t>
      </w:r>
      <w:r>
        <w:rPr>
          <w:vertAlign w:val="subscript"/>
        </w:rPr>
        <w:t xml:space="preserve">, </w:t>
      </w:r>
      <w:r>
        <w:t>recognising that at these air concentrations the relationship is becoming much more curvilinear and the ASF may underestimate the PbB.</w:t>
      </w:r>
    </w:p>
    <w:p w:rsidR="00331F4F" w:rsidRDefault="00331F4F" w:rsidP="00376116"/>
    <w:p w:rsidR="00331F4F" w:rsidRDefault="00331F4F" w:rsidP="00376116">
      <w:r>
        <w:t>The determined ASFs in this document, while crudely accounting for background non-occupational exposures, have purposefully not attempted to separate PbB from incidental ingestion of lead dusts (e.g. by hand-to-mouth action)</w:t>
      </w:r>
      <w:r w:rsidR="00553D51">
        <w:t xml:space="preserve"> from that due to PbAir</w:t>
      </w:r>
      <w:r>
        <w:t xml:space="preserve">. Firstly it is difficult to undertake such analysis and secondly it was considered </w:t>
      </w:r>
      <w:r w:rsidRPr="00331F4F">
        <w:t>unnecessary</w:t>
      </w:r>
      <w:r>
        <w:t xml:space="preserve"> for the purposes of determining a WES compatible with the nominated BLRLs. It was reasoned</w:t>
      </w:r>
      <w:r w:rsidR="00137F8B">
        <w:t xml:space="preserve">, </w:t>
      </w:r>
      <w:r w:rsidR="00137F8B" w:rsidRPr="00137F8B">
        <w:t>due to lead particu</w:t>
      </w:r>
      <w:r w:rsidR="00553D51">
        <w:t>late fall</w:t>
      </w:r>
      <w:r w:rsidR="00137F8B">
        <w:t>out</w:t>
      </w:r>
      <w:r w:rsidR="00553D51">
        <w:t>,</w:t>
      </w:r>
      <w:r w:rsidR="00137F8B">
        <w:t xml:space="preserve"> the fraction of </w:t>
      </w:r>
      <w:r>
        <w:t xml:space="preserve">PbB </w:t>
      </w:r>
      <w:r w:rsidR="00137F8B">
        <w:t>attributable to non-inhalation exposure is likely to be proportional to the WES. Consequently calculations for a WES should account for the associated non-</w:t>
      </w:r>
      <w:r w:rsidR="009655DC">
        <w:t>inhalation</w:t>
      </w:r>
      <w:r w:rsidR="00137F8B">
        <w:t xml:space="preserve"> exposure</w:t>
      </w:r>
      <w:r w:rsidR="00553D51">
        <w:t xml:space="preserve"> rather than assuming good hygiene practice will totally eliminate such exposures</w:t>
      </w:r>
      <w:r w:rsidR="00137F8B">
        <w:t xml:space="preserve">. The </w:t>
      </w:r>
      <w:r w:rsidR="009655DC">
        <w:t>chosen</w:t>
      </w:r>
      <w:r w:rsidR="00137F8B">
        <w:t xml:space="preserve"> method was to develop</w:t>
      </w:r>
      <w:r w:rsidR="00553D51">
        <w:t xml:space="preserve">, </w:t>
      </w:r>
      <w:r w:rsidR="00553D51" w:rsidRPr="00553D51">
        <w:t>from a range of lead industries</w:t>
      </w:r>
      <w:r w:rsidR="00553D51">
        <w:t xml:space="preserve">, </w:t>
      </w:r>
      <w:r w:rsidR="00137F8B">
        <w:t>ASFs that inherently incorporated non-inhal</w:t>
      </w:r>
      <w:r w:rsidR="00553D51">
        <w:t>at</w:t>
      </w:r>
      <w:r w:rsidR="00137F8B">
        <w:t xml:space="preserve">ion exposure. The tacit assumption is the average ASF so calculated will be applicable </w:t>
      </w:r>
      <w:r w:rsidR="00553D51">
        <w:t>to Australian lead industries</w:t>
      </w:r>
      <w:r w:rsidR="00137F8B">
        <w:t xml:space="preserve">. No information was found to </w:t>
      </w:r>
      <w:r w:rsidR="00553D51">
        <w:t>refute this assumption out of hand. Thus the ASFs herein do not represent the ‘pure’ relation between PbAir and PbB. It is recognised there is large uncertainty in the estimated ASFs, nevertheless the determined WES</w:t>
      </w:r>
      <w:r w:rsidR="002742DF">
        <w:t>s</w:t>
      </w:r>
      <w:r w:rsidR="00553D51">
        <w:t xml:space="preserve"> for the nominated BLRLs are consistent with international values. </w:t>
      </w:r>
    </w:p>
    <w:p w:rsidR="00376116" w:rsidRDefault="00376116" w:rsidP="00376116"/>
    <w:p w:rsidR="00376116" w:rsidRDefault="00376116" w:rsidP="00376116">
      <w:r>
        <w:t xml:space="preserve">If a group of people are exposed to the same air concentration of </w:t>
      </w:r>
      <w:r w:rsidR="00BE2EAA">
        <w:t>l</w:t>
      </w:r>
      <w:r w:rsidR="00637B4C">
        <w:t>ead</w:t>
      </w:r>
      <w:r w:rsidR="00BE2EAA">
        <w:t xml:space="preserve"> </w:t>
      </w:r>
      <w:r>
        <w:t>for the same amount of time there will be a range of resulting PbB due to physiological differences between people that affect the kinetics of lead absorption.  T</w:t>
      </w:r>
      <w:r w:rsidRPr="00064A4C">
        <w:t>he maximum to mean PbB ratio across a number and variety of population studies</w:t>
      </w:r>
      <w:r>
        <w:t xml:space="preserve"> (n = 23) was determined to be on average two fold (range 1.4 – 2.6)</w:t>
      </w:r>
      <w:r w:rsidRPr="00064A4C">
        <w:t xml:space="preserve">. </w:t>
      </w:r>
      <w:r w:rsidR="00331F4F">
        <w:t xml:space="preserve">This is consistent with individual maximum to population means in occupational studies. </w:t>
      </w:r>
      <w:r>
        <w:t xml:space="preserve">This average variability ratio is coupled with the average ASF at the nominated PbAir (equivalent to the different international WESs) to provide an indication of the proportion of workers who will be below the target </w:t>
      </w:r>
      <w:r w:rsidR="00314205">
        <w:t>BLRL</w:t>
      </w:r>
      <w:r>
        <w:t xml:space="preserve"> for the WES.</w:t>
      </w:r>
      <w:r w:rsidRPr="00064A4C">
        <w:t xml:space="preserve"> </w:t>
      </w:r>
    </w:p>
    <w:p w:rsidR="0026406E" w:rsidRDefault="0026406E">
      <w:pPr>
        <w:rPr>
          <w:rFonts w:eastAsiaTheme="majorEastAsia" w:cstheme="majorBidi"/>
          <w:b/>
          <w:bCs/>
          <w:sz w:val="28"/>
          <w:szCs w:val="28"/>
        </w:rPr>
      </w:pPr>
      <w:r>
        <w:br w:type="page"/>
      </w:r>
    </w:p>
    <w:p w:rsidR="00376116" w:rsidRDefault="00376116" w:rsidP="00376116">
      <w:pPr>
        <w:pStyle w:val="Heading1"/>
      </w:pPr>
      <w:bookmarkStart w:id="46" w:name="_Toc391288254"/>
      <w:r>
        <w:lastRenderedPageBreak/>
        <w:t>6. Implications for recommended WES</w:t>
      </w:r>
      <w:bookmarkEnd w:id="46"/>
    </w:p>
    <w:p w:rsidR="00376116" w:rsidRDefault="00376116" w:rsidP="00376116">
      <w:pPr>
        <w:rPr>
          <w:rFonts w:cs="Arial"/>
        </w:rPr>
      </w:pPr>
      <w:r>
        <w:rPr>
          <w:rFonts w:cs="Arial"/>
        </w:rPr>
        <w:t xml:space="preserve">In Section 5, ASFs were presented for three hypothetical WES concentrations (the current WES 0.15 </w:t>
      </w:r>
      <w:r w:rsidRPr="00D7585D">
        <w:rPr>
          <w:rFonts w:cs="Arial"/>
        </w:rPr>
        <w:t>µg/m</w:t>
      </w:r>
      <w:r w:rsidRPr="00D7585D">
        <w:rPr>
          <w:rFonts w:cs="Arial"/>
          <w:vertAlign w:val="superscript"/>
        </w:rPr>
        <w:t>3</w:t>
      </w:r>
      <w:r>
        <w:rPr>
          <w:rFonts w:cs="Arial"/>
        </w:rPr>
        <w:t xml:space="preserve">, and two others: 0.1 and 0.05 </w:t>
      </w:r>
      <w:r w:rsidRPr="00D7585D">
        <w:rPr>
          <w:rFonts w:cs="Arial"/>
        </w:rPr>
        <w:t>µg/m</w:t>
      </w:r>
      <w:r w:rsidRPr="00D7585D">
        <w:rPr>
          <w:rFonts w:cs="Arial"/>
          <w:vertAlign w:val="superscript"/>
        </w:rPr>
        <w:t>3</w:t>
      </w:r>
      <w:r>
        <w:rPr>
          <w:rFonts w:cs="Arial"/>
        </w:rPr>
        <w:t>). As indicated in Section 5</w:t>
      </w:r>
      <w:r w:rsidRPr="00711943">
        <w:rPr>
          <w:rFonts w:cs="Arial"/>
        </w:rPr>
        <w:t>.6.1, ASF at PbAir &lt;0.05 mg/m</w:t>
      </w:r>
      <w:r w:rsidRPr="00711943">
        <w:rPr>
          <w:rFonts w:cs="Arial"/>
          <w:vertAlign w:val="superscript"/>
        </w:rPr>
        <w:t>3</w:t>
      </w:r>
      <w:r w:rsidRPr="00711943">
        <w:rPr>
          <w:rFonts w:cs="Arial"/>
        </w:rPr>
        <w:t xml:space="preserve"> could not be esti</w:t>
      </w:r>
      <w:r>
        <w:rPr>
          <w:rFonts w:cs="Arial"/>
        </w:rPr>
        <w:t>mated from the</w:t>
      </w:r>
      <w:r w:rsidRPr="00711943">
        <w:rPr>
          <w:rFonts w:cs="Arial"/>
        </w:rPr>
        <w:t xml:space="preserve"> available</w:t>
      </w:r>
      <w:r>
        <w:rPr>
          <w:rFonts w:cs="Arial"/>
        </w:rPr>
        <w:t xml:space="preserve"> information, however a</w:t>
      </w:r>
      <w:r w:rsidRPr="00711943">
        <w:rPr>
          <w:rFonts w:cs="Arial"/>
        </w:rPr>
        <w:t>n ASF of 0.4 (µg/dL)(µg/m</w:t>
      </w:r>
      <w:r w:rsidRPr="00711943">
        <w:rPr>
          <w:rFonts w:cs="Arial"/>
          <w:vertAlign w:val="superscript"/>
        </w:rPr>
        <w:t>3</w:t>
      </w:r>
      <w:r w:rsidRPr="00711943">
        <w:rPr>
          <w:rFonts w:cs="Arial"/>
        </w:rPr>
        <w:t>)</w:t>
      </w:r>
      <w:r w:rsidRPr="00711943">
        <w:rPr>
          <w:rFonts w:cs="Arial"/>
          <w:vertAlign w:val="superscript"/>
        </w:rPr>
        <w:t xml:space="preserve">-1 </w:t>
      </w:r>
      <w:r w:rsidRPr="00711943">
        <w:rPr>
          <w:rFonts w:cs="Arial"/>
        </w:rPr>
        <w:t xml:space="preserve">is suggested for use in the absence of information for </w:t>
      </w:r>
      <w:r>
        <w:rPr>
          <w:rFonts w:cs="Arial"/>
        </w:rPr>
        <w:t xml:space="preserve">the </w:t>
      </w:r>
      <w:r w:rsidRPr="00711943">
        <w:rPr>
          <w:rFonts w:cs="Arial"/>
        </w:rPr>
        <w:t xml:space="preserve">lower PbAir. </w:t>
      </w:r>
    </w:p>
    <w:p w:rsidR="00376116" w:rsidRDefault="00376116" w:rsidP="00376116">
      <w:pPr>
        <w:rPr>
          <w:rFonts w:cs="Arial"/>
        </w:rPr>
      </w:pPr>
    </w:p>
    <w:p w:rsidR="00376116" w:rsidRDefault="00376116" w:rsidP="00376116">
      <w:pPr>
        <w:rPr>
          <w:rFonts w:cs="Arial"/>
        </w:rPr>
      </w:pPr>
      <w:r>
        <w:rPr>
          <w:rFonts w:cs="Arial"/>
        </w:rPr>
        <w:t>In order to allow a recommendation to be made for a WES which will cater for reasonable protection from health effects in workers, the total PbB levels resulting from a particular WES have been compared in Table 6.1. The total PbB levels are the sum of PbB resulting from exposure to PbAir in the workplace and contemporary background PbB of 2</w:t>
      </w:r>
      <w:r w:rsidRPr="00F52A6A">
        <w:t xml:space="preserve"> </w:t>
      </w:r>
      <w:r w:rsidRPr="00F52A6A">
        <w:rPr>
          <w:rFonts w:cs="Arial"/>
        </w:rPr>
        <w:t>µg/dL</w:t>
      </w:r>
      <w:r w:rsidR="00277316">
        <w:rPr>
          <w:rFonts w:cs="Arial"/>
        </w:rPr>
        <w:t xml:space="preserve">, and as explained in Sections 5.6 and 5.7, because of the manner in which ASFs were estimated there is included some accounting of non-inhalation workplace exposures (e.g. incidental ingestion via hand-to-mouth activity) </w:t>
      </w:r>
      <w:r>
        <w:rPr>
          <w:rFonts w:cs="Arial"/>
        </w:rPr>
        <w:t xml:space="preserve">. </w:t>
      </w:r>
    </w:p>
    <w:p w:rsidR="00376116" w:rsidRDefault="00376116" w:rsidP="00376116">
      <w:pPr>
        <w:rPr>
          <w:rFonts w:cs="Arial"/>
        </w:rPr>
      </w:pPr>
    </w:p>
    <w:p w:rsidR="00376116" w:rsidRDefault="00376116" w:rsidP="00376116">
      <w:pPr>
        <w:rPr>
          <w:rFonts w:cs="Arial"/>
        </w:rPr>
      </w:pPr>
      <w:r>
        <w:rPr>
          <w:rFonts w:cs="Arial"/>
        </w:rPr>
        <w:t>In Table 6.1, total PbB levels are provided as a central estimate as well as an indicative ‘high end’ (i.e. approximate 95</w:t>
      </w:r>
      <w:r w:rsidRPr="00711943">
        <w:rPr>
          <w:rFonts w:cs="Arial"/>
          <w:vertAlign w:val="superscript"/>
        </w:rPr>
        <w:t>th</w:t>
      </w:r>
      <w:r>
        <w:rPr>
          <w:rFonts w:cs="Arial"/>
        </w:rPr>
        <w:t xml:space="preserve"> percentile or maximum) for the worker population by applying the PbB variability factor from Section 5.5. </w:t>
      </w:r>
      <w:r w:rsidR="00277316">
        <w:rPr>
          <w:rFonts w:cs="Arial"/>
        </w:rPr>
        <w:t xml:space="preserve">Given the uncertainties associated with estimating ASFs, historical background PbB and individual variability in PbB when persons are exposed to the same levels of lead, there is low confidence in the accuracy of the PbB concentrations in Table 6.1. </w:t>
      </w:r>
      <w:r>
        <w:rPr>
          <w:rFonts w:cs="Arial"/>
        </w:rPr>
        <w:t xml:space="preserve">Nonetheless, the calculations demonstrate low likelihood for </w:t>
      </w:r>
      <w:r w:rsidR="00B419BF">
        <w:rPr>
          <w:rFonts w:cs="Arial"/>
        </w:rPr>
        <w:t xml:space="preserve"> nearly all </w:t>
      </w:r>
      <w:r>
        <w:rPr>
          <w:rFonts w:cs="Arial"/>
        </w:rPr>
        <w:t xml:space="preserve"> workers in </w:t>
      </w:r>
      <w:r w:rsidR="00C65033">
        <w:rPr>
          <w:rFonts w:cs="Arial"/>
        </w:rPr>
        <w:t>lead</w:t>
      </w:r>
      <w:r>
        <w:rPr>
          <w:rFonts w:cs="Arial"/>
        </w:rPr>
        <w:t xml:space="preserve">-related industries meeting the </w:t>
      </w:r>
      <w:r w:rsidR="00314205">
        <w:rPr>
          <w:rFonts w:cs="Arial"/>
        </w:rPr>
        <w:t>BLRL</w:t>
      </w:r>
      <w:r>
        <w:rPr>
          <w:rFonts w:cs="Arial"/>
        </w:rPr>
        <w:t xml:space="preserve">s suggested in Section 4.3.3 without a change in the current WES. </w:t>
      </w:r>
    </w:p>
    <w:p w:rsidR="00376116" w:rsidRDefault="00376116" w:rsidP="00376116">
      <w:pPr>
        <w:rPr>
          <w:rFonts w:cs="Arial"/>
        </w:rPr>
      </w:pPr>
    </w:p>
    <w:p w:rsidR="00376116" w:rsidRDefault="00376116" w:rsidP="00376116">
      <w:pPr>
        <w:rPr>
          <w:rFonts w:cs="Arial"/>
        </w:rPr>
      </w:pPr>
      <w:r>
        <w:rPr>
          <w:rFonts w:cs="Arial"/>
        </w:rPr>
        <w:t>At the current WES</w:t>
      </w:r>
      <w:r w:rsidR="00B419BF">
        <w:rPr>
          <w:rFonts w:cs="Arial"/>
        </w:rPr>
        <w:t xml:space="preserve"> of 0.15 mg/m</w:t>
      </w:r>
      <w:r w:rsidR="00B419BF">
        <w:rPr>
          <w:rFonts w:cs="Arial"/>
          <w:vertAlign w:val="superscript"/>
        </w:rPr>
        <w:t>3</w:t>
      </w:r>
      <w:r>
        <w:rPr>
          <w:rFonts w:cs="Arial"/>
        </w:rPr>
        <w:t xml:space="preserve">, only a small portion of females (not of reproductive capacity, i.e. FNR) </w:t>
      </w:r>
      <w:r w:rsidR="00B1318A">
        <w:rPr>
          <w:rFonts w:cs="Arial"/>
        </w:rPr>
        <w:t xml:space="preserve">and males </w:t>
      </w:r>
      <w:r>
        <w:rPr>
          <w:rFonts w:cs="Arial"/>
        </w:rPr>
        <w:t xml:space="preserve">are expected to have a PbB in excess of the current </w:t>
      </w:r>
      <w:r w:rsidR="00314205">
        <w:rPr>
          <w:rFonts w:cs="Arial"/>
        </w:rPr>
        <w:t>BLRL</w:t>
      </w:r>
      <w:r>
        <w:rPr>
          <w:rFonts w:cs="Arial"/>
        </w:rPr>
        <w:t xml:space="preserve"> of 50 µg/dL, </w:t>
      </w:r>
      <w:r w:rsidR="00B419BF">
        <w:rPr>
          <w:rFonts w:cs="Arial"/>
        </w:rPr>
        <w:t>but</w:t>
      </w:r>
      <w:r>
        <w:rPr>
          <w:rFonts w:cs="Arial"/>
        </w:rPr>
        <w:t xml:space="preserve"> other female workers (FR, FP &amp; FB) would not meet their respective </w:t>
      </w:r>
      <w:r w:rsidR="00314205">
        <w:rPr>
          <w:rFonts w:cs="Arial"/>
        </w:rPr>
        <w:t>BLRL</w:t>
      </w:r>
      <w:r>
        <w:rPr>
          <w:rFonts w:cs="Arial"/>
        </w:rPr>
        <w:t xml:space="preserve">s. </w:t>
      </w:r>
    </w:p>
    <w:p w:rsidR="0026406E" w:rsidRDefault="0026406E">
      <w:pPr>
        <w:rPr>
          <w:rFonts w:cs="Arial"/>
        </w:rPr>
      </w:pPr>
      <w:r>
        <w:rPr>
          <w:rFonts w:cs="Arial"/>
        </w:rPr>
        <w:br w:type="page"/>
      </w:r>
    </w:p>
    <w:p w:rsidR="00376116" w:rsidRDefault="00376116" w:rsidP="00376116">
      <w:pPr>
        <w:rPr>
          <w:rFonts w:cs="Arial"/>
        </w:rPr>
      </w:pPr>
    </w:p>
    <w:p w:rsidR="00376116" w:rsidRDefault="00376116" w:rsidP="00376116">
      <w:pPr>
        <w:spacing w:line="240" w:lineRule="auto"/>
        <w:rPr>
          <w:rFonts w:cs="Arial"/>
          <w:b/>
        </w:rPr>
      </w:pPr>
    </w:p>
    <w:p w:rsidR="00376116" w:rsidRDefault="00376116" w:rsidP="00376116">
      <w:pPr>
        <w:spacing w:line="240" w:lineRule="auto"/>
        <w:rPr>
          <w:rFonts w:cs="Arial"/>
          <w:b/>
        </w:rPr>
      </w:pPr>
      <w:r>
        <w:rPr>
          <w:rFonts w:cs="Arial"/>
          <w:b/>
        </w:rPr>
        <w:t>Table 6.1: Total PbB estimates for workers at current WES and two lower PbAir concentrations</w:t>
      </w:r>
    </w:p>
    <w:p w:rsidR="00376116" w:rsidRDefault="00376116" w:rsidP="00376116">
      <w:pPr>
        <w:rPr>
          <w:rFonts w:cs="Arial"/>
          <w:b/>
        </w:rPr>
      </w:pP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Caption w:val="Table 6.1: Total PbB estimates for workers at current WES and two lower PbAir concentrations"/>
      </w:tblPr>
      <w:tblGrid>
        <w:gridCol w:w="1327"/>
        <w:gridCol w:w="1724"/>
        <w:gridCol w:w="1137"/>
        <w:gridCol w:w="1607"/>
        <w:gridCol w:w="1489"/>
        <w:gridCol w:w="1591"/>
        <w:gridCol w:w="1264"/>
      </w:tblGrid>
      <w:tr w:rsidR="00376116" w:rsidRPr="00815C04" w:rsidTr="006A5E40">
        <w:trPr>
          <w:trHeight w:val="340"/>
          <w:tblHeader/>
        </w:trPr>
        <w:tc>
          <w:tcPr>
            <w:tcW w:w="1327" w:type="dxa"/>
            <w:vMerge w:val="restart"/>
            <w:tcBorders>
              <w:top w:val="single" w:sz="12" w:space="0" w:color="auto"/>
            </w:tcBorders>
            <w:vAlign w:val="center"/>
          </w:tcPr>
          <w:p w:rsidR="00376116" w:rsidRPr="00815C04" w:rsidRDefault="00376116" w:rsidP="00B419BF">
            <w:pPr>
              <w:jc w:val="center"/>
              <w:rPr>
                <w:rFonts w:cs="Arial"/>
                <w:b/>
                <w:sz w:val="20"/>
                <w:szCs w:val="20"/>
              </w:rPr>
            </w:pPr>
            <w:r>
              <w:rPr>
                <w:rFonts w:cs="Arial"/>
                <w:b/>
                <w:sz w:val="20"/>
                <w:szCs w:val="20"/>
              </w:rPr>
              <w:t>PbAir</w:t>
            </w:r>
            <w:r w:rsidRPr="00815C04">
              <w:rPr>
                <w:rFonts w:cs="Arial"/>
                <w:b/>
                <w:sz w:val="20"/>
                <w:szCs w:val="20"/>
              </w:rPr>
              <w:t xml:space="preserve"> (</w:t>
            </w:r>
            <w:r w:rsidR="00B419BF">
              <w:rPr>
                <w:rFonts w:cs="Arial"/>
                <w:b/>
                <w:sz w:val="20"/>
                <w:szCs w:val="20"/>
              </w:rPr>
              <w:t>m</w:t>
            </w:r>
            <w:r w:rsidR="00B419BF" w:rsidRPr="00815C04">
              <w:rPr>
                <w:rFonts w:cs="Arial"/>
                <w:b/>
                <w:sz w:val="20"/>
                <w:szCs w:val="20"/>
              </w:rPr>
              <w:t>g</w:t>
            </w:r>
            <w:r w:rsidRPr="00815C04">
              <w:rPr>
                <w:rFonts w:cs="Arial"/>
                <w:b/>
                <w:sz w:val="20"/>
                <w:szCs w:val="20"/>
              </w:rPr>
              <w:t>/m</w:t>
            </w:r>
            <w:r w:rsidRPr="00815C04">
              <w:rPr>
                <w:rFonts w:cs="Arial"/>
                <w:b/>
                <w:sz w:val="20"/>
                <w:szCs w:val="20"/>
                <w:vertAlign w:val="superscript"/>
              </w:rPr>
              <w:t>3</w:t>
            </w:r>
            <w:r w:rsidRPr="00815C04">
              <w:rPr>
                <w:rFonts w:cs="Arial"/>
                <w:b/>
                <w:sz w:val="20"/>
                <w:szCs w:val="20"/>
              </w:rPr>
              <w:t>)</w:t>
            </w:r>
          </w:p>
        </w:tc>
        <w:tc>
          <w:tcPr>
            <w:tcW w:w="1724" w:type="dxa"/>
            <w:vMerge w:val="restart"/>
            <w:tcBorders>
              <w:top w:val="single" w:sz="12" w:space="0" w:color="auto"/>
            </w:tcBorders>
            <w:vAlign w:val="center"/>
          </w:tcPr>
          <w:p w:rsidR="00376116" w:rsidRPr="00553296" w:rsidRDefault="00376116" w:rsidP="00376116">
            <w:pPr>
              <w:jc w:val="center"/>
              <w:rPr>
                <w:rFonts w:cs="Arial"/>
                <w:b/>
                <w:sz w:val="20"/>
                <w:szCs w:val="20"/>
                <w:vertAlign w:val="superscript"/>
              </w:rPr>
            </w:pPr>
            <w:r>
              <w:rPr>
                <w:rFonts w:cs="Arial"/>
                <w:b/>
                <w:sz w:val="20"/>
                <w:szCs w:val="20"/>
              </w:rPr>
              <w:t>ASF</w:t>
            </w:r>
            <w:r w:rsidRPr="005E3F9C">
              <w:rPr>
                <w:rFonts w:cs="Arial"/>
                <w:b/>
              </w:rPr>
              <w:t xml:space="preserve"> </w:t>
            </w:r>
            <w:r w:rsidRPr="005E3F9C">
              <w:rPr>
                <w:rFonts w:cs="Arial"/>
                <w:b/>
                <w:vertAlign w:val="superscript"/>
              </w:rPr>
              <w:t>a</w:t>
            </w:r>
            <w:r>
              <w:rPr>
                <w:rFonts w:cs="Arial"/>
                <w:b/>
                <w:sz w:val="20"/>
                <w:szCs w:val="20"/>
              </w:rPr>
              <w:t xml:space="preserve"> (µg/dL)(µg/m</w:t>
            </w:r>
            <w:r>
              <w:rPr>
                <w:rFonts w:cs="Arial"/>
                <w:b/>
                <w:sz w:val="20"/>
                <w:szCs w:val="20"/>
                <w:vertAlign w:val="superscript"/>
              </w:rPr>
              <w:t>3</w:t>
            </w:r>
            <w:r>
              <w:rPr>
                <w:rFonts w:cs="Arial"/>
                <w:b/>
                <w:sz w:val="20"/>
                <w:szCs w:val="20"/>
              </w:rPr>
              <w:t>)</w:t>
            </w:r>
            <w:r>
              <w:rPr>
                <w:rFonts w:cs="Arial"/>
                <w:b/>
                <w:sz w:val="20"/>
                <w:szCs w:val="20"/>
                <w:vertAlign w:val="superscript"/>
              </w:rPr>
              <w:t>-1</w:t>
            </w:r>
          </w:p>
        </w:tc>
        <w:tc>
          <w:tcPr>
            <w:tcW w:w="1137" w:type="dxa"/>
            <w:vMerge w:val="restart"/>
            <w:tcBorders>
              <w:top w:val="single" w:sz="12" w:space="0" w:color="auto"/>
            </w:tcBorders>
            <w:vAlign w:val="center"/>
          </w:tcPr>
          <w:p w:rsidR="00376116" w:rsidRPr="00EF6501" w:rsidRDefault="00376116" w:rsidP="00376116">
            <w:pPr>
              <w:jc w:val="center"/>
              <w:rPr>
                <w:rFonts w:cs="Arial"/>
                <w:b/>
                <w:sz w:val="20"/>
                <w:szCs w:val="20"/>
                <w:vertAlign w:val="superscript"/>
              </w:rPr>
            </w:pPr>
            <w:r>
              <w:rPr>
                <w:rFonts w:cs="Arial"/>
                <w:b/>
                <w:sz w:val="20"/>
                <w:szCs w:val="20"/>
              </w:rPr>
              <w:t>PbB from WES (µg/dL)</w:t>
            </w:r>
            <w:r>
              <w:rPr>
                <w:rFonts w:cs="Arial"/>
                <w:b/>
                <w:sz w:val="20"/>
                <w:szCs w:val="20"/>
                <w:vertAlign w:val="superscript"/>
              </w:rPr>
              <w:t>b</w:t>
            </w:r>
          </w:p>
        </w:tc>
        <w:tc>
          <w:tcPr>
            <w:tcW w:w="1607" w:type="dxa"/>
            <w:vMerge w:val="restart"/>
            <w:tcBorders>
              <w:top w:val="single" w:sz="12" w:space="0" w:color="auto"/>
            </w:tcBorders>
            <w:vAlign w:val="center"/>
          </w:tcPr>
          <w:p w:rsidR="00376116" w:rsidRDefault="00376116" w:rsidP="00376116">
            <w:pPr>
              <w:jc w:val="center"/>
              <w:rPr>
                <w:rFonts w:cs="Arial"/>
                <w:b/>
                <w:sz w:val="20"/>
                <w:szCs w:val="20"/>
              </w:rPr>
            </w:pPr>
            <w:r>
              <w:rPr>
                <w:rFonts w:cs="Arial"/>
                <w:b/>
                <w:sz w:val="20"/>
                <w:szCs w:val="20"/>
              </w:rPr>
              <w:t>Assumed background PbB central estimate</w:t>
            </w:r>
          </w:p>
          <w:p w:rsidR="00376116" w:rsidRPr="00F05DA7" w:rsidRDefault="00376116" w:rsidP="00376116">
            <w:pPr>
              <w:jc w:val="center"/>
              <w:rPr>
                <w:rFonts w:cs="Arial"/>
                <w:b/>
                <w:sz w:val="20"/>
                <w:szCs w:val="20"/>
                <w:vertAlign w:val="superscript"/>
              </w:rPr>
            </w:pPr>
            <w:r>
              <w:rPr>
                <w:rFonts w:cs="Arial"/>
                <w:b/>
                <w:sz w:val="20"/>
                <w:szCs w:val="20"/>
              </w:rPr>
              <w:t>(range</w:t>
            </w:r>
            <w:r>
              <w:rPr>
                <w:rFonts w:cs="Arial"/>
                <w:b/>
                <w:sz w:val="20"/>
                <w:szCs w:val="20"/>
                <w:vertAlign w:val="superscript"/>
              </w:rPr>
              <w:t>c</w:t>
            </w:r>
            <w:r>
              <w:rPr>
                <w:rFonts w:cs="Arial"/>
                <w:b/>
                <w:sz w:val="20"/>
                <w:szCs w:val="20"/>
              </w:rPr>
              <w:t xml:space="preserve"> or CL</w:t>
            </w:r>
            <w:r>
              <w:rPr>
                <w:rFonts w:cs="Arial"/>
                <w:b/>
                <w:sz w:val="20"/>
                <w:szCs w:val="20"/>
                <w:vertAlign w:val="superscript"/>
              </w:rPr>
              <w:t>d</w:t>
            </w:r>
            <w:r>
              <w:rPr>
                <w:rFonts w:cs="Arial"/>
                <w:b/>
                <w:sz w:val="20"/>
                <w:szCs w:val="20"/>
              </w:rPr>
              <w:t>)</w:t>
            </w:r>
          </w:p>
        </w:tc>
        <w:tc>
          <w:tcPr>
            <w:tcW w:w="3080" w:type="dxa"/>
            <w:gridSpan w:val="2"/>
            <w:tcBorders>
              <w:top w:val="single" w:sz="12" w:space="0" w:color="auto"/>
              <w:bottom w:val="single" w:sz="12" w:space="0" w:color="auto"/>
            </w:tcBorders>
            <w:vAlign w:val="center"/>
          </w:tcPr>
          <w:p w:rsidR="00376116" w:rsidRPr="00EF6501" w:rsidRDefault="00376116" w:rsidP="00376116">
            <w:pPr>
              <w:jc w:val="center"/>
              <w:rPr>
                <w:rFonts w:cs="Arial"/>
                <w:b/>
                <w:sz w:val="20"/>
                <w:szCs w:val="20"/>
                <w:vertAlign w:val="superscript"/>
              </w:rPr>
            </w:pPr>
            <w:r>
              <w:rPr>
                <w:rFonts w:cs="Arial"/>
                <w:b/>
                <w:sz w:val="20"/>
                <w:szCs w:val="20"/>
              </w:rPr>
              <w:t>Estimated total PbB (µg/dL) for worker population</w:t>
            </w:r>
          </w:p>
        </w:tc>
        <w:tc>
          <w:tcPr>
            <w:tcW w:w="1264" w:type="dxa"/>
            <w:vMerge w:val="restart"/>
            <w:tcBorders>
              <w:top w:val="single" w:sz="12" w:space="0" w:color="auto"/>
            </w:tcBorders>
            <w:vAlign w:val="center"/>
          </w:tcPr>
          <w:p w:rsidR="00376116" w:rsidRDefault="00314205" w:rsidP="00376116">
            <w:pPr>
              <w:jc w:val="center"/>
              <w:rPr>
                <w:rFonts w:cs="Arial"/>
                <w:b/>
                <w:sz w:val="20"/>
                <w:szCs w:val="20"/>
              </w:rPr>
            </w:pPr>
            <w:r>
              <w:rPr>
                <w:rFonts w:cs="Arial"/>
                <w:b/>
                <w:sz w:val="20"/>
                <w:szCs w:val="20"/>
              </w:rPr>
              <w:t>BLRL</w:t>
            </w:r>
            <w:r w:rsidR="00376116">
              <w:rPr>
                <w:rFonts w:cs="Arial"/>
                <w:b/>
                <w:sz w:val="20"/>
                <w:szCs w:val="20"/>
              </w:rPr>
              <w:t xml:space="preserve"> (µg/dL)</w:t>
            </w:r>
          </w:p>
        </w:tc>
      </w:tr>
      <w:tr w:rsidR="00376116" w:rsidRPr="00815C04" w:rsidTr="006A5E40">
        <w:trPr>
          <w:trHeight w:val="580"/>
          <w:tblHeader/>
        </w:trPr>
        <w:tc>
          <w:tcPr>
            <w:tcW w:w="1327" w:type="dxa"/>
            <w:vMerge/>
            <w:tcBorders>
              <w:bottom w:val="single" w:sz="12" w:space="0" w:color="auto"/>
            </w:tcBorders>
          </w:tcPr>
          <w:p w:rsidR="00376116" w:rsidRPr="00815C04" w:rsidRDefault="00376116" w:rsidP="00376116">
            <w:pPr>
              <w:rPr>
                <w:rFonts w:cs="Arial"/>
                <w:b/>
                <w:sz w:val="20"/>
                <w:szCs w:val="20"/>
              </w:rPr>
            </w:pPr>
          </w:p>
        </w:tc>
        <w:tc>
          <w:tcPr>
            <w:tcW w:w="1724" w:type="dxa"/>
            <w:vMerge/>
            <w:tcBorders>
              <w:bottom w:val="single" w:sz="12" w:space="0" w:color="auto"/>
            </w:tcBorders>
          </w:tcPr>
          <w:p w:rsidR="00376116" w:rsidRDefault="00376116" w:rsidP="00376116">
            <w:pPr>
              <w:rPr>
                <w:rFonts w:cs="Arial"/>
                <w:b/>
                <w:sz w:val="20"/>
                <w:szCs w:val="20"/>
              </w:rPr>
            </w:pPr>
          </w:p>
        </w:tc>
        <w:tc>
          <w:tcPr>
            <w:tcW w:w="1137" w:type="dxa"/>
            <w:vMerge/>
            <w:tcBorders>
              <w:bottom w:val="single" w:sz="12" w:space="0" w:color="auto"/>
            </w:tcBorders>
          </w:tcPr>
          <w:p w:rsidR="00376116" w:rsidRDefault="00376116" w:rsidP="00376116">
            <w:pPr>
              <w:rPr>
                <w:rFonts w:cs="Arial"/>
                <w:b/>
                <w:sz w:val="20"/>
                <w:szCs w:val="20"/>
              </w:rPr>
            </w:pPr>
          </w:p>
        </w:tc>
        <w:tc>
          <w:tcPr>
            <w:tcW w:w="1607" w:type="dxa"/>
            <w:vMerge/>
            <w:tcBorders>
              <w:bottom w:val="single" w:sz="12" w:space="0" w:color="auto"/>
            </w:tcBorders>
          </w:tcPr>
          <w:p w:rsidR="00376116" w:rsidRDefault="00376116" w:rsidP="00376116">
            <w:pPr>
              <w:rPr>
                <w:rFonts w:cs="Arial"/>
                <w:b/>
                <w:sz w:val="20"/>
                <w:szCs w:val="20"/>
              </w:rPr>
            </w:pPr>
          </w:p>
        </w:tc>
        <w:tc>
          <w:tcPr>
            <w:tcW w:w="1489" w:type="dxa"/>
            <w:tcBorders>
              <w:top w:val="single" w:sz="12" w:space="0" w:color="auto"/>
              <w:bottom w:val="single" w:sz="12" w:space="0" w:color="auto"/>
              <w:right w:val="single" w:sz="12" w:space="0" w:color="auto"/>
            </w:tcBorders>
            <w:vAlign w:val="center"/>
          </w:tcPr>
          <w:p w:rsidR="00376116" w:rsidRPr="00EF6501" w:rsidRDefault="00376116" w:rsidP="00B419BF">
            <w:pPr>
              <w:jc w:val="center"/>
              <w:rPr>
                <w:rFonts w:cs="Arial"/>
                <w:b/>
                <w:sz w:val="20"/>
                <w:szCs w:val="20"/>
                <w:vertAlign w:val="superscript"/>
              </w:rPr>
            </w:pPr>
            <w:r>
              <w:rPr>
                <w:rFonts w:cs="Arial"/>
                <w:b/>
                <w:sz w:val="20"/>
                <w:szCs w:val="20"/>
              </w:rPr>
              <w:t>Central estimate</w:t>
            </w:r>
            <w:r>
              <w:rPr>
                <w:rFonts w:cs="Arial"/>
                <w:b/>
                <w:sz w:val="20"/>
                <w:szCs w:val="20"/>
                <w:vertAlign w:val="superscript"/>
              </w:rPr>
              <w:t>e</w:t>
            </w:r>
          </w:p>
        </w:tc>
        <w:tc>
          <w:tcPr>
            <w:tcW w:w="1591" w:type="dxa"/>
            <w:tcBorders>
              <w:top w:val="single" w:sz="12" w:space="0" w:color="auto"/>
              <w:left w:val="single" w:sz="12" w:space="0" w:color="auto"/>
              <w:bottom w:val="single" w:sz="12" w:space="0" w:color="auto"/>
            </w:tcBorders>
            <w:vAlign w:val="center"/>
          </w:tcPr>
          <w:p w:rsidR="00376116" w:rsidRPr="00EF6501" w:rsidRDefault="00376116" w:rsidP="00B419BF">
            <w:pPr>
              <w:jc w:val="center"/>
              <w:rPr>
                <w:rFonts w:cs="Arial"/>
                <w:b/>
                <w:sz w:val="20"/>
                <w:szCs w:val="20"/>
                <w:vertAlign w:val="superscript"/>
              </w:rPr>
            </w:pPr>
            <w:r>
              <w:rPr>
                <w:rFonts w:cs="Arial"/>
                <w:b/>
                <w:sz w:val="20"/>
                <w:szCs w:val="20"/>
              </w:rPr>
              <w:t xml:space="preserve">Indicative ‘high end’ </w:t>
            </w:r>
            <w:r>
              <w:rPr>
                <w:rFonts w:cs="Arial"/>
                <w:b/>
                <w:sz w:val="20"/>
                <w:szCs w:val="20"/>
                <w:vertAlign w:val="superscript"/>
              </w:rPr>
              <w:t>f</w:t>
            </w:r>
          </w:p>
        </w:tc>
        <w:tc>
          <w:tcPr>
            <w:tcW w:w="1264" w:type="dxa"/>
            <w:vMerge/>
            <w:tcBorders>
              <w:bottom w:val="single" w:sz="12" w:space="0" w:color="auto"/>
            </w:tcBorders>
          </w:tcPr>
          <w:p w:rsidR="00376116" w:rsidRDefault="00376116" w:rsidP="00376116">
            <w:pPr>
              <w:rPr>
                <w:rFonts w:cs="Arial"/>
                <w:b/>
                <w:sz w:val="20"/>
                <w:szCs w:val="20"/>
              </w:rPr>
            </w:pPr>
          </w:p>
        </w:tc>
      </w:tr>
      <w:tr w:rsidR="00376116" w:rsidRPr="00815C04" w:rsidTr="00376116">
        <w:tc>
          <w:tcPr>
            <w:tcW w:w="1327" w:type="dxa"/>
            <w:vMerge w:val="restart"/>
            <w:tcBorders>
              <w:top w:val="single" w:sz="12" w:space="0" w:color="auto"/>
            </w:tcBorders>
          </w:tcPr>
          <w:p w:rsidR="00376116" w:rsidRDefault="00376116" w:rsidP="00376116">
            <w:pPr>
              <w:rPr>
                <w:rFonts w:cs="Arial"/>
                <w:b/>
                <w:sz w:val="20"/>
                <w:szCs w:val="20"/>
              </w:rPr>
            </w:pPr>
          </w:p>
          <w:p w:rsidR="00376116" w:rsidRDefault="00B419BF" w:rsidP="00376116">
            <w:pPr>
              <w:rPr>
                <w:rFonts w:cs="Arial"/>
                <w:b/>
                <w:sz w:val="20"/>
                <w:szCs w:val="20"/>
              </w:rPr>
            </w:pPr>
            <w:r>
              <w:rPr>
                <w:rFonts w:cs="Arial"/>
                <w:b/>
                <w:sz w:val="20"/>
                <w:szCs w:val="20"/>
              </w:rPr>
              <w:t>0.</w:t>
            </w:r>
            <w:r w:rsidR="00376116" w:rsidRPr="00815C04">
              <w:rPr>
                <w:rFonts w:cs="Arial"/>
                <w:b/>
                <w:sz w:val="20"/>
                <w:szCs w:val="20"/>
              </w:rPr>
              <w:t>15</w:t>
            </w:r>
            <w:r w:rsidR="00376116">
              <w:rPr>
                <w:rFonts w:cs="Arial"/>
                <w:b/>
                <w:sz w:val="20"/>
                <w:szCs w:val="20"/>
              </w:rPr>
              <w:t xml:space="preserve">, </w:t>
            </w:r>
          </w:p>
          <w:p w:rsidR="00376116" w:rsidRPr="00816F11" w:rsidRDefault="00376116" w:rsidP="00376116">
            <w:pPr>
              <w:rPr>
                <w:rFonts w:cs="Arial"/>
                <w:sz w:val="20"/>
                <w:szCs w:val="20"/>
              </w:rPr>
            </w:pPr>
            <w:r>
              <w:rPr>
                <w:rFonts w:cs="Arial"/>
                <w:sz w:val="20"/>
                <w:szCs w:val="20"/>
              </w:rPr>
              <w:t>(</w:t>
            </w:r>
            <w:r w:rsidRPr="00816F11">
              <w:rPr>
                <w:rFonts w:cs="Arial"/>
                <w:sz w:val="20"/>
                <w:szCs w:val="20"/>
              </w:rPr>
              <w:t>current WES</w:t>
            </w:r>
            <w:r>
              <w:rPr>
                <w:rFonts w:cs="Arial"/>
                <w:b/>
                <w:sz w:val="20"/>
                <w:szCs w:val="20"/>
              </w:rPr>
              <w:t xml:space="preserve"> </w:t>
            </w:r>
            <w:r w:rsidRPr="00816F11">
              <w:rPr>
                <w:rFonts w:cs="Arial"/>
                <w:sz w:val="20"/>
                <w:szCs w:val="20"/>
              </w:rPr>
              <w:t>established in 1994)</w:t>
            </w:r>
          </w:p>
          <w:p w:rsidR="00376116" w:rsidRPr="00815C04" w:rsidRDefault="00376116" w:rsidP="00376116">
            <w:pPr>
              <w:rPr>
                <w:rFonts w:cs="Arial"/>
                <w:b/>
                <w:sz w:val="20"/>
                <w:szCs w:val="20"/>
              </w:rPr>
            </w:pPr>
          </w:p>
        </w:tc>
        <w:tc>
          <w:tcPr>
            <w:tcW w:w="1724" w:type="dxa"/>
            <w:vMerge w:val="restart"/>
            <w:tcBorders>
              <w:top w:val="single" w:sz="12" w:space="0" w:color="auto"/>
            </w:tcBorders>
            <w:vAlign w:val="center"/>
          </w:tcPr>
          <w:p w:rsidR="00376116" w:rsidRPr="00553296" w:rsidRDefault="00376116" w:rsidP="00376116">
            <w:pPr>
              <w:jc w:val="center"/>
              <w:rPr>
                <w:rFonts w:cs="Arial"/>
                <w:sz w:val="20"/>
                <w:szCs w:val="20"/>
              </w:rPr>
            </w:pPr>
            <w:r>
              <w:rPr>
                <w:rFonts w:cs="Arial"/>
                <w:sz w:val="20"/>
                <w:szCs w:val="20"/>
              </w:rPr>
              <w:t>0.19</w:t>
            </w:r>
          </w:p>
        </w:tc>
        <w:tc>
          <w:tcPr>
            <w:tcW w:w="1137" w:type="dxa"/>
            <w:vMerge w:val="restart"/>
            <w:tcBorders>
              <w:top w:val="single" w:sz="12" w:space="0" w:color="auto"/>
            </w:tcBorders>
            <w:vAlign w:val="center"/>
          </w:tcPr>
          <w:p w:rsidR="00376116" w:rsidRPr="00553296" w:rsidRDefault="00376116" w:rsidP="00376116">
            <w:pPr>
              <w:jc w:val="center"/>
              <w:rPr>
                <w:rFonts w:cs="Arial"/>
                <w:sz w:val="20"/>
                <w:szCs w:val="20"/>
              </w:rPr>
            </w:pPr>
            <w:r>
              <w:rPr>
                <w:rFonts w:cs="Arial"/>
                <w:sz w:val="20"/>
                <w:szCs w:val="20"/>
              </w:rPr>
              <w:t>28.5</w:t>
            </w:r>
          </w:p>
        </w:tc>
        <w:tc>
          <w:tcPr>
            <w:tcW w:w="1607" w:type="dxa"/>
            <w:tcBorders>
              <w:top w:val="single" w:sz="12" w:space="0" w:color="auto"/>
              <w:bottom w:val="single" w:sz="6" w:space="0" w:color="auto"/>
            </w:tcBorders>
            <w:vAlign w:val="center"/>
          </w:tcPr>
          <w:p w:rsidR="00376116" w:rsidRDefault="00B419BF" w:rsidP="00376116">
            <w:pPr>
              <w:rPr>
                <w:rFonts w:cs="Arial"/>
                <w:sz w:val="20"/>
                <w:szCs w:val="20"/>
              </w:rPr>
            </w:pPr>
            <w:r>
              <w:rPr>
                <w:rFonts w:cs="Arial"/>
                <w:sz w:val="20"/>
                <w:szCs w:val="20"/>
              </w:rPr>
              <w:t xml:space="preserve">In </w:t>
            </w:r>
            <w:r w:rsidR="00376116">
              <w:rPr>
                <w:rFonts w:cs="Arial"/>
                <w:sz w:val="20"/>
                <w:szCs w:val="20"/>
              </w:rPr>
              <w:t>1994:</w:t>
            </w:r>
          </w:p>
          <w:p w:rsidR="00376116" w:rsidRDefault="00376116" w:rsidP="00376116">
            <w:pPr>
              <w:jc w:val="center"/>
              <w:rPr>
                <w:rFonts w:cs="Arial"/>
                <w:sz w:val="20"/>
                <w:szCs w:val="20"/>
              </w:rPr>
            </w:pPr>
            <w:r>
              <w:rPr>
                <w:rFonts w:cs="Arial"/>
                <w:sz w:val="20"/>
                <w:szCs w:val="20"/>
              </w:rPr>
              <w:t>~ 5</w:t>
            </w:r>
          </w:p>
          <w:p w:rsidR="00376116" w:rsidRPr="00DA769F" w:rsidRDefault="00376116" w:rsidP="00376116">
            <w:pPr>
              <w:jc w:val="center"/>
              <w:rPr>
                <w:rFonts w:cs="Arial"/>
                <w:sz w:val="20"/>
                <w:szCs w:val="20"/>
              </w:rPr>
            </w:pPr>
            <w:r>
              <w:rPr>
                <w:rFonts w:cs="Arial"/>
                <w:sz w:val="20"/>
                <w:szCs w:val="20"/>
              </w:rPr>
              <w:t>(2.6 – 7)</w:t>
            </w:r>
            <w:r>
              <w:rPr>
                <w:rFonts w:cs="Arial"/>
                <w:sz w:val="20"/>
                <w:szCs w:val="20"/>
                <w:vertAlign w:val="superscript"/>
              </w:rPr>
              <w:t>d</w:t>
            </w:r>
          </w:p>
        </w:tc>
        <w:tc>
          <w:tcPr>
            <w:tcW w:w="1489" w:type="dxa"/>
            <w:tcBorders>
              <w:top w:val="single" w:sz="12" w:space="0" w:color="auto"/>
              <w:bottom w:val="single" w:sz="6" w:space="0" w:color="auto"/>
            </w:tcBorders>
            <w:vAlign w:val="center"/>
          </w:tcPr>
          <w:p w:rsidR="00376116" w:rsidRPr="00553296" w:rsidRDefault="00376116" w:rsidP="00376116">
            <w:pPr>
              <w:jc w:val="center"/>
              <w:rPr>
                <w:rFonts w:cs="Arial"/>
                <w:sz w:val="20"/>
                <w:szCs w:val="20"/>
              </w:rPr>
            </w:pPr>
            <w:r>
              <w:rPr>
                <w:rFonts w:cs="Arial"/>
                <w:sz w:val="20"/>
                <w:szCs w:val="20"/>
              </w:rPr>
              <w:t>34</w:t>
            </w:r>
          </w:p>
        </w:tc>
        <w:tc>
          <w:tcPr>
            <w:tcW w:w="1591" w:type="dxa"/>
            <w:tcBorders>
              <w:top w:val="single" w:sz="12" w:space="0" w:color="auto"/>
              <w:bottom w:val="single" w:sz="6" w:space="0" w:color="auto"/>
            </w:tcBorders>
            <w:vAlign w:val="center"/>
          </w:tcPr>
          <w:p w:rsidR="00376116" w:rsidRPr="00553296" w:rsidRDefault="00376116" w:rsidP="003C4336">
            <w:pPr>
              <w:jc w:val="center"/>
              <w:rPr>
                <w:rFonts w:cs="Arial"/>
                <w:sz w:val="20"/>
                <w:szCs w:val="20"/>
              </w:rPr>
            </w:pPr>
            <w:r>
              <w:rPr>
                <w:rFonts w:cs="Arial"/>
                <w:sz w:val="20"/>
                <w:szCs w:val="20"/>
              </w:rPr>
              <w:t>68</w:t>
            </w:r>
          </w:p>
        </w:tc>
        <w:tc>
          <w:tcPr>
            <w:tcW w:w="1264" w:type="dxa"/>
            <w:tcBorders>
              <w:top w:val="single" w:sz="12" w:space="0" w:color="auto"/>
              <w:bottom w:val="single" w:sz="6" w:space="0" w:color="auto"/>
            </w:tcBorders>
          </w:tcPr>
          <w:p w:rsidR="00376116" w:rsidRDefault="00376116" w:rsidP="00376116">
            <w:pPr>
              <w:jc w:val="center"/>
              <w:rPr>
                <w:rFonts w:cs="Arial"/>
                <w:sz w:val="20"/>
                <w:szCs w:val="20"/>
              </w:rPr>
            </w:pPr>
            <w:r>
              <w:rPr>
                <w:rFonts w:cs="Arial"/>
                <w:sz w:val="20"/>
                <w:szCs w:val="20"/>
              </w:rPr>
              <w:t>Current:</w:t>
            </w:r>
          </w:p>
          <w:p w:rsidR="00376116" w:rsidRDefault="00376116" w:rsidP="00376116">
            <w:pPr>
              <w:jc w:val="center"/>
              <w:rPr>
                <w:rFonts w:cs="Arial"/>
                <w:sz w:val="20"/>
                <w:szCs w:val="20"/>
              </w:rPr>
            </w:pPr>
            <w:r>
              <w:rPr>
                <w:rFonts w:cs="Arial"/>
                <w:sz w:val="20"/>
                <w:szCs w:val="20"/>
              </w:rPr>
              <w:t>50: M/FNR</w:t>
            </w:r>
          </w:p>
          <w:p w:rsidR="00376116" w:rsidRDefault="00376116" w:rsidP="00376116">
            <w:pPr>
              <w:rPr>
                <w:rFonts w:cs="Arial"/>
                <w:sz w:val="20"/>
                <w:szCs w:val="20"/>
              </w:rPr>
            </w:pPr>
            <w:r>
              <w:rPr>
                <w:rFonts w:cs="Arial"/>
                <w:sz w:val="20"/>
                <w:szCs w:val="20"/>
              </w:rPr>
              <w:t xml:space="preserve">  20: FR</w:t>
            </w:r>
          </w:p>
          <w:p w:rsidR="00376116" w:rsidRDefault="00376116" w:rsidP="00376116">
            <w:pPr>
              <w:jc w:val="center"/>
              <w:rPr>
                <w:rFonts w:cs="Arial"/>
                <w:sz w:val="20"/>
                <w:szCs w:val="20"/>
              </w:rPr>
            </w:pPr>
            <w:r>
              <w:rPr>
                <w:rFonts w:cs="Arial"/>
                <w:sz w:val="20"/>
                <w:szCs w:val="20"/>
              </w:rPr>
              <w:t>10: FP/FB</w:t>
            </w:r>
          </w:p>
        </w:tc>
      </w:tr>
      <w:tr w:rsidR="00376116" w:rsidRPr="00815C04" w:rsidTr="00376116">
        <w:tc>
          <w:tcPr>
            <w:tcW w:w="1327" w:type="dxa"/>
            <w:vMerge/>
            <w:tcBorders>
              <w:bottom w:val="single" w:sz="8" w:space="0" w:color="auto"/>
            </w:tcBorders>
          </w:tcPr>
          <w:p w:rsidR="00376116" w:rsidRDefault="00376116" w:rsidP="00376116">
            <w:pPr>
              <w:rPr>
                <w:rFonts w:cs="Arial"/>
                <w:b/>
                <w:sz w:val="20"/>
                <w:szCs w:val="20"/>
              </w:rPr>
            </w:pPr>
          </w:p>
        </w:tc>
        <w:tc>
          <w:tcPr>
            <w:tcW w:w="1724" w:type="dxa"/>
            <w:vMerge/>
            <w:tcBorders>
              <w:bottom w:val="single" w:sz="8" w:space="0" w:color="auto"/>
            </w:tcBorders>
            <w:vAlign w:val="center"/>
          </w:tcPr>
          <w:p w:rsidR="00376116" w:rsidRDefault="00376116" w:rsidP="00376116">
            <w:pPr>
              <w:jc w:val="center"/>
              <w:rPr>
                <w:rFonts w:cs="Arial"/>
                <w:sz w:val="20"/>
                <w:szCs w:val="20"/>
              </w:rPr>
            </w:pPr>
          </w:p>
        </w:tc>
        <w:tc>
          <w:tcPr>
            <w:tcW w:w="1137" w:type="dxa"/>
            <w:vMerge/>
            <w:tcBorders>
              <w:bottom w:val="single" w:sz="8" w:space="0" w:color="auto"/>
            </w:tcBorders>
            <w:vAlign w:val="center"/>
          </w:tcPr>
          <w:p w:rsidR="00376116" w:rsidRDefault="00376116" w:rsidP="00376116">
            <w:pPr>
              <w:jc w:val="center"/>
              <w:rPr>
                <w:rFonts w:cs="Arial"/>
                <w:sz w:val="20"/>
                <w:szCs w:val="20"/>
              </w:rPr>
            </w:pPr>
          </w:p>
        </w:tc>
        <w:tc>
          <w:tcPr>
            <w:tcW w:w="1607" w:type="dxa"/>
            <w:tcBorders>
              <w:top w:val="single" w:sz="6" w:space="0" w:color="auto"/>
              <w:bottom w:val="single" w:sz="8" w:space="0" w:color="auto"/>
            </w:tcBorders>
            <w:vAlign w:val="center"/>
          </w:tcPr>
          <w:p w:rsidR="00376116" w:rsidRDefault="00376116" w:rsidP="00376116">
            <w:pPr>
              <w:rPr>
                <w:rFonts w:cs="Arial"/>
                <w:sz w:val="20"/>
                <w:szCs w:val="20"/>
              </w:rPr>
            </w:pPr>
            <w:r>
              <w:rPr>
                <w:rFonts w:cs="Arial"/>
                <w:sz w:val="20"/>
                <w:szCs w:val="20"/>
              </w:rPr>
              <w:t xml:space="preserve">For 2000-2011:    </w:t>
            </w:r>
          </w:p>
          <w:p w:rsidR="00376116" w:rsidRDefault="00376116" w:rsidP="00376116">
            <w:pPr>
              <w:jc w:val="center"/>
              <w:rPr>
                <w:rFonts w:cs="Arial"/>
                <w:sz w:val="20"/>
                <w:szCs w:val="20"/>
              </w:rPr>
            </w:pPr>
            <w:r>
              <w:rPr>
                <w:rFonts w:cs="Arial"/>
                <w:sz w:val="20"/>
                <w:szCs w:val="20"/>
              </w:rPr>
              <w:t>~ 2</w:t>
            </w:r>
          </w:p>
          <w:p w:rsidR="00376116" w:rsidRPr="00DA769F" w:rsidRDefault="00376116" w:rsidP="00376116">
            <w:pPr>
              <w:jc w:val="center"/>
              <w:rPr>
                <w:rFonts w:cs="Arial"/>
                <w:sz w:val="20"/>
                <w:szCs w:val="20"/>
                <w:vertAlign w:val="superscript"/>
              </w:rPr>
            </w:pPr>
            <w:r>
              <w:rPr>
                <w:rFonts w:cs="Arial"/>
                <w:sz w:val="20"/>
                <w:szCs w:val="20"/>
              </w:rPr>
              <w:t>(1.3 – 3.3)</w:t>
            </w:r>
            <w:r>
              <w:rPr>
                <w:rFonts w:cs="Arial"/>
                <w:sz w:val="20"/>
                <w:szCs w:val="20"/>
                <w:vertAlign w:val="superscript"/>
              </w:rPr>
              <w:t>c</w:t>
            </w:r>
          </w:p>
        </w:tc>
        <w:tc>
          <w:tcPr>
            <w:tcW w:w="1489" w:type="dxa"/>
            <w:tcBorders>
              <w:top w:val="single" w:sz="6" w:space="0" w:color="auto"/>
              <w:bottom w:val="single" w:sz="8" w:space="0" w:color="auto"/>
            </w:tcBorders>
            <w:vAlign w:val="center"/>
          </w:tcPr>
          <w:p w:rsidR="00376116" w:rsidRPr="00553296" w:rsidRDefault="00376116" w:rsidP="00376116">
            <w:pPr>
              <w:jc w:val="center"/>
              <w:rPr>
                <w:rFonts w:cs="Arial"/>
                <w:sz w:val="20"/>
                <w:szCs w:val="20"/>
              </w:rPr>
            </w:pPr>
            <w:r>
              <w:rPr>
                <w:rFonts w:cs="Arial"/>
                <w:sz w:val="20"/>
                <w:szCs w:val="20"/>
              </w:rPr>
              <w:t>31</w:t>
            </w:r>
          </w:p>
        </w:tc>
        <w:tc>
          <w:tcPr>
            <w:tcW w:w="1591" w:type="dxa"/>
            <w:tcBorders>
              <w:top w:val="single" w:sz="6" w:space="0" w:color="auto"/>
              <w:bottom w:val="single" w:sz="8" w:space="0" w:color="auto"/>
            </w:tcBorders>
            <w:vAlign w:val="center"/>
          </w:tcPr>
          <w:p w:rsidR="00376116" w:rsidRPr="00553296" w:rsidRDefault="00376116" w:rsidP="003C4336">
            <w:pPr>
              <w:jc w:val="center"/>
              <w:rPr>
                <w:rFonts w:cs="Arial"/>
                <w:sz w:val="20"/>
                <w:szCs w:val="20"/>
              </w:rPr>
            </w:pPr>
            <w:r>
              <w:rPr>
                <w:rFonts w:cs="Arial"/>
                <w:sz w:val="20"/>
                <w:szCs w:val="20"/>
              </w:rPr>
              <w:t>62</w:t>
            </w:r>
          </w:p>
        </w:tc>
        <w:tc>
          <w:tcPr>
            <w:tcW w:w="1264" w:type="dxa"/>
            <w:vMerge w:val="restart"/>
            <w:tcBorders>
              <w:top w:val="single" w:sz="6" w:space="0" w:color="auto"/>
            </w:tcBorders>
            <w:vAlign w:val="center"/>
          </w:tcPr>
          <w:p w:rsidR="00376116" w:rsidRDefault="00376116" w:rsidP="009B6C43">
            <w:pPr>
              <w:rPr>
                <w:rFonts w:cs="Arial"/>
                <w:sz w:val="20"/>
                <w:szCs w:val="20"/>
              </w:rPr>
            </w:pPr>
            <w:r>
              <w:rPr>
                <w:rFonts w:cs="Arial"/>
                <w:sz w:val="20"/>
                <w:szCs w:val="20"/>
              </w:rPr>
              <w:t>Proposed:</w:t>
            </w:r>
          </w:p>
          <w:p w:rsidR="00376116" w:rsidRDefault="00376116" w:rsidP="00376116">
            <w:pPr>
              <w:rPr>
                <w:rFonts w:cs="Arial"/>
                <w:sz w:val="20"/>
                <w:szCs w:val="20"/>
              </w:rPr>
            </w:pPr>
            <w:r>
              <w:rPr>
                <w:rFonts w:cs="Arial"/>
                <w:sz w:val="20"/>
                <w:szCs w:val="20"/>
              </w:rPr>
              <w:t>20 or</w:t>
            </w:r>
            <w:r w:rsidR="009B6C43">
              <w:rPr>
                <w:rFonts w:cs="Arial"/>
                <w:sz w:val="20"/>
                <w:szCs w:val="20"/>
              </w:rPr>
              <w:t xml:space="preserve"> </w:t>
            </w:r>
            <w:r>
              <w:rPr>
                <w:rFonts w:cs="Arial"/>
                <w:sz w:val="20"/>
                <w:szCs w:val="20"/>
              </w:rPr>
              <w:t>30: M/FNR</w:t>
            </w:r>
          </w:p>
          <w:p w:rsidR="00376116" w:rsidRDefault="00376116" w:rsidP="00376116">
            <w:pPr>
              <w:jc w:val="center"/>
              <w:rPr>
                <w:rFonts w:cs="Arial"/>
                <w:sz w:val="20"/>
                <w:szCs w:val="20"/>
              </w:rPr>
            </w:pPr>
          </w:p>
          <w:p w:rsidR="00376116" w:rsidRDefault="00376116" w:rsidP="00376116">
            <w:pPr>
              <w:rPr>
                <w:rFonts w:cs="Arial"/>
                <w:sz w:val="20"/>
                <w:szCs w:val="20"/>
              </w:rPr>
            </w:pPr>
            <w:r>
              <w:rPr>
                <w:rFonts w:cs="Arial"/>
                <w:sz w:val="20"/>
                <w:szCs w:val="20"/>
              </w:rPr>
              <w:t>10: FR/FP/FB</w:t>
            </w:r>
          </w:p>
        </w:tc>
      </w:tr>
      <w:tr w:rsidR="00376116" w:rsidRPr="00815C04" w:rsidTr="00376116">
        <w:tc>
          <w:tcPr>
            <w:tcW w:w="1327" w:type="dxa"/>
            <w:tcBorders>
              <w:top w:val="single" w:sz="8" w:space="0" w:color="auto"/>
            </w:tcBorders>
          </w:tcPr>
          <w:p w:rsidR="00376116" w:rsidRDefault="00B419BF" w:rsidP="00376116">
            <w:pPr>
              <w:rPr>
                <w:rFonts w:cs="Arial"/>
                <w:b/>
                <w:sz w:val="20"/>
                <w:szCs w:val="20"/>
              </w:rPr>
            </w:pPr>
            <w:r>
              <w:rPr>
                <w:rFonts w:cs="Arial"/>
                <w:b/>
                <w:sz w:val="20"/>
                <w:szCs w:val="20"/>
              </w:rPr>
              <w:t>0.1</w:t>
            </w:r>
            <w:r w:rsidR="00376116">
              <w:rPr>
                <w:rFonts w:cs="Arial"/>
                <w:b/>
                <w:sz w:val="20"/>
                <w:szCs w:val="20"/>
              </w:rPr>
              <w:t xml:space="preserve">, </w:t>
            </w:r>
          </w:p>
          <w:p w:rsidR="00376116" w:rsidRPr="00816F11" w:rsidRDefault="00376116" w:rsidP="00376116">
            <w:pPr>
              <w:rPr>
                <w:rFonts w:cs="Arial"/>
                <w:sz w:val="20"/>
                <w:szCs w:val="20"/>
              </w:rPr>
            </w:pPr>
            <w:r w:rsidRPr="00816F11">
              <w:rPr>
                <w:rFonts w:cs="Arial"/>
                <w:sz w:val="20"/>
                <w:szCs w:val="20"/>
              </w:rPr>
              <w:t xml:space="preserve">(a potential WES) </w:t>
            </w:r>
          </w:p>
          <w:p w:rsidR="00376116" w:rsidRDefault="00376116" w:rsidP="00376116">
            <w:pPr>
              <w:rPr>
                <w:rFonts w:cs="Arial"/>
                <w:b/>
                <w:sz w:val="20"/>
                <w:szCs w:val="20"/>
              </w:rPr>
            </w:pPr>
          </w:p>
        </w:tc>
        <w:tc>
          <w:tcPr>
            <w:tcW w:w="1724" w:type="dxa"/>
            <w:tcBorders>
              <w:top w:val="single" w:sz="8" w:space="0" w:color="auto"/>
            </w:tcBorders>
            <w:vAlign w:val="center"/>
          </w:tcPr>
          <w:p w:rsidR="00376116" w:rsidRDefault="00376116" w:rsidP="00376116">
            <w:pPr>
              <w:jc w:val="center"/>
              <w:rPr>
                <w:rFonts w:cs="Arial"/>
                <w:sz w:val="20"/>
                <w:szCs w:val="20"/>
              </w:rPr>
            </w:pPr>
            <w:r>
              <w:rPr>
                <w:rFonts w:cs="Arial"/>
                <w:sz w:val="20"/>
                <w:szCs w:val="20"/>
              </w:rPr>
              <w:t>0.25</w:t>
            </w:r>
          </w:p>
        </w:tc>
        <w:tc>
          <w:tcPr>
            <w:tcW w:w="1137" w:type="dxa"/>
            <w:tcBorders>
              <w:top w:val="single" w:sz="8" w:space="0" w:color="auto"/>
            </w:tcBorders>
            <w:vAlign w:val="center"/>
          </w:tcPr>
          <w:p w:rsidR="00376116" w:rsidRDefault="00376116" w:rsidP="00376116">
            <w:pPr>
              <w:jc w:val="center"/>
              <w:rPr>
                <w:rFonts w:cs="Arial"/>
                <w:sz w:val="20"/>
                <w:szCs w:val="20"/>
              </w:rPr>
            </w:pPr>
            <w:r>
              <w:rPr>
                <w:rFonts w:cs="Arial"/>
                <w:sz w:val="20"/>
                <w:szCs w:val="20"/>
              </w:rPr>
              <w:t>25</w:t>
            </w:r>
          </w:p>
        </w:tc>
        <w:tc>
          <w:tcPr>
            <w:tcW w:w="1607" w:type="dxa"/>
            <w:vMerge w:val="restart"/>
            <w:tcBorders>
              <w:top w:val="single" w:sz="8" w:space="0" w:color="auto"/>
            </w:tcBorders>
            <w:vAlign w:val="center"/>
          </w:tcPr>
          <w:p w:rsidR="00376116" w:rsidRDefault="00376116" w:rsidP="00376116">
            <w:pPr>
              <w:rPr>
                <w:rFonts w:cs="Arial"/>
                <w:sz w:val="20"/>
                <w:szCs w:val="20"/>
              </w:rPr>
            </w:pPr>
            <w:r>
              <w:rPr>
                <w:rFonts w:cs="Arial"/>
                <w:sz w:val="20"/>
                <w:szCs w:val="20"/>
              </w:rPr>
              <w:t>For 2000-2011:</w:t>
            </w:r>
          </w:p>
          <w:p w:rsidR="00376116" w:rsidRDefault="00376116" w:rsidP="00376116">
            <w:pPr>
              <w:jc w:val="center"/>
              <w:rPr>
                <w:rFonts w:cs="Arial"/>
                <w:sz w:val="20"/>
                <w:szCs w:val="20"/>
              </w:rPr>
            </w:pPr>
            <w:r>
              <w:rPr>
                <w:rFonts w:cs="Arial"/>
                <w:sz w:val="20"/>
                <w:szCs w:val="20"/>
              </w:rPr>
              <w:t xml:space="preserve">~ 2 </w:t>
            </w:r>
          </w:p>
          <w:p w:rsidR="00376116" w:rsidRDefault="00376116" w:rsidP="00376116">
            <w:pPr>
              <w:jc w:val="center"/>
              <w:rPr>
                <w:rFonts w:cs="Arial"/>
                <w:sz w:val="20"/>
                <w:szCs w:val="20"/>
                <w:vertAlign w:val="superscript"/>
              </w:rPr>
            </w:pPr>
            <w:r>
              <w:rPr>
                <w:rFonts w:cs="Arial"/>
                <w:sz w:val="20"/>
                <w:szCs w:val="20"/>
              </w:rPr>
              <w:t>(1.3 – 3.3)</w:t>
            </w:r>
            <w:r>
              <w:rPr>
                <w:rFonts w:cs="Arial"/>
                <w:sz w:val="20"/>
                <w:szCs w:val="20"/>
                <w:vertAlign w:val="superscript"/>
              </w:rPr>
              <w:t>c</w:t>
            </w:r>
          </w:p>
          <w:p w:rsidR="00376116" w:rsidRDefault="00376116" w:rsidP="00376116">
            <w:pPr>
              <w:jc w:val="center"/>
              <w:rPr>
                <w:rFonts w:cs="Arial"/>
                <w:sz w:val="20"/>
                <w:szCs w:val="20"/>
              </w:rPr>
            </w:pPr>
          </w:p>
        </w:tc>
        <w:tc>
          <w:tcPr>
            <w:tcW w:w="1489" w:type="dxa"/>
            <w:tcBorders>
              <w:top w:val="single" w:sz="8" w:space="0" w:color="auto"/>
            </w:tcBorders>
            <w:vAlign w:val="center"/>
          </w:tcPr>
          <w:p w:rsidR="00376116" w:rsidRDefault="00376116" w:rsidP="00376116">
            <w:pPr>
              <w:jc w:val="center"/>
              <w:rPr>
                <w:rFonts w:cs="Arial"/>
                <w:sz w:val="20"/>
                <w:szCs w:val="20"/>
              </w:rPr>
            </w:pPr>
            <w:r>
              <w:rPr>
                <w:rFonts w:cs="Arial"/>
                <w:sz w:val="20"/>
                <w:szCs w:val="20"/>
              </w:rPr>
              <w:t>27</w:t>
            </w:r>
          </w:p>
        </w:tc>
        <w:tc>
          <w:tcPr>
            <w:tcW w:w="1591" w:type="dxa"/>
            <w:tcBorders>
              <w:top w:val="single" w:sz="8" w:space="0" w:color="auto"/>
            </w:tcBorders>
            <w:vAlign w:val="center"/>
          </w:tcPr>
          <w:p w:rsidR="00376116" w:rsidRDefault="00376116" w:rsidP="003C4336">
            <w:pPr>
              <w:jc w:val="center"/>
              <w:rPr>
                <w:rFonts w:cs="Arial"/>
                <w:sz w:val="20"/>
                <w:szCs w:val="20"/>
              </w:rPr>
            </w:pPr>
            <w:r>
              <w:rPr>
                <w:rFonts w:cs="Arial"/>
                <w:sz w:val="20"/>
                <w:szCs w:val="20"/>
              </w:rPr>
              <w:t>54</w:t>
            </w:r>
          </w:p>
        </w:tc>
        <w:tc>
          <w:tcPr>
            <w:tcW w:w="1264" w:type="dxa"/>
            <w:vMerge/>
          </w:tcPr>
          <w:p w:rsidR="00376116" w:rsidRDefault="00376116" w:rsidP="00376116">
            <w:pPr>
              <w:jc w:val="center"/>
              <w:rPr>
                <w:rFonts w:cs="Arial"/>
                <w:sz w:val="20"/>
                <w:szCs w:val="20"/>
              </w:rPr>
            </w:pPr>
          </w:p>
        </w:tc>
      </w:tr>
      <w:tr w:rsidR="00376116" w:rsidRPr="00815C04" w:rsidTr="00376116">
        <w:tc>
          <w:tcPr>
            <w:tcW w:w="1327" w:type="dxa"/>
            <w:tcBorders>
              <w:bottom w:val="double" w:sz="4" w:space="0" w:color="auto"/>
            </w:tcBorders>
          </w:tcPr>
          <w:p w:rsidR="00376116" w:rsidRDefault="00376116" w:rsidP="00376116">
            <w:pPr>
              <w:rPr>
                <w:rFonts w:cs="Arial"/>
                <w:b/>
                <w:sz w:val="20"/>
                <w:szCs w:val="20"/>
              </w:rPr>
            </w:pPr>
          </w:p>
          <w:p w:rsidR="00376116" w:rsidRDefault="00B419BF" w:rsidP="00376116">
            <w:pPr>
              <w:rPr>
                <w:rFonts w:cs="Arial"/>
                <w:b/>
                <w:sz w:val="20"/>
                <w:szCs w:val="20"/>
              </w:rPr>
            </w:pPr>
            <w:r>
              <w:rPr>
                <w:rFonts w:cs="Arial"/>
                <w:b/>
                <w:sz w:val="20"/>
                <w:szCs w:val="20"/>
              </w:rPr>
              <w:t>0.05</w:t>
            </w:r>
            <w:r w:rsidR="00376116">
              <w:rPr>
                <w:rFonts w:cs="Arial"/>
                <w:b/>
                <w:sz w:val="20"/>
                <w:szCs w:val="20"/>
              </w:rPr>
              <w:t xml:space="preserve"> </w:t>
            </w:r>
          </w:p>
          <w:p w:rsidR="00376116" w:rsidRPr="00816F11" w:rsidRDefault="00376116" w:rsidP="00376116">
            <w:pPr>
              <w:rPr>
                <w:rFonts w:cs="Arial"/>
                <w:sz w:val="20"/>
                <w:szCs w:val="20"/>
              </w:rPr>
            </w:pPr>
            <w:r w:rsidRPr="00816F11">
              <w:rPr>
                <w:rFonts w:cs="Arial"/>
                <w:sz w:val="20"/>
                <w:szCs w:val="20"/>
              </w:rPr>
              <w:t xml:space="preserve">(a potential WES)  </w:t>
            </w:r>
          </w:p>
          <w:p w:rsidR="00376116" w:rsidRPr="00816F11" w:rsidRDefault="00376116" w:rsidP="00376116">
            <w:pPr>
              <w:rPr>
                <w:rFonts w:cs="Arial"/>
                <w:sz w:val="20"/>
                <w:szCs w:val="20"/>
              </w:rPr>
            </w:pPr>
          </w:p>
          <w:p w:rsidR="00376116" w:rsidRPr="00815C04" w:rsidRDefault="00376116" w:rsidP="00376116">
            <w:pPr>
              <w:rPr>
                <w:rFonts w:cs="Arial"/>
                <w:b/>
                <w:sz w:val="20"/>
                <w:szCs w:val="20"/>
              </w:rPr>
            </w:pPr>
          </w:p>
        </w:tc>
        <w:tc>
          <w:tcPr>
            <w:tcW w:w="1724" w:type="dxa"/>
            <w:tcBorders>
              <w:bottom w:val="double" w:sz="4" w:space="0" w:color="auto"/>
            </w:tcBorders>
            <w:vAlign w:val="center"/>
          </w:tcPr>
          <w:p w:rsidR="00376116" w:rsidRPr="00553296" w:rsidRDefault="00376116" w:rsidP="00376116">
            <w:pPr>
              <w:jc w:val="center"/>
              <w:rPr>
                <w:rFonts w:cs="Arial"/>
                <w:sz w:val="20"/>
                <w:szCs w:val="20"/>
              </w:rPr>
            </w:pPr>
            <w:r>
              <w:rPr>
                <w:rFonts w:cs="Arial"/>
                <w:sz w:val="20"/>
                <w:szCs w:val="20"/>
              </w:rPr>
              <w:t>0.42</w:t>
            </w:r>
          </w:p>
        </w:tc>
        <w:tc>
          <w:tcPr>
            <w:tcW w:w="1137" w:type="dxa"/>
            <w:tcBorders>
              <w:bottom w:val="double" w:sz="4" w:space="0" w:color="auto"/>
            </w:tcBorders>
            <w:vAlign w:val="center"/>
          </w:tcPr>
          <w:p w:rsidR="00376116" w:rsidRPr="00553296" w:rsidRDefault="00376116" w:rsidP="00376116">
            <w:pPr>
              <w:jc w:val="center"/>
              <w:rPr>
                <w:rFonts w:cs="Arial"/>
                <w:sz w:val="20"/>
                <w:szCs w:val="20"/>
              </w:rPr>
            </w:pPr>
            <w:r>
              <w:rPr>
                <w:rFonts w:cs="Arial"/>
                <w:sz w:val="20"/>
                <w:szCs w:val="20"/>
              </w:rPr>
              <w:t>21</w:t>
            </w:r>
          </w:p>
        </w:tc>
        <w:tc>
          <w:tcPr>
            <w:tcW w:w="1607" w:type="dxa"/>
            <w:vMerge/>
            <w:tcBorders>
              <w:bottom w:val="double" w:sz="4" w:space="0" w:color="auto"/>
            </w:tcBorders>
            <w:vAlign w:val="center"/>
          </w:tcPr>
          <w:p w:rsidR="00376116" w:rsidRPr="00553296" w:rsidRDefault="00376116" w:rsidP="00376116">
            <w:pPr>
              <w:jc w:val="center"/>
              <w:rPr>
                <w:rFonts w:cs="Arial"/>
                <w:sz w:val="20"/>
                <w:szCs w:val="20"/>
                <w:vertAlign w:val="superscript"/>
              </w:rPr>
            </w:pPr>
          </w:p>
        </w:tc>
        <w:tc>
          <w:tcPr>
            <w:tcW w:w="1489" w:type="dxa"/>
            <w:tcBorders>
              <w:bottom w:val="double" w:sz="4" w:space="0" w:color="auto"/>
            </w:tcBorders>
            <w:vAlign w:val="center"/>
          </w:tcPr>
          <w:p w:rsidR="00376116" w:rsidRPr="00553296" w:rsidRDefault="00376116" w:rsidP="00376116">
            <w:pPr>
              <w:jc w:val="center"/>
              <w:rPr>
                <w:rFonts w:cs="Arial"/>
                <w:sz w:val="20"/>
                <w:szCs w:val="20"/>
              </w:rPr>
            </w:pPr>
            <w:r>
              <w:rPr>
                <w:rFonts w:cs="Arial"/>
                <w:sz w:val="20"/>
                <w:szCs w:val="20"/>
              </w:rPr>
              <w:t>23</w:t>
            </w:r>
          </w:p>
        </w:tc>
        <w:tc>
          <w:tcPr>
            <w:tcW w:w="1591" w:type="dxa"/>
            <w:tcBorders>
              <w:bottom w:val="double" w:sz="4" w:space="0" w:color="auto"/>
            </w:tcBorders>
            <w:vAlign w:val="center"/>
          </w:tcPr>
          <w:p w:rsidR="00376116" w:rsidRPr="00553296" w:rsidRDefault="00376116" w:rsidP="00376116">
            <w:pPr>
              <w:jc w:val="center"/>
              <w:rPr>
                <w:rFonts w:cs="Arial"/>
                <w:sz w:val="20"/>
                <w:szCs w:val="20"/>
              </w:rPr>
            </w:pPr>
            <w:r>
              <w:rPr>
                <w:rFonts w:cs="Arial"/>
                <w:sz w:val="20"/>
                <w:szCs w:val="20"/>
              </w:rPr>
              <w:t>46</w:t>
            </w:r>
          </w:p>
        </w:tc>
        <w:tc>
          <w:tcPr>
            <w:tcW w:w="1264" w:type="dxa"/>
            <w:vMerge/>
          </w:tcPr>
          <w:p w:rsidR="00376116" w:rsidRDefault="00376116" w:rsidP="00376116">
            <w:pPr>
              <w:jc w:val="center"/>
              <w:rPr>
                <w:rFonts w:cs="Arial"/>
                <w:sz w:val="20"/>
                <w:szCs w:val="20"/>
              </w:rPr>
            </w:pPr>
          </w:p>
        </w:tc>
      </w:tr>
      <w:tr w:rsidR="00376116" w:rsidRPr="00815C04" w:rsidTr="00376116">
        <w:tc>
          <w:tcPr>
            <w:tcW w:w="1327" w:type="dxa"/>
            <w:tcBorders>
              <w:top w:val="double" w:sz="4" w:space="0" w:color="auto"/>
              <w:bottom w:val="single" w:sz="12" w:space="0" w:color="auto"/>
            </w:tcBorders>
          </w:tcPr>
          <w:p w:rsidR="00376116" w:rsidRDefault="00B419BF" w:rsidP="00376116">
            <w:pPr>
              <w:rPr>
                <w:rFonts w:cs="Arial"/>
                <w:b/>
                <w:sz w:val="20"/>
                <w:szCs w:val="20"/>
              </w:rPr>
            </w:pPr>
            <w:r>
              <w:rPr>
                <w:rFonts w:cs="Arial"/>
                <w:b/>
                <w:sz w:val="20"/>
                <w:szCs w:val="20"/>
              </w:rPr>
              <w:t>0.0</w:t>
            </w:r>
            <w:r w:rsidR="00780CE8">
              <w:rPr>
                <w:rFonts w:cs="Arial"/>
                <w:b/>
                <w:sz w:val="20"/>
                <w:szCs w:val="20"/>
              </w:rPr>
              <w:t>0</w:t>
            </w:r>
            <w:r>
              <w:rPr>
                <w:rFonts w:cs="Arial"/>
                <w:b/>
                <w:sz w:val="20"/>
                <w:szCs w:val="20"/>
              </w:rPr>
              <w:t>75</w:t>
            </w:r>
          </w:p>
          <w:p w:rsidR="00376116" w:rsidRPr="00E84E19" w:rsidRDefault="00376116" w:rsidP="00B419BF">
            <w:pPr>
              <w:rPr>
                <w:rFonts w:cs="Arial"/>
                <w:sz w:val="20"/>
                <w:szCs w:val="20"/>
              </w:rPr>
            </w:pPr>
            <w:r w:rsidRPr="00E84E19">
              <w:rPr>
                <w:rFonts w:cs="Arial"/>
                <w:sz w:val="20"/>
                <w:szCs w:val="20"/>
              </w:rPr>
              <w:t xml:space="preserve">Required for </w:t>
            </w:r>
            <w:r w:rsidR="00B419BF">
              <w:rPr>
                <w:rFonts w:cs="Arial"/>
                <w:sz w:val="20"/>
                <w:szCs w:val="20"/>
              </w:rPr>
              <w:t xml:space="preserve">nearly all </w:t>
            </w:r>
            <w:r w:rsidRPr="00E84E19">
              <w:rPr>
                <w:rFonts w:cs="Arial"/>
                <w:sz w:val="20"/>
                <w:szCs w:val="20"/>
              </w:rPr>
              <w:t xml:space="preserve">FR &amp; FP/FB to </w:t>
            </w:r>
            <w:r w:rsidRPr="00E84E19">
              <w:rPr>
                <w:rFonts w:cs="Arial"/>
                <w:sz w:val="20"/>
                <w:szCs w:val="20"/>
                <w:u w:val="single"/>
              </w:rPr>
              <w:t>meet</w:t>
            </w:r>
            <w:r w:rsidRPr="00E84E19">
              <w:rPr>
                <w:rFonts w:cs="Arial"/>
                <w:sz w:val="20"/>
                <w:szCs w:val="20"/>
              </w:rPr>
              <w:t xml:space="preserve"> proposed </w:t>
            </w:r>
            <w:r w:rsidR="00314205">
              <w:rPr>
                <w:rFonts w:cs="Arial"/>
                <w:sz w:val="20"/>
                <w:szCs w:val="20"/>
              </w:rPr>
              <w:t>BLRL</w:t>
            </w:r>
            <w:r>
              <w:rPr>
                <w:rFonts w:cs="Arial"/>
                <w:sz w:val="20"/>
                <w:szCs w:val="20"/>
              </w:rPr>
              <w:t xml:space="preserve"> </w:t>
            </w:r>
            <w:r w:rsidR="00004157">
              <w:rPr>
                <w:rFonts w:cs="Arial"/>
                <w:sz w:val="20"/>
                <w:szCs w:val="20"/>
              </w:rPr>
              <w:t>of 10 µg/dL</w:t>
            </w:r>
          </w:p>
        </w:tc>
        <w:tc>
          <w:tcPr>
            <w:tcW w:w="1724" w:type="dxa"/>
            <w:tcBorders>
              <w:top w:val="double" w:sz="4" w:space="0" w:color="auto"/>
              <w:bottom w:val="single" w:sz="12" w:space="0" w:color="auto"/>
            </w:tcBorders>
            <w:vAlign w:val="center"/>
          </w:tcPr>
          <w:p w:rsidR="00376116" w:rsidRDefault="00376116" w:rsidP="00376116">
            <w:pPr>
              <w:jc w:val="center"/>
              <w:rPr>
                <w:rFonts w:cs="Arial"/>
                <w:sz w:val="20"/>
                <w:szCs w:val="20"/>
              </w:rPr>
            </w:pPr>
            <w:r>
              <w:rPr>
                <w:rFonts w:cs="Arial"/>
                <w:sz w:val="20"/>
                <w:szCs w:val="20"/>
              </w:rPr>
              <w:t>?</w:t>
            </w:r>
          </w:p>
          <w:p w:rsidR="00376116" w:rsidRPr="005E3F9C" w:rsidRDefault="00376116" w:rsidP="00376116">
            <w:pPr>
              <w:jc w:val="center"/>
              <w:rPr>
                <w:rFonts w:cs="Arial"/>
                <w:sz w:val="20"/>
                <w:szCs w:val="20"/>
                <w:vertAlign w:val="superscript"/>
              </w:rPr>
            </w:pPr>
            <w:r>
              <w:rPr>
                <w:rFonts w:cs="Arial"/>
                <w:sz w:val="20"/>
                <w:szCs w:val="20"/>
              </w:rPr>
              <w:t xml:space="preserve">(use 0.4) </w:t>
            </w:r>
            <w:r>
              <w:rPr>
                <w:rFonts w:cs="Arial"/>
                <w:sz w:val="20"/>
                <w:szCs w:val="20"/>
                <w:vertAlign w:val="superscript"/>
              </w:rPr>
              <w:t>g</w:t>
            </w:r>
          </w:p>
        </w:tc>
        <w:tc>
          <w:tcPr>
            <w:tcW w:w="1137" w:type="dxa"/>
            <w:tcBorders>
              <w:top w:val="double" w:sz="4" w:space="0" w:color="auto"/>
              <w:bottom w:val="single" w:sz="12" w:space="0" w:color="auto"/>
            </w:tcBorders>
            <w:vAlign w:val="center"/>
          </w:tcPr>
          <w:p w:rsidR="00376116" w:rsidRPr="00A57623" w:rsidRDefault="00376116" w:rsidP="00376116">
            <w:pPr>
              <w:jc w:val="center"/>
              <w:rPr>
                <w:rFonts w:cs="Arial"/>
                <w:sz w:val="20"/>
                <w:szCs w:val="20"/>
              </w:rPr>
            </w:pPr>
            <w:r w:rsidRPr="00A57623">
              <w:rPr>
                <w:rFonts w:cs="Arial"/>
                <w:sz w:val="20"/>
                <w:szCs w:val="20"/>
              </w:rPr>
              <w:t>3</w:t>
            </w:r>
          </w:p>
        </w:tc>
        <w:tc>
          <w:tcPr>
            <w:tcW w:w="1607" w:type="dxa"/>
            <w:tcBorders>
              <w:top w:val="double" w:sz="4" w:space="0" w:color="auto"/>
              <w:bottom w:val="single" w:sz="12" w:space="0" w:color="auto"/>
            </w:tcBorders>
            <w:vAlign w:val="center"/>
          </w:tcPr>
          <w:p w:rsidR="00376116" w:rsidRPr="00A57623" w:rsidRDefault="00376116" w:rsidP="00376116">
            <w:pPr>
              <w:jc w:val="center"/>
              <w:rPr>
                <w:rFonts w:cs="Arial"/>
                <w:sz w:val="20"/>
                <w:szCs w:val="20"/>
              </w:rPr>
            </w:pPr>
            <w:r w:rsidRPr="00A57623">
              <w:rPr>
                <w:rFonts w:cs="Arial"/>
                <w:sz w:val="20"/>
                <w:szCs w:val="20"/>
              </w:rPr>
              <w:t>~ 2</w:t>
            </w:r>
          </w:p>
        </w:tc>
        <w:tc>
          <w:tcPr>
            <w:tcW w:w="1489" w:type="dxa"/>
            <w:tcBorders>
              <w:top w:val="double" w:sz="4" w:space="0" w:color="auto"/>
              <w:bottom w:val="single" w:sz="12" w:space="0" w:color="auto"/>
            </w:tcBorders>
            <w:vAlign w:val="center"/>
          </w:tcPr>
          <w:p w:rsidR="00376116" w:rsidRPr="00A57623" w:rsidRDefault="00376116" w:rsidP="00376116">
            <w:pPr>
              <w:jc w:val="center"/>
              <w:rPr>
                <w:rFonts w:cs="Arial"/>
                <w:sz w:val="20"/>
                <w:szCs w:val="20"/>
              </w:rPr>
            </w:pPr>
            <w:r w:rsidRPr="00A57623">
              <w:rPr>
                <w:rFonts w:cs="Arial"/>
                <w:sz w:val="20"/>
                <w:szCs w:val="20"/>
              </w:rPr>
              <w:t>5</w:t>
            </w:r>
          </w:p>
        </w:tc>
        <w:tc>
          <w:tcPr>
            <w:tcW w:w="1591" w:type="dxa"/>
            <w:tcBorders>
              <w:top w:val="double" w:sz="4" w:space="0" w:color="auto"/>
              <w:bottom w:val="single" w:sz="12" w:space="0" w:color="auto"/>
            </w:tcBorders>
            <w:vAlign w:val="center"/>
          </w:tcPr>
          <w:p w:rsidR="00376116" w:rsidRPr="00A57623" w:rsidRDefault="00376116" w:rsidP="00376116">
            <w:pPr>
              <w:jc w:val="center"/>
              <w:rPr>
                <w:rFonts w:cs="Arial"/>
                <w:sz w:val="20"/>
                <w:szCs w:val="20"/>
              </w:rPr>
            </w:pPr>
            <w:r w:rsidRPr="00A57623">
              <w:rPr>
                <w:rFonts w:cs="Arial"/>
                <w:sz w:val="20"/>
                <w:szCs w:val="20"/>
              </w:rPr>
              <w:t>10</w:t>
            </w:r>
          </w:p>
        </w:tc>
        <w:tc>
          <w:tcPr>
            <w:tcW w:w="1264" w:type="dxa"/>
            <w:vMerge/>
            <w:tcBorders>
              <w:bottom w:val="single" w:sz="12" w:space="0" w:color="auto"/>
            </w:tcBorders>
          </w:tcPr>
          <w:p w:rsidR="00376116" w:rsidRPr="008379B6" w:rsidRDefault="00376116" w:rsidP="00376116">
            <w:pPr>
              <w:jc w:val="center"/>
              <w:rPr>
                <w:rFonts w:cs="Arial"/>
                <w:sz w:val="20"/>
                <w:szCs w:val="20"/>
                <w:highlight w:val="yellow"/>
              </w:rPr>
            </w:pPr>
          </w:p>
        </w:tc>
      </w:tr>
    </w:tbl>
    <w:p w:rsidR="00376116" w:rsidRPr="002B23B4" w:rsidRDefault="00376116" w:rsidP="00376116">
      <w:pPr>
        <w:spacing w:line="240" w:lineRule="auto"/>
        <w:rPr>
          <w:rFonts w:cs="Arial"/>
          <w:sz w:val="18"/>
          <w:szCs w:val="18"/>
        </w:rPr>
      </w:pPr>
      <w:r>
        <w:rPr>
          <w:rFonts w:cs="Arial"/>
          <w:sz w:val="18"/>
          <w:szCs w:val="18"/>
        </w:rPr>
        <w:t xml:space="preserve">PbAir = </w:t>
      </w:r>
      <w:r w:rsidR="00637B4C">
        <w:rPr>
          <w:rFonts w:cs="Arial"/>
          <w:sz w:val="18"/>
          <w:szCs w:val="18"/>
        </w:rPr>
        <w:t>Lead</w:t>
      </w:r>
      <w:r w:rsidR="00BE2EAA">
        <w:rPr>
          <w:rFonts w:cs="Arial"/>
          <w:sz w:val="18"/>
          <w:szCs w:val="18"/>
        </w:rPr>
        <w:t xml:space="preserve"> </w:t>
      </w:r>
      <w:r>
        <w:rPr>
          <w:rFonts w:cs="Arial"/>
          <w:sz w:val="18"/>
          <w:szCs w:val="18"/>
        </w:rPr>
        <w:t xml:space="preserve">in workplace air; ASF = air slope factor, i.e. increase in PbB per unit increase in PbAir; CL = 95% confidence limit; M = males; FNR = females not of reproductive capacity; FR = females of reproductive capacity; FP/FB = females who are pregnant or breastfeeding; </w:t>
      </w:r>
      <w:r w:rsidR="00314205">
        <w:rPr>
          <w:rFonts w:cs="Arial"/>
          <w:sz w:val="18"/>
          <w:szCs w:val="18"/>
        </w:rPr>
        <w:t>BLRL</w:t>
      </w:r>
      <w:r>
        <w:rPr>
          <w:rFonts w:cs="Arial"/>
          <w:sz w:val="18"/>
          <w:szCs w:val="18"/>
        </w:rPr>
        <w:t xml:space="preserve"> = </w:t>
      </w:r>
      <w:r w:rsidRPr="00C81444">
        <w:rPr>
          <w:rFonts w:cs="Arial"/>
          <w:sz w:val="18"/>
          <w:szCs w:val="18"/>
        </w:rPr>
        <w:t>Blood lead removal level</w:t>
      </w:r>
      <w:r>
        <w:rPr>
          <w:rFonts w:cs="Arial"/>
          <w:sz w:val="18"/>
          <w:szCs w:val="18"/>
        </w:rPr>
        <w:t>.</w:t>
      </w:r>
    </w:p>
    <w:p w:rsidR="00376116" w:rsidRPr="005E3F9C" w:rsidRDefault="00376116" w:rsidP="00376116">
      <w:pPr>
        <w:spacing w:line="240" w:lineRule="auto"/>
        <w:rPr>
          <w:rFonts w:cs="Arial"/>
          <w:sz w:val="18"/>
          <w:szCs w:val="18"/>
        </w:rPr>
      </w:pPr>
      <w:r>
        <w:rPr>
          <w:rFonts w:cs="Arial"/>
          <w:sz w:val="24"/>
          <w:szCs w:val="24"/>
          <w:vertAlign w:val="superscript"/>
        </w:rPr>
        <w:t>a</w:t>
      </w:r>
      <w:r>
        <w:rPr>
          <w:rFonts w:cs="Arial"/>
          <w:sz w:val="18"/>
          <w:szCs w:val="18"/>
        </w:rPr>
        <w:t xml:space="preserve"> </w:t>
      </w:r>
      <w:r w:rsidR="0021080C">
        <w:rPr>
          <w:rFonts w:cs="Arial"/>
          <w:sz w:val="18"/>
          <w:szCs w:val="18"/>
        </w:rPr>
        <w:t xml:space="preserve">Overall </w:t>
      </w:r>
      <w:r>
        <w:rPr>
          <w:rFonts w:cs="Arial"/>
          <w:sz w:val="18"/>
          <w:szCs w:val="18"/>
        </w:rPr>
        <w:t xml:space="preserve">Average ASF from Table 5.5. </w:t>
      </w:r>
    </w:p>
    <w:p w:rsidR="00376116" w:rsidRDefault="00376116" w:rsidP="00376116">
      <w:pPr>
        <w:spacing w:line="240" w:lineRule="auto"/>
        <w:rPr>
          <w:rFonts w:cs="Arial"/>
          <w:sz w:val="18"/>
          <w:szCs w:val="18"/>
        </w:rPr>
      </w:pPr>
      <w:r>
        <w:rPr>
          <w:rFonts w:cs="Arial"/>
          <w:sz w:val="24"/>
          <w:szCs w:val="24"/>
          <w:vertAlign w:val="superscript"/>
        </w:rPr>
        <w:t>b</w:t>
      </w:r>
      <w:r>
        <w:rPr>
          <w:rFonts w:cs="Arial"/>
          <w:sz w:val="18"/>
          <w:szCs w:val="18"/>
        </w:rPr>
        <w:t xml:space="preserve"> PbB was calculated by multiplying the ASF derived in Table 5.5 by the current or potential WES. </w:t>
      </w:r>
    </w:p>
    <w:p w:rsidR="00376116" w:rsidRDefault="00376116" w:rsidP="00376116">
      <w:pPr>
        <w:spacing w:line="240" w:lineRule="auto"/>
        <w:ind w:left="142" w:hanging="142"/>
        <w:rPr>
          <w:rFonts w:cs="Arial"/>
          <w:sz w:val="18"/>
          <w:szCs w:val="18"/>
        </w:rPr>
      </w:pPr>
      <w:r>
        <w:rPr>
          <w:rFonts w:cs="Arial"/>
          <w:sz w:val="24"/>
          <w:szCs w:val="24"/>
          <w:vertAlign w:val="superscript"/>
        </w:rPr>
        <w:t>c</w:t>
      </w:r>
      <w:r>
        <w:rPr>
          <w:rFonts w:cs="Arial"/>
          <w:sz w:val="18"/>
          <w:szCs w:val="18"/>
        </w:rPr>
        <w:t xml:space="preserve"> The range of geometric mean background PbB measured in Australia or overseas from 2000-2011 (Appendix C). </w:t>
      </w:r>
    </w:p>
    <w:p w:rsidR="00376116" w:rsidRDefault="00376116" w:rsidP="00376116">
      <w:pPr>
        <w:spacing w:line="240" w:lineRule="auto"/>
        <w:ind w:left="142" w:hanging="142"/>
        <w:rPr>
          <w:rFonts w:cs="Arial"/>
          <w:sz w:val="18"/>
          <w:szCs w:val="18"/>
        </w:rPr>
      </w:pPr>
      <w:r>
        <w:rPr>
          <w:rFonts w:cs="Arial"/>
          <w:sz w:val="24"/>
          <w:szCs w:val="24"/>
          <w:vertAlign w:val="superscript"/>
        </w:rPr>
        <w:t>d</w:t>
      </w:r>
      <w:r>
        <w:rPr>
          <w:rFonts w:cs="Arial"/>
          <w:sz w:val="18"/>
          <w:szCs w:val="18"/>
        </w:rPr>
        <w:t xml:space="preserve"> The assumed background </w:t>
      </w:r>
      <w:r w:rsidR="008D070D">
        <w:rPr>
          <w:rFonts w:cs="Arial"/>
          <w:sz w:val="18"/>
          <w:szCs w:val="18"/>
        </w:rPr>
        <w:t>PbB</w:t>
      </w:r>
      <w:r w:rsidR="00BE2EAA">
        <w:rPr>
          <w:rFonts w:cs="Arial"/>
          <w:sz w:val="18"/>
          <w:szCs w:val="18"/>
        </w:rPr>
        <w:t xml:space="preserve"> </w:t>
      </w:r>
      <w:r>
        <w:rPr>
          <w:rFonts w:cs="Arial"/>
          <w:sz w:val="18"/>
          <w:szCs w:val="18"/>
        </w:rPr>
        <w:t>central estimate and 95% confidence limit were interpolated</w:t>
      </w:r>
      <w:r w:rsidRPr="002B23B4">
        <w:rPr>
          <w:rFonts w:cs="Arial"/>
          <w:sz w:val="18"/>
          <w:szCs w:val="18"/>
        </w:rPr>
        <w:t xml:space="preserve"> </w:t>
      </w:r>
      <w:r>
        <w:rPr>
          <w:rFonts w:cs="Arial"/>
          <w:sz w:val="18"/>
          <w:szCs w:val="18"/>
        </w:rPr>
        <w:t xml:space="preserve">for the year 1994 using StatsDirect statistical software Version 2.7.9 </w:t>
      </w:r>
      <w:r w:rsidRPr="002B23B4">
        <w:rPr>
          <w:rFonts w:cs="Arial"/>
          <w:sz w:val="18"/>
          <w:szCs w:val="18"/>
        </w:rPr>
        <w:t xml:space="preserve">from the polynomial regression equation for </w:t>
      </w:r>
      <w:r>
        <w:rPr>
          <w:rFonts w:cs="Arial"/>
          <w:sz w:val="18"/>
          <w:szCs w:val="18"/>
        </w:rPr>
        <w:t xml:space="preserve">Figure 5.1. </w:t>
      </w:r>
    </w:p>
    <w:p w:rsidR="00376116" w:rsidRDefault="00376116" w:rsidP="00376116">
      <w:pPr>
        <w:spacing w:line="240" w:lineRule="auto"/>
        <w:ind w:left="142" w:hanging="142"/>
        <w:rPr>
          <w:rFonts w:cs="Arial"/>
          <w:sz w:val="18"/>
          <w:szCs w:val="18"/>
        </w:rPr>
      </w:pPr>
      <w:r>
        <w:rPr>
          <w:rFonts w:cs="Arial"/>
          <w:sz w:val="24"/>
          <w:szCs w:val="24"/>
          <w:vertAlign w:val="superscript"/>
        </w:rPr>
        <w:t>e</w:t>
      </w:r>
      <w:r>
        <w:rPr>
          <w:rFonts w:cs="Arial"/>
          <w:sz w:val="18"/>
          <w:szCs w:val="18"/>
        </w:rPr>
        <w:t xml:space="preserve"> Calculated by adding the ‘PbB from WES’ and ‘assumed background PbB central estimate’ in the previous two columns and rounded. </w:t>
      </w:r>
    </w:p>
    <w:p w:rsidR="00376116" w:rsidRDefault="00376116" w:rsidP="00376116">
      <w:pPr>
        <w:spacing w:line="240" w:lineRule="auto"/>
        <w:ind w:left="142" w:hanging="142"/>
        <w:rPr>
          <w:rFonts w:cs="Arial"/>
          <w:sz w:val="18"/>
          <w:szCs w:val="18"/>
        </w:rPr>
      </w:pPr>
      <w:r>
        <w:rPr>
          <w:rFonts w:cs="Arial"/>
          <w:sz w:val="24"/>
          <w:szCs w:val="24"/>
          <w:vertAlign w:val="superscript"/>
        </w:rPr>
        <w:t>f</w:t>
      </w:r>
      <w:r>
        <w:rPr>
          <w:rFonts w:cs="Arial"/>
          <w:sz w:val="18"/>
          <w:szCs w:val="18"/>
        </w:rPr>
        <w:t xml:space="preserve"> Calculated by applying a factor of 2 for assumed population variability (from Table 5.3) to the central estimate total PbB.</w:t>
      </w:r>
      <w:r w:rsidR="00FE59DC">
        <w:rPr>
          <w:rFonts w:cs="Arial"/>
          <w:sz w:val="18"/>
          <w:szCs w:val="18"/>
        </w:rPr>
        <w:t xml:space="preserve"> </w:t>
      </w:r>
      <w:r>
        <w:rPr>
          <w:rFonts w:cs="Arial"/>
          <w:sz w:val="18"/>
          <w:szCs w:val="18"/>
        </w:rPr>
        <w:t xml:space="preserve"> ‘High end’ represents an approximate 95</w:t>
      </w:r>
      <w:r w:rsidRPr="008C4426">
        <w:rPr>
          <w:rFonts w:cs="Arial"/>
          <w:sz w:val="18"/>
          <w:szCs w:val="18"/>
          <w:vertAlign w:val="superscript"/>
        </w:rPr>
        <w:t>th</w:t>
      </w:r>
      <w:r>
        <w:rPr>
          <w:rFonts w:cs="Arial"/>
          <w:sz w:val="18"/>
          <w:szCs w:val="18"/>
        </w:rPr>
        <w:t xml:space="preserve"> percentile or maximum. </w:t>
      </w:r>
    </w:p>
    <w:p w:rsidR="00376116" w:rsidRPr="004100AE" w:rsidRDefault="00376116" w:rsidP="00376116">
      <w:pPr>
        <w:spacing w:line="240" w:lineRule="auto"/>
        <w:ind w:left="142" w:hanging="142"/>
        <w:rPr>
          <w:rFonts w:cs="Arial"/>
          <w:sz w:val="18"/>
          <w:szCs w:val="18"/>
        </w:rPr>
      </w:pPr>
      <w:r>
        <w:rPr>
          <w:rFonts w:cs="Arial"/>
          <w:sz w:val="24"/>
          <w:szCs w:val="24"/>
          <w:vertAlign w:val="superscript"/>
        </w:rPr>
        <w:t>g</w:t>
      </w:r>
      <w:r>
        <w:rPr>
          <w:rFonts w:cs="Arial"/>
          <w:sz w:val="18"/>
          <w:szCs w:val="18"/>
        </w:rPr>
        <w:t xml:space="preserve"> As indicated in Section 5.6.1, ASF at PbAir &lt;0.05 mg/m</w:t>
      </w:r>
      <w:r>
        <w:rPr>
          <w:rFonts w:cs="Arial"/>
          <w:sz w:val="18"/>
          <w:szCs w:val="18"/>
          <w:vertAlign w:val="superscript"/>
        </w:rPr>
        <w:t>3</w:t>
      </w:r>
      <w:r>
        <w:rPr>
          <w:rFonts w:cs="Arial"/>
          <w:sz w:val="18"/>
          <w:szCs w:val="18"/>
        </w:rPr>
        <w:t xml:space="preserve"> could not be estimated from the experimental data available. An ASF of 0.</w:t>
      </w:r>
      <w:r w:rsidRPr="004100AE">
        <w:rPr>
          <w:rFonts w:cs="Arial"/>
          <w:sz w:val="18"/>
          <w:szCs w:val="18"/>
        </w:rPr>
        <w:t>4 (µg/dL)(µg/m</w:t>
      </w:r>
      <w:r w:rsidRPr="004100AE">
        <w:rPr>
          <w:rFonts w:cs="Arial"/>
          <w:sz w:val="18"/>
          <w:szCs w:val="18"/>
          <w:vertAlign w:val="superscript"/>
        </w:rPr>
        <w:t>3</w:t>
      </w:r>
      <w:r w:rsidRPr="004100AE">
        <w:rPr>
          <w:rFonts w:cs="Arial"/>
          <w:sz w:val="18"/>
          <w:szCs w:val="18"/>
        </w:rPr>
        <w:t>)</w:t>
      </w:r>
      <w:r w:rsidRPr="004100AE">
        <w:rPr>
          <w:rFonts w:cs="Arial"/>
          <w:sz w:val="18"/>
          <w:szCs w:val="18"/>
          <w:vertAlign w:val="superscript"/>
        </w:rPr>
        <w:t>-1</w:t>
      </w:r>
      <w:r>
        <w:rPr>
          <w:rFonts w:cs="Arial"/>
          <w:sz w:val="18"/>
          <w:szCs w:val="18"/>
          <w:vertAlign w:val="superscript"/>
        </w:rPr>
        <w:t xml:space="preserve"> </w:t>
      </w:r>
      <w:r>
        <w:rPr>
          <w:rFonts w:cs="Arial"/>
          <w:sz w:val="18"/>
          <w:szCs w:val="18"/>
        </w:rPr>
        <w:t xml:space="preserve">is suggested for use in the absence of information for lower PbAir. </w:t>
      </w:r>
    </w:p>
    <w:p w:rsidR="00376116" w:rsidRPr="002B23B4" w:rsidRDefault="00376116" w:rsidP="00376116">
      <w:pPr>
        <w:spacing w:line="240" w:lineRule="auto"/>
        <w:ind w:left="142" w:hanging="142"/>
        <w:rPr>
          <w:rFonts w:cs="Arial"/>
          <w:sz w:val="18"/>
          <w:szCs w:val="18"/>
        </w:rPr>
      </w:pPr>
    </w:p>
    <w:p w:rsidR="00563003" w:rsidRDefault="00563003" w:rsidP="00376116">
      <w:pPr>
        <w:rPr>
          <w:rFonts w:cs="Arial"/>
        </w:rPr>
      </w:pPr>
    </w:p>
    <w:p w:rsidR="00376116" w:rsidRDefault="00376116" w:rsidP="00376116">
      <w:pPr>
        <w:rPr>
          <w:rFonts w:cs="Arial"/>
        </w:rPr>
      </w:pPr>
      <w:r>
        <w:rPr>
          <w:rFonts w:cs="Arial"/>
        </w:rPr>
        <w:t>Table 6.1 also shows that contemporary exposure to PbAir at the current WES (0.15 mg/m</w:t>
      </w:r>
      <w:r>
        <w:rPr>
          <w:rFonts w:cs="Arial"/>
          <w:vertAlign w:val="superscript"/>
        </w:rPr>
        <w:t>3</w:t>
      </w:r>
      <w:r>
        <w:rPr>
          <w:rFonts w:cs="Arial"/>
        </w:rPr>
        <w:t xml:space="preserve">), considering the current average background PbB level is about 2 µg/dL, may result in central PbB levels of around 31 µg/dL. </w:t>
      </w:r>
    </w:p>
    <w:p w:rsidR="00376116" w:rsidRDefault="00376116" w:rsidP="00376116">
      <w:pPr>
        <w:pStyle w:val="ListParagraph"/>
        <w:numPr>
          <w:ilvl w:val="0"/>
          <w:numId w:val="15"/>
        </w:numPr>
        <w:rPr>
          <w:rFonts w:cs="Arial"/>
        </w:rPr>
      </w:pPr>
      <w:r>
        <w:rPr>
          <w:rFonts w:cs="Arial"/>
        </w:rPr>
        <w:lastRenderedPageBreak/>
        <w:t xml:space="preserve">For M and FNR this is the same as a </w:t>
      </w:r>
      <w:r w:rsidR="00314205">
        <w:rPr>
          <w:rFonts w:cs="Arial"/>
        </w:rPr>
        <w:t>BLRL</w:t>
      </w:r>
      <w:r>
        <w:rPr>
          <w:rFonts w:cs="Arial"/>
        </w:rPr>
        <w:t xml:space="preserve"> of 30 µg/dL, whereas many would exceed a </w:t>
      </w:r>
      <w:r w:rsidR="00314205">
        <w:rPr>
          <w:rFonts w:cs="Arial"/>
        </w:rPr>
        <w:t>BLRL</w:t>
      </w:r>
      <w:r>
        <w:rPr>
          <w:rFonts w:cs="Arial"/>
        </w:rPr>
        <w:t xml:space="preserve"> of 20 µg/dL. Individuals with background PbB levels greater than average would be at risk of exceeding the 30 µg/dL criteria. </w:t>
      </w:r>
    </w:p>
    <w:p w:rsidR="00376116" w:rsidRDefault="00376116" w:rsidP="00376116">
      <w:pPr>
        <w:pStyle w:val="ListParagraph"/>
        <w:numPr>
          <w:ilvl w:val="0"/>
          <w:numId w:val="15"/>
        </w:numPr>
        <w:rPr>
          <w:rFonts w:cs="Arial"/>
        </w:rPr>
      </w:pPr>
      <w:r>
        <w:rPr>
          <w:rFonts w:cs="Arial"/>
        </w:rPr>
        <w:t xml:space="preserve">This is a central estimate which inherently means up to </w:t>
      </w:r>
      <w:r w:rsidR="00B419BF">
        <w:rPr>
          <w:rFonts w:cs="Arial"/>
        </w:rPr>
        <w:t xml:space="preserve">approximately </w:t>
      </w:r>
      <w:r>
        <w:rPr>
          <w:rFonts w:cs="Arial"/>
        </w:rPr>
        <w:t xml:space="preserve">50% of workers will be above this concentration. Indeed current PbB measurements of men in scheduled lead jobs indicate approximately 30% have had at least one PbB&gt;30 </w:t>
      </w:r>
      <w:r w:rsidRPr="001F5C7A">
        <w:rPr>
          <w:rFonts w:cs="Arial"/>
        </w:rPr>
        <w:t>µg/dL</w:t>
      </w:r>
      <w:r w:rsidR="00B419BF">
        <w:rPr>
          <w:rFonts w:cs="Arial"/>
        </w:rPr>
        <w:t xml:space="preserve"> (</w:t>
      </w:r>
      <w:r w:rsidR="001666B4">
        <w:rPr>
          <w:rFonts w:cs="Arial"/>
        </w:rPr>
        <w:t>Gwini et al. 2012)</w:t>
      </w:r>
      <w:r>
        <w:rPr>
          <w:rFonts w:cs="Arial"/>
        </w:rPr>
        <w:t>.</w:t>
      </w:r>
    </w:p>
    <w:p w:rsidR="00376116" w:rsidRPr="002459E1" w:rsidRDefault="00376116" w:rsidP="00376116">
      <w:pPr>
        <w:pStyle w:val="ListParagraph"/>
        <w:numPr>
          <w:ilvl w:val="0"/>
          <w:numId w:val="15"/>
        </w:numPr>
        <w:rPr>
          <w:rFonts w:cs="Arial"/>
        </w:rPr>
      </w:pPr>
      <w:r>
        <w:rPr>
          <w:rFonts w:cs="Arial"/>
        </w:rPr>
        <w:t xml:space="preserve">The </w:t>
      </w:r>
      <w:r w:rsidRPr="001B414C">
        <w:rPr>
          <w:rFonts w:cs="Arial"/>
        </w:rPr>
        <w:t>majority</w:t>
      </w:r>
      <w:r>
        <w:rPr>
          <w:rFonts w:cs="Arial"/>
        </w:rPr>
        <w:t xml:space="preserve"> </w:t>
      </w:r>
      <w:r w:rsidR="00155D3B">
        <w:rPr>
          <w:rFonts w:cs="Arial"/>
        </w:rPr>
        <w:t xml:space="preserve">(i.e. approximately &gt;95%) </w:t>
      </w:r>
      <w:r>
        <w:rPr>
          <w:rFonts w:cs="Arial"/>
        </w:rPr>
        <w:t xml:space="preserve">of females (FR, FP, &amp; FB) would have PbB levels exceeding the suggested </w:t>
      </w:r>
      <w:r w:rsidR="00314205">
        <w:rPr>
          <w:rFonts w:cs="Arial"/>
        </w:rPr>
        <w:t>BLRL</w:t>
      </w:r>
      <w:r>
        <w:rPr>
          <w:rFonts w:cs="Arial"/>
        </w:rPr>
        <w:t xml:space="preserve"> of 10 µg/dL. </w:t>
      </w:r>
    </w:p>
    <w:p w:rsidR="00376116" w:rsidRDefault="00376116" w:rsidP="00376116">
      <w:pPr>
        <w:rPr>
          <w:rFonts w:cs="Arial"/>
        </w:rPr>
      </w:pPr>
    </w:p>
    <w:p w:rsidR="00376116" w:rsidRPr="002459E1" w:rsidRDefault="00376116" w:rsidP="00376116">
      <w:pPr>
        <w:rPr>
          <w:rFonts w:cs="Arial"/>
        </w:rPr>
      </w:pPr>
      <w:r>
        <w:rPr>
          <w:rFonts w:cs="Arial"/>
        </w:rPr>
        <w:t>Lowering the WES to 0.1 mg/m</w:t>
      </w:r>
      <w:r>
        <w:rPr>
          <w:rFonts w:cs="Arial"/>
          <w:vertAlign w:val="superscript"/>
        </w:rPr>
        <w:t>3</w:t>
      </w:r>
      <w:r>
        <w:rPr>
          <w:rFonts w:cs="Arial"/>
        </w:rPr>
        <w:t xml:space="preserve"> provides a potential gap between the predicted average PbB and a </w:t>
      </w:r>
      <w:r w:rsidR="00314205">
        <w:rPr>
          <w:rFonts w:cs="Arial"/>
        </w:rPr>
        <w:t>BLRL</w:t>
      </w:r>
      <w:r>
        <w:rPr>
          <w:rFonts w:cs="Arial"/>
        </w:rPr>
        <w:t xml:space="preserve"> of 30 µg/dL (for M &amp; FNR)</w:t>
      </w:r>
      <w:r w:rsidR="00BF5622">
        <w:rPr>
          <w:rFonts w:cs="Arial"/>
        </w:rPr>
        <w:t xml:space="preserve"> but this gap is relatively small in relation to PbB variability</w:t>
      </w:r>
      <w:r>
        <w:rPr>
          <w:rFonts w:cs="Arial"/>
        </w:rPr>
        <w:t xml:space="preserve">, </w:t>
      </w:r>
      <w:r w:rsidR="00BF5622">
        <w:rPr>
          <w:rFonts w:cs="Arial"/>
        </w:rPr>
        <w:t>and</w:t>
      </w:r>
      <w:r>
        <w:rPr>
          <w:rFonts w:cs="Arial"/>
        </w:rPr>
        <w:t xml:space="preserve"> </w:t>
      </w:r>
      <w:r w:rsidR="00155D3B">
        <w:rPr>
          <w:rFonts w:cs="Arial"/>
        </w:rPr>
        <w:t xml:space="preserve">most (i.e. approximately &gt;50 to 75%) </w:t>
      </w:r>
      <w:r>
        <w:rPr>
          <w:rFonts w:cs="Arial"/>
        </w:rPr>
        <w:t xml:space="preserve"> workers would still exceed a </w:t>
      </w:r>
      <w:r w:rsidR="00314205">
        <w:rPr>
          <w:rFonts w:cs="Arial"/>
        </w:rPr>
        <w:t>BLRL</w:t>
      </w:r>
      <w:r>
        <w:rPr>
          <w:rFonts w:cs="Arial"/>
        </w:rPr>
        <w:t xml:space="preserve"> of 20 µg/dL. Similarly, the </w:t>
      </w:r>
      <w:r w:rsidRPr="001B414C">
        <w:rPr>
          <w:rFonts w:cs="Arial"/>
        </w:rPr>
        <w:t>majority</w:t>
      </w:r>
      <w:r>
        <w:rPr>
          <w:rFonts w:cs="Arial"/>
        </w:rPr>
        <w:t xml:space="preserve"> </w:t>
      </w:r>
      <w:r w:rsidR="00155D3B">
        <w:rPr>
          <w:rFonts w:cs="Arial"/>
        </w:rPr>
        <w:t xml:space="preserve">(i.e. approximately &gt;95%) </w:t>
      </w:r>
      <w:r>
        <w:rPr>
          <w:rFonts w:cs="Arial"/>
        </w:rPr>
        <w:t xml:space="preserve">of other females (FR, FP &amp; FB) would still exceed the suggested </w:t>
      </w:r>
      <w:r w:rsidR="00314205">
        <w:rPr>
          <w:rFonts w:cs="Arial"/>
        </w:rPr>
        <w:t>BLRL</w:t>
      </w:r>
      <w:r>
        <w:rPr>
          <w:rFonts w:cs="Arial"/>
        </w:rPr>
        <w:t xml:space="preserve"> of 10 µg/dL. </w:t>
      </w:r>
    </w:p>
    <w:p w:rsidR="00376116" w:rsidRDefault="00376116" w:rsidP="00376116">
      <w:pPr>
        <w:rPr>
          <w:rFonts w:cs="Arial"/>
        </w:rPr>
      </w:pPr>
    </w:p>
    <w:p w:rsidR="00376116" w:rsidRDefault="001666B4" w:rsidP="00376116">
      <w:pPr>
        <w:rPr>
          <w:rFonts w:cs="Arial"/>
        </w:rPr>
      </w:pPr>
      <w:r>
        <w:rPr>
          <w:rFonts w:cs="Arial"/>
        </w:rPr>
        <w:t>T</w:t>
      </w:r>
      <w:r w:rsidR="00376116">
        <w:rPr>
          <w:rFonts w:cs="Arial"/>
        </w:rPr>
        <w:t xml:space="preserve">he calculations in Table 6.1 show exposure to </w:t>
      </w:r>
      <w:r w:rsidR="000B7A47">
        <w:rPr>
          <w:rFonts w:cs="Arial"/>
        </w:rPr>
        <w:t>PbAir</w:t>
      </w:r>
      <w:r w:rsidR="00376116">
        <w:rPr>
          <w:rFonts w:cs="Arial"/>
        </w:rPr>
        <w:t xml:space="preserve"> at a WES of 0.05 mg/m</w:t>
      </w:r>
      <w:r w:rsidR="00376116">
        <w:rPr>
          <w:rFonts w:cs="Arial"/>
          <w:vertAlign w:val="superscript"/>
        </w:rPr>
        <w:t>3</w:t>
      </w:r>
      <w:r w:rsidR="00376116">
        <w:rPr>
          <w:rFonts w:cs="Arial"/>
        </w:rPr>
        <w:t xml:space="preserve"> by,</w:t>
      </w:r>
    </w:p>
    <w:p w:rsidR="00376116" w:rsidRDefault="00376116" w:rsidP="00376116">
      <w:pPr>
        <w:pStyle w:val="ListParagraph"/>
        <w:numPr>
          <w:ilvl w:val="0"/>
          <w:numId w:val="14"/>
        </w:numPr>
        <w:rPr>
          <w:rFonts w:cs="Arial"/>
        </w:rPr>
      </w:pPr>
      <w:r>
        <w:rPr>
          <w:rFonts w:cs="Arial"/>
        </w:rPr>
        <w:t xml:space="preserve">M &amp; FNR </w:t>
      </w:r>
      <w:r w:rsidRPr="002E0DFF">
        <w:rPr>
          <w:rFonts w:cs="Arial"/>
        </w:rPr>
        <w:t xml:space="preserve">is unlikely to </w:t>
      </w:r>
      <w:r>
        <w:rPr>
          <w:rFonts w:cs="Arial"/>
        </w:rPr>
        <w:t xml:space="preserve">result in PbB levels in excess of 30 </w:t>
      </w:r>
      <w:r w:rsidRPr="002D7FA7">
        <w:rPr>
          <w:rFonts w:cs="Arial"/>
        </w:rPr>
        <w:t>µg/dL</w:t>
      </w:r>
      <w:r w:rsidR="00A23C2B">
        <w:rPr>
          <w:rFonts w:cs="Arial"/>
        </w:rPr>
        <w:t xml:space="preserve"> </w:t>
      </w:r>
      <w:r w:rsidR="009922B1">
        <w:rPr>
          <w:rFonts w:cs="Arial"/>
        </w:rPr>
        <w:t>in most cases.</w:t>
      </w:r>
      <w:r w:rsidR="00A23C2B">
        <w:rPr>
          <w:rFonts w:cs="Arial"/>
        </w:rPr>
        <w:t xml:space="preserve"> H</w:t>
      </w:r>
      <w:r>
        <w:rPr>
          <w:rFonts w:cs="Arial"/>
        </w:rPr>
        <w:t>owever</w:t>
      </w:r>
      <w:r w:rsidR="00A23C2B">
        <w:rPr>
          <w:rFonts w:cs="Arial"/>
        </w:rPr>
        <w:t>, it</w:t>
      </w:r>
      <w:r>
        <w:rPr>
          <w:rFonts w:cs="Arial"/>
        </w:rPr>
        <w:t xml:space="preserve"> could result in approximately half the worker population having a PbB greater than 20 </w:t>
      </w:r>
      <w:r w:rsidRPr="002D7FA7">
        <w:rPr>
          <w:rFonts w:cs="Arial"/>
        </w:rPr>
        <w:t>µg/dL</w:t>
      </w:r>
      <w:r>
        <w:rPr>
          <w:rFonts w:cs="Arial"/>
        </w:rPr>
        <w:t xml:space="preserve">. </w:t>
      </w:r>
    </w:p>
    <w:p w:rsidR="00376116" w:rsidRDefault="00376116" w:rsidP="00376116">
      <w:pPr>
        <w:pStyle w:val="ListParagraph"/>
        <w:numPr>
          <w:ilvl w:val="0"/>
          <w:numId w:val="14"/>
        </w:numPr>
        <w:rPr>
          <w:rFonts w:cs="Arial"/>
        </w:rPr>
      </w:pPr>
      <w:r>
        <w:rPr>
          <w:rFonts w:cs="Arial"/>
        </w:rPr>
        <w:t>FR, FP, and FB is likely to result in PbB levels in excess of 10 µg/dL and thus vigilance is required to ensure this is prevented if such persons are placed in lead related jobs.</w:t>
      </w:r>
      <w:r w:rsidRPr="002E0DFF">
        <w:rPr>
          <w:rFonts w:cs="Arial"/>
        </w:rPr>
        <w:t xml:space="preserve"> </w:t>
      </w:r>
    </w:p>
    <w:p w:rsidR="00376116" w:rsidRDefault="00376116" w:rsidP="00376116">
      <w:pPr>
        <w:rPr>
          <w:rFonts w:cs="Arial"/>
        </w:rPr>
      </w:pPr>
    </w:p>
    <w:p w:rsidR="00376116" w:rsidRDefault="00376116" w:rsidP="00376116">
      <w:pPr>
        <w:rPr>
          <w:rFonts w:cs="Arial"/>
        </w:rPr>
      </w:pPr>
      <w:r>
        <w:rPr>
          <w:rFonts w:cs="Arial"/>
        </w:rPr>
        <w:t xml:space="preserve">A WES of 0.05 </w:t>
      </w:r>
      <w:r w:rsidR="0012609B">
        <w:rPr>
          <w:rFonts w:cs="Arial"/>
        </w:rPr>
        <w:t>m</w:t>
      </w:r>
      <w:r w:rsidRPr="004100AE">
        <w:rPr>
          <w:rFonts w:cs="Arial"/>
        </w:rPr>
        <w:t>g/m</w:t>
      </w:r>
      <w:r w:rsidRPr="004100AE">
        <w:rPr>
          <w:rFonts w:cs="Arial"/>
          <w:vertAlign w:val="superscript"/>
        </w:rPr>
        <w:t>3</w:t>
      </w:r>
      <w:r>
        <w:rPr>
          <w:rFonts w:cs="Arial"/>
        </w:rPr>
        <w:t xml:space="preserve"> is anticipated to provide approximately the same level of compliance to the </w:t>
      </w:r>
      <w:r w:rsidR="00314205">
        <w:rPr>
          <w:rFonts w:cs="Arial"/>
        </w:rPr>
        <w:t>BLRL</w:t>
      </w:r>
      <w:r>
        <w:rPr>
          <w:rFonts w:cs="Arial"/>
        </w:rPr>
        <w:t xml:space="preserve"> as the current WES did in 1994, but both effectively preclude FR (including FP &amp; FB) from working in Pb-related processes. </w:t>
      </w:r>
    </w:p>
    <w:p w:rsidR="00376116" w:rsidRDefault="00376116" w:rsidP="00376116">
      <w:pPr>
        <w:rPr>
          <w:rFonts w:cs="Arial"/>
        </w:rPr>
      </w:pPr>
    </w:p>
    <w:p w:rsidR="00376116" w:rsidRDefault="00376116" w:rsidP="00376116">
      <w:pPr>
        <w:rPr>
          <w:rFonts w:cs="Arial"/>
        </w:rPr>
      </w:pPr>
      <w:r>
        <w:rPr>
          <w:rFonts w:cs="Arial"/>
        </w:rPr>
        <w:t xml:space="preserve">The question arises what WES for PbAir in the workplace would need to be established to enable </w:t>
      </w:r>
      <w:r w:rsidR="001666B4">
        <w:rPr>
          <w:rFonts w:cs="Arial"/>
        </w:rPr>
        <w:t xml:space="preserve">nearly all </w:t>
      </w:r>
      <w:r>
        <w:rPr>
          <w:rFonts w:cs="Arial"/>
        </w:rPr>
        <w:t>worker</w:t>
      </w:r>
      <w:r w:rsidR="001666B4">
        <w:rPr>
          <w:rFonts w:cs="Arial"/>
        </w:rPr>
        <w:t>s</w:t>
      </w:r>
      <w:r>
        <w:rPr>
          <w:rFonts w:cs="Arial"/>
        </w:rPr>
        <w:t xml:space="preserve"> to meet </w:t>
      </w:r>
      <w:r w:rsidR="001666B4">
        <w:rPr>
          <w:rFonts w:cs="Arial"/>
        </w:rPr>
        <w:t xml:space="preserve">a </w:t>
      </w:r>
      <w:r w:rsidR="00314205">
        <w:rPr>
          <w:rFonts w:cs="Arial"/>
        </w:rPr>
        <w:t>BLRL</w:t>
      </w:r>
      <w:r>
        <w:rPr>
          <w:rFonts w:cs="Arial"/>
        </w:rPr>
        <w:t xml:space="preserve"> of 10 </w:t>
      </w:r>
      <w:r w:rsidRPr="00477220">
        <w:rPr>
          <w:rFonts w:cs="Arial"/>
        </w:rPr>
        <w:t>µg/dL</w:t>
      </w:r>
      <w:r w:rsidRPr="00477220" w:rsidDel="00477220">
        <w:rPr>
          <w:rFonts w:cs="Arial"/>
        </w:rPr>
        <w:t xml:space="preserve"> </w:t>
      </w:r>
      <w:r>
        <w:rPr>
          <w:rFonts w:cs="Arial"/>
        </w:rPr>
        <w:t xml:space="preserve">(i.e. the NHMRC target for the general population). Working backwards from a target indicative ‘high end’ PbB of 10 </w:t>
      </w:r>
      <w:r w:rsidRPr="002D7FA7">
        <w:rPr>
          <w:rFonts w:cs="Arial"/>
        </w:rPr>
        <w:t>µg/dL</w:t>
      </w:r>
      <w:r>
        <w:rPr>
          <w:rFonts w:cs="Arial"/>
        </w:rPr>
        <w:t xml:space="preserve">, the central estimate PbB would need to be approximately 5 </w:t>
      </w:r>
      <w:r w:rsidRPr="002D7FA7">
        <w:rPr>
          <w:rFonts w:cs="Arial"/>
        </w:rPr>
        <w:t>µg/dL</w:t>
      </w:r>
      <w:r>
        <w:rPr>
          <w:rFonts w:cs="Arial"/>
        </w:rPr>
        <w:t xml:space="preserve">. Subtracting an assumed background PbB of 2 </w:t>
      </w:r>
      <w:r w:rsidRPr="002D7FA7">
        <w:rPr>
          <w:rFonts w:cs="Arial"/>
        </w:rPr>
        <w:t>µg/dL</w:t>
      </w:r>
      <w:r>
        <w:rPr>
          <w:rFonts w:cs="Arial"/>
        </w:rPr>
        <w:t xml:space="preserve"> leaves 3 </w:t>
      </w:r>
      <w:r w:rsidRPr="002D7FA7">
        <w:rPr>
          <w:rFonts w:cs="Arial"/>
        </w:rPr>
        <w:t>µg/dL</w:t>
      </w:r>
      <w:r>
        <w:rPr>
          <w:rFonts w:cs="Arial"/>
        </w:rPr>
        <w:t xml:space="preserve"> PbB which can arise from PbAir in the workplace (Table 6.1). Using an ASF of 0.4 </w:t>
      </w:r>
      <w:r w:rsidRPr="004100AE">
        <w:rPr>
          <w:rFonts w:cs="Arial"/>
        </w:rPr>
        <w:t>(µg/dL)(µg/m</w:t>
      </w:r>
      <w:r w:rsidRPr="004100AE">
        <w:rPr>
          <w:rFonts w:cs="Arial"/>
          <w:vertAlign w:val="superscript"/>
        </w:rPr>
        <w:t>3</w:t>
      </w:r>
      <w:r w:rsidRPr="004100AE">
        <w:rPr>
          <w:rFonts w:cs="Arial"/>
        </w:rPr>
        <w:t>)</w:t>
      </w:r>
      <w:r w:rsidRPr="004100AE">
        <w:rPr>
          <w:rFonts w:cs="Arial"/>
          <w:vertAlign w:val="superscript"/>
        </w:rPr>
        <w:t xml:space="preserve">-1 </w:t>
      </w:r>
      <w:r>
        <w:rPr>
          <w:rFonts w:cs="Arial"/>
        </w:rPr>
        <w:t>as suggested in Section 5.6.1 gives a WES of 0.0075 mg/m</w:t>
      </w:r>
      <w:r>
        <w:rPr>
          <w:rFonts w:cs="Arial"/>
          <w:vertAlign w:val="superscript"/>
        </w:rPr>
        <w:t>3</w:t>
      </w:r>
      <w:r>
        <w:rPr>
          <w:rFonts w:cs="Arial"/>
        </w:rPr>
        <w:t xml:space="preserve">, 15 times greater than the current limit of </w:t>
      </w:r>
      <w:r w:rsidR="00BE2EAA">
        <w:rPr>
          <w:rFonts w:cs="Arial"/>
        </w:rPr>
        <w:t>l</w:t>
      </w:r>
      <w:r w:rsidR="00637B4C">
        <w:rPr>
          <w:rFonts w:cs="Arial"/>
        </w:rPr>
        <w:t>ead</w:t>
      </w:r>
      <w:r w:rsidR="00BE2EAA">
        <w:rPr>
          <w:rFonts w:cs="Arial"/>
        </w:rPr>
        <w:t xml:space="preserve"> </w:t>
      </w:r>
      <w:r>
        <w:rPr>
          <w:rFonts w:cs="Arial"/>
        </w:rPr>
        <w:t xml:space="preserve">in ambient air (NEPC 1997). </w:t>
      </w:r>
    </w:p>
    <w:p w:rsidR="00376116" w:rsidRDefault="00376116" w:rsidP="00376116">
      <w:pPr>
        <w:rPr>
          <w:rFonts w:cs="Arial"/>
        </w:rPr>
      </w:pPr>
    </w:p>
    <w:p w:rsidR="00376116" w:rsidRDefault="00376116" w:rsidP="00376116">
      <w:pPr>
        <w:rPr>
          <w:rFonts w:cs="Arial"/>
        </w:rPr>
      </w:pPr>
      <w:r>
        <w:rPr>
          <w:rFonts w:cs="Arial"/>
        </w:rPr>
        <w:t xml:space="preserve">Tables 6.2 and 6.3 provide a summary of the WESs which would be needed for approximately 50% or </w:t>
      </w:r>
      <w:r w:rsidR="00A23C2B">
        <w:rPr>
          <w:rFonts w:cs="Arial"/>
        </w:rPr>
        <w:t>nearly all</w:t>
      </w:r>
      <w:r>
        <w:rPr>
          <w:rFonts w:cs="Arial"/>
        </w:rPr>
        <w:t xml:space="preserve"> </w:t>
      </w:r>
      <w:r w:rsidR="0012609B">
        <w:rPr>
          <w:rFonts w:cs="Arial"/>
        </w:rPr>
        <w:t>(i.e. approximately 9</w:t>
      </w:r>
      <w:r w:rsidR="00A23C2B">
        <w:rPr>
          <w:rFonts w:cs="Arial"/>
        </w:rPr>
        <w:t>7.</w:t>
      </w:r>
      <w:r w:rsidR="0012609B">
        <w:rPr>
          <w:rFonts w:cs="Arial"/>
        </w:rPr>
        <w:t xml:space="preserve">5%) </w:t>
      </w:r>
      <w:r>
        <w:rPr>
          <w:rFonts w:cs="Arial"/>
        </w:rPr>
        <w:t xml:space="preserve">of worker PbBs to be below pivotal </w:t>
      </w:r>
      <w:r w:rsidR="00314205">
        <w:rPr>
          <w:rFonts w:cs="Arial"/>
        </w:rPr>
        <w:t>BLRL</w:t>
      </w:r>
      <w:r>
        <w:rPr>
          <w:rFonts w:cs="Arial"/>
        </w:rPr>
        <w:t xml:space="preserve">s. </w:t>
      </w:r>
    </w:p>
    <w:p w:rsidR="004B1FE9" w:rsidRDefault="004B1FE9" w:rsidP="00376116">
      <w:pPr>
        <w:rPr>
          <w:rFonts w:cs="Arial"/>
          <w:b/>
        </w:rPr>
      </w:pPr>
    </w:p>
    <w:p w:rsidR="00376116" w:rsidRDefault="00376116" w:rsidP="00376116">
      <w:pPr>
        <w:jc w:val="center"/>
        <w:rPr>
          <w:rFonts w:cs="Arial"/>
        </w:rPr>
      </w:pPr>
      <w:r>
        <w:rPr>
          <w:rFonts w:cs="Arial"/>
          <w:b/>
        </w:rPr>
        <w:lastRenderedPageBreak/>
        <w:t xml:space="preserve">Table 6.2: Estimated WES required for approximately 50% of workers to meet different </w:t>
      </w:r>
      <w:r w:rsidR="00314205">
        <w:rPr>
          <w:rFonts w:cs="Arial"/>
          <w:b/>
        </w:rPr>
        <w:t>BLRL</w:t>
      </w:r>
      <w:r w:rsidR="001666B4">
        <w:rPr>
          <w:rFonts w:cs="Arial"/>
          <w:b/>
        </w:rPr>
        <w:t>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Caption w:val="Table 6.2: Estimated WES required for approximately 50% of workers to meet different BLRLs"/>
      </w:tblPr>
      <w:tblGrid>
        <w:gridCol w:w="1852"/>
        <w:gridCol w:w="1797"/>
      </w:tblGrid>
      <w:tr w:rsidR="00376116" w:rsidTr="006A5E40">
        <w:trPr>
          <w:tblHeader/>
          <w:jc w:val="center"/>
        </w:trPr>
        <w:tc>
          <w:tcPr>
            <w:tcW w:w="1852" w:type="dxa"/>
            <w:tcBorders>
              <w:top w:val="single" w:sz="12" w:space="0" w:color="auto"/>
              <w:bottom w:val="single" w:sz="12" w:space="0" w:color="auto"/>
            </w:tcBorders>
            <w:shd w:val="clear" w:color="auto" w:fill="DBE5F1" w:themeFill="accent1" w:themeFillTint="33"/>
          </w:tcPr>
          <w:p w:rsidR="00376116" w:rsidRPr="00F007B2" w:rsidRDefault="00314205" w:rsidP="00376116">
            <w:pPr>
              <w:rPr>
                <w:rFonts w:cs="Arial"/>
                <w:b/>
              </w:rPr>
            </w:pPr>
            <w:r>
              <w:rPr>
                <w:rFonts w:cs="Arial"/>
                <w:b/>
              </w:rPr>
              <w:t>BLRL</w:t>
            </w:r>
            <w:r w:rsidR="00376116">
              <w:rPr>
                <w:rFonts w:cs="Arial"/>
                <w:b/>
              </w:rPr>
              <w:t xml:space="preserve"> (</w:t>
            </w:r>
            <w:r w:rsidR="00376116" w:rsidRPr="00F007B2">
              <w:rPr>
                <w:rFonts w:cs="Arial"/>
                <w:b/>
              </w:rPr>
              <w:t>µg/dL</w:t>
            </w:r>
            <w:r w:rsidR="00376116">
              <w:rPr>
                <w:rFonts w:cs="Arial"/>
                <w:b/>
              </w:rPr>
              <w:t>)</w:t>
            </w:r>
          </w:p>
        </w:tc>
        <w:tc>
          <w:tcPr>
            <w:tcW w:w="1797" w:type="dxa"/>
            <w:tcBorders>
              <w:top w:val="single" w:sz="12" w:space="0" w:color="auto"/>
              <w:bottom w:val="single" w:sz="12" w:space="0" w:color="auto"/>
            </w:tcBorders>
            <w:shd w:val="clear" w:color="auto" w:fill="DBE5F1" w:themeFill="accent1" w:themeFillTint="33"/>
          </w:tcPr>
          <w:p w:rsidR="00376116" w:rsidRDefault="00376116" w:rsidP="00376116">
            <w:pPr>
              <w:rPr>
                <w:rFonts w:cs="Arial"/>
                <w:b/>
              </w:rPr>
            </w:pPr>
            <w:r>
              <w:rPr>
                <w:rFonts w:cs="Arial"/>
                <w:b/>
              </w:rPr>
              <w:t>WES (m</w:t>
            </w:r>
            <w:r w:rsidRPr="00F007B2">
              <w:rPr>
                <w:rFonts w:cs="Arial"/>
                <w:b/>
              </w:rPr>
              <w:t>g/m</w:t>
            </w:r>
            <w:r w:rsidRPr="00F007B2">
              <w:rPr>
                <w:rFonts w:cs="Arial"/>
                <w:b/>
                <w:vertAlign w:val="superscript"/>
              </w:rPr>
              <w:t>3</w:t>
            </w:r>
            <w:r>
              <w:rPr>
                <w:rFonts w:cs="Arial"/>
                <w:b/>
              </w:rPr>
              <w:t>)</w:t>
            </w:r>
          </w:p>
          <w:p w:rsidR="00376116" w:rsidRPr="00A733AF" w:rsidRDefault="00376116" w:rsidP="00376116">
            <w:pPr>
              <w:rPr>
                <w:rFonts w:cs="Arial"/>
                <w:b/>
              </w:rPr>
            </w:pPr>
            <w:r w:rsidRPr="00A733AF">
              <w:rPr>
                <w:rFonts w:cs="Arial"/>
                <w:b/>
                <w:sz w:val="18"/>
                <w:szCs w:val="18"/>
              </w:rPr>
              <w:t>rounded</w:t>
            </w:r>
          </w:p>
        </w:tc>
      </w:tr>
      <w:tr w:rsidR="00376116" w:rsidTr="00E21B29">
        <w:trPr>
          <w:jc w:val="center"/>
        </w:trPr>
        <w:tc>
          <w:tcPr>
            <w:tcW w:w="1852" w:type="dxa"/>
            <w:tcBorders>
              <w:top w:val="single" w:sz="12" w:space="0" w:color="auto"/>
            </w:tcBorders>
          </w:tcPr>
          <w:p w:rsidR="00376116" w:rsidRDefault="00376116" w:rsidP="009B6C43">
            <w:pPr>
              <w:jc w:val="center"/>
              <w:rPr>
                <w:rFonts w:cs="Arial"/>
              </w:rPr>
            </w:pPr>
            <w:r>
              <w:rPr>
                <w:rFonts w:cs="Arial"/>
              </w:rPr>
              <w:t>50</w:t>
            </w:r>
          </w:p>
        </w:tc>
        <w:tc>
          <w:tcPr>
            <w:tcW w:w="1797" w:type="dxa"/>
            <w:tcBorders>
              <w:top w:val="single" w:sz="12" w:space="0" w:color="auto"/>
            </w:tcBorders>
          </w:tcPr>
          <w:p w:rsidR="00376116" w:rsidRDefault="00376116" w:rsidP="00376116">
            <w:pPr>
              <w:rPr>
                <w:rFonts w:cs="Arial"/>
              </w:rPr>
            </w:pPr>
            <w:r>
              <w:rPr>
                <w:rFonts w:cs="Arial"/>
              </w:rPr>
              <w:t>&gt; 0.15</w:t>
            </w:r>
          </w:p>
        </w:tc>
      </w:tr>
      <w:tr w:rsidR="00376116" w:rsidTr="00E21B29">
        <w:trPr>
          <w:jc w:val="center"/>
        </w:trPr>
        <w:tc>
          <w:tcPr>
            <w:tcW w:w="1852" w:type="dxa"/>
          </w:tcPr>
          <w:p w:rsidR="00376116" w:rsidRDefault="00376116" w:rsidP="009B6C43">
            <w:pPr>
              <w:jc w:val="center"/>
              <w:rPr>
                <w:rFonts w:cs="Arial"/>
              </w:rPr>
            </w:pPr>
            <w:r>
              <w:rPr>
                <w:rFonts w:cs="Arial"/>
              </w:rPr>
              <w:t>30</w:t>
            </w:r>
          </w:p>
        </w:tc>
        <w:tc>
          <w:tcPr>
            <w:tcW w:w="1797" w:type="dxa"/>
          </w:tcPr>
          <w:p w:rsidR="00376116" w:rsidRDefault="00376116" w:rsidP="00376116">
            <w:pPr>
              <w:rPr>
                <w:rFonts w:cs="Arial"/>
              </w:rPr>
            </w:pPr>
            <w:r>
              <w:rPr>
                <w:rFonts w:cs="Arial"/>
              </w:rPr>
              <w:t xml:space="preserve">   0.1</w:t>
            </w:r>
            <w:r w:rsidR="00334906">
              <w:rPr>
                <w:rFonts w:cs="Arial"/>
              </w:rPr>
              <w:t>3</w:t>
            </w:r>
          </w:p>
        </w:tc>
      </w:tr>
      <w:tr w:rsidR="00376116" w:rsidTr="00E21B29">
        <w:trPr>
          <w:jc w:val="center"/>
        </w:trPr>
        <w:tc>
          <w:tcPr>
            <w:tcW w:w="1852" w:type="dxa"/>
          </w:tcPr>
          <w:p w:rsidR="00376116" w:rsidRDefault="00376116" w:rsidP="009B6C43">
            <w:pPr>
              <w:jc w:val="center"/>
              <w:rPr>
                <w:rFonts w:cs="Arial"/>
              </w:rPr>
            </w:pPr>
            <w:r>
              <w:rPr>
                <w:rFonts w:cs="Arial"/>
              </w:rPr>
              <w:t>20</w:t>
            </w:r>
          </w:p>
        </w:tc>
        <w:tc>
          <w:tcPr>
            <w:tcW w:w="1797" w:type="dxa"/>
          </w:tcPr>
          <w:p w:rsidR="00376116" w:rsidRDefault="00376116" w:rsidP="00376116">
            <w:pPr>
              <w:rPr>
                <w:rFonts w:cs="Arial"/>
              </w:rPr>
            </w:pPr>
            <w:r>
              <w:rPr>
                <w:rFonts w:cs="Arial"/>
              </w:rPr>
              <w:t xml:space="preserve">   0.04</w:t>
            </w:r>
          </w:p>
        </w:tc>
      </w:tr>
      <w:tr w:rsidR="00376116" w:rsidTr="00E21B29">
        <w:trPr>
          <w:jc w:val="center"/>
        </w:trPr>
        <w:tc>
          <w:tcPr>
            <w:tcW w:w="1852" w:type="dxa"/>
          </w:tcPr>
          <w:p w:rsidR="00376116" w:rsidRDefault="00376116" w:rsidP="009B6C43">
            <w:pPr>
              <w:jc w:val="center"/>
              <w:rPr>
                <w:rFonts w:cs="Arial"/>
              </w:rPr>
            </w:pPr>
            <w:r>
              <w:rPr>
                <w:rFonts w:cs="Arial"/>
              </w:rPr>
              <w:t>10</w:t>
            </w:r>
          </w:p>
        </w:tc>
        <w:tc>
          <w:tcPr>
            <w:tcW w:w="1797" w:type="dxa"/>
          </w:tcPr>
          <w:p w:rsidR="00376116" w:rsidRDefault="00376116" w:rsidP="00376116">
            <w:pPr>
              <w:rPr>
                <w:rFonts w:cs="Arial"/>
              </w:rPr>
            </w:pPr>
            <w:r>
              <w:rPr>
                <w:rFonts w:cs="Arial"/>
              </w:rPr>
              <w:t xml:space="preserve">   0.02</w:t>
            </w:r>
          </w:p>
        </w:tc>
      </w:tr>
    </w:tbl>
    <w:p w:rsidR="00376116" w:rsidRDefault="00376116" w:rsidP="00376116">
      <w:pPr>
        <w:rPr>
          <w:rFonts w:cs="Arial"/>
        </w:rPr>
      </w:pPr>
    </w:p>
    <w:p w:rsidR="00376116" w:rsidRDefault="00376116" w:rsidP="00AB68A9">
      <w:pPr>
        <w:spacing w:line="240" w:lineRule="auto"/>
        <w:jc w:val="center"/>
        <w:rPr>
          <w:rFonts w:cs="Arial"/>
          <w:b/>
          <w:sz w:val="18"/>
          <w:szCs w:val="18"/>
        </w:rPr>
      </w:pPr>
      <w:r>
        <w:rPr>
          <w:rFonts w:cs="Arial"/>
          <w:b/>
        </w:rPr>
        <w:t xml:space="preserve">Table 6.3: Estimated WES required for </w:t>
      </w:r>
      <w:r w:rsidR="001666B4">
        <w:rPr>
          <w:rFonts w:cs="Arial"/>
          <w:b/>
        </w:rPr>
        <w:t>nearly all</w:t>
      </w:r>
      <w:r>
        <w:rPr>
          <w:rFonts w:cs="Arial"/>
          <w:b/>
        </w:rPr>
        <w:t xml:space="preserve"> workers to meet different </w:t>
      </w:r>
      <w:r w:rsidR="00314205">
        <w:rPr>
          <w:rFonts w:cs="Arial"/>
          <w:b/>
        </w:rPr>
        <w:t>BLRL</w:t>
      </w:r>
      <w:r w:rsidR="001666B4">
        <w:rPr>
          <w:rFonts w:cs="Arial"/>
          <w:b/>
        </w:rPr>
        <w:t>s</w:t>
      </w:r>
    </w:p>
    <w:p w:rsidR="00AB68A9" w:rsidRPr="00AB68A9" w:rsidRDefault="00AB68A9" w:rsidP="00AB68A9">
      <w:pPr>
        <w:spacing w:line="240" w:lineRule="auto"/>
        <w:jc w:val="center"/>
        <w:rPr>
          <w:rFonts w:cs="Arial"/>
          <w:sz w:val="18"/>
          <w:szCs w:val="18"/>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Caption w:val="Table 6.3: Estimated WES required for nearly all workers to meet different BLRLs"/>
      </w:tblPr>
      <w:tblGrid>
        <w:gridCol w:w="1755"/>
        <w:gridCol w:w="2027"/>
      </w:tblGrid>
      <w:tr w:rsidR="00376116" w:rsidTr="006A5E40">
        <w:trPr>
          <w:tblHeader/>
          <w:jc w:val="center"/>
        </w:trPr>
        <w:tc>
          <w:tcPr>
            <w:tcW w:w="1755" w:type="dxa"/>
            <w:tcBorders>
              <w:top w:val="single" w:sz="12" w:space="0" w:color="auto"/>
              <w:bottom w:val="single" w:sz="12" w:space="0" w:color="auto"/>
            </w:tcBorders>
            <w:shd w:val="clear" w:color="auto" w:fill="DBE5F1" w:themeFill="accent1" w:themeFillTint="33"/>
          </w:tcPr>
          <w:p w:rsidR="00376116" w:rsidRPr="00F007B2" w:rsidRDefault="00314205" w:rsidP="00376116">
            <w:pPr>
              <w:rPr>
                <w:rFonts w:cs="Arial"/>
                <w:b/>
              </w:rPr>
            </w:pPr>
            <w:r>
              <w:rPr>
                <w:rFonts w:cs="Arial"/>
                <w:b/>
              </w:rPr>
              <w:t>BLRL</w:t>
            </w:r>
            <w:r w:rsidR="00376116">
              <w:rPr>
                <w:rFonts w:cs="Arial"/>
                <w:b/>
              </w:rPr>
              <w:t xml:space="preserve"> (</w:t>
            </w:r>
            <w:r w:rsidR="00376116" w:rsidRPr="00F007B2">
              <w:rPr>
                <w:rFonts w:cs="Arial"/>
                <w:b/>
              </w:rPr>
              <w:t>µg/dL</w:t>
            </w:r>
            <w:r w:rsidR="00376116">
              <w:rPr>
                <w:rFonts w:cs="Arial"/>
                <w:b/>
              </w:rPr>
              <w:t>)</w:t>
            </w:r>
          </w:p>
        </w:tc>
        <w:tc>
          <w:tcPr>
            <w:tcW w:w="2027" w:type="dxa"/>
            <w:tcBorders>
              <w:top w:val="single" w:sz="12" w:space="0" w:color="auto"/>
              <w:bottom w:val="single" w:sz="12" w:space="0" w:color="auto"/>
            </w:tcBorders>
            <w:shd w:val="clear" w:color="auto" w:fill="DBE5F1" w:themeFill="accent1" w:themeFillTint="33"/>
          </w:tcPr>
          <w:p w:rsidR="00376116" w:rsidRDefault="00376116" w:rsidP="00376116">
            <w:pPr>
              <w:rPr>
                <w:rFonts w:cs="Arial"/>
                <w:b/>
              </w:rPr>
            </w:pPr>
            <w:r>
              <w:rPr>
                <w:rFonts w:cs="Arial"/>
                <w:b/>
              </w:rPr>
              <w:t>WES (m</w:t>
            </w:r>
            <w:r w:rsidRPr="00F007B2">
              <w:rPr>
                <w:rFonts w:cs="Arial"/>
                <w:b/>
              </w:rPr>
              <w:t>g/m</w:t>
            </w:r>
            <w:r w:rsidRPr="00F007B2">
              <w:rPr>
                <w:rFonts w:cs="Arial"/>
                <w:b/>
                <w:vertAlign w:val="superscript"/>
              </w:rPr>
              <w:t>3</w:t>
            </w:r>
            <w:r>
              <w:rPr>
                <w:rFonts w:cs="Arial"/>
                <w:b/>
              </w:rPr>
              <w:t>)</w:t>
            </w:r>
          </w:p>
          <w:p w:rsidR="00376116" w:rsidRPr="00A733AF" w:rsidRDefault="00376116" w:rsidP="00376116">
            <w:pPr>
              <w:rPr>
                <w:rFonts w:cs="Arial"/>
                <w:b/>
              </w:rPr>
            </w:pPr>
            <w:r>
              <w:rPr>
                <w:rFonts w:cs="Arial"/>
                <w:sz w:val="18"/>
                <w:szCs w:val="18"/>
              </w:rPr>
              <w:t>rounded</w:t>
            </w:r>
          </w:p>
        </w:tc>
      </w:tr>
      <w:tr w:rsidR="00376116" w:rsidTr="00E21B29">
        <w:trPr>
          <w:jc w:val="center"/>
        </w:trPr>
        <w:tc>
          <w:tcPr>
            <w:tcW w:w="1755" w:type="dxa"/>
            <w:tcBorders>
              <w:top w:val="single" w:sz="12" w:space="0" w:color="auto"/>
            </w:tcBorders>
          </w:tcPr>
          <w:p w:rsidR="00376116" w:rsidRDefault="00376116" w:rsidP="009B6C43">
            <w:pPr>
              <w:jc w:val="center"/>
              <w:rPr>
                <w:rFonts w:cs="Arial"/>
              </w:rPr>
            </w:pPr>
            <w:r>
              <w:rPr>
                <w:rFonts w:cs="Arial"/>
              </w:rPr>
              <w:t>50</w:t>
            </w:r>
          </w:p>
        </w:tc>
        <w:tc>
          <w:tcPr>
            <w:tcW w:w="2027" w:type="dxa"/>
            <w:tcBorders>
              <w:top w:val="single" w:sz="12" w:space="0" w:color="auto"/>
            </w:tcBorders>
          </w:tcPr>
          <w:p w:rsidR="00376116" w:rsidRDefault="00376116" w:rsidP="00376116">
            <w:pPr>
              <w:rPr>
                <w:rFonts w:cs="Arial"/>
              </w:rPr>
            </w:pPr>
            <w:r>
              <w:rPr>
                <w:rFonts w:cs="Arial"/>
              </w:rPr>
              <w:t xml:space="preserve">   0.05</w:t>
            </w:r>
          </w:p>
        </w:tc>
      </w:tr>
      <w:tr w:rsidR="00376116" w:rsidTr="00E21B29">
        <w:trPr>
          <w:jc w:val="center"/>
        </w:trPr>
        <w:tc>
          <w:tcPr>
            <w:tcW w:w="1755" w:type="dxa"/>
          </w:tcPr>
          <w:p w:rsidR="00376116" w:rsidRDefault="00376116" w:rsidP="009B6C43">
            <w:pPr>
              <w:jc w:val="center"/>
              <w:rPr>
                <w:rFonts w:cs="Arial"/>
              </w:rPr>
            </w:pPr>
            <w:r>
              <w:rPr>
                <w:rFonts w:cs="Arial"/>
              </w:rPr>
              <w:t>30</w:t>
            </w:r>
          </w:p>
        </w:tc>
        <w:tc>
          <w:tcPr>
            <w:tcW w:w="2027" w:type="dxa"/>
          </w:tcPr>
          <w:p w:rsidR="00376116" w:rsidRPr="00711943" w:rsidRDefault="00376116" w:rsidP="00376116">
            <w:pPr>
              <w:rPr>
                <w:rFonts w:cs="Arial"/>
                <w:sz w:val="24"/>
                <w:szCs w:val="24"/>
                <w:vertAlign w:val="superscript"/>
              </w:rPr>
            </w:pPr>
            <w:r>
              <w:rPr>
                <w:rFonts w:cs="Arial"/>
              </w:rPr>
              <w:t xml:space="preserve">   0.03 </w:t>
            </w:r>
          </w:p>
        </w:tc>
      </w:tr>
      <w:tr w:rsidR="00376116" w:rsidTr="00E21B29">
        <w:trPr>
          <w:jc w:val="center"/>
        </w:trPr>
        <w:tc>
          <w:tcPr>
            <w:tcW w:w="1755" w:type="dxa"/>
          </w:tcPr>
          <w:p w:rsidR="00376116" w:rsidRDefault="00376116" w:rsidP="009B6C43">
            <w:pPr>
              <w:jc w:val="center"/>
              <w:rPr>
                <w:rFonts w:cs="Arial"/>
              </w:rPr>
            </w:pPr>
            <w:r>
              <w:rPr>
                <w:rFonts w:cs="Arial"/>
              </w:rPr>
              <w:t>20</w:t>
            </w:r>
          </w:p>
        </w:tc>
        <w:tc>
          <w:tcPr>
            <w:tcW w:w="2027" w:type="dxa"/>
          </w:tcPr>
          <w:p w:rsidR="00376116" w:rsidRDefault="00376116" w:rsidP="00376116">
            <w:pPr>
              <w:rPr>
                <w:rFonts w:cs="Arial"/>
              </w:rPr>
            </w:pPr>
            <w:r>
              <w:rPr>
                <w:rFonts w:cs="Arial"/>
              </w:rPr>
              <w:t xml:space="preserve">   0.02</w:t>
            </w:r>
          </w:p>
        </w:tc>
      </w:tr>
      <w:tr w:rsidR="00376116" w:rsidTr="00E21B29">
        <w:trPr>
          <w:jc w:val="center"/>
        </w:trPr>
        <w:tc>
          <w:tcPr>
            <w:tcW w:w="1755" w:type="dxa"/>
          </w:tcPr>
          <w:p w:rsidR="00376116" w:rsidRDefault="00376116" w:rsidP="009B6C43">
            <w:pPr>
              <w:jc w:val="center"/>
              <w:rPr>
                <w:rFonts w:cs="Arial"/>
              </w:rPr>
            </w:pPr>
            <w:r>
              <w:rPr>
                <w:rFonts w:cs="Arial"/>
              </w:rPr>
              <w:t>10</w:t>
            </w:r>
          </w:p>
        </w:tc>
        <w:tc>
          <w:tcPr>
            <w:tcW w:w="2027" w:type="dxa"/>
          </w:tcPr>
          <w:p w:rsidR="00376116" w:rsidRDefault="00376116" w:rsidP="00376116">
            <w:pPr>
              <w:rPr>
                <w:rFonts w:cs="Arial"/>
              </w:rPr>
            </w:pPr>
            <w:r>
              <w:rPr>
                <w:rFonts w:cs="Arial"/>
              </w:rPr>
              <w:t xml:space="preserve">   0.01</w:t>
            </w:r>
          </w:p>
        </w:tc>
      </w:tr>
    </w:tbl>
    <w:p w:rsidR="00376116" w:rsidRDefault="00376116" w:rsidP="00376116">
      <w:pPr>
        <w:rPr>
          <w:rFonts w:cs="Arial"/>
        </w:rPr>
      </w:pPr>
    </w:p>
    <w:p w:rsidR="001666B4" w:rsidRDefault="001666B4" w:rsidP="00376116">
      <w:pPr>
        <w:rPr>
          <w:rFonts w:cs="Arial"/>
        </w:rPr>
      </w:pPr>
    </w:p>
    <w:p w:rsidR="001666B4" w:rsidRPr="001666B4" w:rsidRDefault="001666B4" w:rsidP="00376116">
      <w:pPr>
        <w:rPr>
          <w:rFonts w:cs="Arial"/>
        </w:rPr>
      </w:pPr>
      <w:r>
        <w:rPr>
          <w:rFonts w:cs="Arial"/>
        </w:rPr>
        <w:t xml:space="preserve">From </w:t>
      </w:r>
      <w:r w:rsidR="00AF379C">
        <w:rPr>
          <w:rFonts w:cs="Arial"/>
        </w:rPr>
        <w:t xml:space="preserve">Table 6.1 it is noted that </w:t>
      </w:r>
      <w:r w:rsidR="00590F48">
        <w:rPr>
          <w:rFonts w:cs="Arial"/>
        </w:rPr>
        <w:t xml:space="preserve">a </w:t>
      </w:r>
      <w:r w:rsidR="00AF379C">
        <w:rPr>
          <w:rFonts w:cs="Arial"/>
        </w:rPr>
        <w:t>change in the WES from 0.1 mg/m</w:t>
      </w:r>
      <w:r w:rsidR="00AF379C">
        <w:rPr>
          <w:rFonts w:cs="Arial"/>
          <w:vertAlign w:val="superscript"/>
        </w:rPr>
        <w:t>3</w:t>
      </w:r>
      <w:r w:rsidR="00AF379C">
        <w:rPr>
          <w:rFonts w:cs="Arial"/>
        </w:rPr>
        <w:t xml:space="preserve"> to 0.05 mg/m</w:t>
      </w:r>
      <w:r w:rsidR="00AF379C">
        <w:rPr>
          <w:rFonts w:cs="Arial"/>
          <w:vertAlign w:val="superscript"/>
        </w:rPr>
        <w:t>3</w:t>
      </w:r>
      <w:r w:rsidR="00AF379C">
        <w:rPr>
          <w:rFonts w:cs="Arial"/>
        </w:rPr>
        <w:t xml:space="preserve"> confers relatively small decreases in PbB. This has been observed by other </w:t>
      </w:r>
      <w:r w:rsidR="00334906">
        <w:rPr>
          <w:rFonts w:cs="Arial"/>
        </w:rPr>
        <w:t>authors</w:t>
      </w:r>
      <w:r w:rsidR="00AF379C">
        <w:rPr>
          <w:rFonts w:cs="Arial"/>
        </w:rPr>
        <w:t xml:space="preserve"> (e.g. Lai et al. 1997).  I</w:t>
      </w:r>
      <w:r>
        <w:rPr>
          <w:rFonts w:cs="Arial"/>
        </w:rPr>
        <w:t>t is suggested a WES of 0.05 mg/m</w:t>
      </w:r>
      <w:r>
        <w:rPr>
          <w:rFonts w:cs="Arial"/>
          <w:vertAlign w:val="superscript"/>
        </w:rPr>
        <w:t>3</w:t>
      </w:r>
      <w:r>
        <w:rPr>
          <w:rFonts w:cs="Arial"/>
        </w:rPr>
        <w:t xml:space="preserve"> would be compatible with a BLRL </w:t>
      </w:r>
      <w:r w:rsidR="00334906">
        <w:rPr>
          <w:rFonts w:cs="Arial"/>
        </w:rPr>
        <w:t xml:space="preserve">of </w:t>
      </w:r>
      <w:r w:rsidR="00AF379C">
        <w:rPr>
          <w:rFonts w:cs="Arial"/>
        </w:rPr>
        <w:t>30 µg/dL</w:t>
      </w:r>
      <w:r w:rsidR="009A578C">
        <w:rPr>
          <w:rFonts w:cs="Arial"/>
        </w:rPr>
        <w:t xml:space="preserve"> for </w:t>
      </w:r>
      <w:r w:rsidR="00F9208B">
        <w:rPr>
          <w:rFonts w:cs="Arial"/>
        </w:rPr>
        <w:t>more than</w:t>
      </w:r>
      <w:r w:rsidR="009A578C">
        <w:rPr>
          <w:rFonts w:cs="Arial"/>
        </w:rPr>
        <w:t xml:space="preserve"> half of workers in lead related jobs</w:t>
      </w:r>
      <w:r w:rsidR="00AF379C">
        <w:rPr>
          <w:rFonts w:cs="Arial"/>
        </w:rPr>
        <w:t xml:space="preserve">.  However since the ASFs used to estimate </w:t>
      </w:r>
      <w:r w:rsidR="009A578C">
        <w:rPr>
          <w:rFonts w:cs="Arial"/>
        </w:rPr>
        <w:t xml:space="preserve">the PbB include non-inhalational occupational exposures it is anticipated workplaces with very good occupational hygiene </w:t>
      </w:r>
      <w:r w:rsidR="00D65038">
        <w:rPr>
          <w:rFonts w:cs="Arial"/>
        </w:rPr>
        <w:t>could</w:t>
      </w:r>
      <w:r w:rsidR="009A578C">
        <w:rPr>
          <w:rFonts w:cs="Arial"/>
        </w:rPr>
        <w:t xml:space="preserve"> achieve better results.</w:t>
      </w:r>
    </w:p>
    <w:p w:rsidR="00376116" w:rsidRDefault="00376116" w:rsidP="00376116">
      <w:pPr>
        <w:pStyle w:val="Heading1"/>
      </w:pPr>
      <w:bookmarkStart w:id="47" w:name="_Toc391288255"/>
      <w:r>
        <w:t>7. Concluding remarks</w:t>
      </w:r>
      <w:bookmarkEnd w:id="47"/>
    </w:p>
    <w:p w:rsidR="009A578C" w:rsidRDefault="00376116" w:rsidP="00376116">
      <w:r>
        <w:t xml:space="preserve">The current </w:t>
      </w:r>
      <w:r w:rsidR="00314205">
        <w:t>BLRL</w:t>
      </w:r>
      <w:r>
        <w:t xml:space="preserve"> of 50 </w:t>
      </w:r>
      <w:r w:rsidRPr="006A4C16">
        <w:rPr>
          <w:rFonts w:cs="Arial"/>
        </w:rPr>
        <w:t>µ</w:t>
      </w:r>
      <w:r>
        <w:t xml:space="preserve">g/dL for females not of reproductive capacity </w:t>
      </w:r>
      <w:r w:rsidR="00B1318A">
        <w:t xml:space="preserve">and males </w:t>
      </w:r>
      <w:r>
        <w:t xml:space="preserve">is no longer considered sufficiently protective against adverse health effects of </w:t>
      </w:r>
      <w:r w:rsidR="00BE2EAA">
        <w:t>l</w:t>
      </w:r>
      <w:r w:rsidR="00637B4C">
        <w:t>ead</w:t>
      </w:r>
      <w:r w:rsidR="00BE2EAA">
        <w:t xml:space="preserve"> </w:t>
      </w:r>
      <w:r>
        <w:t xml:space="preserve">exposure. For these workers, a </w:t>
      </w:r>
      <w:r w:rsidR="00314205">
        <w:t>BLRL</w:t>
      </w:r>
      <w:r>
        <w:t xml:space="preserve"> of 20-30 </w:t>
      </w:r>
      <w:r w:rsidRPr="006A4C16">
        <w:rPr>
          <w:rFonts w:cs="Arial"/>
        </w:rPr>
        <w:t>µ</w:t>
      </w:r>
      <w:r>
        <w:t xml:space="preserve">g/dL is suggested as appropriate. </w:t>
      </w:r>
      <w:r w:rsidR="009A578C">
        <w:t xml:space="preserve">A BLRL of 20 </w:t>
      </w:r>
      <w:r w:rsidR="009A578C">
        <w:rPr>
          <w:rFonts w:cs="Arial"/>
        </w:rPr>
        <w:t>µ</w:t>
      </w:r>
      <w:r w:rsidR="009A578C">
        <w:t>g/dL would be precautionary and protective</w:t>
      </w:r>
      <w:r w:rsidR="00F9208B">
        <w:t xml:space="preserve">, and consistent with contemporary risk assessment methods for </w:t>
      </w:r>
      <w:r w:rsidR="009655DC">
        <w:t>setting</w:t>
      </w:r>
      <w:r w:rsidR="00F9208B">
        <w:t xml:space="preserve"> health protective standards</w:t>
      </w:r>
      <w:r w:rsidR="009A578C">
        <w:t xml:space="preserve">. However there are a number of considerations (Section 4.5) that indicate a target of 20 </w:t>
      </w:r>
      <w:r w:rsidR="009A578C">
        <w:rPr>
          <w:rFonts w:cs="Arial"/>
        </w:rPr>
        <w:t>µ</w:t>
      </w:r>
      <w:r w:rsidR="009A578C">
        <w:t xml:space="preserve">g/dL and a BLRL of 30 </w:t>
      </w:r>
      <w:r w:rsidR="009A578C">
        <w:rPr>
          <w:rFonts w:cs="Arial"/>
        </w:rPr>
        <w:t>µ</w:t>
      </w:r>
      <w:r w:rsidR="009A578C">
        <w:t>g/dL would be sufficiently protective for nearly all workers.</w:t>
      </w:r>
    </w:p>
    <w:p w:rsidR="009A578C" w:rsidRDefault="009A578C" w:rsidP="00376116"/>
    <w:p w:rsidR="00376116" w:rsidRDefault="00376116" w:rsidP="00376116">
      <w:r>
        <w:t xml:space="preserve">This reduction from the current </w:t>
      </w:r>
      <w:r w:rsidR="00314205">
        <w:t>BLRL</w:t>
      </w:r>
      <w:r>
        <w:t xml:space="preserve"> of 50 </w:t>
      </w:r>
      <w:r w:rsidRPr="006A4C16">
        <w:rPr>
          <w:rFonts w:cs="Arial"/>
        </w:rPr>
        <w:t>µ</w:t>
      </w:r>
      <w:r>
        <w:t xml:space="preserve">g/dL is anticipated to potentially </w:t>
      </w:r>
      <w:r w:rsidR="00F9208B">
        <w:t xml:space="preserve">materially </w:t>
      </w:r>
      <w:r>
        <w:t>reduce the risks of adverse neurobehavioral effects, hypertension and cardiovascular disease, and cancer in both male and female workers, as well potentially eliminating possible effects on sperm quality in males.</w:t>
      </w:r>
    </w:p>
    <w:p w:rsidR="00376116" w:rsidRDefault="00376116" w:rsidP="00376116"/>
    <w:p w:rsidR="00376116" w:rsidRDefault="00376116" w:rsidP="00376116">
      <w:r>
        <w:t xml:space="preserve">The current </w:t>
      </w:r>
      <w:r w:rsidR="00314205">
        <w:t>BLRL</w:t>
      </w:r>
      <w:r>
        <w:t xml:space="preserve"> of 15 </w:t>
      </w:r>
      <w:r w:rsidRPr="006A4C16">
        <w:rPr>
          <w:rFonts w:cs="Arial"/>
        </w:rPr>
        <w:t>µ</w:t>
      </w:r>
      <w:r>
        <w:t xml:space="preserve">g/dL for female workers of reproductive capacity is not considered sufficiently protective for neurological development of an unborn child. For these workers, along with </w:t>
      </w:r>
      <w:r>
        <w:lastRenderedPageBreak/>
        <w:t xml:space="preserve">females who are pregnant or breastfeeding, a PbB target of 10 </w:t>
      </w:r>
      <w:r w:rsidRPr="006A4C16">
        <w:rPr>
          <w:rFonts w:cs="Arial"/>
        </w:rPr>
        <w:t>µ</w:t>
      </w:r>
      <w:r>
        <w:t xml:space="preserve">g/dL is suggested to keep cumulative </w:t>
      </w:r>
      <w:r w:rsidR="00BE2EAA">
        <w:t>l</w:t>
      </w:r>
      <w:r w:rsidR="00637B4C">
        <w:t>ead</w:t>
      </w:r>
      <w:r w:rsidR="00BE2EAA">
        <w:t xml:space="preserve"> </w:t>
      </w:r>
      <w:r>
        <w:t xml:space="preserve">stores in the body low enough to protect against these effects. A reduction of 5 </w:t>
      </w:r>
      <w:r w:rsidRPr="006A4C16">
        <w:rPr>
          <w:rFonts w:cs="Arial"/>
        </w:rPr>
        <w:t>µ</w:t>
      </w:r>
      <w:r>
        <w:t xml:space="preserve">g/dL from the current </w:t>
      </w:r>
      <w:r w:rsidR="00314205">
        <w:t>BLRL</w:t>
      </w:r>
      <w:r>
        <w:t xml:space="preserve"> of 15 </w:t>
      </w:r>
      <w:r w:rsidRPr="006A4C16">
        <w:rPr>
          <w:rFonts w:cs="Arial"/>
        </w:rPr>
        <w:t>µ</w:t>
      </w:r>
      <w:r>
        <w:t xml:space="preserve">g/dL in females of reproductive capacity is anticipated to potentially reduce the risks of hypertension and cardiovascular disease, as well as reducing the risk of spontaneous abortion during pregnancy.   </w:t>
      </w:r>
    </w:p>
    <w:p w:rsidR="00376116" w:rsidRDefault="00376116" w:rsidP="00376116"/>
    <w:p w:rsidR="00376116" w:rsidRDefault="00376116" w:rsidP="00376116">
      <w:pPr>
        <w:rPr>
          <w:rFonts w:cs="Arial"/>
        </w:rPr>
      </w:pPr>
      <w:r>
        <w:t xml:space="preserve">A WES of 0.1 or 0.05 </w:t>
      </w:r>
      <w:r>
        <w:rPr>
          <w:rFonts w:cs="Arial"/>
        </w:rPr>
        <w:t>m</w:t>
      </w:r>
      <w:r w:rsidRPr="00D22C6D">
        <w:rPr>
          <w:rFonts w:cs="Arial"/>
        </w:rPr>
        <w:t>g/m</w:t>
      </w:r>
      <w:r w:rsidRPr="00D22C6D">
        <w:rPr>
          <w:rFonts w:cs="Arial"/>
          <w:vertAlign w:val="superscript"/>
        </w:rPr>
        <w:t>3</w:t>
      </w:r>
      <w:r>
        <w:rPr>
          <w:rFonts w:cs="Arial"/>
        </w:rPr>
        <w:t xml:space="preserve"> </w:t>
      </w:r>
      <w:r>
        <w:t xml:space="preserve">would achieve </w:t>
      </w:r>
      <w:r w:rsidR="00314205">
        <w:t>BLRL</w:t>
      </w:r>
      <w:r>
        <w:t xml:space="preserve">s of 30 or 20 </w:t>
      </w:r>
      <w:r w:rsidRPr="006A4C16">
        <w:rPr>
          <w:rFonts w:cs="Arial"/>
        </w:rPr>
        <w:t>µ</w:t>
      </w:r>
      <w:r>
        <w:t>g/dL</w:t>
      </w:r>
      <w:r w:rsidR="002D15A1">
        <w:t xml:space="preserve"> respectively</w:t>
      </w:r>
      <w:r w:rsidR="009655DC">
        <w:t xml:space="preserve"> </w:t>
      </w:r>
      <w:r>
        <w:t>in approximately 50% of workers</w:t>
      </w:r>
      <w:r>
        <w:rPr>
          <w:rFonts w:cs="Arial"/>
        </w:rPr>
        <w:t xml:space="preserve">. For </w:t>
      </w:r>
      <w:r w:rsidR="009A578C">
        <w:rPr>
          <w:rFonts w:cs="Arial"/>
        </w:rPr>
        <w:t>nearly all</w:t>
      </w:r>
      <w:r>
        <w:rPr>
          <w:rFonts w:cs="Arial"/>
        </w:rPr>
        <w:t xml:space="preserve"> workers to be below these </w:t>
      </w:r>
      <w:r w:rsidR="00314205">
        <w:rPr>
          <w:rFonts w:cs="Arial"/>
        </w:rPr>
        <w:t>BLRL</w:t>
      </w:r>
      <w:r>
        <w:rPr>
          <w:rFonts w:cs="Arial"/>
        </w:rPr>
        <w:t>s, WES of 0.03 or 0.02 m</w:t>
      </w:r>
      <w:r w:rsidRPr="002157D9">
        <w:rPr>
          <w:rFonts w:cs="Arial"/>
        </w:rPr>
        <w:t>g/m</w:t>
      </w:r>
      <w:r w:rsidRPr="002157D9">
        <w:rPr>
          <w:rFonts w:cs="Arial"/>
          <w:vertAlign w:val="superscript"/>
        </w:rPr>
        <w:t>3</w:t>
      </w:r>
      <w:r>
        <w:rPr>
          <w:rFonts w:cs="Arial"/>
        </w:rPr>
        <w:t xml:space="preserve"> </w:t>
      </w:r>
      <w:r w:rsidR="002D15A1">
        <w:rPr>
          <w:rFonts w:cs="Arial"/>
        </w:rPr>
        <w:t xml:space="preserve">respectively </w:t>
      </w:r>
      <w:r>
        <w:rPr>
          <w:rFonts w:cs="Arial"/>
        </w:rPr>
        <w:t xml:space="preserve">would be required. </w:t>
      </w:r>
      <w:r w:rsidR="002D15A1" w:rsidRPr="002D15A1">
        <w:rPr>
          <w:rFonts w:cs="Arial"/>
        </w:rPr>
        <w:t>However since the ASFs used to estimate the PbB include non-inhalational occupational exposures it is anticipated workplaces with very good occupational hygiene could achieve better results.</w:t>
      </w:r>
      <w:r w:rsidR="002D15A1">
        <w:rPr>
          <w:rFonts w:cs="Arial"/>
        </w:rPr>
        <w:t xml:space="preserve"> A WES of </w:t>
      </w:r>
      <w:r>
        <w:rPr>
          <w:rFonts w:cs="Arial"/>
        </w:rPr>
        <w:t>0.05 m</w:t>
      </w:r>
      <w:r w:rsidRPr="002157D9">
        <w:rPr>
          <w:rFonts w:cs="Arial"/>
        </w:rPr>
        <w:t>g/m</w:t>
      </w:r>
      <w:r w:rsidRPr="002157D9">
        <w:rPr>
          <w:rFonts w:cs="Arial"/>
          <w:vertAlign w:val="superscript"/>
        </w:rPr>
        <w:t>3</w:t>
      </w:r>
      <w:r>
        <w:rPr>
          <w:rFonts w:cs="Arial"/>
        </w:rPr>
        <w:t xml:space="preserve"> </w:t>
      </w:r>
      <w:r w:rsidR="002D15A1">
        <w:rPr>
          <w:rFonts w:cs="Arial"/>
        </w:rPr>
        <w:t>(</w:t>
      </w:r>
      <w:r>
        <w:rPr>
          <w:rFonts w:cs="Arial"/>
        </w:rPr>
        <w:t xml:space="preserve">for a </w:t>
      </w:r>
      <w:r w:rsidR="00314205">
        <w:rPr>
          <w:rFonts w:cs="Arial"/>
        </w:rPr>
        <w:t>BLRL</w:t>
      </w:r>
      <w:r>
        <w:rPr>
          <w:rFonts w:cs="Arial"/>
        </w:rPr>
        <w:t xml:space="preserve"> of 30 </w:t>
      </w:r>
      <w:r w:rsidRPr="003A65CB">
        <w:rPr>
          <w:rFonts w:cs="Arial"/>
        </w:rPr>
        <w:t>µg/dL</w:t>
      </w:r>
      <w:r>
        <w:rPr>
          <w:rFonts w:cs="Arial"/>
        </w:rPr>
        <w:t xml:space="preserve">) is consistent with the WES recommendations of several international organisations.  </w:t>
      </w:r>
    </w:p>
    <w:p w:rsidR="00376116" w:rsidRDefault="00376116" w:rsidP="00376116"/>
    <w:p w:rsidR="00376116" w:rsidRDefault="00376116" w:rsidP="00376116">
      <w:r>
        <w:t xml:space="preserve">It is apparent there needs to be larger proportional decreases in the WES to achieve the lower target </w:t>
      </w:r>
      <w:r w:rsidR="00314205">
        <w:t>BLRL</w:t>
      </w:r>
      <w:r>
        <w:t xml:space="preserve">s. This is a reflection of the non-linear relationships between </w:t>
      </w:r>
      <w:r w:rsidR="006610BE">
        <w:t>PbAir</w:t>
      </w:r>
      <w:r>
        <w:t xml:space="preserve"> and PbB, and between PbB and potential health effects. </w:t>
      </w:r>
      <w:r w:rsidR="002D43F3">
        <w:t>Reducing the WES lower than 0.05 mg/m</w:t>
      </w:r>
      <w:r w:rsidR="002D43F3">
        <w:rPr>
          <w:vertAlign w:val="superscript"/>
        </w:rPr>
        <w:t>3</w:t>
      </w:r>
      <w:r w:rsidR="002D43F3">
        <w:t xml:space="preserve"> is unlikely to achieve meaningful increases in the number of workers in lead related jobs that have PbB concentrations materially less than 20 </w:t>
      </w:r>
      <w:r w:rsidR="002D43F3" w:rsidRPr="002D43F3">
        <w:t>µg/dL</w:t>
      </w:r>
      <w:r w:rsidR="002D43F3">
        <w:t xml:space="preserve"> or 30 </w:t>
      </w:r>
      <w:r w:rsidR="002D43F3" w:rsidRPr="002D43F3">
        <w:t>µg/dL</w:t>
      </w:r>
      <w:r w:rsidR="002D43F3">
        <w:t>.</w:t>
      </w:r>
    </w:p>
    <w:p w:rsidR="002D43F3" w:rsidRDefault="002D43F3" w:rsidP="00376116"/>
    <w:p w:rsidR="002D43F3" w:rsidRDefault="002D43F3" w:rsidP="00376116">
      <w:pPr>
        <w:rPr>
          <w:i/>
        </w:rPr>
      </w:pPr>
      <w:r>
        <w:rPr>
          <w:i/>
        </w:rPr>
        <w:t>Recommendations:</w:t>
      </w:r>
    </w:p>
    <w:p w:rsidR="006A3F70" w:rsidRDefault="006A3F70" w:rsidP="00376116">
      <w:r>
        <w:t>To minimise potential adverse health effects associated with lead exposure in the workplace the following is proposed.</w:t>
      </w:r>
    </w:p>
    <w:p w:rsidR="006A3F70" w:rsidRDefault="006A3F70" w:rsidP="00376116"/>
    <w:p w:rsidR="002D43F3" w:rsidRDefault="002D43F3" w:rsidP="00376116">
      <w:r>
        <w:t>For women of non-reproductive capacity and men two options are suggested:</w:t>
      </w:r>
    </w:p>
    <w:p w:rsidR="002D43F3" w:rsidRDefault="002D43F3" w:rsidP="008453B5">
      <w:pPr>
        <w:pStyle w:val="ListParagraph"/>
        <w:numPr>
          <w:ilvl w:val="0"/>
          <w:numId w:val="36"/>
        </w:numPr>
      </w:pPr>
      <w:r>
        <w:t xml:space="preserve"> BLRL of 20 </w:t>
      </w:r>
      <w:r w:rsidRPr="002D43F3">
        <w:t>µg/dL</w:t>
      </w:r>
      <w:r>
        <w:t xml:space="preserve">, or </w:t>
      </w:r>
    </w:p>
    <w:p w:rsidR="002D43F3" w:rsidRDefault="002D43F3" w:rsidP="008453B5">
      <w:pPr>
        <w:pStyle w:val="ListParagraph"/>
        <w:numPr>
          <w:ilvl w:val="0"/>
          <w:numId w:val="36"/>
        </w:numPr>
      </w:pPr>
      <w:r>
        <w:t xml:space="preserve">Target PbB of 20 </w:t>
      </w:r>
      <w:r w:rsidRPr="002D43F3">
        <w:t>µg/dL</w:t>
      </w:r>
      <w:r>
        <w:t xml:space="preserve"> and BLRL of 30 </w:t>
      </w:r>
      <w:r w:rsidRPr="002D43F3">
        <w:t>µg/dL</w:t>
      </w:r>
      <w:r>
        <w:t>.</w:t>
      </w:r>
    </w:p>
    <w:p w:rsidR="002D43F3" w:rsidRDefault="002D43F3" w:rsidP="002D43F3"/>
    <w:p w:rsidR="002D43F3" w:rsidRDefault="002D43F3" w:rsidP="002D43F3">
      <w:r>
        <w:t xml:space="preserve">For women of reproductive capacity </w:t>
      </w:r>
      <w:r w:rsidR="00A8207B">
        <w:t xml:space="preserve">(including those who are pregnant or breast feeding) </w:t>
      </w:r>
      <w:r>
        <w:t xml:space="preserve">a BLRL of 10 </w:t>
      </w:r>
      <w:r w:rsidRPr="002D43F3">
        <w:t>µg/dL</w:t>
      </w:r>
      <w:r>
        <w:t xml:space="preserve"> is </w:t>
      </w:r>
      <w:r w:rsidR="006A3F70">
        <w:t>recommended</w:t>
      </w:r>
      <w:r>
        <w:t>.</w:t>
      </w:r>
    </w:p>
    <w:p w:rsidR="006A3F70" w:rsidRDefault="006A3F70" w:rsidP="002D43F3"/>
    <w:p w:rsidR="002D43F3" w:rsidRDefault="002D43F3" w:rsidP="002D43F3">
      <w:r>
        <w:t xml:space="preserve">To </w:t>
      </w:r>
      <w:r w:rsidR="006A3F70">
        <w:t>help achieve these BLRLs it is suggested the WES be reduced from 0.15 mg/m</w:t>
      </w:r>
      <w:r w:rsidR="006A3F70">
        <w:rPr>
          <w:vertAlign w:val="superscript"/>
        </w:rPr>
        <w:t>3</w:t>
      </w:r>
      <w:r w:rsidR="006A3F70">
        <w:t xml:space="preserve"> to 0.05 mg/m</w:t>
      </w:r>
      <w:r w:rsidR="006A3F70">
        <w:rPr>
          <w:vertAlign w:val="superscript"/>
        </w:rPr>
        <w:t>3</w:t>
      </w:r>
      <w:r w:rsidR="006A3F70">
        <w:t>.</w:t>
      </w:r>
    </w:p>
    <w:p w:rsidR="006A3F70" w:rsidRDefault="006A3F70" w:rsidP="002D43F3"/>
    <w:p w:rsidR="00751F05" w:rsidRDefault="006A3F70">
      <w:pPr>
        <w:rPr>
          <w:highlight w:val="yellow"/>
        </w:rPr>
      </w:pPr>
      <w:r>
        <w:t xml:space="preserve">Furthermore the importance of good occupational hygiene is stressed. </w:t>
      </w:r>
      <w:r w:rsidR="00966BA8">
        <w:br w:type="page"/>
      </w:r>
    </w:p>
    <w:p w:rsidR="00580F0B" w:rsidRDefault="00580F0B" w:rsidP="00580F0B">
      <w:pPr>
        <w:pStyle w:val="Heading1"/>
      </w:pPr>
      <w:bookmarkStart w:id="48" w:name="_Toc391288256"/>
      <w:r>
        <w:lastRenderedPageBreak/>
        <w:t>References</w:t>
      </w:r>
      <w:bookmarkEnd w:id="48"/>
    </w:p>
    <w:p w:rsidR="00D15CBA" w:rsidRDefault="00D15CBA" w:rsidP="00D15CBA">
      <w:pPr>
        <w:spacing w:line="240" w:lineRule="auto"/>
      </w:pPr>
      <w:r w:rsidRPr="00D15CBA">
        <w:t>ACGIH (1991). Documentation of the threshold limit values and biological exposure indices. American Conference of Government Industrial Hygienists. 6th ed. Cincinnati</w:t>
      </w:r>
      <w:r>
        <w:t xml:space="preserve">, OH. As cited in </w:t>
      </w:r>
      <w:r w:rsidR="00ED7F03">
        <w:t>Safe Work</w:t>
      </w:r>
      <w:r>
        <w:t xml:space="preserve"> 2013. </w:t>
      </w:r>
    </w:p>
    <w:p w:rsidR="00D15CBA" w:rsidRDefault="00D15CBA" w:rsidP="00D15CBA">
      <w:pPr>
        <w:spacing w:line="240" w:lineRule="auto"/>
      </w:pPr>
    </w:p>
    <w:p w:rsidR="00767288" w:rsidRDefault="00767288" w:rsidP="00D15CBA">
      <w:pPr>
        <w:spacing w:line="240" w:lineRule="auto"/>
      </w:pPr>
      <w:r w:rsidRPr="00767288">
        <w:t>ACGIH (2001a). Lead, elemental and inorganic (BEI documentation). American Conference of Governmental Industrial Hygienists</w:t>
      </w:r>
      <w:r>
        <w:t xml:space="preserve">. </w:t>
      </w:r>
    </w:p>
    <w:p w:rsidR="00767288" w:rsidRDefault="00767288" w:rsidP="00D15CBA">
      <w:pPr>
        <w:spacing w:line="240" w:lineRule="auto"/>
      </w:pPr>
    </w:p>
    <w:p w:rsidR="00767288" w:rsidRDefault="00767288" w:rsidP="00D15CBA">
      <w:pPr>
        <w:spacing w:line="240" w:lineRule="auto"/>
      </w:pPr>
      <w:r w:rsidRPr="00767288">
        <w:t>ACGIH (2001b). Lead and inorganic compounds (TLV documentation). American Conference of Governmental Industrial Hygienists</w:t>
      </w:r>
      <w:r>
        <w:t xml:space="preserve">. </w:t>
      </w:r>
    </w:p>
    <w:p w:rsidR="00767288" w:rsidRDefault="00767288" w:rsidP="00D15CBA">
      <w:pPr>
        <w:spacing w:line="240" w:lineRule="auto"/>
      </w:pPr>
    </w:p>
    <w:p w:rsidR="0063483C" w:rsidRDefault="0063483C" w:rsidP="00D15CBA">
      <w:pPr>
        <w:spacing w:line="240" w:lineRule="auto"/>
      </w:pPr>
      <w:r w:rsidRPr="0063483C">
        <w:t>Ademuyiwa, O., Ugbaja, R. N., Ojo, D. A., Owoigbe, A. O. and Adeokun, S. E. (2005). Reversal of aminolevulinic acid dehydratase (ALAD) inhibition and reduction of erythrocyte protoporphyrin levels by Vitamin C in occupational lead exposure in Abeokuta, Nigeria. Environmental Toxicology and Pharmacology. 20: 404-411.</w:t>
      </w:r>
    </w:p>
    <w:p w:rsidR="0063483C" w:rsidRDefault="0063483C" w:rsidP="00D15CBA">
      <w:pPr>
        <w:spacing w:line="240" w:lineRule="auto"/>
      </w:pPr>
    </w:p>
    <w:p w:rsidR="00B855DE" w:rsidRDefault="00B855DE" w:rsidP="00D15CBA">
      <w:pPr>
        <w:spacing w:line="240" w:lineRule="auto"/>
      </w:pPr>
      <w:r w:rsidRPr="00B855DE">
        <w:t>AIOH (2009). AIOH Position Paper. Inorganic lead and occupational health issues. Prepared by AIOH Exposure Standards Committee. Australian Institute of Occupational Hygienists Inc. Position Paper on Inorganic Lead and Lead Compounds.</w:t>
      </w:r>
    </w:p>
    <w:p w:rsidR="00B855DE" w:rsidRDefault="00B855DE" w:rsidP="00D15CBA">
      <w:pPr>
        <w:spacing w:line="240" w:lineRule="auto"/>
      </w:pPr>
    </w:p>
    <w:p w:rsidR="00A73A06" w:rsidRDefault="00A73A06" w:rsidP="00D15CBA">
      <w:pPr>
        <w:spacing w:line="240" w:lineRule="auto"/>
      </w:pPr>
      <w:r w:rsidRPr="00A73A06">
        <w:t>Alexander, B. H., Checkoway, H., Costa-Mallen, P., Faustman, E. M., Woods, J. S., Kelsey, K. T., Netten, C. v. and Costa, L. G. (1998). Interaction of blood lead and δ-aminolevulinic acid dehydratase genotype on markers of heme synthesis and sperm production in lead smelter workers. Environmental Health Perspectives. 106: 213-216.</w:t>
      </w:r>
    </w:p>
    <w:p w:rsidR="00A73A06" w:rsidRDefault="00A73A06" w:rsidP="00D15CBA">
      <w:pPr>
        <w:spacing w:line="240" w:lineRule="auto"/>
      </w:pPr>
    </w:p>
    <w:p w:rsidR="004A1C8F" w:rsidRDefault="004A1C8F" w:rsidP="00D15CBA">
      <w:pPr>
        <w:spacing w:line="240" w:lineRule="auto"/>
      </w:pPr>
      <w:r w:rsidRPr="004A1C8F">
        <w:t>Angerer, J., Ewers, U. and Wilhelm, M. (2007). Human biomonitoring: State of the art. International Journal of Hygiene and Environmental Health. 210: 201-228.</w:t>
      </w:r>
    </w:p>
    <w:p w:rsidR="004A1C8F" w:rsidRDefault="004A1C8F" w:rsidP="00D15CBA">
      <w:pPr>
        <w:spacing w:line="240" w:lineRule="auto"/>
      </w:pPr>
    </w:p>
    <w:p w:rsidR="00131882" w:rsidRDefault="00131882" w:rsidP="00131882">
      <w:pPr>
        <w:spacing w:line="240" w:lineRule="auto"/>
        <w:ind w:firstLine="1"/>
        <w:rPr>
          <w:rFonts w:cs="Arial"/>
        </w:rPr>
      </w:pPr>
      <w:r w:rsidRPr="007E52FB">
        <w:rPr>
          <w:rFonts w:cs="Arial"/>
        </w:rPr>
        <w:t>Apostoli, P., Baj, A., Bavazzano, P., Ganzi, A., Neri, G., Ronchi, A., Soleo, L., Di Lorenzo, L., Spinelli, P., Valente, T. and Minoia, C. (2002). Blood lead reference values: the results of an Italian polycentric study. The Science of The Total Environment. 287: 1-11.</w:t>
      </w:r>
    </w:p>
    <w:p w:rsidR="00131882" w:rsidRDefault="00131882" w:rsidP="00D15CBA">
      <w:pPr>
        <w:spacing w:line="240" w:lineRule="auto"/>
      </w:pPr>
    </w:p>
    <w:p w:rsidR="0040732A" w:rsidRDefault="0040732A" w:rsidP="00D15CBA">
      <w:pPr>
        <w:spacing w:line="240" w:lineRule="auto"/>
      </w:pPr>
      <w:r w:rsidRPr="0040732A">
        <w:t>ATSDR (2007). Toxicological profile for lead. Agency for Toxic Substances and Disease Registry</w:t>
      </w:r>
      <w:r>
        <w:t xml:space="preserve">. </w:t>
      </w:r>
    </w:p>
    <w:p w:rsidR="0040732A" w:rsidRDefault="0040732A" w:rsidP="00D15CBA">
      <w:pPr>
        <w:spacing w:line="240" w:lineRule="auto"/>
      </w:pPr>
    </w:p>
    <w:p w:rsidR="00575252" w:rsidRDefault="00575252" w:rsidP="00D15CBA">
      <w:pPr>
        <w:spacing w:line="240" w:lineRule="auto"/>
      </w:pPr>
      <w:r w:rsidRPr="00575252">
        <w:t>Azar, A., Trochimowicz, H. J. and Maxfield, M. E. (1973). Review of lead studies in animals carried out at Haskell Laboratory: Two-year feeding study and response to hemorrhage study. In: Environmental health aspects of lead. Proceedings of an International Symposium, October 2-6 1972 Amsterdam, pg. 199-210. As cited in IARC 2006</w:t>
      </w:r>
      <w:r>
        <w:t xml:space="preserve">. </w:t>
      </w:r>
    </w:p>
    <w:p w:rsidR="00575252" w:rsidRDefault="00575252" w:rsidP="00D15CBA">
      <w:pPr>
        <w:spacing w:line="240" w:lineRule="auto"/>
      </w:pPr>
    </w:p>
    <w:p w:rsidR="00BE7F30" w:rsidRDefault="00BE7F30" w:rsidP="00D15CBA">
      <w:pPr>
        <w:spacing w:line="240" w:lineRule="auto"/>
      </w:pPr>
      <w:r w:rsidRPr="00BE7F30">
        <w:t>Bandeen-Roche, K., Glass, T. A., Bolla, K. I., Todd, A. C. and Schwartz, B. S. (2009). Cumulative lead dose and cognitive function in older adults. Epidemiology. 20: 831-839.</w:t>
      </w:r>
    </w:p>
    <w:p w:rsidR="00BE7F30" w:rsidRDefault="00BE7F30" w:rsidP="00D15CBA">
      <w:pPr>
        <w:spacing w:line="240" w:lineRule="auto"/>
      </w:pPr>
    </w:p>
    <w:p w:rsidR="004A1C8F" w:rsidRDefault="004A1C8F" w:rsidP="00D15CBA">
      <w:pPr>
        <w:spacing w:line="240" w:lineRule="auto"/>
      </w:pPr>
      <w:r w:rsidRPr="004A1C8F">
        <w:t>Barbosa Jr, F., Tanus-Santos, J. E., Gerlach, R. F. and Parsons, P. J. (2005). A critical review of biomarkers used for monitoring human exposure to lead: advantages, limitations, and future needs. Environmental Health Perspectives. 113: 1669-1674.</w:t>
      </w:r>
    </w:p>
    <w:p w:rsidR="004A1C8F" w:rsidRDefault="004A1C8F" w:rsidP="00D15CBA">
      <w:pPr>
        <w:spacing w:line="240" w:lineRule="auto"/>
      </w:pPr>
    </w:p>
    <w:p w:rsidR="00CB6E67" w:rsidRDefault="00CB6E67" w:rsidP="00D15CBA">
      <w:pPr>
        <w:spacing w:line="240" w:lineRule="auto"/>
      </w:pPr>
      <w:r w:rsidRPr="00CB6E67">
        <w:t>Barreiros, M. A., Pinheiro, T., Félix, P. M., Franco, C., Santos, M., Araújo, F., Freitas, M. C. and Almeida, S. M. (2013). Exhaled breath condensate as a biomonitor for metal exposure: a new analytical challenge. Journal of Radioanalytical and Nuclear Chemistry. 297: 377-382.</w:t>
      </w:r>
    </w:p>
    <w:p w:rsidR="00CB6E67" w:rsidRDefault="00CB6E67" w:rsidP="00D15CBA">
      <w:pPr>
        <w:spacing w:line="240" w:lineRule="auto"/>
      </w:pPr>
    </w:p>
    <w:p w:rsidR="00680183" w:rsidRDefault="00680183" w:rsidP="00D15CBA">
      <w:pPr>
        <w:spacing w:line="240" w:lineRule="auto"/>
      </w:pPr>
      <w:r w:rsidRPr="00680183">
        <w:t>Barth, A., Schaffer, A., Osterode, W., Winker, R., Konnaris, C., Valic, E., Wolf, C. and Rüdiger, H. (2002). Reduced cognitive abilities in lead-exposed men. International Archives of Occupational and Environmental Health. 75: 394-398.</w:t>
      </w:r>
    </w:p>
    <w:p w:rsidR="00680183" w:rsidRDefault="00680183" w:rsidP="00D15CBA">
      <w:pPr>
        <w:spacing w:line="240" w:lineRule="auto"/>
      </w:pPr>
    </w:p>
    <w:p w:rsidR="00752AE4" w:rsidRDefault="00752AE4" w:rsidP="00D15CBA">
      <w:pPr>
        <w:spacing w:line="240" w:lineRule="auto"/>
      </w:pPr>
      <w:r w:rsidRPr="00752AE4">
        <w:lastRenderedPageBreak/>
        <w:t>BA</w:t>
      </w:r>
      <w:r w:rsidR="00D36761">
        <w:t>u</w:t>
      </w:r>
      <w:r w:rsidRPr="00752AE4">
        <w:t xml:space="preserve">A (2007). Technische Regeln für Gefahrstoffe: Blei (TRGS 505), Ausgabe Februar 2007. Bundesanstalt für Arbeitsschutz und Arbeitsmedizin (in German). </w:t>
      </w:r>
      <w:hyperlink r:id="rId27" w:history="1">
        <w:r w:rsidRPr="006021EF">
          <w:rPr>
            <w:rStyle w:val="Hyperlink"/>
          </w:rPr>
          <w:t>http://www.baua.de/cae/servlet/contentblob/666040/publicationFile/47859/TRGS-505.pdf</w:t>
        </w:r>
      </w:hyperlink>
      <w:r>
        <w:t xml:space="preserve">. </w:t>
      </w:r>
    </w:p>
    <w:p w:rsidR="00752AE4" w:rsidRDefault="00752AE4" w:rsidP="00D15CBA">
      <w:pPr>
        <w:spacing w:line="240" w:lineRule="auto"/>
      </w:pPr>
    </w:p>
    <w:p w:rsidR="00360724" w:rsidRDefault="00360724" w:rsidP="00D15CBA">
      <w:pPr>
        <w:spacing w:line="240" w:lineRule="auto"/>
      </w:pPr>
      <w:r w:rsidRPr="00360724">
        <w:t>BA</w:t>
      </w:r>
      <w:r w:rsidR="00D36761">
        <w:t>u</w:t>
      </w:r>
      <w:r w:rsidRPr="00360724">
        <w:t>A (2013</w:t>
      </w:r>
      <w:r>
        <w:t>a</w:t>
      </w:r>
      <w:r w:rsidRPr="00360724">
        <w:t xml:space="preserve">). Technische Regeln für Gefahrstoffe: Arbeitsplatzgrenzwerte (TRGS 900), Ausgabe 2006 (zulezt geaendert und ergaenzt GMBI 2013 S. 363-364 v. 4.4.2013 [Nr. 17] (korr.)). Bundesanstalt für Arbeitsschutz und Arbeitsmedizin (in German). Available: </w:t>
      </w:r>
      <w:hyperlink r:id="rId28" w:history="1">
        <w:r w:rsidRPr="006021EF">
          <w:rPr>
            <w:rStyle w:val="Hyperlink"/>
          </w:rPr>
          <w:t>http://www.baua.de/de/Themen-von-A-Z/Gefahrstoffe/TRGS/TRGS-900.html</w:t>
        </w:r>
      </w:hyperlink>
      <w:r>
        <w:t xml:space="preserve">. </w:t>
      </w:r>
    </w:p>
    <w:p w:rsidR="00360724" w:rsidRDefault="00360724" w:rsidP="00D15CBA">
      <w:pPr>
        <w:spacing w:line="240" w:lineRule="auto"/>
      </w:pPr>
    </w:p>
    <w:p w:rsidR="00360724" w:rsidRDefault="00360724" w:rsidP="00D15CBA">
      <w:pPr>
        <w:spacing w:line="240" w:lineRule="auto"/>
      </w:pPr>
      <w:r w:rsidRPr="00360724">
        <w:t>BA</w:t>
      </w:r>
      <w:r w:rsidR="00D36761">
        <w:t>u</w:t>
      </w:r>
      <w:r w:rsidRPr="00360724">
        <w:t xml:space="preserve">A (2013b). Technische Regeln für Gefahrstoffe: Biologische Grenzwerte (BGW) (TRGS 903), Ausgabe Februar 2013 (GMBI 2013 S. 364-372 v. 4.4.2013 [Nr. 17]). Bundesanstalt für Arbeitsschutz und Arbeitsmedizin (in German). Available: </w:t>
      </w:r>
      <w:hyperlink r:id="rId29" w:history="1">
        <w:r w:rsidRPr="006021EF">
          <w:rPr>
            <w:rStyle w:val="Hyperlink"/>
          </w:rPr>
          <w:t>http://www.gaa.baden-wuerttemberg.de/servlet/is/16495/5_903.pdf</w:t>
        </w:r>
      </w:hyperlink>
      <w:r>
        <w:t xml:space="preserve">. </w:t>
      </w:r>
    </w:p>
    <w:p w:rsidR="00360724" w:rsidRDefault="00360724" w:rsidP="00D15CBA">
      <w:pPr>
        <w:spacing w:line="240" w:lineRule="auto"/>
      </w:pPr>
    </w:p>
    <w:p w:rsidR="00131882" w:rsidRDefault="00131882" w:rsidP="00131882">
      <w:pPr>
        <w:spacing w:line="240" w:lineRule="auto"/>
        <w:ind w:firstLine="1"/>
        <w:rPr>
          <w:rFonts w:cs="Arial"/>
        </w:rPr>
      </w:pPr>
      <w:r w:rsidRPr="00FF26D3">
        <w:rPr>
          <w:rFonts w:cs="Arial"/>
        </w:rPr>
        <w:t>Becker, K., Kaus, S., Krause, C., Lepom, P., Schulz, C., Seiwert, M. and Seifert, B. (2002). German Environmental Survey 1998 (GerES III): environmental pollutants in blood of the German population. International Journal of Hygiene and Environmental Health. 205: 297-308.</w:t>
      </w:r>
    </w:p>
    <w:p w:rsidR="00131882" w:rsidRDefault="00131882" w:rsidP="00D15CBA">
      <w:pPr>
        <w:spacing w:line="240" w:lineRule="auto"/>
      </w:pPr>
    </w:p>
    <w:p w:rsidR="00F86E9C" w:rsidRDefault="00F86E9C" w:rsidP="00D15CBA">
      <w:pPr>
        <w:spacing w:line="240" w:lineRule="auto"/>
      </w:pPr>
      <w:r w:rsidRPr="00F86E9C">
        <w:t>Bergdahl, I. A. and Skerfving, S. (2008). Biomonitoring of Lead Exposure-Alternatives to Blood. Journal of Toxicology and Environmental Health, Part A: Current Issues. 71: 1235 - 1243.</w:t>
      </w:r>
    </w:p>
    <w:p w:rsidR="00F86E9C" w:rsidRDefault="00F86E9C" w:rsidP="00D15CBA">
      <w:pPr>
        <w:spacing w:line="240" w:lineRule="auto"/>
      </w:pPr>
    </w:p>
    <w:p w:rsidR="00DD262A" w:rsidRDefault="00DD262A" w:rsidP="00D15CBA">
      <w:pPr>
        <w:spacing w:line="240" w:lineRule="auto"/>
      </w:pPr>
      <w:r w:rsidRPr="00DD262A">
        <w:t>Binks, K., Doll, R., Gillies, M., Holroyd, C., Jones, S. R., McGeoghegan, D., Scott, L., Wakeford, R. and Walker, P. (2005). Mortality experience of male workers at a UK tin smelter. Occupational Medicine. 55: 215-226.</w:t>
      </w:r>
    </w:p>
    <w:p w:rsidR="00DD262A" w:rsidRDefault="00DD262A" w:rsidP="00D15CBA">
      <w:pPr>
        <w:spacing w:line="240" w:lineRule="auto"/>
      </w:pPr>
    </w:p>
    <w:p w:rsidR="00813634" w:rsidRDefault="00813634" w:rsidP="00D15CBA">
      <w:pPr>
        <w:spacing w:line="240" w:lineRule="auto"/>
      </w:pPr>
      <w:r w:rsidRPr="00813634">
        <w:t>Bishop, L. and Hill, W. J. (1983). A Study of the Relationship Between Blood Lead Levels and Occupational Air Lead Levels. The American Statistician. 37: 471-475.</w:t>
      </w:r>
    </w:p>
    <w:p w:rsidR="00813634" w:rsidRDefault="00813634" w:rsidP="00D15CBA">
      <w:pPr>
        <w:spacing w:line="240" w:lineRule="auto"/>
      </w:pPr>
    </w:p>
    <w:p w:rsidR="00DA4F10" w:rsidRDefault="00DA4F10" w:rsidP="00D15CBA">
      <w:pPr>
        <w:spacing w:line="240" w:lineRule="auto"/>
      </w:pPr>
      <w:r w:rsidRPr="00DA4F10">
        <w:t>Bleecker, M. L., Lindgren, K. N. and Ford, D. P. (1997). Differential contribution of current and cumulative indices of lead dose to neuropsychological performance by age. Neurology. 48: 639-645.</w:t>
      </w:r>
    </w:p>
    <w:p w:rsidR="004A6DC1" w:rsidRDefault="004A6DC1" w:rsidP="00D15CBA">
      <w:pPr>
        <w:spacing w:line="240" w:lineRule="auto"/>
      </w:pPr>
    </w:p>
    <w:p w:rsidR="00626F62" w:rsidRDefault="00626F62" w:rsidP="00D15CBA">
      <w:pPr>
        <w:spacing w:line="240" w:lineRule="auto"/>
      </w:pPr>
      <w:r w:rsidRPr="00626F62">
        <w:t>Bleecker, M. L., Ford, D. P., Celio, M. A., Vaughan, C. G. and Lindgren, K. N. (2007a). Impact of cognitive reserve on the relationship of lead exposure and neurobehavioral performance. Neurology. 69: 470-476.</w:t>
      </w:r>
    </w:p>
    <w:p w:rsidR="00626F62" w:rsidRDefault="00626F62" w:rsidP="00D15CBA">
      <w:pPr>
        <w:spacing w:line="240" w:lineRule="auto"/>
      </w:pPr>
    </w:p>
    <w:p w:rsidR="00626F62" w:rsidRDefault="00626F62" w:rsidP="00D15CBA">
      <w:pPr>
        <w:spacing w:line="240" w:lineRule="auto"/>
      </w:pPr>
      <w:r w:rsidRPr="00626F62">
        <w:t>Bleecker, M. L., Ford, D. P., Vaughan, C. G., Walsh, K. S. and Lindgren, K. N. (2007b). The association of lead exposure and motor performance mediated by cerebral white matter change. NeuroToxicology. 28: 318-323.</w:t>
      </w:r>
    </w:p>
    <w:p w:rsidR="00626F62" w:rsidRDefault="00626F62" w:rsidP="00D15CBA">
      <w:pPr>
        <w:spacing w:line="240" w:lineRule="auto"/>
      </w:pPr>
    </w:p>
    <w:p w:rsidR="00167FF7" w:rsidRPr="00167FF7" w:rsidRDefault="00167FF7" w:rsidP="00167FF7">
      <w:pPr>
        <w:spacing w:line="240" w:lineRule="auto"/>
      </w:pPr>
      <w:r w:rsidRPr="00167FF7">
        <w:t>Boffetta, P., Fontana, L., Stewart, P., Zaridze, D., Szeszenia-Dabrowska, N., Janout, V., Bencko, V., Foretova, L., Jinga, V., Matveev, V., Kollarova, H., Ferro, G., Chow, W.-H., Rothman, N., van Bemmel, D., Karami, S., Brennan, P. and Moore, L. E. (2011). Occupational exposure to arsenic, cadmium, chromium, lead and nickel, and renal cell carcinoma: a case–control study from Central and Eastern Europe. Occupational and Environmental Medicine. 68: 723-728.</w:t>
      </w:r>
    </w:p>
    <w:p w:rsidR="00167FF7" w:rsidRDefault="00167FF7" w:rsidP="00D15CBA">
      <w:pPr>
        <w:spacing w:line="240" w:lineRule="auto"/>
      </w:pPr>
    </w:p>
    <w:p w:rsidR="00A73A06" w:rsidRDefault="00A73A06" w:rsidP="00D15CBA">
      <w:pPr>
        <w:spacing w:line="240" w:lineRule="auto"/>
      </w:pPr>
      <w:r w:rsidRPr="00A73A06">
        <w:t>Bonde, J. P., Joffe, M., Apostoli, P., Dale, A., Kiss, P., Spano, M., Caruso, F., Giwercman, A., Bisanti, L., Porru, S., Vanhoorne, M., Comhaire, F. and Zschiesche, W. (2002). Sperm count and chromatin structure in men exposed to inorganic lead: lowest adverse effect levels. Occupational and Environmental Medicine. 59: 234-242.</w:t>
      </w:r>
    </w:p>
    <w:p w:rsidR="00A73A06" w:rsidRDefault="00A73A06" w:rsidP="00D15CBA">
      <w:pPr>
        <w:spacing w:line="240" w:lineRule="auto"/>
      </w:pPr>
    </w:p>
    <w:p w:rsidR="004A6DC1" w:rsidRDefault="004A6DC1" w:rsidP="00D15CBA">
      <w:pPr>
        <w:spacing w:line="240" w:lineRule="auto"/>
      </w:pPr>
      <w:r w:rsidRPr="004A6DC1">
        <w:t>Borja-Aburto, V. H., Hertz-Picciotto, I., Lopez, M. R., Farias, P., Rios, C. and Blanco, J. (1999). Blood lead levels measured prospectively and risk of spontaneous abortion. American Journal of Epidemiology. 150: 590-597.</w:t>
      </w:r>
    </w:p>
    <w:p w:rsidR="00DA4F10" w:rsidRDefault="00DA4F10" w:rsidP="00D15CBA">
      <w:pPr>
        <w:spacing w:line="240" w:lineRule="auto"/>
      </w:pPr>
    </w:p>
    <w:p w:rsidR="00F6487E" w:rsidRDefault="00F6487E" w:rsidP="00D15CBA">
      <w:pPr>
        <w:spacing w:line="240" w:lineRule="auto"/>
      </w:pPr>
      <w:r w:rsidRPr="00F6487E">
        <w:lastRenderedPageBreak/>
        <w:t>Bouchard, M. F., Bellinger, D. C., Weuve, J., Matthews-Bellinger, J., Gilman, S. E., Wright, R. O., Schwartz, J. and Weisskopf, M. G. (2009). Blood lead levels and major depressive disorder, panic disorder, and generalized anxiety disorder in us young adults. Archives of General Psychiatry. 66: 1313-1319.</w:t>
      </w:r>
    </w:p>
    <w:p w:rsidR="00F6487E" w:rsidRDefault="00F6487E" w:rsidP="00D15CBA">
      <w:pPr>
        <w:spacing w:line="240" w:lineRule="auto"/>
      </w:pPr>
    </w:p>
    <w:p w:rsidR="0013088D" w:rsidRDefault="0013088D" w:rsidP="00D15CBA">
      <w:pPr>
        <w:spacing w:line="240" w:lineRule="auto"/>
      </w:pPr>
      <w:r w:rsidRPr="0013088D">
        <w:t>Braunstein, G. D., Dahlgren, J. and Loriaux, D. L. (1978). Hypogonadism in chronically lead-poisoned men. Infertility. 1: 33-51. As cited in ATSDR 2007.</w:t>
      </w:r>
    </w:p>
    <w:p w:rsidR="0013088D" w:rsidRDefault="0013088D" w:rsidP="00D15CBA">
      <w:pPr>
        <w:spacing w:line="240" w:lineRule="auto"/>
      </w:pPr>
    </w:p>
    <w:p w:rsidR="000A6361" w:rsidRDefault="000A6361" w:rsidP="00D15CBA">
      <w:pPr>
        <w:spacing w:line="240" w:lineRule="auto"/>
      </w:pPr>
      <w:r w:rsidRPr="000A6361">
        <w:t>Caciari, T., Casale, T., Ciarrocca, M., Capozzella, A., Gioffrè, P. A., Corbosiero, P., Tomei, G., Scala, B., Andreozzi, G., Nardone, N., Tomei, F. and Rosati, M. V. (2013). Correlation between total blood lead values and peripheral blood counts in workers occupationally exposed to urban stressors. Journal of Environmental Science and Health, Part A. 48: 1457-1469.</w:t>
      </w:r>
    </w:p>
    <w:p w:rsidR="000A6361" w:rsidRDefault="000A6361" w:rsidP="00D15CBA">
      <w:pPr>
        <w:spacing w:line="240" w:lineRule="auto"/>
      </w:pPr>
    </w:p>
    <w:p w:rsidR="00B2058E" w:rsidRDefault="00B2058E" w:rsidP="00D15CBA">
      <w:pPr>
        <w:spacing w:line="240" w:lineRule="auto"/>
      </w:pPr>
      <w:r w:rsidRPr="00B2058E">
        <w:t>Cal DIR (2013). Code of Regulations. Title 8, Article 4, Section 1532.1 Lead. California Department of Industrial Relations.</w:t>
      </w:r>
      <w:r>
        <w:t xml:space="preserve"> </w:t>
      </w:r>
      <w:r w:rsidR="00095C87" w:rsidRPr="00095C87">
        <w:rPr>
          <w:color w:val="0000FF"/>
          <w:u w:val="single"/>
        </w:rPr>
        <w:t>https://www.dir.ca.gov/title8/1532_1.html</w:t>
      </w:r>
    </w:p>
    <w:p w:rsidR="00B2058E" w:rsidRDefault="00B2058E" w:rsidP="00D15CBA">
      <w:pPr>
        <w:spacing w:line="240" w:lineRule="auto"/>
      </w:pPr>
    </w:p>
    <w:p w:rsidR="00B2058E" w:rsidRDefault="00B2058E" w:rsidP="00D15CBA">
      <w:pPr>
        <w:spacing w:line="240" w:lineRule="auto"/>
      </w:pPr>
      <w:r w:rsidRPr="00B2058E">
        <w:t xml:space="preserve">Cal DIR (undated). Table AC-1 Permissible exposure limits for chemical contaminants. California Department of Industrial Relations. </w:t>
      </w:r>
      <w:hyperlink r:id="rId30" w:history="1">
        <w:r w:rsidRPr="00A8570D">
          <w:rPr>
            <w:rStyle w:val="Hyperlink"/>
          </w:rPr>
          <w:t>http://www.dir.ca.gov/title8/ac1.pdf</w:t>
        </w:r>
      </w:hyperlink>
      <w:r>
        <w:t xml:space="preserve">. </w:t>
      </w:r>
    </w:p>
    <w:p w:rsidR="00B2058E" w:rsidRDefault="00B2058E" w:rsidP="00D15CBA">
      <w:pPr>
        <w:spacing w:line="240" w:lineRule="auto"/>
      </w:pPr>
    </w:p>
    <w:p w:rsidR="009400ED" w:rsidRDefault="00D47504" w:rsidP="00D15CBA">
      <w:pPr>
        <w:spacing w:line="240" w:lineRule="auto"/>
      </w:pPr>
      <w:r w:rsidRPr="00D47504">
        <w:t xml:space="preserve">Cal DPH (2009). Medical guidelines for the lead-exposed worker. California Department of Public Health. </w:t>
      </w:r>
      <w:hyperlink r:id="rId31" w:history="1">
        <w:r w:rsidRPr="00691657">
          <w:rPr>
            <w:rStyle w:val="Hyperlink"/>
          </w:rPr>
          <w:t>http://www.cdph.ca.gov/programs/olppp/Documents/medgdln.pdf</w:t>
        </w:r>
      </w:hyperlink>
      <w:r>
        <w:t>.</w:t>
      </w:r>
    </w:p>
    <w:p w:rsidR="009400ED" w:rsidRDefault="009400ED" w:rsidP="00D15CBA">
      <w:pPr>
        <w:spacing w:line="240" w:lineRule="auto"/>
      </w:pPr>
    </w:p>
    <w:p w:rsidR="00D47504" w:rsidRDefault="009400ED" w:rsidP="00D15CBA">
      <w:pPr>
        <w:spacing w:line="240" w:lineRule="auto"/>
      </w:pPr>
      <w:r w:rsidRPr="009400ED">
        <w:t xml:space="preserve">Cal DPH (2010). Summary of CDPH proposed changes to the general industry lead standard. California Department of Public Health, Occupational Lead Poisoning Prevention Program. June 3, 2010. </w:t>
      </w:r>
      <w:hyperlink r:id="rId32" w:history="1">
        <w:r w:rsidRPr="00691657">
          <w:rPr>
            <w:rStyle w:val="Hyperlink"/>
          </w:rPr>
          <w:t>http://www.cdph.ca.gov/programs/olppp/Documents/LeadStdRecsSummary.pdf</w:t>
        </w:r>
      </w:hyperlink>
      <w:r>
        <w:t xml:space="preserve">. </w:t>
      </w:r>
      <w:r w:rsidR="00D47504">
        <w:t xml:space="preserve"> </w:t>
      </w:r>
    </w:p>
    <w:p w:rsidR="00681D1D" w:rsidRDefault="00681D1D" w:rsidP="00D15CBA">
      <w:pPr>
        <w:spacing w:line="240" w:lineRule="auto"/>
      </w:pPr>
    </w:p>
    <w:p w:rsidR="00130EAD" w:rsidRDefault="00681D1D" w:rsidP="00D15CBA">
      <w:pPr>
        <w:spacing w:line="240" w:lineRule="auto"/>
      </w:pPr>
      <w:r w:rsidRPr="00681D1D">
        <w:t>Cal DPH (2011). CA Dept of Public Health proposed revisions - December 2011 to: Cal/OSHA General Industry Safety Orders, Lead. Title 8, California Code of Regulations. California Department of Public Health. December 2011.</w:t>
      </w:r>
      <w:r>
        <w:t xml:space="preserve"> </w:t>
      </w:r>
      <w:r w:rsidRPr="00681D1D">
        <w:t xml:space="preserve"> </w:t>
      </w:r>
      <w:hyperlink r:id="rId33" w:history="1">
        <w:r w:rsidRPr="00691657">
          <w:rPr>
            <w:rStyle w:val="Hyperlink"/>
          </w:rPr>
          <w:t>http://www.cdph.ca.gov/programs/olppp/Documents/LeadStdRecsTracked.pdf</w:t>
        </w:r>
      </w:hyperlink>
      <w:r>
        <w:t>.</w:t>
      </w:r>
    </w:p>
    <w:p w:rsidR="00130EAD" w:rsidRDefault="00130EAD" w:rsidP="00D15CBA">
      <w:pPr>
        <w:spacing w:line="240" w:lineRule="auto"/>
      </w:pPr>
    </w:p>
    <w:p w:rsidR="00681D1D" w:rsidRDefault="00130EAD" w:rsidP="00D15CBA">
      <w:pPr>
        <w:spacing w:line="240" w:lineRule="auto"/>
      </w:pPr>
      <w:r w:rsidRPr="00130EAD">
        <w:t xml:space="preserve">Cal DPH (2013). Re: Health-based permissible exposure limit for lead. California Department of Public Health. September 30, 2013. </w:t>
      </w:r>
      <w:hyperlink r:id="rId34" w:history="1">
        <w:r w:rsidRPr="00691657">
          <w:rPr>
            <w:rStyle w:val="Hyperlink"/>
          </w:rPr>
          <w:t>http://www.cdph.ca.gov/programs/olppp/Documents/LeadStdPELRec.pdf</w:t>
        </w:r>
      </w:hyperlink>
      <w:r>
        <w:t xml:space="preserve">. </w:t>
      </w:r>
      <w:r w:rsidR="00681D1D">
        <w:t xml:space="preserve"> </w:t>
      </w:r>
    </w:p>
    <w:p w:rsidR="00D47504" w:rsidRDefault="00D47504" w:rsidP="00D15CBA">
      <w:pPr>
        <w:spacing w:line="240" w:lineRule="auto"/>
      </w:pPr>
    </w:p>
    <w:p w:rsidR="00C87396" w:rsidRDefault="00C87396" w:rsidP="00D15CBA">
      <w:pPr>
        <w:spacing w:line="240" w:lineRule="auto"/>
      </w:pPr>
      <w:r w:rsidRPr="00C87396">
        <w:t xml:space="preserve">CDC (2005). Third National Report on Human Exposure to Environmental Chemicals. Department of Health and Human Services, Centers for Disease Control and Prevention. </w:t>
      </w:r>
      <w:hyperlink r:id="rId35" w:history="1">
        <w:r w:rsidRPr="00E06EF6">
          <w:rPr>
            <w:rStyle w:val="Hyperlink"/>
          </w:rPr>
          <w:t>http://www.clu-in.org/download/contaminantfocus/pcb/third-report.pdf</w:t>
        </w:r>
      </w:hyperlink>
      <w:r>
        <w:t xml:space="preserve">. </w:t>
      </w:r>
    </w:p>
    <w:p w:rsidR="00C87396" w:rsidRDefault="00C87396" w:rsidP="00D15CBA">
      <w:pPr>
        <w:spacing w:line="240" w:lineRule="auto"/>
      </w:pPr>
    </w:p>
    <w:p w:rsidR="00736CB1" w:rsidRDefault="00736CB1" w:rsidP="00D15CBA">
      <w:pPr>
        <w:spacing w:line="240" w:lineRule="auto"/>
      </w:pPr>
      <w:r w:rsidRPr="00736CB1">
        <w:t>Carta, P., Aru, G., Nurchis, P., Cadeddu, C., Polizzi, M., Nieddu, V., Sali, G., Gaviano, L., Flore, C. and Sanna, R. F. (2005). Study on mprtality by specific cause among workers at a lead and zinc foundry in Sardinia (in Italian). Giornale italiano di medicina del lavoro ed ergonomia. 27 (Suppl 1): 43-45. Abstract only.</w:t>
      </w:r>
    </w:p>
    <w:p w:rsidR="00736CB1" w:rsidRDefault="00736CB1" w:rsidP="00D15CBA">
      <w:pPr>
        <w:spacing w:line="240" w:lineRule="auto"/>
      </w:pPr>
    </w:p>
    <w:p w:rsidR="00ED229B" w:rsidRDefault="00ED229B" w:rsidP="00D15CBA">
      <w:pPr>
        <w:spacing w:line="240" w:lineRule="auto"/>
      </w:pPr>
      <w:r w:rsidRPr="00ED229B">
        <w:t>Chamberlain, A. C., Heard, M. J., Little, P., Newton, D., Wells, A. C. and Wiffen, R. D. (1978). Investigations into lead from motor vehicles. United Kingdom Atomic Energy Authority, report no. AERE-R9198</w:t>
      </w:r>
      <w:r>
        <w:t xml:space="preserve">. </w:t>
      </w:r>
    </w:p>
    <w:p w:rsidR="00ED229B" w:rsidRDefault="00ED229B" w:rsidP="00D15CBA">
      <w:pPr>
        <w:spacing w:line="240" w:lineRule="auto"/>
      </w:pPr>
    </w:p>
    <w:p w:rsidR="00CF0A01" w:rsidRDefault="00CF0A01" w:rsidP="00D15CBA">
      <w:pPr>
        <w:spacing w:line="240" w:lineRule="auto"/>
      </w:pPr>
      <w:r w:rsidRPr="00CF0A01">
        <w:t>Chamberlain, A. C. (1983). Effect of airborne lead on blood lead. Atmospheric Environment (1967). 17: 677-692.</w:t>
      </w:r>
    </w:p>
    <w:p w:rsidR="00CF0A01" w:rsidRDefault="00CF0A01" w:rsidP="00D15CBA">
      <w:pPr>
        <w:spacing w:line="240" w:lineRule="auto"/>
      </w:pPr>
    </w:p>
    <w:p w:rsidR="00E00AD7" w:rsidRDefault="00E00AD7" w:rsidP="00D15CBA">
      <w:pPr>
        <w:spacing w:line="240" w:lineRule="auto"/>
      </w:pPr>
      <w:r w:rsidRPr="00E00AD7">
        <w:t>Chancellor, A. M., Slattery, J. M., Fraser, H. and Warlow, C. P. (1993). Risk factors for motor neuron disease: a case-control study based on patients from the Scottish Motor Neuron Disease Register. Journal of Neurology, Neurosurgery &amp; Psychiatry. 56: 1200-1206.</w:t>
      </w:r>
    </w:p>
    <w:p w:rsidR="00E00AD7" w:rsidRDefault="00E00AD7" w:rsidP="00D15CBA">
      <w:pPr>
        <w:spacing w:line="240" w:lineRule="auto"/>
      </w:pPr>
    </w:p>
    <w:p w:rsidR="00975C27" w:rsidRDefault="00975C27" w:rsidP="00D15CBA">
      <w:pPr>
        <w:spacing w:line="240" w:lineRule="auto"/>
      </w:pPr>
      <w:r w:rsidRPr="00975C27">
        <w:lastRenderedPageBreak/>
        <w:t>Chang, S.-H., Cheng, B.-H., Lee, S.-L., Chuang, H.-Y., Yang, C.-Y., Sung, F.-C. and Wu, T.-N. (2006). Low blood lead concentration in association with infertility in women. Environmental Research. 101: 380-386.</w:t>
      </w:r>
    </w:p>
    <w:p w:rsidR="00975C27" w:rsidRDefault="00975C27" w:rsidP="00D15CBA">
      <w:pPr>
        <w:spacing w:line="240" w:lineRule="auto"/>
      </w:pPr>
    </w:p>
    <w:p w:rsidR="00721271" w:rsidRDefault="00721271" w:rsidP="00721271">
      <w:pPr>
        <w:spacing w:line="240" w:lineRule="auto"/>
        <w:ind w:firstLine="1"/>
        <w:rPr>
          <w:rFonts w:cs="Arial"/>
        </w:rPr>
      </w:pPr>
      <w:r w:rsidRPr="0047523D">
        <w:rPr>
          <w:rFonts w:cs="Arial"/>
        </w:rPr>
        <w:t xml:space="preserve">Chavalitnitikul, C., Levin, L. and Chen, L.-C. (1984). </w:t>
      </w:r>
      <w:r>
        <w:rPr>
          <w:rFonts w:cs="Arial"/>
        </w:rPr>
        <w:t>S</w:t>
      </w:r>
      <w:r w:rsidRPr="0047523D">
        <w:rPr>
          <w:rFonts w:cs="Arial"/>
        </w:rPr>
        <w:t>tudy and models of total lead exposures of battery workers. American Industrial Hygiene Association Journal. 45 (12): 802 - 808.</w:t>
      </w:r>
    </w:p>
    <w:p w:rsidR="00721271" w:rsidRDefault="00721271" w:rsidP="00D15CBA">
      <w:pPr>
        <w:spacing w:line="240" w:lineRule="auto"/>
      </w:pPr>
    </w:p>
    <w:p w:rsidR="0079327B" w:rsidRDefault="0079327B" w:rsidP="00D15CBA">
      <w:pPr>
        <w:spacing w:line="240" w:lineRule="auto"/>
      </w:pPr>
      <w:r w:rsidRPr="0079327B">
        <w:t>Chen, P.-C., Pan, I. J. and Wang, J.-D. (2006). Parental exposure to lead and small for gestational age births. American Journal of Industrial Medicine. 49: 417-422.</w:t>
      </w:r>
    </w:p>
    <w:p w:rsidR="0079327B" w:rsidRDefault="0079327B" w:rsidP="00D15CBA">
      <w:pPr>
        <w:spacing w:line="240" w:lineRule="auto"/>
      </w:pPr>
    </w:p>
    <w:p w:rsidR="000A6361" w:rsidRDefault="000A6361" w:rsidP="00D15CBA">
      <w:pPr>
        <w:spacing w:line="240" w:lineRule="auto"/>
      </w:pPr>
      <w:r w:rsidRPr="000A6361">
        <w:t>Chen, C.-C., Yen, H.-W., Lo, Y.-H., Chu, Y.-H., Chiu, Y.-W. and Chuang, H.-Y. (2013). The association of prologed QT interval on electrocardiography and chronic lead exposure. Journal of Occupational and Environmental Medicine. 55: 614-619.</w:t>
      </w:r>
    </w:p>
    <w:p w:rsidR="000A6361" w:rsidRDefault="000A6361" w:rsidP="00D15CBA">
      <w:pPr>
        <w:spacing w:line="240" w:lineRule="auto"/>
      </w:pPr>
    </w:p>
    <w:p w:rsidR="007E143F" w:rsidRDefault="007E143F" w:rsidP="00D15CBA">
      <w:pPr>
        <w:spacing w:line="240" w:lineRule="auto"/>
      </w:pPr>
      <w:r w:rsidRPr="007E143F">
        <w:t>Chia, K. S., Mutti, A., Alinovi, R., Jeyaratnam, J., Tan, C., Ong, C. N. and Lee, E. (1994). Urinary excretion of tubular brush border antigens among lead exposed workers. Ann Acad Med Singapore. 23: 655-659. As cited in NIWL 2005.</w:t>
      </w:r>
    </w:p>
    <w:p w:rsidR="007E143F" w:rsidRDefault="007E143F" w:rsidP="00D15CBA">
      <w:pPr>
        <w:spacing w:line="240" w:lineRule="auto"/>
      </w:pPr>
    </w:p>
    <w:p w:rsidR="007E143F" w:rsidRDefault="007E143F" w:rsidP="00D15CBA">
      <w:pPr>
        <w:spacing w:line="240" w:lineRule="auto"/>
      </w:pPr>
      <w:r w:rsidRPr="007E143F">
        <w:t>Chia, K. S., Jeyaratnam, J., Lee, J., Tan, C., Ong, H. Y., Ong, C. N. and Lee, E. (1995). Lead-induced nephropathy: Relationship between various biological exposure indices and early markers of nephrotoxicity. American Journal of Industrial Medicine. 27: 883-895.</w:t>
      </w:r>
    </w:p>
    <w:p w:rsidR="007E143F" w:rsidRDefault="007E143F" w:rsidP="00D15CBA">
      <w:pPr>
        <w:spacing w:line="240" w:lineRule="auto"/>
      </w:pPr>
    </w:p>
    <w:p w:rsidR="00F050B4" w:rsidRDefault="00F050B4" w:rsidP="00D15CBA">
      <w:pPr>
        <w:spacing w:line="240" w:lineRule="auto"/>
      </w:pPr>
      <w:r w:rsidRPr="00F050B4">
        <w:t>Chia, S. E., Chia, H. P., Ong, C. N. and Jeyaratnam, J. (1996a). Cumulative blood lead levels and nerve conduction parameters. Occupational Medicine. 46: 59-64.</w:t>
      </w:r>
    </w:p>
    <w:p w:rsidR="00F050B4" w:rsidRDefault="00F050B4" w:rsidP="00D15CBA">
      <w:pPr>
        <w:spacing w:line="240" w:lineRule="auto"/>
      </w:pPr>
    </w:p>
    <w:p w:rsidR="00F050B4" w:rsidRDefault="00F050B4" w:rsidP="00D15CBA">
      <w:pPr>
        <w:spacing w:line="240" w:lineRule="auto"/>
      </w:pPr>
      <w:r w:rsidRPr="00F050B4">
        <w:t>Chia, S.-E., Chia, K.-S., Chia, H.-P., Ong, C.-N. and Jeyaratnam, J. (1996b). Three-year follow-up of serial nerve conduction among lead-exposed workers. Scandinavian Journal of Work, Environment &amp; Health. 22: 374-380.</w:t>
      </w:r>
    </w:p>
    <w:p w:rsidR="00F050B4" w:rsidRDefault="00F050B4" w:rsidP="00D15CBA">
      <w:pPr>
        <w:spacing w:line="240" w:lineRule="auto"/>
      </w:pPr>
    </w:p>
    <w:p w:rsidR="00951596" w:rsidRDefault="00951596" w:rsidP="00D15CBA">
      <w:pPr>
        <w:spacing w:line="240" w:lineRule="auto"/>
      </w:pPr>
      <w:r w:rsidRPr="00951596">
        <w:t>Chia, S. E., Chia, H. P., Ong, C. N. and Jeyaratnam, J. (1997). Cumulative blood lead levels and neurobehavioral test performance. NeuroToxicology. 18: 793-803. As cited in NIWL 2005.</w:t>
      </w:r>
    </w:p>
    <w:p w:rsidR="00F050B4" w:rsidRPr="00F050B4" w:rsidRDefault="00F050B4" w:rsidP="00F050B4">
      <w:pPr>
        <w:spacing w:line="240" w:lineRule="auto"/>
      </w:pPr>
    </w:p>
    <w:p w:rsidR="005E7746" w:rsidRDefault="005E7746" w:rsidP="00F050B4">
      <w:pPr>
        <w:spacing w:line="240" w:lineRule="auto"/>
      </w:pPr>
      <w:r w:rsidRPr="005E7746">
        <w:t>Choi, Y.-H., Hu, H., Mukherjee, B., Miller, J. and Park, S. K. (2012). Environmental cadmium and lead exposures and hearing loss in U.S. adults: The National Health and Nutrition Examination Survey, 1999 to 2004. Environmental Health Perspectives. 120: 1544-1550.</w:t>
      </w:r>
    </w:p>
    <w:p w:rsidR="005E7746" w:rsidRDefault="005E7746" w:rsidP="00F050B4">
      <w:pPr>
        <w:spacing w:line="240" w:lineRule="auto"/>
      </w:pPr>
    </w:p>
    <w:p w:rsidR="00F050B4" w:rsidRDefault="00F050B4" w:rsidP="00F050B4">
      <w:pPr>
        <w:spacing w:line="240" w:lineRule="auto"/>
      </w:pPr>
      <w:r w:rsidRPr="00F050B4">
        <w:t>Chuang, H.-Y., Schwartz, J., Tsai, S.-Y., Lee, M.-L. T., Wang, J.-D. and Hu, H. (2000). Vibration perception thresholds in workers with long term exposure to lead. Occupational and Environmental Medicine. 57: 588-594.</w:t>
      </w:r>
    </w:p>
    <w:p w:rsidR="00F050B4" w:rsidRDefault="00F050B4" w:rsidP="00F050B4">
      <w:pPr>
        <w:spacing w:line="240" w:lineRule="auto"/>
      </w:pPr>
    </w:p>
    <w:p w:rsidR="00CF0A01" w:rsidRDefault="00CF0A01" w:rsidP="00D15CBA">
      <w:pPr>
        <w:spacing w:line="240" w:lineRule="auto"/>
      </w:pPr>
      <w:r w:rsidRPr="00CF0A01">
        <w:t xml:space="preserve">Cohen, J. (1987). Memorandum to Fred Miller and Ted Martonen of the Inhalation Toxicology Division entitled: "Respiratory deposition and absorption of lead particles". United States Environmental Protection Agency. October 7, 1987. </w:t>
      </w:r>
      <w:hyperlink r:id="rId36" w:anchor="!documentDetail;D=EPA-HQ-OAR-2004-0549-0007" w:history="1">
        <w:r w:rsidRPr="00A93640">
          <w:rPr>
            <w:rStyle w:val="Hyperlink"/>
          </w:rPr>
          <w:t>http://www.regulations.gov/#!documentDetail;D=EPA-HQ-OAR-2004-0549-0007</w:t>
        </w:r>
      </w:hyperlink>
      <w:r>
        <w:t xml:space="preserve">. </w:t>
      </w:r>
    </w:p>
    <w:p w:rsidR="00CF0A01" w:rsidRDefault="00CF0A01" w:rsidP="00D15CBA">
      <w:pPr>
        <w:spacing w:line="240" w:lineRule="auto"/>
      </w:pPr>
    </w:p>
    <w:p w:rsidR="00D87451" w:rsidRDefault="00D87451" w:rsidP="00D15CBA">
      <w:pPr>
        <w:spacing w:line="240" w:lineRule="auto"/>
      </w:pPr>
      <w:r w:rsidRPr="00D87451">
        <w:t>Costa, C. A., Trivelato, G. C., Pinto, A. M. P. and Bechara, E. J. H. (1997). Correlation between plasma 5-aminolevulinic acid concentrations and indicators of oxidative stress in lead-exposed workers. Clinical Chemistry. 43: 1196-1202.</w:t>
      </w:r>
    </w:p>
    <w:p w:rsidR="00D87451" w:rsidRDefault="00D87451" w:rsidP="00D15CBA">
      <w:pPr>
        <w:spacing w:line="240" w:lineRule="auto"/>
      </w:pPr>
    </w:p>
    <w:p w:rsidR="00857100" w:rsidRDefault="00857100" w:rsidP="009409CC">
      <w:pPr>
        <w:spacing w:line="240" w:lineRule="auto"/>
      </w:pPr>
      <w:r w:rsidRPr="00857100">
        <w:t>Cullen, M. R., Kayne, R. D. and Robins, J. M. (1984). Endocrine and reproductive dysfunction in men associated with occupational inorganic lead intoxication. Archives of Environmental Health: An International Journal. 39: 431-440.</w:t>
      </w:r>
    </w:p>
    <w:p w:rsidR="00857100" w:rsidRDefault="00857100" w:rsidP="009409CC">
      <w:pPr>
        <w:spacing w:line="240" w:lineRule="auto"/>
      </w:pPr>
    </w:p>
    <w:p w:rsidR="009409CC" w:rsidRDefault="009409CC" w:rsidP="009409CC">
      <w:pPr>
        <w:spacing w:line="240" w:lineRule="auto"/>
      </w:pPr>
      <w:r>
        <w:lastRenderedPageBreak/>
        <w:t xml:space="preserve">DEWHA (2001). National phase out of leaded petrol: Some questions and answers. Department of the Environment, Water, Heritage and the Arts. Available: </w:t>
      </w:r>
      <w:hyperlink r:id="rId37" w:history="1">
        <w:r w:rsidRPr="0096713C">
          <w:rPr>
            <w:rStyle w:val="Hyperlink"/>
          </w:rPr>
          <w:t>http://www.environment.gov.au/atmosphere/airquality/publications/qa.html</w:t>
        </w:r>
      </w:hyperlink>
      <w:r>
        <w:t>.</w:t>
      </w:r>
    </w:p>
    <w:p w:rsidR="009409CC" w:rsidRDefault="009409CC" w:rsidP="00D15CBA">
      <w:pPr>
        <w:spacing w:line="240" w:lineRule="auto"/>
      </w:pPr>
    </w:p>
    <w:p w:rsidR="007025A9" w:rsidRDefault="007025A9" w:rsidP="00D15CBA">
      <w:pPr>
        <w:spacing w:line="240" w:lineRule="auto"/>
      </w:pPr>
      <w:r w:rsidRPr="007025A9">
        <w:t>DFG (2005). Blei und seine anorganischen Verbindungen (einatembare Fraktion). In: Gesundheitsschädliche Arbeitsstoffe. Deutsche Forschungsgemeinschaft (German Research Foundation). Wiley-VCH Verlag GmbH &amp; Co. KGaA. 1-9</w:t>
      </w:r>
      <w:r>
        <w:t xml:space="preserve">. </w:t>
      </w:r>
    </w:p>
    <w:p w:rsidR="007025A9" w:rsidRDefault="007025A9" w:rsidP="00D15CBA">
      <w:pPr>
        <w:spacing w:line="240" w:lineRule="auto"/>
      </w:pPr>
    </w:p>
    <w:p w:rsidR="000B7CB6" w:rsidRDefault="006038D3" w:rsidP="00D15CBA">
      <w:pPr>
        <w:spacing w:line="240" w:lineRule="auto"/>
      </w:pPr>
      <w:r>
        <w:t>DFG (2013</w:t>
      </w:r>
      <w:r w:rsidR="000B7CB6">
        <w:t>a</w:t>
      </w:r>
      <w:r w:rsidR="000B7CB6" w:rsidRPr="000B7CB6">
        <w:t>). List of Substances</w:t>
      </w:r>
      <w:r w:rsidR="000B7CB6">
        <w:t xml:space="preserve"> (MAK values)</w:t>
      </w:r>
      <w:r w:rsidR="000B7CB6" w:rsidRPr="000B7CB6">
        <w:t>. In:</w:t>
      </w:r>
      <w:r>
        <w:t xml:space="preserve"> List of MAK and BAT Values 2013</w:t>
      </w:r>
      <w:r w:rsidR="000B7CB6" w:rsidRPr="000B7CB6">
        <w:t>. Deutsche Forschungsgemeinschaft (German Research Foundation). Wile</w:t>
      </w:r>
      <w:r>
        <w:t>y-VCH Verlag GmbH &amp; Co. KGaA. 19-154</w:t>
      </w:r>
      <w:r w:rsidR="000B7CB6">
        <w:t xml:space="preserve">. </w:t>
      </w:r>
    </w:p>
    <w:p w:rsidR="000B7CB6" w:rsidRDefault="000B7CB6" w:rsidP="00D15CBA">
      <w:pPr>
        <w:spacing w:line="240" w:lineRule="auto"/>
      </w:pPr>
    </w:p>
    <w:p w:rsidR="000B7CB6" w:rsidRDefault="006038D3" w:rsidP="00D15CBA">
      <w:pPr>
        <w:spacing w:line="240" w:lineRule="auto"/>
      </w:pPr>
      <w:r>
        <w:t>DFG (2013</w:t>
      </w:r>
      <w:r w:rsidR="000B7CB6">
        <w:t>b</w:t>
      </w:r>
      <w:r w:rsidR="000B7CB6" w:rsidRPr="000B7CB6">
        <w:t>). List of Substances</w:t>
      </w:r>
      <w:r w:rsidR="000B7CB6">
        <w:t xml:space="preserve"> (BAT values)</w:t>
      </w:r>
      <w:r w:rsidR="000B7CB6" w:rsidRPr="000B7CB6">
        <w:t>. In:</w:t>
      </w:r>
      <w:r>
        <w:t xml:space="preserve"> List of MAK and BAT Values 2013</w:t>
      </w:r>
      <w:r w:rsidR="000B7CB6" w:rsidRPr="000B7CB6">
        <w:t>. Deutsche Forschungsgemeinschaft. Wiley</w:t>
      </w:r>
      <w:r>
        <w:t>-VCH Verlag GmbH &amp; Co. KGaA. 221-233</w:t>
      </w:r>
      <w:r w:rsidR="000B7CB6">
        <w:t xml:space="preserve">. </w:t>
      </w:r>
    </w:p>
    <w:p w:rsidR="000B7CB6" w:rsidRDefault="000B7CB6" w:rsidP="00D15CBA">
      <w:pPr>
        <w:spacing w:line="240" w:lineRule="auto"/>
      </w:pPr>
    </w:p>
    <w:p w:rsidR="00752AE4" w:rsidRDefault="00752AE4" w:rsidP="00D15CBA">
      <w:pPr>
        <w:spacing w:line="240" w:lineRule="auto"/>
      </w:pPr>
      <w:r w:rsidRPr="00752AE4">
        <w:t xml:space="preserve">DGUV (2013). IFA report 1/2013. Grenzwertliste 2013: Sicherheit und Gesundheitsschutz am Arbeitsplatz. Deutsche Gesetzliche Unfallversicherung (German Accident Insurance Agency). </w:t>
      </w:r>
      <w:hyperlink r:id="rId38" w:history="1">
        <w:r w:rsidRPr="006021EF">
          <w:rPr>
            <w:rStyle w:val="Hyperlink"/>
          </w:rPr>
          <w:t>http://publikationen.dguv.de/dguv/pdf/10002/rep0113.pdf</w:t>
        </w:r>
      </w:hyperlink>
      <w:r>
        <w:t xml:space="preserve">. </w:t>
      </w:r>
    </w:p>
    <w:p w:rsidR="00752AE4" w:rsidRDefault="00752AE4" w:rsidP="00D15CBA">
      <w:pPr>
        <w:spacing w:line="240" w:lineRule="auto"/>
      </w:pPr>
    </w:p>
    <w:p w:rsidR="000A6361" w:rsidRDefault="000A6361" w:rsidP="00D15CBA">
      <w:pPr>
        <w:spacing w:line="240" w:lineRule="auto"/>
      </w:pPr>
      <w:r w:rsidRPr="000A6361">
        <w:t>Dongre, N. N., Suryakar, A. N., Patil, A. J., Hundekari, I. A. and Devarnavadagi, B. B. (2013). Biochemical effects of lead exposure on battery manufacture workers with reference to blood pressure, calcium metabolism, and bone mineral density. Indian Journal of Clinical Biochemistry. 28: 65-70. Abstract only.</w:t>
      </w:r>
    </w:p>
    <w:p w:rsidR="000A6361" w:rsidRDefault="000A6361" w:rsidP="00D15CBA">
      <w:pPr>
        <w:spacing w:line="240" w:lineRule="auto"/>
      </w:pPr>
    </w:p>
    <w:p w:rsidR="00E00AD7" w:rsidRDefault="00E00AD7" w:rsidP="00D15CBA">
      <w:pPr>
        <w:spacing w:line="240" w:lineRule="auto"/>
      </w:pPr>
      <w:r w:rsidRPr="00E00AD7">
        <w:t>Dorsey, C. D., Lee, B.-K., Bolla, K. I., Weaver, V. M., Lee, S.-S., Lee, G.-S., Todd, A. C., Shi, W. and Schwartz, B. S. (2006). Comparison of patella lead with blood lead and tibia lead and their associations with neurobehavioral test scores. Journal of Occupational and Environmental Medicine. 48: 489-496.</w:t>
      </w:r>
    </w:p>
    <w:p w:rsidR="00E00AD7" w:rsidRDefault="00E00AD7" w:rsidP="00D15CBA">
      <w:pPr>
        <w:spacing w:line="240" w:lineRule="auto"/>
      </w:pPr>
    </w:p>
    <w:p w:rsidR="00463C46" w:rsidRDefault="00463C46" w:rsidP="00D15CBA">
      <w:pPr>
        <w:spacing w:line="240" w:lineRule="auto"/>
      </w:pPr>
      <w:r w:rsidRPr="00463C46">
        <w:t>Duydu, Y., Süzen, H. S., Aydin, A., Cander, O., Uysal, H., Işimer, A. and Vural, N. (2001). Correlation between lead exposure indicators and sister chromatid exchange (SCE) frequencies in lymphocytes from inorganic lead exposed workers. Archives of Environmental Contamination and Toxicology. 41: 241-246.</w:t>
      </w:r>
    </w:p>
    <w:p w:rsidR="00463C46" w:rsidRDefault="00463C46" w:rsidP="00D15CBA">
      <w:pPr>
        <w:spacing w:line="240" w:lineRule="auto"/>
      </w:pPr>
    </w:p>
    <w:p w:rsidR="00C80039" w:rsidRDefault="00C80039" w:rsidP="00D15CBA">
      <w:pPr>
        <w:spacing w:line="240" w:lineRule="auto"/>
      </w:pPr>
      <w:r w:rsidRPr="00C80039">
        <w:t xml:space="preserve">DWEA (2007). Graensevaerdier for stoffer og materialer (Limit values for substances and materials) (in Danish). Arbejdstilsynet (Danish Working Environment Authority). August 2007. </w:t>
      </w:r>
      <w:hyperlink r:id="rId39" w:history="1">
        <w:r w:rsidRPr="006021EF">
          <w:rPr>
            <w:rStyle w:val="Hyperlink"/>
          </w:rPr>
          <w:t>http://arbejdstilsynet.dk/~/media/at/at/04-regler/05-at-vejledninger/c-vejledninger/c-0-1-graensevaerdilisten/c-0-1-graensevaerdilisten-2007%20pdf.ashx</w:t>
        </w:r>
      </w:hyperlink>
      <w:r>
        <w:t xml:space="preserve">. </w:t>
      </w:r>
    </w:p>
    <w:p w:rsidR="00C80039" w:rsidRDefault="00C80039" w:rsidP="00D15CBA">
      <w:pPr>
        <w:spacing w:line="240" w:lineRule="auto"/>
      </w:pPr>
    </w:p>
    <w:p w:rsidR="00360724" w:rsidRDefault="00360724" w:rsidP="00D15CBA">
      <w:pPr>
        <w:spacing w:line="240" w:lineRule="auto"/>
      </w:pPr>
      <w:r w:rsidRPr="00360724">
        <w:t xml:space="preserve">EC (1998). Council directive 98/24/EC of 7 April 1998 on the protection of the health and safety of workers from the risks related to chemical agents at work (fourteenth individual Directive within the meaning of Article 16(1) of Directive 89/391/EEC). Official Journal of the European Communities. L331/11. 5.5.98. </w:t>
      </w:r>
      <w:hyperlink r:id="rId40" w:history="1">
        <w:r w:rsidRPr="006021EF">
          <w:rPr>
            <w:rStyle w:val="Hyperlink"/>
          </w:rPr>
          <w:t>http://eur-lex.europa.eu/LexUriServ/LexUriServ.do?uri=OJ:L:1998:131:0011:0023:EN:PDF</w:t>
        </w:r>
      </w:hyperlink>
      <w:r>
        <w:t xml:space="preserve">. </w:t>
      </w:r>
    </w:p>
    <w:p w:rsidR="00360724" w:rsidRDefault="00360724" w:rsidP="00D15CBA">
      <w:pPr>
        <w:spacing w:line="240" w:lineRule="auto"/>
      </w:pPr>
    </w:p>
    <w:p w:rsidR="007C2BD0" w:rsidRDefault="007C2BD0" w:rsidP="00D15CBA">
      <w:pPr>
        <w:spacing w:line="240" w:lineRule="auto"/>
      </w:pPr>
      <w:r w:rsidRPr="007C2BD0">
        <w:t>Ehle, A. L. and McKee, D. C. (1990). Neuropsychological effect of lead in occupationally exposed workers: a critical review. Critical Reviews in Toxicology. 20: 237-255.</w:t>
      </w:r>
    </w:p>
    <w:p w:rsidR="007C2BD0" w:rsidRDefault="007C2BD0" w:rsidP="00D15CBA">
      <w:pPr>
        <w:spacing w:line="240" w:lineRule="auto"/>
      </w:pPr>
    </w:p>
    <w:p w:rsidR="002F64F2" w:rsidRDefault="002F64F2" w:rsidP="00D15CBA">
      <w:pPr>
        <w:spacing w:line="240" w:lineRule="auto"/>
      </w:pPr>
      <w:r w:rsidRPr="002F64F2">
        <w:t>Ehrlich, R., Robins, T., Jordaan, E., Miller, S., Mbuli, S., Selby, P., Wynchank, S., Cantrell, A., De Broe, M., D'Haese, P., Todd, A. and Landrigan, P. (1998). Lead absorption and renal dysfunction in a South African battery factory. Occupational and Environmental Medicine. 55: 453-460.</w:t>
      </w:r>
    </w:p>
    <w:p w:rsidR="002F64F2" w:rsidRDefault="002F64F2" w:rsidP="00D15CBA">
      <w:pPr>
        <w:spacing w:line="240" w:lineRule="auto"/>
      </w:pPr>
    </w:p>
    <w:p w:rsidR="00CF605B" w:rsidRDefault="00CF605B" w:rsidP="00D15CBA">
      <w:pPr>
        <w:spacing w:line="240" w:lineRule="auto"/>
      </w:pPr>
      <w:r w:rsidRPr="00CF605B">
        <w:t>El-Fawal, H. A. N., Waterman, S. J., Feo, A. D. and Shamy, M. Y. (1999). Neuroimmunotoxicology: Humoral assessment of neurotoxicity and autoimmune mechanisms. Environmental Health Perspectives. 107: 767-775.</w:t>
      </w:r>
    </w:p>
    <w:p w:rsidR="00CF605B" w:rsidRDefault="00CF605B" w:rsidP="00D15CBA">
      <w:pPr>
        <w:spacing w:line="240" w:lineRule="auto"/>
      </w:pPr>
    </w:p>
    <w:p w:rsidR="00BF6314" w:rsidRDefault="00BF6314" w:rsidP="00D15CBA">
      <w:pPr>
        <w:spacing w:line="240" w:lineRule="auto"/>
      </w:pPr>
      <w:r w:rsidRPr="00BF6314">
        <w:t>enHealth (2012). Environmental health risk assessment</w:t>
      </w:r>
      <w:r w:rsidR="00B11601">
        <w:t>:</w:t>
      </w:r>
      <w:r w:rsidR="00095C87">
        <w:t xml:space="preserve"> G</w:t>
      </w:r>
      <w:r w:rsidRPr="00BF6314">
        <w:t xml:space="preserve">uidelines for assessing human health risks from environmental hazards. Commissioned by the enHealth Council. </w:t>
      </w:r>
    </w:p>
    <w:p w:rsidR="00BF6314" w:rsidRPr="00D24BDA" w:rsidRDefault="00B11601" w:rsidP="00D15CBA">
      <w:pPr>
        <w:spacing w:line="240" w:lineRule="auto"/>
        <w:rPr>
          <w:u w:val="single"/>
        </w:rPr>
      </w:pPr>
      <w:r w:rsidRPr="00D24BDA">
        <w:rPr>
          <w:color w:val="0000FF"/>
          <w:u w:val="single"/>
        </w:rPr>
        <w:t>http://www.health.gov.au/internet/main/publishing.nsf/Content/A12B57E41EC9F326CA257BF0001F9E7D/$File/DoHA-EHRA-120910.pdf</w:t>
      </w:r>
    </w:p>
    <w:p w:rsidR="00B11601" w:rsidRDefault="00B11601" w:rsidP="00D15CBA">
      <w:pPr>
        <w:spacing w:line="240" w:lineRule="auto"/>
      </w:pPr>
    </w:p>
    <w:p w:rsidR="00FD06B7" w:rsidRDefault="00FD06B7" w:rsidP="00D15CBA">
      <w:pPr>
        <w:spacing w:line="240" w:lineRule="auto"/>
      </w:pPr>
      <w:r w:rsidRPr="00FD06B7">
        <w:t>Ergurhan-Ilhan, I., Cadir, B., Koyuncu-Arslan, M., Arslan, C., Gultepe, F. M. and Ozkan, G. (2008). Level of oxidative stress and damage in erythrocytes in apprentices indirectly exposed to lead. Pediatrics International. 50: 45-50.</w:t>
      </w:r>
    </w:p>
    <w:p w:rsidR="00FD06B7" w:rsidRDefault="00FD06B7" w:rsidP="00D15CBA">
      <w:pPr>
        <w:spacing w:line="240" w:lineRule="auto"/>
      </w:pPr>
    </w:p>
    <w:p w:rsidR="00A73A06" w:rsidRDefault="00A73A06" w:rsidP="00D15CBA">
      <w:pPr>
        <w:spacing w:line="240" w:lineRule="auto"/>
      </w:pPr>
      <w:r w:rsidRPr="00A73A06">
        <w:t>Erfurth, E. M., Gerhardsson, L., Nilsson, A., Rylander, L., Schutz, A., Skerfving, S. and Borjesson, J. (2001). Effects of lead on the endocrine system in lead smelter workers. Archives of Environmental Health. 56: 449-455.</w:t>
      </w:r>
    </w:p>
    <w:p w:rsidR="00A73A06" w:rsidRDefault="00A73A06" w:rsidP="00D15CBA">
      <w:pPr>
        <w:spacing w:line="240" w:lineRule="auto"/>
      </w:pPr>
    </w:p>
    <w:p w:rsidR="00DC729B" w:rsidRDefault="00DC729B" w:rsidP="00D15CBA">
      <w:pPr>
        <w:spacing w:line="240" w:lineRule="auto"/>
      </w:pPr>
      <w:r w:rsidRPr="00DC729B">
        <w:t>Esteban, M. and Castaño, A. (2009). Non-invasive matrices in human biomonitoring: A review. Environment International. 35: 438-449.</w:t>
      </w:r>
    </w:p>
    <w:p w:rsidR="00DC729B" w:rsidRDefault="00DC729B" w:rsidP="00D15CBA">
      <w:pPr>
        <w:spacing w:line="240" w:lineRule="auto"/>
      </w:pPr>
    </w:p>
    <w:p w:rsidR="00282D1A" w:rsidRDefault="00282D1A" w:rsidP="00D15CBA">
      <w:pPr>
        <w:spacing w:line="240" w:lineRule="auto"/>
      </w:pPr>
      <w:r w:rsidRPr="00282D1A">
        <w:t>Etchevers, A., Bretin, P., Lecoffre, C., Bidondo, M.-L., Le Strat, Y., Glorennec, P. and Le Tertre, A. (2013). Blood lead levels and risk factors in young children in France, 2008-2009. International Journal of Hygiene and Environmental Health. In Press, Accepted Manuscript:</w:t>
      </w:r>
    </w:p>
    <w:p w:rsidR="00282D1A" w:rsidRDefault="00282D1A" w:rsidP="00D15CBA">
      <w:pPr>
        <w:spacing w:line="240" w:lineRule="auto"/>
      </w:pPr>
    </w:p>
    <w:p w:rsidR="00CF605B" w:rsidRDefault="00CF605B" w:rsidP="00D15CBA">
      <w:pPr>
        <w:spacing w:line="240" w:lineRule="auto"/>
      </w:pPr>
      <w:r w:rsidRPr="00CF605B">
        <w:t>Ewers, U., Stiller-Winkler, R. and Idel, H. (1982). Serum immunoglobulin, complement C3, and salivary IgA levels in lead workers. Environmental Research. 29: 351-357.</w:t>
      </w:r>
    </w:p>
    <w:p w:rsidR="00CF605B" w:rsidRDefault="00CF605B" w:rsidP="00D15CBA">
      <w:pPr>
        <w:spacing w:line="240" w:lineRule="auto"/>
      </w:pPr>
    </w:p>
    <w:p w:rsidR="000A6361" w:rsidRDefault="000A6361" w:rsidP="00D15CBA">
      <w:pPr>
        <w:spacing w:line="240" w:lineRule="auto"/>
      </w:pPr>
      <w:r w:rsidRPr="000A6361">
        <w:t>Feksa, L., Oliveira, E., Trombini, T., Luchese, M., Bisi, S., Linden, R., Berlese, D., Rojas, D., Andrade, R., Schuck, P., Lacerda, L., Wajner, M., Wannmacher, C. and Emanuelli, T. (2012). Pyruvate kinase activity and δ-aminolevulinic acid dehydratase activity as biomarkers of toxicity in workers exposed to lead. Archives of Environmental Contamination and Toxicology. 63: 453-460.</w:t>
      </w:r>
    </w:p>
    <w:p w:rsidR="000A6361" w:rsidRDefault="000A6361" w:rsidP="00D15CBA">
      <w:pPr>
        <w:spacing w:line="240" w:lineRule="auto"/>
      </w:pPr>
    </w:p>
    <w:p w:rsidR="001F1DF0" w:rsidRDefault="001F1DF0" w:rsidP="00D15CBA">
      <w:pPr>
        <w:spacing w:line="240" w:lineRule="auto"/>
      </w:pPr>
      <w:r w:rsidRPr="001F1DF0">
        <w:t>Fischbein, A., Tsang, P., Luo, J.-C. J. and Bekesi, J. G. (1993). The immune system as target for subclinical lead related toxicity. British Journal of Industrial Medicine. 50: 185-186.</w:t>
      </w:r>
    </w:p>
    <w:p w:rsidR="001F1DF0" w:rsidRDefault="001F1DF0" w:rsidP="00D15CBA">
      <w:pPr>
        <w:spacing w:line="240" w:lineRule="auto"/>
      </w:pPr>
    </w:p>
    <w:p w:rsidR="004C12CF" w:rsidRDefault="004C12CF" w:rsidP="00D15CBA">
      <w:pPr>
        <w:spacing w:line="240" w:lineRule="auto"/>
      </w:pPr>
      <w:r w:rsidRPr="004C12CF">
        <w:t>Fortin, M. C., Cory-Slechta, D. A., Ohman-Strickland, P., Nwankwo, C., Yanger, T. S., Todd, A. C., Moynihan, J., Walton, J., Brooks, A. and Fiedler, N. (2012). Increased lead biomarker levels are associated with changes in hormonal response to stress in occupationally exposed male participants. Environmental Health Perspectives. 120: 278-283.</w:t>
      </w:r>
    </w:p>
    <w:p w:rsidR="004C12CF" w:rsidRDefault="004C12CF" w:rsidP="00D15CBA">
      <w:pPr>
        <w:spacing w:line="240" w:lineRule="auto"/>
      </w:pPr>
    </w:p>
    <w:p w:rsidR="004C7E54" w:rsidRDefault="004C7E54" w:rsidP="00D15CBA">
      <w:pPr>
        <w:spacing w:line="240" w:lineRule="auto"/>
      </w:pPr>
      <w:r w:rsidRPr="004C7E54">
        <w:t>FR (1997). National Institute for Occupational Safety and Health; Occupational exposure to inforganic lead; request for comment and information; republication. Federal Register, Vol. 62, No. 206. Friday, October 24, 1997. pgs. 55407-55408</w:t>
      </w:r>
      <w:r>
        <w:t xml:space="preserve">. </w:t>
      </w:r>
    </w:p>
    <w:p w:rsidR="004C7E54" w:rsidRDefault="004C7E54" w:rsidP="00D15CBA">
      <w:pPr>
        <w:spacing w:line="240" w:lineRule="auto"/>
      </w:pPr>
    </w:p>
    <w:p w:rsidR="0082111A" w:rsidRDefault="0082111A" w:rsidP="00D15CBA">
      <w:pPr>
        <w:spacing w:line="240" w:lineRule="auto"/>
      </w:pPr>
      <w:r w:rsidRPr="0082111A">
        <w:t>García-Lestón, J., Roma-Torres, J., Mayan, O., Schroecksnadel, S., Fuchs, D., Moreira, A. O., Pásaro, E., Méndez, J., Teixeira, J. P. and Laffon, B. (2012</w:t>
      </w:r>
      <w:r w:rsidR="00123826">
        <w:t>a</w:t>
      </w:r>
      <w:r w:rsidRPr="0082111A">
        <w:t>). Assessment of immunotoxicity parameters in individuals occupationally exposed to lead. Journal of Toxicology and Environmental Health, Part A. 75: 807-818.</w:t>
      </w:r>
    </w:p>
    <w:p w:rsidR="0082111A" w:rsidRDefault="0082111A" w:rsidP="00D15CBA">
      <w:pPr>
        <w:spacing w:line="240" w:lineRule="auto"/>
      </w:pPr>
    </w:p>
    <w:p w:rsidR="001F1A21" w:rsidRDefault="001F1A21" w:rsidP="00D15CBA">
      <w:pPr>
        <w:spacing w:line="240" w:lineRule="auto"/>
      </w:pPr>
      <w:r w:rsidRPr="001F1A21">
        <w:t>García-Lestón, J., Roma-Torres, J., Vilares, M., Pinto, R., Prista, J., Teixeira, J. P., Mayan, O., Conde, J., Pingarilho, M., Gaspar, J. F., Pásaro, E., Méndez, J. and Laffon, B. (2012b). Genotoxic effects of occupational exposure to lead and influence of polymorphisms in genes involved in lead toxicokinetics and in DNA repair. Environment International. 43: 29-36.</w:t>
      </w:r>
    </w:p>
    <w:p w:rsidR="001F1A21" w:rsidRDefault="001F1A21" w:rsidP="00D15CBA">
      <w:pPr>
        <w:spacing w:line="240" w:lineRule="auto"/>
      </w:pPr>
    </w:p>
    <w:p w:rsidR="00721271" w:rsidRDefault="00721271" w:rsidP="00721271">
      <w:pPr>
        <w:spacing w:line="240" w:lineRule="auto"/>
        <w:ind w:firstLine="1"/>
        <w:rPr>
          <w:rFonts w:cs="Arial"/>
        </w:rPr>
      </w:pPr>
      <w:r w:rsidRPr="0047523D">
        <w:rPr>
          <w:rFonts w:cs="Arial"/>
        </w:rPr>
        <w:t>Gartside, P. S., Buncher, C. R. and Lerner, S. (1982). Relationship of air lead and blood lead for workers at an automobile battery factory. International Archives of Occupational and Environmental Health. 50 (1): 1-10.</w:t>
      </w:r>
    </w:p>
    <w:p w:rsidR="00721271" w:rsidRDefault="00721271" w:rsidP="00D15CBA">
      <w:pPr>
        <w:spacing w:line="240" w:lineRule="auto"/>
      </w:pPr>
    </w:p>
    <w:p w:rsidR="00D87451" w:rsidRDefault="00D87451" w:rsidP="00D15CBA">
      <w:pPr>
        <w:spacing w:line="240" w:lineRule="auto"/>
      </w:pPr>
      <w:r w:rsidRPr="00D87451">
        <w:lastRenderedPageBreak/>
        <w:t>Gennart, J.-P., Bernard, A. and Lauwerys, R. (1992). Assessment of thyroid, testes, kidney and autonomic nervous system function in lead-exposed workers. International Archives of Occupational and Environmental Health. 64: 49-57.</w:t>
      </w:r>
    </w:p>
    <w:p w:rsidR="00D87451" w:rsidRDefault="00D87451" w:rsidP="00D15CBA">
      <w:pPr>
        <w:spacing w:line="240" w:lineRule="auto"/>
      </w:pPr>
    </w:p>
    <w:p w:rsidR="00F00F3A" w:rsidRDefault="00F00F3A" w:rsidP="00D15CBA">
      <w:pPr>
        <w:spacing w:line="240" w:lineRule="auto"/>
      </w:pPr>
      <w:r w:rsidRPr="00F00F3A">
        <w:t>Ghiasvand, M., Moradi, M. and Salimi, A. (2012). Lead exposure's effect on hearing frequencies in battery workers. Clinical Toxicology. 50: 315. Abstract only.</w:t>
      </w:r>
    </w:p>
    <w:p w:rsidR="00F00F3A" w:rsidRDefault="00F00F3A" w:rsidP="00D15CBA">
      <w:pPr>
        <w:spacing w:line="240" w:lineRule="auto"/>
      </w:pPr>
    </w:p>
    <w:p w:rsidR="009F3A19" w:rsidRDefault="009F3A19" w:rsidP="00D15CBA">
      <w:pPr>
        <w:spacing w:line="240" w:lineRule="auto"/>
      </w:pPr>
      <w:r w:rsidRPr="009F3A19">
        <w:t>Gil, F., Hernández, A. F., Márquez, C., Femia, P., Olmedo, P., López-Guarnido, O. and Pla, A. (2011). Biomonitorization of cadmium, chromium, manganese, nickel and lead in whole blood, urine, axillary hair and saliva in an occupationally exposed population. Science of The Total Environment. 409: 1172-1180.</w:t>
      </w:r>
    </w:p>
    <w:p w:rsidR="009F3A19" w:rsidRDefault="009F3A19" w:rsidP="00D15CBA">
      <w:pPr>
        <w:spacing w:line="240" w:lineRule="auto"/>
      </w:pPr>
    </w:p>
    <w:p w:rsidR="009965CD" w:rsidRDefault="009965CD" w:rsidP="00D15CBA">
      <w:pPr>
        <w:spacing w:line="240" w:lineRule="auto"/>
      </w:pPr>
      <w:r w:rsidRPr="009965CD">
        <w:t>Glenn, B. S., Stewart, W. F., Links, J. M., Todd, A. C. and Schwartz, B. S. (2003). The longitudinal association of lead with blood pressure. Epidemiology. 14: 30-36.</w:t>
      </w:r>
    </w:p>
    <w:p w:rsidR="009965CD" w:rsidRDefault="009965CD" w:rsidP="00D15CBA">
      <w:pPr>
        <w:spacing w:line="240" w:lineRule="auto"/>
      </w:pPr>
    </w:p>
    <w:p w:rsidR="00E0096D" w:rsidRDefault="00E0096D" w:rsidP="00D15CBA">
      <w:pPr>
        <w:spacing w:line="240" w:lineRule="auto"/>
      </w:pPr>
      <w:r w:rsidRPr="00E0096D">
        <w:t>Glenn, B. S., Bandeen-Roche, K., Lee, B.-K., Weaver, V. M., Todd, A. C. and Schwartz, B. S. (2006). Changes in systolic blood pressure associated with lead in blood and bone. Epidemiology. 17: 538-544.</w:t>
      </w:r>
    </w:p>
    <w:p w:rsidR="00E0096D" w:rsidRDefault="00E0096D" w:rsidP="00D15CBA">
      <w:pPr>
        <w:spacing w:line="240" w:lineRule="auto"/>
      </w:pPr>
    </w:p>
    <w:p w:rsidR="005E6B04" w:rsidRDefault="005E6B04" w:rsidP="00D15CBA">
      <w:pPr>
        <w:spacing w:line="240" w:lineRule="auto"/>
      </w:pPr>
      <w:r w:rsidRPr="005E6B04">
        <w:t>Gomaa, A., Hu, H., Bellinger, D., Schwartz, J., Tsaih, S.-W., Gonzalez-Cossio, T., Schnaas, L., Peterson, K., Aro, A. and Hernandez-Avila, M. (2002). Maternal bone lead as an independent risk factor for fetal neurotoxicity: a prospective study. Pediatrics. 110: 110-118.</w:t>
      </w:r>
    </w:p>
    <w:p w:rsidR="005E6B04" w:rsidRDefault="005E6B04" w:rsidP="00D15CBA">
      <w:pPr>
        <w:spacing w:line="240" w:lineRule="auto"/>
      </w:pPr>
    </w:p>
    <w:p w:rsidR="00AF0D0F" w:rsidRDefault="00AF0D0F" w:rsidP="00D15CBA">
      <w:pPr>
        <w:spacing w:line="240" w:lineRule="auto"/>
      </w:pPr>
      <w:r w:rsidRPr="00AF0D0F">
        <w:t>González-Cossı́o, T., Peterson, K. E., Sanı́n, L.-H., Fishbein, E., Palazuelos, E., Aro, A., Hernández-Avila, M. and Hu, H. (1997). Decrease in birth weight in relation to maternal bone-lead burden. Pediatrics. 100: 856-862. As cited in NIWL 2005.</w:t>
      </w:r>
    </w:p>
    <w:p w:rsidR="00AF0D0F" w:rsidRDefault="00AF0D0F" w:rsidP="00D15CBA">
      <w:pPr>
        <w:spacing w:line="240" w:lineRule="auto"/>
      </w:pPr>
    </w:p>
    <w:p w:rsidR="00283E5D" w:rsidRDefault="00283E5D" w:rsidP="00D15CBA">
      <w:pPr>
        <w:spacing w:line="240" w:lineRule="auto"/>
      </w:pPr>
      <w:r w:rsidRPr="00283E5D">
        <w:t>Goodman, M., LaVerda, N., Clarke, C., Foster, E. D., Iannuzzi, J. and Mandel, J. (2002). Neurobehavioural testing in workers occupationally exposed to lead: systematic review and meta-analysis of publications. Occupational and Environmental Medicine. 59: 217-223.</w:t>
      </w:r>
    </w:p>
    <w:p w:rsidR="00283E5D" w:rsidRDefault="00283E5D" w:rsidP="00D15CBA">
      <w:pPr>
        <w:spacing w:line="240" w:lineRule="auto"/>
      </w:pPr>
    </w:p>
    <w:p w:rsidR="00283E5D" w:rsidRDefault="00283E5D" w:rsidP="00D15CBA">
      <w:pPr>
        <w:spacing w:line="240" w:lineRule="auto"/>
      </w:pPr>
      <w:r w:rsidRPr="00283E5D">
        <w:t>Goodman, M., LaVerda, N., Clarke, C., Foster, E., Iannuzzi, J. and Mandel, J. (2003). Neurobehavioural testing in workers occupationally exposed to lead (author's reply). Occupational and Environmental Medicine. 60: 145-146.</w:t>
      </w:r>
    </w:p>
    <w:p w:rsidR="00283E5D" w:rsidRDefault="00283E5D" w:rsidP="00D15CBA">
      <w:pPr>
        <w:spacing w:line="240" w:lineRule="auto"/>
      </w:pPr>
    </w:p>
    <w:p w:rsidR="00C4087D" w:rsidRDefault="00C4087D" w:rsidP="00D15CBA">
      <w:pPr>
        <w:spacing w:line="240" w:lineRule="auto"/>
      </w:pPr>
      <w:r w:rsidRPr="00C4087D">
        <w:t>Gov of Alberta (2009). Occupational health and safety c</w:t>
      </w:r>
      <w:r w:rsidR="003E7BC7">
        <w:t>ode 2009. Government of Alberta</w:t>
      </w:r>
      <w:hyperlink w:history="1"/>
      <w:r>
        <w:t xml:space="preserve">. </w:t>
      </w:r>
      <w:hyperlink r:id="rId41" w:history="1">
        <w:r w:rsidR="003E7BC7" w:rsidRPr="00D82114">
          <w:rPr>
            <w:rStyle w:val="Hyperlink"/>
          </w:rPr>
          <w:t>http://work.alberta.ca/documents/WHS-LEG_ohsc_2009.pdf</w:t>
        </w:r>
      </w:hyperlink>
      <w:r w:rsidR="003E7BC7">
        <w:rPr>
          <w:color w:val="0000FF"/>
          <w:u w:val="single"/>
        </w:rPr>
        <w:t xml:space="preserve">. </w:t>
      </w:r>
    </w:p>
    <w:p w:rsidR="00C4087D" w:rsidRDefault="00C4087D" w:rsidP="00D15CBA">
      <w:pPr>
        <w:spacing w:line="240" w:lineRule="auto"/>
      </w:pPr>
    </w:p>
    <w:p w:rsidR="009F3A19" w:rsidRDefault="009F3A19" w:rsidP="00D15CBA">
      <w:pPr>
        <w:spacing w:line="240" w:lineRule="auto"/>
      </w:pPr>
      <w:r w:rsidRPr="009F3A19">
        <w:t>Grandjean, P. (1978). Lead concentration in single hairs as a monitor of occupational lead exposure. International Archives of Occupational and Environmental Health. 42: 69-81.</w:t>
      </w:r>
    </w:p>
    <w:p w:rsidR="009F3A19" w:rsidRDefault="009F3A19" w:rsidP="00D15CBA">
      <w:pPr>
        <w:spacing w:line="240" w:lineRule="auto"/>
      </w:pPr>
    </w:p>
    <w:p w:rsidR="00772478" w:rsidRDefault="00772478" w:rsidP="00D15CBA">
      <w:pPr>
        <w:spacing w:line="240" w:lineRule="auto"/>
      </w:pPr>
      <w:r w:rsidRPr="00772478">
        <w:t>Grashow, R., Miller, M. W., McKinney, A., Nie, L. H., Sparrow, D., Hu, H. and Weisskopf, M. G. (2013a). Lead exposure and fear-potentiated startle in the VA Normative Aging Study: a pilot study of a novel physiological approach to investigating neurotoxicant effects. Neurotoxicology and Teratology</w:t>
      </w:r>
      <w:r>
        <w:t xml:space="preserve">. In Press, Accepted Manuscript. </w:t>
      </w:r>
    </w:p>
    <w:p w:rsidR="00772478" w:rsidRDefault="00772478" w:rsidP="00D15CBA">
      <w:pPr>
        <w:spacing w:line="240" w:lineRule="auto"/>
      </w:pPr>
    </w:p>
    <w:p w:rsidR="00772478" w:rsidRDefault="00772478" w:rsidP="00D15CBA">
      <w:pPr>
        <w:spacing w:line="240" w:lineRule="auto"/>
      </w:pPr>
      <w:r w:rsidRPr="00772478">
        <w:t>Grashow, R., Spiro, A., Taylor, K. M., Newton, K., Shrairman, R., Landau, A., Sparrow, D., Hu, H. and Weisskopf, M. (2013b). Cumulative lead exposure in community-dwelling adults and fine motor function: Comparing standard and novel tasks in the VA Normative Aging Study. NeuroToxicology. 35: 154-161.</w:t>
      </w:r>
    </w:p>
    <w:p w:rsidR="00772478" w:rsidRDefault="00772478" w:rsidP="00D15CBA">
      <w:pPr>
        <w:spacing w:line="240" w:lineRule="auto"/>
      </w:pPr>
    </w:p>
    <w:p w:rsidR="00131882" w:rsidRDefault="00131882" w:rsidP="00131882">
      <w:pPr>
        <w:spacing w:line="240" w:lineRule="auto"/>
        <w:ind w:firstLine="1"/>
        <w:rPr>
          <w:rFonts w:cs="Arial"/>
        </w:rPr>
      </w:pPr>
      <w:r w:rsidRPr="00984BCB">
        <w:rPr>
          <w:rFonts w:cs="Arial"/>
        </w:rPr>
        <w:t>Gulson, B. L., Mizon, K. J., Korsch, M. J. and Taylor, A. J. N. (2006). Low blood lead levels do not appear to be further reduced by dietary supplements. Environmental Health Perspectives. 114: 1186-1192.</w:t>
      </w:r>
    </w:p>
    <w:p w:rsidR="00131882" w:rsidRDefault="00131882" w:rsidP="00D15CBA">
      <w:pPr>
        <w:spacing w:line="240" w:lineRule="auto"/>
      </w:pPr>
    </w:p>
    <w:p w:rsidR="0079327B" w:rsidRDefault="0079327B" w:rsidP="00D15CBA">
      <w:pPr>
        <w:spacing w:line="240" w:lineRule="auto"/>
      </w:pPr>
      <w:r w:rsidRPr="0079327B">
        <w:lastRenderedPageBreak/>
        <w:t>Gundacker, C., Fröhlich, S., Graf-Rohrmeister, K., Eibenberger, B., Jessenig, V., Gicic, D., Prinz, S., Wittmann, K. J., Zeisler, H., Vallant, B., Pollak, A. and Husslein, P. (2010). Perinatal lead and mercury exposure in Austria. Science of The Total Environment. 408: 5744-5749.</w:t>
      </w:r>
    </w:p>
    <w:p w:rsidR="0079327B" w:rsidRDefault="0079327B" w:rsidP="00D15CBA">
      <w:pPr>
        <w:spacing w:line="240" w:lineRule="auto"/>
      </w:pPr>
    </w:p>
    <w:p w:rsidR="00857100" w:rsidRDefault="00857100" w:rsidP="00D15CBA">
      <w:pPr>
        <w:spacing w:line="240" w:lineRule="auto"/>
      </w:pPr>
      <w:r w:rsidRPr="00857100">
        <w:t>Gustafson, Å., Hedner, P., Schütz, A. and Skerfving, S. (1989). Occupational lead exposure and pituitary function. International Archives of Occupational and Environmental Health. 61: 277-281.</w:t>
      </w:r>
    </w:p>
    <w:p w:rsidR="00857100" w:rsidRDefault="00857100" w:rsidP="00D15CBA">
      <w:pPr>
        <w:spacing w:line="240" w:lineRule="auto"/>
      </w:pPr>
    </w:p>
    <w:p w:rsidR="007504F2" w:rsidRDefault="007504F2" w:rsidP="00D15CBA">
      <w:pPr>
        <w:spacing w:line="240" w:lineRule="auto"/>
      </w:pPr>
      <w:r w:rsidRPr="007504F2">
        <w:t>Gwini, S., MacFarlane, E., Del Monaco, A., McLean, D., Pisaniello, D., Benke, G. P. and Sim, M. R. (2012). Cancer incidence, mortality, and blood lead levels among workers exposed to inorganic lead. Annals of Epidemiology. 22: 270-276.</w:t>
      </w:r>
    </w:p>
    <w:p w:rsidR="007504F2" w:rsidRDefault="007504F2" w:rsidP="00D15CBA">
      <w:pPr>
        <w:spacing w:line="240" w:lineRule="auto"/>
      </w:pPr>
    </w:p>
    <w:p w:rsidR="00F062C4" w:rsidRDefault="00F062C4" w:rsidP="00D15CBA">
      <w:pPr>
        <w:spacing w:line="240" w:lineRule="auto"/>
      </w:pPr>
      <w:r w:rsidRPr="00F062C4">
        <w:t xml:space="preserve">Haunert, S. (2012). Occupational health and safety in Germany: a risk-based approach? Dissertation submitted as part of a MSc degree in Risk Analysis at King's College London. August 2012. </w:t>
      </w:r>
      <w:hyperlink r:id="rId42" w:history="1">
        <w:r w:rsidRPr="00271CF0">
          <w:rPr>
            <w:rStyle w:val="Hyperlink"/>
          </w:rPr>
          <w:t>https://www.kcl.ac.uk/sspp/departments/geography/study/masters/DissertationHaunert.pdf</w:t>
        </w:r>
      </w:hyperlink>
      <w:r>
        <w:t xml:space="preserve">. </w:t>
      </w:r>
    </w:p>
    <w:p w:rsidR="00F062C4" w:rsidRDefault="00F062C4" w:rsidP="00D15CBA">
      <w:pPr>
        <w:spacing w:line="240" w:lineRule="auto"/>
      </w:pPr>
    </w:p>
    <w:p w:rsidR="00DA4F10" w:rsidRDefault="00DA4F10" w:rsidP="00D15CBA">
      <w:pPr>
        <w:spacing w:line="240" w:lineRule="auto"/>
      </w:pPr>
      <w:r w:rsidRPr="00DA4F10">
        <w:t>Hänninen, H., Aitio, A., Kovala, T., Luukkonen, R., Matikainen, E., Mannelin, T., Erkkilä, J. and Riihimäki, V. (1998). Occupational exposure to lead and neuropsychological dysfunction. Occupational and Environmental Medicine. 55: 202-209.</w:t>
      </w:r>
    </w:p>
    <w:p w:rsidR="00DA4F10" w:rsidRDefault="00DA4F10" w:rsidP="00D15CBA">
      <w:pPr>
        <w:spacing w:line="240" w:lineRule="auto"/>
      </w:pPr>
    </w:p>
    <w:p w:rsidR="007C3FEB" w:rsidRDefault="007C3FEB" w:rsidP="00D15CBA">
      <w:pPr>
        <w:spacing w:line="240" w:lineRule="auto"/>
      </w:pPr>
      <w:r w:rsidRPr="007C3FEB">
        <w:t>Hense, H. W., Filipiak, B. and Keil, U. (1993). The association of blood lead and blood pressure in population surveys. Epidemiology. 4: 173-179.</w:t>
      </w:r>
    </w:p>
    <w:p w:rsidR="007C3FEB" w:rsidRDefault="007C3FEB" w:rsidP="00D15CBA">
      <w:pPr>
        <w:spacing w:line="240" w:lineRule="auto"/>
      </w:pPr>
    </w:p>
    <w:p w:rsidR="004A6DC1" w:rsidRDefault="004A6DC1" w:rsidP="00D15CBA">
      <w:pPr>
        <w:spacing w:line="240" w:lineRule="auto"/>
      </w:pPr>
      <w:r w:rsidRPr="004A6DC1">
        <w:t>Hernandez-Avila, M., Peterson, K. E., Gonzalez-Cossio, T., Sanin, L. H., Aro, A., Schnaas, L. and Hu, H. (2002). Effect of maternal bone lead on length and head circumference of newborns and 1-month-old infants. Archives of Environmental Health: An International Journal. 57: 482-488.</w:t>
      </w:r>
    </w:p>
    <w:p w:rsidR="004A6DC1" w:rsidRDefault="004A6DC1" w:rsidP="00D15CBA">
      <w:pPr>
        <w:spacing w:line="240" w:lineRule="auto"/>
      </w:pPr>
    </w:p>
    <w:p w:rsidR="00E721B7" w:rsidRDefault="00E721B7" w:rsidP="00D15CBA">
      <w:pPr>
        <w:spacing w:line="240" w:lineRule="auto"/>
      </w:pPr>
      <w:r w:rsidRPr="00E721B7">
        <w:t>Hirata, M. and Kosaka, H. (1993). Effects of lead exposure on neurophysiological parameters. Environmental Research. 63: 60-69.</w:t>
      </w:r>
    </w:p>
    <w:p w:rsidR="00E721B7" w:rsidRDefault="00E721B7" w:rsidP="00D15CBA">
      <w:pPr>
        <w:spacing w:line="240" w:lineRule="auto"/>
      </w:pPr>
    </w:p>
    <w:p w:rsidR="00721271" w:rsidRDefault="00721271" w:rsidP="00721271">
      <w:pPr>
        <w:spacing w:line="240" w:lineRule="auto"/>
        <w:ind w:firstLine="1"/>
        <w:rPr>
          <w:rFonts w:cs="Arial"/>
        </w:rPr>
      </w:pPr>
      <w:r w:rsidRPr="0047523D">
        <w:rPr>
          <w:rFonts w:cs="Arial"/>
        </w:rPr>
        <w:t>Hodgkins, D. G.</w:t>
      </w:r>
      <w:r>
        <w:rPr>
          <w:rFonts w:cs="Arial"/>
        </w:rPr>
        <w:t xml:space="preserve">, Robins, </w:t>
      </w:r>
      <w:r w:rsidRPr="0047523D">
        <w:rPr>
          <w:rFonts w:cs="Arial"/>
        </w:rPr>
        <w:t>T. G.</w:t>
      </w:r>
      <w:r>
        <w:rPr>
          <w:rFonts w:cs="Arial"/>
        </w:rPr>
        <w:t>, Hinkamp, D.L., Schork, M.A. and Krebs, W.A. (1992). A</w:t>
      </w:r>
      <w:r w:rsidRPr="0047523D">
        <w:rPr>
          <w:rFonts w:cs="Arial"/>
        </w:rPr>
        <w:t xml:space="preserve"> longitudinal study of the relation of lead in blood to lead in air concen</w:t>
      </w:r>
      <w:r>
        <w:rPr>
          <w:rFonts w:cs="Arial"/>
        </w:rPr>
        <w:t>trations among battery workers.</w:t>
      </w:r>
      <w:r w:rsidRPr="0047523D">
        <w:rPr>
          <w:rFonts w:cs="Arial"/>
        </w:rPr>
        <w:t xml:space="preserve"> British Journal of Industrial Medicine. 49(4): 241-248. </w:t>
      </w:r>
    </w:p>
    <w:p w:rsidR="00721271" w:rsidRDefault="00721271" w:rsidP="00D15CBA">
      <w:pPr>
        <w:spacing w:line="240" w:lineRule="auto"/>
      </w:pPr>
    </w:p>
    <w:p w:rsidR="001F1DF0" w:rsidRDefault="001F1DF0" w:rsidP="00D15CBA">
      <w:pPr>
        <w:spacing w:line="240" w:lineRule="auto"/>
      </w:pPr>
      <w:r w:rsidRPr="001F1DF0">
        <w:t>Horiguchi, S., Endo, G., Kiyota, I., Teramoto, K., Shinagawa, K., Wakitani, F., Tanaka, H., Konishi, Y., Kiyota, A. and Ota, A. (1992). Frequency of cold infections in workers at a lead refinery. Osaka City Med J. 38: 79-81. As cited in NIWL 2005.</w:t>
      </w:r>
    </w:p>
    <w:p w:rsidR="001F1DF0" w:rsidRDefault="001F1DF0" w:rsidP="00D15CBA">
      <w:pPr>
        <w:spacing w:line="240" w:lineRule="auto"/>
      </w:pPr>
    </w:p>
    <w:p w:rsidR="00AB0C90" w:rsidRDefault="00AB0C90" w:rsidP="00D15CBA">
      <w:pPr>
        <w:spacing w:line="240" w:lineRule="auto"/>
      </w:pPr>
      <w:r w:rsidRPr="00AB0C90">
        <w:t>Hosni, H., Selim, O., Abbas, M. and Fathy, A. (2013). Semen quality and reproductive endocrinal function related to blood lead levels in infertile painters. Andrologia. 45: 120-127.</w:t>
      </w:r>
    </w:p>
    <w:p w:rsidR="00AB0C90" w:rsidRDefault="00AB0C90" w:rsidP="00D15CBA">
      <w:pPr>
        <w:spacing w:line="240" w:lineRule="auto"/>
      </w:pPr>
    </w:p>
    <w:p w:rsidR="00401EE8" w:rsidRDefault="00401EE8" w:rsidP="00D15CBA">
      <w:pPr>
        <w:spacing w:line="240" w:lineRule="auto"/>
      </w:pPr>
      <w:r w:rsidRPr="00401EE8">
        <w:t>H&amp;SA (2011</w:t>
      </w:r>
      <w:r w:rsidR="00DF09B6">
        <w:t>a</w:t>
      </w:r>
      <w:r w:rsidRPr="00401EE8">
        <w:t xml:space="preserve">). Code of practice for the safety, health and welfare at work (chemical agents) regulations 2001 (S.I. No. 619 of 2001). Ireland Health and Safety Authority. </w:t>
      </w:r>
      <w:hyperlink r:id="rId43" w:history="1">
        <w:r w:rsidRPr="006021EF">
          <w:rPr>
            <w:rStyle w:val="Hyperlink"/>
          </w:rPr>
          <w:t>http://www.hsa.ie/eng/Publications_and_Forms/Publications/Chemical_and_Hazardous_Substances/Code_of_Practice_Chemical_Agent_Regulations_2011.pdf</w:t>
        </w:r>
      </w:hyperlink>
      <w:r>
        <w:t xml:space="preserve">. </w:t>
      </w:r>
    </w:p>
    <w:p w:rsidR="00401EE8" w:rsidRDefault="00401EE8" w:rsidP="00D15CBA">
      <w:pPr>
        <w:spacing w:line="240" w:lineRule="auto"/>
      </w:pPr>
    </w:p>
    <w:p w:rsidR="00DF09B6" w:rsidRDefault="00DF09B6" w:rsidP="00D15CBA">
      <w:pPr>
        <w:spacing w:line="240" w:lineRule="auto"/>
      </w:pPr>
      <w:r w:rsidRPr="00DF09B6">
        <w:t xml:space="preserve">H&amp;SA (2011b). Biological monitoring guidelines. Ireland Health and Safety Authority. </w:t>
      </w:r>
      <w:hyperlink r:id="rId44" w:history="1">
        <w:r w:rsidRPr="006021EF">
          <w:rPr>
            <w:rStyle w:val="Hyperlink"/>
          </w:rPr>
          <w:t>http://www.hsa.ie/eng/Publications_and_Forms/Publications/Chemical_and_Hazardous_Substances/Biological_Monitoring_Guidelines.pdf</w:t>
        </w:r>
      </w:hyperlink>
      <w:r>
        <w:t xml:space="preserve">. </w:t>
      </w:r>
    </w:p>
    <w:p w:rsidR="00DF09B6" w:rsidRDefault="00DF09B6" w:rsidP="00D15CBA">
      <w:pPr>
        <w:spacing w:line="240" w:lineRule="auto"/>
      </w:pPr>
    </w:p>
    <w:p w:rsidR="0079327B" w:rsidRDefault="0079327B" w:rsidP="00D15CBA">
      <w:pPr>
        <w:spacing w:line="240" w:lineRule="auto"/>
      </w:pPr>
      <w:r w:rsidRPr="0079327B">
        <w:t>Hsu, P.-C., Chang, H.-Y., Guo, Y. L., Liu, Y.-C. and Shih, T.-S. (2009). Effect of smoking on blood lead levels in workers and role of reactive oxygen species in lead-induced sperm chromatin DNA damage. Fertility and Sterility. 91: 1096-1103.</w:t>
      </w:r>
    </w:p>
    <w:p w:rsidR="0079327B" w:rsidRDefault="0079327B" w:rsidP="00D15CBA">
      <w:pPr>
        <w:spacing w:line="240" w:lineRule="auto"/>
      </w:pPr>
    </w:p>
    <w:p w:rsidR="00530C73" w:rsidRDefault="003E4604" w:rsidP="00D15CBA">
      <w:pPr>
        <w:spacing w:line="240" w:lineRule="auto"/>
      </w:pPr>
      <w:r w:rsidRPr="003E4604">
        <w:lastRenderedPageBreak/>
        <w:t>Hu, H., Shih, R., Rothenberg, S. and Schwartz, B. S. (2007). The epidemiology of lead toxicity in adults: measuring dose and consideration of other methodologic issues. Environmental Health Perspectives. 115: 455-462.</w:t>
      </w:r>
    </w:p>
    <w:p w:rsidR="003E4604" w:rsidRDefault="003E4604" w:rsidP="00D15CBA">
      <w:pPr>
        <w:spacing w:line="240" w:lineRule="auto"/>
      </w:pPr>
    </w:p>
    <w:p w:rsidR="00DA218B" w:rsidRDefault="00DA218B" w:rsidP="009A7626">
      <w:pPr>
        <w:spacing w:line="240" w:lineRule="auto"/>
      </w:pPr>
      <w:r w:rsidRPr="00DA218B">
        <w:t>Hursh, J. B. and Mercer, T. T. (1970). Measurement of 212Pb loss rate from human lungs. Journal of Applied Physiology. 28: 268-274.</w:t>
      </w:r>
    </w:p>
    <w:p w:rsidR="00DA218B" w:rsidRDefault="00DA218B" w:rsidP="009A7626">
      <w:pPr>
        <w:spacing w:line="240" w:lineRule="auto"/>
      </w:pPr>
    </w:p>
    <w:p w:rsidR="004075D6" w:rsidRDefault="004075D6" w:rsidP="009A7626">
      <w:pPr>
        <w:spacing w:line="240" w:lineRule="auto"/>
      </w:pPr>
      <w:r w:rsidRPr="004075D6">
        <w:t>Hwang, Y.-H., Chiang, H.-Y., Yen-Jean, M.-C. and Wang, J.-D. (2009). The association between low levels of lead in blood and occupational noise-induced hearing loss in steel workers. Science of The Total Environment. 408: 43-49.</w:t>
      </w:r>
    </w:p>
    <w:p w:rsidR="004075D6" w:rsidRDefault="004075D6" w:rsidP="009A7626">
      <w:pPr>
        <w:spacing w:line="240" w:lineRule="auto"/>
      </w:pPr>
    </w:p>
    <w:p w:rsidR="009A7626" w:rsidRPr="009A7626" w:rsidRDefault="009A7626" w:rsidP="009A7626">
      <w:pPr>
        <w:spacing w:line="240" w:lineRule="auto"/>
      </w:pPr>
      <w:r w:rsidRPr="009A7626">
        <w:t xml:space="preserve">IARC (2006).  IARC Monograph on the Evaluation of Carcinogenic Risks to Humans Volume 87. Inorganic and Organic Lead Compounds. International Agency for Research on Cancer. </w:t>
      </w:r>
    </w:p>
    <w:p w:rsidR="009A7626" w:rsidRDefault="009A7626" w:rsidP="00D15CBA">
      <w:pPr>
        <w:spacing w:line="240" w:lineRule="auto"/>
      </w:pPr>
    </w:p>
    <w:p w:rsidR="00AB0C90" w:rsidRDefault="00AB0C90" w:rsidP="00D15CBA">
      <w:pPr>
        <w:spacing w:line="240" w:lineRule="auto"/>
      </w:pPr>
      <w:r w:rsidRPr="00AB0C90">
        <w:t>Ilychova, S. A. and Zaridze, D. G. (2012). Cancer mortality among female and male workers occupationally exposed to inorganic lead in the printing industry. Occupational and Environmental Medicine. 69: 87-92.</w:t>
      </w:r>
    </w:p>
    <w:p w:rsidR="00AB0C90" w:rsidRDefault="00AB0C90" w:rsidP="00D15CBA">
      <w:pPr>
        <w:spacing w:line="240" w:lineRule="auto"/>
      </w:pPr>
    </w:p>
    <w:p w:rsidR="00A32629" w:rsidRDefault="00A32629" w:rsidP="00D15CBA">
      <w:pPr>
        <w:spacing w:line="240" w:lineRule="auto"/>
      </w:pPr>
      <w:r w:rsidRPr="00A32629">
        <w:t xml:space="preserve">INRS (2006). Fiche toxicologique FT 59. Plomb et composes mineraux (in French). Institut National de Recherche et de Securite (National Institue of Research and Security). </w:t>
      </w:r>
      <w:hyperlink r:id="rId45" w:history="1">
        <w:r w:rsidRPr="006021EF">
          <w:rPr>
            <w:rStyle w:val="Hyperlink"/>
          </w:rPr>
          <w:t>http://www.google.com.au/url?sa=t&amp;rct=j&amp;q=&amp;esrc=s&amp;frm=1&amp;source=web&amp;cd=3&amp;cad=rja&amp;ved=0CEMQFjAC&amp;url=http%3A%2F%2Fwww.inrs.fr%2Fdefault%2Fdms%2Finrs%2FFicheToxicologique%2FTI-FT-59%2Fft59.pdf&amp;ei=sccWUoiwH42Rigeni4GQBg&amp;usg=AFQjCNHUnJh4HAad6JRWAKapvO5djOO3nw&amp;sig2=7hxd71grxBQZtlqd6S9o5A&amp;bvm=bv.51156542,d.dGI</w:t>
        </w:r>
      </w:hyperlink>
      <w:r>
        <w:t xml:space="preserve">. </w:t>
      </w:r>
    </w:p>
    <w:p w:rsidR="00A32629" w:rsidRDefault="00A32629" w:rsidP="00D15CBA">
      <w:pPr>
        <w:spacing w:line="240" w:lineRule="auto"/>
      </w:pPr>
    </w:p>
    <w:p w:rsidR="00A32629" w:rsidRDefault="00A32629" w:rsidP="00D15CBA">
      <w:pPr>
        <w:spacing w:line="240" w:lineRule="auto"/>
      </w:pPr>
      <w:r w:rsidRPr="00A32629">
        <w:t xml:space="preserve">INRS (2012). Valeurs limites d'exposition professionnelle aux agents chimiques en France. ED 984: Aide-Memoire Technique (in French). Institut National de Recherche et de Securite (National Institue of Research and Security). </w:t>
      </w:r>
      <w:hyperlink r:id="rId46" w:history="1">
        <w:r w:rsidRPr="006021EF">
          <w:rPr>
            <w:rStyle w:val="Hyperlink"/>
          </w:rPr>
          <w:t>http://www.inrs.fr/accueil/produits/mediatheque/doc/publications.html?refINRS=ED%20984</w:t>
        </w:r>
      </w:hyperlink>
      <w:r>
        <w:t xml:space="preserve">. </w:t>
      </w:r>
    </w:p>
    <w:p w:rsidR="00A32629" w:rsidRDefault="00A32629" w:rsidP="00D15CBA">
      <w:pPr>
        <w:spacing w:line="240" w:lineRule="auto"/>
      </w:pPr>
    </w:p>
    <w:p w:rsidR="00A32629" w:rsidRDefault="00A32629" w:rsidP="00D15CBA">
      <w:pPr>
        <w:spacing w:line="240" w:lineRule="auto"/>
      </w:pPr>
      <w:r w:rsidRPr="00A32629">
        <w:t xml:space="preserve">INSHT (2013). Limites de exposicion profesional para agentes quimicos en Espana (in Spanish). Instituto Nacional de Seguridad e Higiene en el Trabajo (National Institute of Occupational Safety and Hygiene). </w:t>
      </w:r>
      <w:hyperlink r:id="rId47" w:history="1">
        <w:r w:rsidRPr="006021EF">
          <w:rPr>
            <w:rStyle w:val="Hyperlink"/>
          </w:rPr>
          <w:t>http://www.insht.es/InshtWeb/Contenidos/Documentacion/LEP%20_VALORES%20LIMITE/Valores%20limite/Limites2013/limites%202013.pdf</w:t>
        </w:r>
      </w:hyperlink>
      <w:r>
        <w:t xml:space="preserve">. </w:t>
      </w:r>
    </w:p>
    <w:p w:rsidR="00A32629" w:rsidRDefault="00A32629" w:rsidP="00D15CBA">
      <w:pPr>
        <w:spacing w:line="240" w:lineRule="auto"/>
      </w:pPr>
    </w:p>
    <w:p w:rsidR="00FF5DA8" w:rsidRDefault="00FF5DA8" w:rsidP="00D15CBA">
      <w:pPr>
        <w:spacing w:line="240" w:lineRule="auto"/>
      </w:pPr>
      <w:r w:rsidRPr="00FF5DA8">
        <w:t>Irgens, A., Krueger, K., Skorve, A. H. and Irgens, L. M. (1998). Reproductive outcome in offspring of parents occupationally exposed to lead in Norway. American Journal of Industrial Medicine. 34: 431-437. As cited in US EPA 2013.</w:t>
      </w:r>
    </w:p>
    <w:p w:rsidR="00FF5DA8" w:rsidRDefault="00FF5DA8" w:rsidP="00D15CBA">
      <w:pPr>
        <w:spacing w:line="240" w:lineRule="auto"/>
      </w:pPr>
    </w:p>
    <w:p w:rsidR="005A0D80" w:rsidRDefault="005A0D80" w:rsidP="00D15CBA">
      <w:pPr>
        <w:spacing w:line="240" w:lineRule="auto"/>
      </w:pPr>
      <w:r w:rsidRPr="005A0D80">
        <w:t>Iyengar, G. V. and Rapp, A. (2001). Human placenta as a ‘dual’ biomarker for monitoring fetal and maternal environment with special reference to potentially toxic trace elements. Part 3: Toxic trace elements in placenta and placenta as a biomarker for these elements. Science of The Total Environment. 280: 221-238.</w:t>
      </w:r>
    </w:p>
    <w:p w:rsidR="005A0D80" w:rsidRDefault="005A0D80" w:rsidP="00D15CBA">
      <w:pPr>
        <w:spacing w:line="240" w:lineRule="auto"/>
      </w:pPr>
    </w:p>
    <w:p w:rsidR="00747D87" w:rsidRDefault="00747D87" w:rsidP="00D15CBA">
      <w:pPr>
        <w:spacing w:line="240" w:lineRule="auto"/>
      </w:pPr>
      <w:r w:rsidRPr="00747D87">
        <w:t>Jelliffe-Pawlowski, L. L., Miles, S. Q., Courtney, J. G., Materna, B. and Charlton, V. (2006). Effect of magnitude and timing of maternal pregnancy blood lead (Pb) levels on birth outcomes. Journal of Perinatology. 26: 154.</w:t>
      </w:r>
    </w:p>
    <w:p w:rsidR="00747D87" w:rsidRDefault="00747D87" w:rsidP="00D15CBA">
      <w:pPr>
        <w:spacing w:line="240" w:lineRule="auto"/>
      </w:pPr>
    </w:p>
    <w:p w:rsidR="00E43584" w:rsidRDefault="00E43584" w:rsidP="00D15CBA">
      <w:pPr>
        <w:spacing w:line="240" w:lineRule="auto"/>
      </w:pPr>
      <w:r w:rsidRPr="00E43584">
        <w:t xml:space="preserve">JOGDL (2002). Agents chimiques, cancerigenes ou mutagenes au travail (Chemical, cancerous, or mutagenic agents at work). Journal Officiel du Grand-Duche de Luxembourg (in French). </w:t>
      </w:r>
      <w:hyperlink r:id="rId48" w:history="1">
        <w:r w:rsidRPr="006021EF">
          <w:rPr>
            <w:rStyle w:val="Hyperlink"/>
          </w:rPr>
          <w:t>http://www.legilux.public.lu/leg/a/archives/2002/0096/a096.pdf?SID=c412d59ce0c1ae8381e9f784409d2e2b</w:t>
        </w:r>
      </w:hyperlink>
      <w:r>
        <w:t xml:space="preserve">. </w:t>
      </w:r>
    </w:p>
    <w:p w:rsidR="00E43584" w:rsidRDefault="00E43584" w:rsidP="00D15CBA">
      <w:pPr>
        <w:spacing w:line="240" w:lineRule="auto"/>
      </w:pPr>
    </w:p>
    <w:p w:rsidR="00400097" w:rsidRDefault="00400097" w:rsidP="00D15CBA">
      <w:pPr>
        <w:spacing w:line="240" w:lineRule="auto"/>
      </w:pPr>
      <w:r w:rsidRPr="00400097">
        <w:lastRenderedPageBreak/>
        <w:t>Jones, S., Atkin, P., Holroyd, C., Lutman, E., Vives i Batlle, J., Wakeford, R. and Walker, P. (2007). Lung cancer mortality at a UK tin smelter. Occupational Medicine. 57: 238-245.</w:t>
      </w:r>
    </w:p>
    <w:p w:rsidR="00400097" w:rsidRDefault="00400097" w:rsidP="00D15CBA">
      <w:pPr>
        <w:spacing w:line="240" w:lineRule="auto"/>
      </w:pPr>
    </w:p>
    <w:p w:rsidR="005A1DC4" w:rsidRDefault="005A1DC4" w:rsidP="00D15CBA">
      <w:pPr>
        <w:spacing w:line="240" w:lineRule="auto"/>
      </w:pPr>
      <w:r w:rsidRPr="005A1DC4">
        <w:t>JSOH (2010). Recommendation of occupational exposure limits (2010-2011). The Japan Society for Occupational Health. Journal of Occupational Health  52: 308-324.</w:t>
      </w:r>
    </w:p>
    <w:p w:rsidR="005A1DC4" w:rsidRDefault="005A1DC4" w:rsidP="00D15CBA">
      <w:pPr>
        <w:spacing w:line="240" w:lineRule="auto"/>
      </w:pPr>
    </w:p>
    <w:p w:rsidR="00393EF6" w:rsidRDefault="00393EF6" w:rsidP="00D15CBA">
      <w:pPr>
        <w:spacing w:line="240" w:lineRule="auto"/>
      </w:pPr>
      <w:r w:rsidRPr="00393EF6">
        <w:t>Kamel, F., Umbach, D. M., Munsat, T. L., Shefner, J. M., Hu, H. and Sandler, D. P. (2002). Lead exposure and amyotrophic lateral sclerosis. Epidemiology. 13: 311-319.</w:t>
      </w:r>
    </w:p>
    <w:p w:rsidR="00393EF6" w:rsidRDefault="00393EF6" w:rsidP="00D15CBA">
      <w:pPr>
        <w:spacing w:line="240" w:lineRule="auto"/>
      </w:pPr>
    </w:p>
    <w:p w:rsidR="0001725E" w:rsidRDefault="0001725E" w:rsidP="00D15CBA">
      <w:pPr>
        <w:spacing w:line="240" w:lineRule="auto"/>
      </w:pPr>
      <w:r w:rsidRPr="0001725E">
        <w:t>Karita, K., Yano, E., Dakeishi, M., Iwata, T. and Murata, K. (2005). Benchmark dose of lead inducing anemia at the workplace. Risk Analysis: An International Journal. 25: 957-962.</w:t>
      </w:r>
    </w:p>
    <w:p w:rsidR="0001725E" w:rsidRDefault="0001725E" w:rsidP="00D15CBA">
      <w:pPr>
        <w:spacing w:line="240" w:lineRule="auto"/>
      </w:pPr>
    </w:p>
    <w:p w:rsidR="0079327B" w:rsidRDefault="0079327B" w:rsidP="00D15CBA">
      <w:pPr>
        <w:spacing w:line="240" w:lineRule="auto"/>
      </w:pPr>
      <w:r w:rsidRPr="0079327B">
        <w:t>Kasperczyk, A., Kasperczyk, S., Horak, S., Ostałowska, A., Grucka-Mamczar, E., Romuk, E., Olejek, A. and Birkner, E. (2008). Assessment of semen function and lipid peroxidation among lead exposed men. Toxicology and Applied Pharmacology. 228: 378-384.</w:t>
      </w:r>
    </w:p>
    <w:p w:rsidR="0079327B" w:rsidRDefault="0079327B" w:rsidP="00D15CBA">
      <w:pPr>
        <w:spacing w:line="240" w:lineRule="auto"/>
      </w:pPr>
    </w:p>
    <w:p w:rsidR="007B5465" w:rsidRDefault="007B5465" w:rsidP="00D15CBA">
      <w:pPr>
        <w:spacing w:line="240" w:lineRule="auto"/>
      </w:pPr>
      <w:r w:rsidRPr="007B5465">
        <w:t>Kasperczyk, A., Dziwisz, M., Ostaowska, A., witochowska, E. and Birkner, E. (2013). Function of the liver and bile ducts in humans exposed to lead. Human &amp; Experimental Toxicology. 32: 787-796.</w:t>
      </w:r>
    </w:p>
    <w:p w:rsidR="007B5465" w:rsidRDefault="007B5465" w:rsidP="00D15CBA">
      <w:pPr>
        <w:spacing w:line="240" w:lineRule="auto"/>
      </w:pPr>
    </w:p>
    <w:p w:rsidR="0082111A" w:rsidRDefault="0082111A" w:rsidP="00D15CBA">
      <w:pPr>
        <w:spacing w:line="240" w:lineRule="auto"/>
      </w:pPr>
      <w:r w:rsidRPr="0082111A">
        <w:t>Kašuba, V., Rozgaj, R., Milić, M., Želježić, D., Kopjar, N., Pizent, A., Kljaković-Gašpić, Z. and Jazbec, A. (2012). Evaluation of genotoxic effects of lead in pottery-glaze workers using micronucleus assay, alkaline comet assay and DNA diffusion assay. International Archives of Occupational and Environmental Health. 85: 807-818.</w:t>
      </w:r>
    </w:p>
    <w:p w:rsidR="0082111A" w:rsidRDefault="0082111A" w:rsidP="00D15CBA">
      <w:pPr>
        <w:spacing w:line="240" w:lineRule="auto"/>
      </w:pPr>
    </w:p>
    <w:p w:rsidR="00986B4E" w:rsidRDefault="00986B4E" w:rsidP="00D15CBA">
      <w:pPr>
        <w:spacing w:line="240" w:lineRule="auto"/>
      </w:pPr>
      <w:r w:rsidRPr="00986B4E">
        <w:t>Khalil, N., Wilson, J. W., Talbott, E. O., Morrow, L. A., Hochberg, M. C., Hillier, T. A., Muldoon, S. B., Cummings, S. R. and Cauley, J. A. (2009b). Association of blood lead concentrations with mortality in older women: a prospective cohort study. Environmental Health: A Global Access Science Source. 8: 15.</w:t>
      </w:r>
    </w:p>
    <w:p w:rsidR="00986B4E" w:rsidRDefault="00986B4E" w:rsidP="00D15CBA">
      <w:pPr>
        <w:spacing w:line="240" w:lineRule="auto"/>
      </w:pPr>
    </w:p>
    <w:p w:rsidR="0001725E" w:rsidRDefault="0001725E" w:rsidP="00D15CBA">
      <w:pPr>
        <w:spacing w:line="240" w:lineRule="auto"/>
      </w:pPr>
      <w:r w:rsidRPr="0001725E">
        <w:t>Khan, D. A., Qayyum, S., Saleem, S. and Khan, F. A. (2008). Lead-induced oxidative stress adversely affects health of the occupational workers. Toxicology and Industrial Health. 24: 611-8.</w:t>
      </w:r>
    </w:p>
    <w:p w:rsidR="0001725E" w:rsidRDefault="0001725E" w:rsidP="00D15CBA">
      <w:pPr>
        <w:spacing w:line="240" w:lineRule="auto"/>
      </w:pPr>
    </w:p>
    <w:p w:rsidR="00C51AED" w:rsidRDefault="00C51AED" w:rsidP="00D15CBA">
      <w:pPr>
        <w:spacing w:line="240" w:lineRule="auto"/>
      </w:pPr>
      <w:r w:rsidRPr="00C51AED">
        <w:t xml:space="preserve">Khan, D. A., Qayyum, S., Saleem, S. and Khan, F. A. (2009). Evaluation of lead body burden in occupational workers by lead mobilization test. Journal of Pakistan Medical Association. </w:t>
      </w:r>
      <w:hyperlink r:id="rId49" w:history="1">
        <w:r w:rsidRPr="00D962FA">
          <w:rPr>
            <w:rStyle w:val="Hyperlink"/>
          </w:rPr>
          <w:t>http://www.jpma.org.pk/full_article_text.php?article_id=1712</w:t>
        </w:r>
      </w:hyperlink>
      <w:r>
        <w:t xml:space="preserve">. </w:t>
      </w:r>
    </w:p>
    <w:p w:rsidR="00C51AED" w:rsidRDefault="00C51AED" w:rsidP="00D15CBA">
      <w:pPr>
        <w:spacing w:line="240" w:lineRule="auto"/>
      </w:pPr>
    </w:p>
    <w:p w:rsidR="002F64F2" w:rsidRDefault="002F64F2" w:rsidP="00D15CBA">
      <w:pPr>
        <w:spacing w:line="240" w:lineRule="auto"/>
      </w:pPr>
      <w:r w:rsidRPr="002F64F2">
        <w:t>Kim, R., Rotnitzky, A., Sparrow, D., Weiss, S. T., Wager, C. and Hu, H. (1996). A longitudinal study of low-level lead exposure and impairment of renal function: The normative aging study. JAMA. 275: 1177-1181.</w:t>
      </w:r>
    </w:p>
    <w:p w:rsidR="002F64F2" w:rsidRDefault="002F64F2" w:rsidP="00D15CBA">
      <w:pPr>
        <w:spacing w:line="240" w:lineRule="auto"/>
      </w:pPr>
    </w:p>
    <w:p w:rsidR="00772478" w:rsidRDefault="00772478" w:rsidP="00D15CBA">
      <w:pPr>
        <w:spacing w:line="240" w:lineRule="auto"/>
      </w:pPr>
      <w:r w:rsidRPr="00772478">
        <w:t>Kim, Y. and Lee, B.-K. (2012). Associations of blood lead, cadmium, and mercury with estimated glomerular filtration rate in the Korean general population: Analysis of 2008–2010 Korean National Health and Nutrition Examination Survey data. Environmental Research. 118: 124-129.</w:t>
      </w:r>
    </w:p>
    <w:p w:rsidR="00772478" w:rsidRDefault="00772478" w:rsidP="00D15CBA">
      <w:pPr>
        <w:spacing w:line="240" w:lineRule="auto"/>
      </w:pPr>
    </w:p>
    <w:p w:rsidR="00242F86" w:rsidRDefault="00242F86" w:rsidP="00D15CBA">
      <w:pPr>
        <w:spacing w:line="240" w:lineRule="auto"/>
      </w:pPr>
      <w:r w:rsidRPr="00242F86">
        <w:t>Kim, Y., Ha, E.-H., Park, H., Ha, M., Kim, Y., Hong, Y.-C., Kim, E.-J. and Kim, B.-N. (2013). Prenatal lead and cadmium co-exposure and infant neurodevelopment at 6 months of age: The Mothers and Children's Environmental Health (MOCEH) study. NeuroToxicology. 35: 15-22.</w:t>
      </w:r>
    </w:p>
    <w:p w:rsidR="00242F86" w:rsidRDefault="00242F86" w:rsidP="00D15CBA">
      <w:pPr>
        <w:spacing w:line="240" w:lineRule="auto"/>
      </w:pPr>
    </w:p>
    <w:p w:rsidR="00721271" w:rsidRDefault="00721271" w:rsidP="00721271">
      <w:pPr>
        <w:spacing w:line="240" w:lineRule="auto"/>
        <w:ind w:firstLine="1"/>
        <w:rPr>
          <w:rFonts w:cs="Arial"/>
        </w:rPr>
      </w:pPr>
      <w:r w:rsidRPr="0047523D">
        <w:rPr>
          <w:rFonts w:cs="Arial"/>
        </w:rPr>
        <w:t>King, E., Conchie, A., Hiett, D. and Milligan, B. (1979). Industrial lead absorption. Annals of Occupational Hygiene. 22 (3): 213-239.</w:t>
      </w:r>
    </w:p>
    <w:p w:rsidR="00721271" w:rsidRDefault="00721271" w:rsidP="00D15CBA">
      <w:pPr>
        <w:spacing w:line="240" w:lineRule="auto"/>
      </w:pPr>
    </w:p>
    <w:p w:rsidR="006D197F" w:rsidRDefault="006D197F" w:rsidP="00D15CBA">
      <w:pPr>
        <w:spacing w:line="240" w:lineRule="auto"/>
      </w:pPr>
      <w:r w:rsidRPr="006D197F">
        <w:t>Koh, D., Ng, V., Chua, L. H., Yang, Y., Ong, H. Y. and Chia, S. E. (2003). Can salivary lead be used for biological monitoring of lead exposed individuals? Occupational and Environmental Medicine. 60: 696-698.</w:t>
      </w:r>
    </w:p>
    <w:p w:rsidR="006D197F" w:rsidRDefault="006D197F" w:rsidP="00D15CBA">
      <w:pPr>
        <w:spacing w:line="240" w:lineRule="auto"/>
      </w:pPr>
    </w:p>
    <w:p w:rsidR="0098572F" w:rsidRDefault="0098572F" w:rsidP="00D15CBA">
      <w:pPr>
        <w:spacing w:line="240" w:lineRule="auto"/>
      </w:pPr>
      <w:r w:rsidRPr="0098572F">
        <w:lastRenderedPageBreak/>
        <w:t>Kosnett, M. J., Wedeen, R. P., Rothenberg, S. J., Hipkins, K. L., Materna, B. L., Schwartz, B. S., Hu, H. and Woolf, A. (2007). Recommendations for Medical Management of Adult Lead Exposure. Environmental Health Perspectives. 115: 463-471.</w:t>
      </w:r>
    </w:p>
    <w:p w:rsidR="0098572F" w:rsidRDefault="0098572F" w:rsidP="00D15CBA">
      <w:pPr>
        <w:spacing w:line="240" w:lineRule="auto"/>
      </w:pPr>
    </w:p>
    <w:p w:rsidR="00F050B4" w:rsidRDefault="00F050B4" w:rsidP="00D15CBA">
      <w:pPr>
        <w:spacing w:line="240" w:lineRule="auto"/>
      </w:pPr>
      <w:r w:rsidRPr="00F050B4">
        <w:t>Kovala, T., Matikainen, E., Mannelin, T., Erkkilä, J., Riihimäki, V., Hänninen, H. and Aitio, A. (1997). Effects of low level exposure to lead on neurophysiological functions among lead battery workers. Occupational and Environmental Medicine. 54: 487-493.</w:t>
      </w:r>
    </w:p>
    <w:p w:rsidR="00F050B4" w:rsidRDefault="00F050B4" w:rsidP="00D15CBA">
      <w:pPr>
        <w:spacing w:line="240" w:lineRule="auto"/>
      </w:pPr>
    </w:p>
    <w:p w:rsidR="00CC232F" w:rsidRDefault="00CC232F" w:rsidP="00D15CBA">
      <w:pPr>
        <w:spacing w:line="240" w:lineRule="auto"/>
      </w:pPr>
      <w:r w:rsidRPr="00CC232F">
        <w:t>Koyashiki, G., Paoliello, M. and Tchounwou, P. (2011). Lead levels in human milk and children's health risk: a systematic review. Reviews on Environmental Health. 25: 161-259. Abstract only.</w:t>
      </w:r>
    </w:p>
    <w:p w:rsidR="00CC232F" w:rsidRDefault="00CC232F" w:rsidP="00D15CBA">
      <w:pPr>
        <w:spacing w:line="240" w:lineRule="auto"/>
      </w:pPr>
    </w:p>
    <w:p w:rsidR="00975C27" w:rsidRDefault="00975C27" w:rsidP="00D15CBA">
      <w:pPr>
        <w:spacing w:line="240" w:lineRule="auto"/>
      </w:pPr>
      <w:r w:rsidRPr="00975C27">
        <w:t>Krieg Jr, E. F. (2007). The relationships between blood lead levels and serum follicle stimulating hormone and luteinizing hormone in the third National Health and Nutrition Examination Survey. Environmental Research. 104: 374-382.</w:t>
      </w:r>
    </w:p>
    <w:p w:rsidR="00975C27" w:rsidRDefault="00975C27" w:rsidP="00D15CBA">
      <w:pPr>
        <w:spacing w:line="240" w:lineRule="auto"/>
      </w:pPr>
    </w:p>
    <w:p w:rsidR="00BE7F30" w:rsidRDefault="00BE7F30" w:rsidP="00D15CBA">
      <w:pPr>
        <w:spacing w:line="240" w:lineRule="auto"/>
      </w:pPr>
      <w:r w:rsidRPr="00BE7F30">
        <w:t>Krieg Jr, E. F. and Butler, M. A. (2009). Blood lead, serum homocysteine, and neurobehavioral test performance in the third National Health and Nutrition Examination Survey. NeuroToxicology. 30: 281-289.</w:t>
      </w:r>
    </w:p>
    <w:p w:rsidR="00BE7F30" w:rsidRDefault="00BE7F30" w:rsidP="00D15CBA">
      <w:pPr>
        <w:spacing w:line="240" w:lineRule="auto"/>
      </w:pPr>
    </w:p>
    <w:p w:rsidR="00BE7F30" w:rsidRDefault="00BE7F30" w:rsidP="00D15CBA">
      <w:pPr>
        <w:spacing w:line="240" w:lineRule="auto"/>
      </w:pPr>
      <w:r w:rsidRPr="00BE7F30">
        <w:t>Krieg Jr, E. F., Butler, M. A., Chang, M.-h., Liu, T., Yesupriya, A., Lindegren, M. L. and Dowling, N. (2009). Lead and cognitive function in ALAD genotypes in the third National Health and Nutrition Examination Survey. Neurotoxicology and Teratology. 31: 364-371.</w:t>
      </w:r>
    </w:p>
    <w:p w:rsidR="00BE7F30" w:rsidRDefault="00BE7F30" w:rsidP="00D15CBA">
      <w:pPr>
        <w:spacing w:line="240" w:lineRule="auto"/>
      </w:pPr>
    </w:p>
    <w:p w:rsidR="00BE7F30" w:rsidRDefault="00BE7F30" w:rsidP="00D15CBA">
      <w:pPr>
        <w:spacing w:line="240" w:lineRule="auto"/>
      </w:pPr>
      <w:r w:rsidRPr="00BE7F30">
        <w:t>Krieg Jr, E. F., Butler, M. A., Chang, M.-h., Liu, T., Yesupriya, A., Dowling, N. and Lindegren, M. L. (2010). Lead and cognitive function in VDR genotypes in the third National Health and Nutrition Examination Survey. Neurotoxicology and Teratology. 32: 262-272.</w:t>
      </w:r>
    </w:p>
    <w:p w:rsidR="00BE7F30" w:rsidRDefault="00BE7F30" w:rsidP="00D15CBA">
      <w:pPr>
        <w:spacing w:line="240" w:lineRule="auto"/>
      </w:pPr>
    </w:p>
    <w:p w:rsidR="007E143F" w:rsidRDefault="007E143F" w:rsidP="00D15CBA">
      <w:pPr>
        <w:spacing w:line="240" w:lineRule="auto"/>
      </w:pPr>
      <w:r w:rsidRPr="007E143F">
        <w:t>Kumar, B. D. and Krishnaswamy, K. (1995). Detection of occupational lead nephropathy using early renal markers. Journal of Toxicology: Clinical Toxicology. 33: 331-335.</w:t>
      </w:r>
    </w:p>
    <w:p w:rsidR="007E143F" w:rsidRDefault="007E143F" w:rsidP="00D15CBA">
      <w:pPr>
        <w:spacing w:line="240" w:lineRule="auto"/>
      </w:pPr>
    </w:p>
    <w:p w:rsidR="00FE6707" w:rsidRDefault="00FE6707" w:rsidP="00D15CBA">
      <w:pPr>
        <w:spacing w:line="240" w:lineRule="auto"/>
      </w:pPr>
      <w:r w:rsidRPr="00FE6707">
        <w:t>Lai, J.-S., Wu, T. N., Liou, S.-H., Shen, C.-Y., Guu, C.-F., Ko, K.-N., Hsueh-Yun, C. and Chang, P. Y. (1997). A study of the relationship between ambient lead and blood lead among lead battery workers. International Archives of Occupational and Environmental Health. 69: 295-300.</w:t>
      </w:r>
    </w:p>
    <w:p w:rsidR="00FE6707" w:rsidRDefault="00FE6707" w:rsidP="00D15CBA">
      <w:pPr>
        <w:spacing w:line="240" w:lineRule="auto"/>
      </w:pPr>
    </w:p>
    <w:p w:rsidR="002D0F42" w:rsidRDefault="002D0F42" w:rsidP="00D15CBA">
      <w:pPr>
        <w:spacing w:line="240" w:lineRule="auto"/>
      </w:pPr>
      <w:r w:rsidRPr="002D0F42">
        <w:t>Lam, T. V., Agovino, P., Niu, X. and Roché, L. (2007). Linkage study of cancer risk among lead-exposed workers in New Jersey. Science of The Total Environment. 372: 455-462.</w:t>
      </w:r>
    </w:p>
    <w:p w:rsidR="002D0F42" w:rsidRDefault="002D0F42" w:rsidP="00D15CBA">
      <w:pPr>
        <w:spacing w:line="240" w:lineRule="auto"/>
      </w:pPr>
    </w:p>
    <w:p w:rsidR="006D197F" w:rsidRDefault="006D197F" w:rsidP="00D15CBA">
      <w:pPr>
        <w:spacing w:line="240" w:lineRule="auto"/>
      </w:pPr>
      <w:r w:rsidRPr="006D197F">
        <w:t>Lee, B.-K. (1999). The role of biological monitoring in the health management of lead-exposed workers. Toxicology Letters. 108: 149-160.</w:t>
      </w:r>
    </w:p>
    <w:p w:rsidR="006D197F" w:rsidRDefault="006D197F" w:rsidP="00D15CBA">
      <w:pPr>
        <w:spacing w:line="240" w:lineRule="auto"/>
      </w:pPr>
    </w:p>
    <w:p w:rsidR="00F050B4" w:rsidRDefault="00F050B4" w:rsidP="00D15CBA">
      <w:pPr>
        <w:spacing w:line="240" w:lineRule="auto"/>
      </w:pPr>
      <w:r w:rsidRPr="00F050B4">
        <w:t>Lee, B. K., Ahn, K. D., Lee, S. S., Lee, G. S., Kim, Y. B. and Schwartz, B. S. (2000). A comparison of different lead biomarkers in their associations with lead-related symptoms. International Archives of Occupational and Environmental Health. 73: 298-304.</w:t>
      </w:r>
    </w:p>
    <w:p w:rsidR="00F050B4" w:rsidRDefault="00F050B4" w:rsidP="00D15CBA">
      <w:pPr>
        <w:spacing w:line="240" w:lineRule="auto"/>
      </w:pPr>
    </w:p>
    <w:p w:rsidR="007A6A05" w:rsidRDefault="007A6A05" w:rsidP="00D15CBA">
      <w:pPr>
        <w:spacing w:line="240" w:lineRule="auto"/>
      </w:pPr>
      <w:r w:rsidRPr="007A6A05">
        <w:t>Lee, B.-K., Lee, G.-S., Stewart, W. F., Ahn, K.-D., Simon, D., Kelsey, K. T., Todd, A. C. and Schwartz, B. S. (2001). Associations of blood pressure and hypertension with lead dose measures and polymorphisms in the vitamin D receptor and δ-aminolevulinic acid dehydratase genes. Environmental Health Perspectives. 109: 383-389.</w:t>
      </w:r>
    </w:p>
    <w:p w:rsidR="007A6A05" w:rsidRDefault="007A6A05" w:rsidP="00D15CBA">
      <w:pPr>
        <w:spacing w:line="240" w:lineRule="auto"/>
      </w:pPr>
    </w:p>
    <w:p w:rsidR="00A32629" w:rsidRDefault="00A32629" w:rsidP="00D15CBA">
      <w:pPr>
        <w:spacing w:line="240" w:lineRule="auto"/>
      </w:pPr>
      <w:r w:rsidRPr="00A32629">
        <w:t xml:space="preserve">Legifrance (2003). Decret no. 2003-1254 du 23 decembre 2003 relatif a la prevention du risque chimique et modifiant le code du travail (deuxieme partie: Decrets en Conseil d'Etat) (in French). Legifrance. Republique Francaise. Le service public de la diffusion du droit. </w:t>
      </w:r>
      <w:hyperlink r:id="rId50" w:history="1">
        <w:r w:rsidRPr="006021EF">
          <w:rPr>
            <w:rStyle w:val="Hyperlink"/>
          </w:rPr>
          <w:t>http://www.legifrance.gouv.fr/affichTexte.do?cidTexte=JORFTEXT000000611301&amp;dateTexte=&amp;categorieLien=id</w:t>
        </w:r>
      </w:hyperlink>
      <w:r>
        <w:t xml:space="preserve">. </w:t>
      </w:r>
    </w:p>
    <w:p w:rsidR="00A32629" w:rsidRDefault="00A32629" w:rsidP="00D15CBA">
      <w:pPr>
        <w:spacing w:line="240" w:lineRule="auto"/>
      </w:pPr>
    </w:p>
    <w:p w:rsidR="00713228" w:rsidRDefault="00713228" w:rsidP="00D15CBA">
      <w:pPr>
        <w:spacing w:line="240" w:lineRule="auto"/>
      </w:pPr>
      <w:r w:rsidRPr="00713228">
        <w:lastRenderedPageBreak/>
        <w:t>Lerda, D. (1992). Study of sperm characteristics in persons occupationally exposed to lead. American Journal of Industrial Medicine. 22: 567-571.</w:t>
      </w:r>
    </w:p>
    <w:p w:rsidR="00713228" w:rsidRDefault="00713228" w:rsidP="00D15CBA">
      <w:pPr>
        <w:spacing w:line="240" w:lineRule="auto"/>
      </w:pPr>
    </w:p>
    <w:p w:rsidR="002F64F2" w:rsidRDefault="002F64F2" w:rsidP="00D15CBA">
      <w:pPr>
        <w:spacing w:line="240" w:lineRule="auto"/>
      </w:pPr>
      <w:r w:rsidRPr="002F64F2">
        <w:t>Lin, J.-L., Lin-Tan, D.-T., Hsu, K.-H. and Yu, C.-C. (2003). Environmental lead exposure and progression of chronic renal diseases in patients without diabetes. New England Journal of Medicine. 348: 277-286.</w:t>
      </w:r>
    </w:p>
    <w:p w:rsidR="002F64F2" w:rsidRDefault="002F64F2" w:rsidP="00D15CBA">
      <w:pPr>
        <w:spacing w:line="240" w:lineRule="auto"/>
      </w:pPr>
    </w:p>
    <w:p w:rsidR="00242F86" w:rsidRDefault="00242F86" w:rsidP="00D15CBA">
      <w:pPr>
        <w:spacing w:line="240" w:lineRule="auto"/>
      </w:pPr>
      <w:r w:rsidRPr="00242F86">
        <w:t>Lin, C.-C., Chen, Y.-C., Su, F.-C., Lin, C.-M., Liao, H.-F., Hwang, Y.-H., Hsieh, W.-S., Jeng, S.-F., Su, Y.-N. and Chen, P.-C. (2013b). In utero exposure to environmental lead and manganese and neurodevelopment at 2 years of age. Environmental Research. 123: 52-57.</w:t>
      </w:r>
    </w:p>
    <w:p w:rsidR="00242F86" w:rsidRDefault="00242F86" w:rsidP="00D15CBA">
      <w:pPr>
        <w:spacing w:line="240" w:lineRule="auto"/>
      </w:pPr>
    </w:p>
    <w:p w:rsidR="00DA4F10" w:rsidRDefault="00DA4F10" w:rsidP="00D15CBA">
      <w:pPr>
        <w:spacing w:line="240" w:lineRule="auto"/>
      </w:pPr>
      <w:r w:rsidRPr="00DA4F10">
        <w:t>Lindgren, K. N., Masten, V. L., Ford, D. P. and Bleecker, M. L. (1996). Relation of cumulative exposure to inorganic lead and neuropsychological test performance. Occupational and Environmental Medicine. 53: 472-477.</w:t>
      </w:r>
    </w:p>
    <w:p w:rsidR="00DA4F10" w:rsidRDefault="00DA4F10" w:rsidP="00D15CBA">
      <w:pPr>
        <w:spacing w:line="240" w:lineRule="auto"/>
      </w:pPr>
    </w:p>
    <w:p w:rsidR="00857100" w:rsidRDefault="00857100" w:rsidP="00D15CBA">
      <w:pPr>
        <w:spacing w:line="240" w:lineRule="auto"/>
      </w:pPr>
      <w:r w:rsidRPr="00857100">
        <w:t>López, C. M., Piñeiro, A. E., Núñez, N., Avagnina, A. M., Villaamil, E. C. and Roses, O. E. (2000). Thyroid hormone changes in males exposed to lead in the Buenos Aires area (Argentina). Pharmacological Research. 42: 599-602.</w:t>
      </w:r>
    </w:p>
    <w:p w:rsidR="00857100" w:rsidRDefault="00857100" w:rsidP="00D15CBA">
      <w:pPr>
        <w:spacing w:line="240" w:lineRule="auto"/>
      </w:pPr>
    </w:p>
    <w:p w:rsidR="00A6640C" w:rsidRDefault="00A6640C" w:rsidP="00D15CBA">
      <w:pPr>
        <w:spacing w:line="240" w:lineRule="auto"/>
      </w:pPr>
      <w:r w:rsidRPr="00A6640C">
        <w:t>Louis, E. D., Jurewicz, E. C., Applegate, L., Factor-Litvak, P., Parides, M., Andrews, L., Slavkovich, V., Graziano, J. H., Carroll, S. and Todd, A. (2003). Association between essential tremor and blood lead concentration. Environmental Health Perspectives. 111: 1707-1711.</w:t>
      </w:r>
    </w:p>
    <w:p w:rsidR="00A6640C" w:rsidRDefault="00A6640C" w:rsidP="00D15CBA">
      <w:pPr>
        <w:spacing w:line="240" w:lineRule="auto"/>
      </w:pPr>
    </w:p>
    <w:p w:rsidR="0081529E" w:rsidRDefault="0081529E" w:rsidP="00D15CBA">
      <w:pPr>
        <w:spacing w:line="240" w:lineRule="auto"/>
      </w:pPr>
      <w:r w:rsidRPr="0081529E">
        <w:t>Lucchini, R., Albini, E., Cortesi, I., Placidi, D., Bergamaschi, E., Traversa, F. and Alessio, L. (2000). Assessment of neurobehavioral performance as a function of current and cumulative occupational lead exposure. NeuroToxicology. 21: 805-812. As cited in NIWL 2005.</w:t>
      </w:r>
    </w:p>
    <w:p w:rsidR="0081529E" w:rsidRDefault="0081529E" w:rsidP="00D15CBA">
      <w:pPr>
        <w:spacing w:line="240" w:lineRule="auto"/>
      </w:pPr>
    </w:p>
    <w:p w:rsidR="00116CCE" w:rsidRDefault="00116CCE" w:rsidP="00D15CBA">
      <w:pPr>
        <w:spacing w:line="240" w:lineRule="auto"/>
      </w:pPr>
      <w:r w:rsidRPr="00116CCE">
        <w:t>Lustberg, M. and Silbergeld, E. (2002). Blood lead levels and mortality. Arch Intern Med. 162: 2443-2449.</w:t>
      </w:r>
    </w:p>
    <w:p w:rsidR="00116CCE" w:rsidRDefault="00116CCE" w:rsidP="00D15CBA">
      <w:pPr>
        <w:spacing w:line="240" w:lineRule="auto"/>
      </w:pPr>
    </w:p>
    <w:p w:rsidR="00CA4E82" w:rsidRDefault="00CA4E82" w:rsidP="00D15CBA">
      <w:pPr>
        <w:spacing w:line="240" w:lineRule="auto"/>
      </w:pPr>
      <w:r w:rsidRPr="00CA4E82">
        <w:t>Maizlish, N. A., Parra, G. and Feo, O. (1995). Neurobehavioural evaluation of Venezuelan workers exposed to inorganic lead. Occupational and Environmental Medicine. 52: 408-414.</w:t>
      </w:r>
    </w:p>
    <w:p w:rsidR="00CA4E82" w:rsidRDefault="00CA4E82" w:rsidP="00D15CBA">
      <w:pPr>
        <w:spacing w:line="240" w:lineRule="auto"/>
      </w:pPr>
    </w:p>
    <w:p w:rsidR="001D761E" w:rsidRDefault="001D761E" w:rsidP="00D15CBA">
      <w:pPr>
        <w:spacing w:line="240" w:lineRule="auto"/>
      </w:pPr>
      <w:r w:rsidRPr="001D761E">
        <w:t>Manzo, L., Artigas, F., Martinez, E., Mutti, A., Bergamaschi, E., Nicotera, P., Tonini, M., Candura, S. M., Ray, D. E. and Costa, L. G. (1996). Biochemical markers of neurotoxicity. A review of mechanistic studies and applications. Human &amp; Experimental Toxicology. 15: S20-35. As cited in NIWL 2005.</w:t>
      </w:r>
    </w:p>
    <w:p w:rsidR="001D761E" w:rsidRDefault="001D761E" w:rsidP="00D15CBA">
      <w:pPr>
        <w:spacing w:line="240" w:lineRule="auto"/>
      </w:pPr>
    </w:p>
    <w:p w:rsidR="003C4044" w:rsidRDefault="003C4044" w:rsidP="00D15CBA">
      <w:pPr>
        <w:spacing w:line="240" w:lineRule="auto"/>
      </w:pPr>
      <w:r w:rsidRPr="003C4044">
        <w:t>Martin, D., Glass, T. A., Bandeen-Roche, K., Todd, A. C., Shi, W. and Schwartz, B. S. (2006). Association of blood lead and tibia lead with blood pressure and hypertension in a community sample of older adults. American Journal of Epidemiology. 163: 467-478.</w:t>
      </w:r>
    </w:p>
    <w:p w:rsidR="003C4044" w:rsidRDefault="003C4044" w:rsidP="00D15CBA">
      <w:pPr>
        <w:spacing w:line="240" w:lineRule="auto"/>
      </w:pPr>
    </w:p>
    <w:p w:rsidR="00721271" w:rsidRDefault="00721271" w:rsidP="00721271">
      <w:pPr>
        <w:spacing w:line="240" w:lineRule="auto"/>
        <w:ind w:firstLine="1"/>
        <w:rPr>
          <w:rFonts w:cs="Arial"/>
        </w:rPr>
      </w:pPr>
      <w:r w:rsidRPr="0047523D">
        <w:rPr>
          <w:rFonts w:cs="Arial"/>
        </w:rPr>
        <w:t>Matte, T. D., Figueroa, J. P., Burr, G., Flesch, J. P., Keenlyside, R. A. and Baker, E. L. (1989). Lead exposure among lead-acid battery workers in Jamaica. American Journal of Industrial Medicine. 16 (2): 167-177.</w:t>
      </w:r>
    </w:p>
    <w:p w:rsidR="00721271" w:rsidRDefault="00721271" w:rsidP="00D15CBA">
      <w:pPr>
        <w:spacing w:line="240" w:lineRule="auto"/>
      </w:pPr>
    </w:p>
    <w:p w:rsidR="001F1DF0" w:rsidRDefault="001F1DF0" w:rsidP="00D15CBA">
      <w:pPr>
        <w:spacing w:line="240" w:lineRule="auto"/>
      </w:pPr>
      <w:r w:rsidRPr="001F1DF0">
        <w:t>McCabe, M. J. (1994). Mechanisms and consequences of immunomodulation by lead. In: Dean JH, Luster MI, Munson AE, Kimber I (eds). Immunotoxicity and immunopharmacology, 2nd ed. New York: Raven Press 1994, pg. 143-162. As cited in NIWL 2005</w:t>
      </w:r>
      <w:r>
        <w:t xml:space="preserve">. </w:t>
      </w:r>
    </w:p>
    <w:p w:rsidR="001F1DF0" w:rsidRDefault="001F1DF0" w:rsidP="00D15CBA">
      <w:pPr>
        <w:spacing w:line="240" w:lineRule="auto"/>
      </w:pPr>
    </w:p>
    <w:p w:rsidR="00ED5DA8" w:rsidRDefault="00ED5DA8" w:rsidP="00D15CBA">
      <w:pPr>
        <w:spacing w:line="240" w:lineRule="auto"/>
      </w:pPr>
      <w:r w:rsidRPr="00ED5DA8">
        <w:t>McMichael, A. J., Vimpani, G. V., Robertson, E. F., Baghurst, P. A. and Clark, P. D. (1986). The Port Pirie cohort study: maternal blood lead and pregnancy outcome. Journal of Epidemiological Community Health. 40: 18-25.</w:t>
      </w:r>
    </w:p>
    <w:p w:rsidR="00ED5DA8" w:rsidRDefault="00ED5DA8" w:rsidP="00D15CBA">
      <w:pPr>
        <w:spacing w:line="240" w:lineRule="auto"/>
      </w:pPr>
    </w:p>
    <w:p w:rsidR="00A41FAF" w:rsidRDefault="00A41FAF" w:rsidP="00D15CBA">
      <w:pPr>
        <w:spacing w:line="240" w:lineRule="auto"/>
      </w:pPr>
      <w:r w:rsidRPr="00A41FAF">
        <w:t xml:space="preserve">MdS (2000). Decreto supremo No 594: Aprueba reglamento sobre condiciones sanitarias y ambientales basicas en los lugares de trabajo (in Spanish). Ministerio de Salud (Ministry of Health), </w:t>
      </w:r>
      <w:r w:rsidRPr="00A41FAF">
        <w:lastRenderedPageBreak/>
        <w:t xml:space="preserve">Chile. Publicado en el Diario Oficial el 29 de abril de 2000. </w:t>
      </w:r>
      <w:hyperlink r:id="rId51" w:history="1">
        <w:r w:rsidRPr="00A8570D">
          <w:rPr>
            <w:rStyle w:val="Hyperlink"/>
          </w:rPr>
          <w:t>http://www.sernageomin.cl/pdf/mineria/seguridad/reglamentos_seguridad_minera/DS594_CondicionesSanitariasLugaresTrabajo.pdf</w:t>
        </w:r>
      </w:hyperlink>
      <w:r>
        <w:t xml:space="preserve">. </w:t>
      </w:r>
    </w:p>
    <w:p w:rsidR="00A41FAF" w:rsidRDefault="00A41FAF" w:rsidP="00D15CBA">
      <w:pPr>
        <w:spacing w:line="240" w:lineRule="auto"/>
      </w:pPr>
    </w:p>
    <w:p w:rsidR="00986B4E" w:rsidRDefault="00986B4E" w:rsidP="00D15CBA">
      <w:pPr>
        <w:spacing w:line="240" w:lineRule="auto"/>
      </w:pPr>
      <w:r w:rsidRPr="00986B4E">
        <w:t>Menke, A., Muntner, P., Batuman, V., Silbergeld, E. K. and Guallar, E. (2006). Blood lead below 0.48 µmol/L (10 µg/dL) and mortality among US adults. Circulation. 114: 1388-1394.</w:t>
      </w:r>
    </w:p>
    <w:p w:rsidR="00986B4E" w:rsidRDefault="00986B4E" w:rsidP="00D15CBA">
      <w:pPr>
        <w:spacing w:line="240" w:lineRule="auto"/>
      </w:pPr>
    </w:p>
    <w:p w:rsidR="00283E5D" w:rsidRDefault="00283E5D" w:rsidP="00D15CBA">
      <w:pPr>
        <w:spacing w:line="240" w:lineRule="auto"/>
      </w:pPr>
      <w:r w:rsidRPr="00283E5D">
        <w:t>Meyer-Baron, M. and Seeber, A. (2000). A meta-analysis for neurobehavioural results due to occupational lead exposure with blood lead concentrations &lt;70 μg/100 ml. Archives of Toxicology. 73: 510-518.</w:t>
      </w:r>
    </w:p>
    <w:p w:rsidR="00283E5D" w:rsidRDefault="00283E5D" w:rsidP="00D15CBA">
      <w:pPr>
        <w:spacing w:line="240" w:lineRule="auto"/>
      </w:pPr>
    </w:p>
    <w:p w:rsidR="008B153B" w:rsidRDefault="008B153B" w:rsidP="00D15CBA">
      <w:pPr>
        <w:spacing w:line="240" w:lineRule="auto"/>
      </w:pPr>
      <w:r w:rsidRPr="008B153B">
        <w:t>Micciolo, R., Canal, L., Maranelli, G. and Apostoli, P. (1994). Non-occupational lead exposure and hypertension in Northern Italy. International Journal of Epidemiology. 23: 312-320.</w:t>
      </w:r>
    </w:p>
    <w:p w:rsidR="008B153B" w:rsidRDefault="008B153B" w:rsidP="00D15CBA">
      <w:pPr>
        <w:spacing w:line="240" w:lineRule="auto"/>
      </w:pPr>
    </w:p>
    <w:p w:rsidR="002832F4" w:rsidRDefault="002832F4" w:rsidP="00D15CBA">
      <w:pPr>
        <w:spacing w:line="240" w:lineRule="auto"/>
      </w:pPr>
      <w:r w:rsidRPr="002832F4">
        <w:t>Michaels, D., Zoloth, S. R. and Stern, F. B. (1991). Does low-level lead exposure increase risk of death? A mortality study of newspaper printers. International Journal of Epidemiology. 20: 978-983.</w:t>
      </w:r>
    </w:p>
    <w:p w:rsidR="002832F4" w:rsidRDefault="002832F4" w:rsidP="00D15CBA">
      <w:pPr>
        <w:spacing w:line="240" w:lineRule="auto"/>
      </w:pPr>
    </w:p>
    <w:p w:rsidR="00242F86" w:rsidRDefault="00242F86" w:rsidP="00D15CBA">
      <w:pPr>
        <w:spacing w:line="240" w:lineRule="auto"/>
      </w:pPr>
      <w:r w:rsidRPr="00242F86">
        <w:t>Min, K.-B., Lee, K.-J., Park, J.-B. and Min, J.-Y. (2012). Lead and cadmium levels and balance and vestibular dysfunction among adult participants in the National Health and Nutrition Examination Survey (NHANES) 1999-2004. Environmental Health Perspectives. 120: 413-417.</w:t>
      </w:r>
    </w:p>
    <w:p w:rsidR="00242F86" w:rsidRDefault="00242F86" w:rsidP="00D15CBA">
      <w:pPr>
        <w:spacing w:line="240" w:lineRule="auto"/>
      </w:pPr>
    </w:p>
    <w:p w:rsidR="00D5630A" w:rsidRDefault="00D5630A" w:rsidP="00D15CBA">
      <w:pPr>
        <w:spacing w:line="240" w:lineRule="auto"/>
      </w:pPr>
      <w:r w:rsidRPr="00D5630A">
        <w:t>MoE&amp;W (2002). Liste de valeurs limites d'expositions professionnelle aux agents chimiques. Arrete royal du 11 mars 2002 relatif a la protection de la sante et de la securite des travailleurs contre les risques lies a des agents chimiques sur le lieu de travail (MB 14.3.2002, Ed. 2; erratum M.B. 26.6.2002, Ed.2) Annexe I.A (in French). Belgian Ministry of Employment and Work.</w:t>
      </w:r>
    </w:p>
    <w:p w:rsidR="00D5630A" w:rsidRDefault="00D5630A" w:rsidP="00D15CBA">
      <w:pPr>
        <w:spacing w:line="240" w:lineRule="auto"/>
      </w:pPr>
    </w:p>
    <w:p w:rsidR="00C70F68" w:rsidRDefault="00C70F68" w:rsidP="00D15CBA">
      <w:pPr>
        <w:spacing w:line="240" w:lineRule="auto"/>
      </w:pPr>
      <w:r w:rsidRPr="00C70F68">
        <w:t>Mohammad, I. K., Mahdi, A. A., Raviraja, A., Najmul, I., Iqbal, A. and Thuppil, V. (2008). Oxidative stress in painters exposed to low lead levels. Arhiv za Higijenu Rada i Toksikologiju. 59: 161-169. Abstract only.</w:t>
      </w:r>
    </w:p>
    <w:p w:rsidR="00C70F68" w:rsidRDefault="00C70F68" w:rsidP="00D15CBA">
      <w:pPr>
        <w:spacing w:line="240" w:lineRule="auto"/>
      </w:pPr>
    </w:p>
    <w:p w:rsidR="00BF6E11" w:rsidRDefault="00BF6E11" w:rsidP="00D15CBA">
      <w:pPr>
        <w:spacing w:line="240" w:lineRule="auto"/>
      </w:pPr>
      <w:r w:rsidRPr="00BF6E11">
        <w:t>Møller, L. and Kristensen, T. S. (1992). Blood lead as a cardiovascular risk factor. American Journal of Epidemiology. 136: 1091-1100.</w:t>
      </w:r>
    </w:p>
    <w:p w:rsidR="00BF6E11" w:rsidRDefault="00BF6E11" w:rsidP="00D15CBA">
      <w:pPr>
        <w:spacing w:line="240" w:lineRule="auto"/>
      </w:pPr>
    </w:p>
    <w:p w:rsidR="00966AA2" w:rsidRDefault="00966AA2" w:rsidP="00D15CBA">
      <w:pPr>
        <w:spacing w:line="240" w:lineRule="auto"/>
      </w:pPr>
      <w:r w:rsidRPr="00966AA2">
        <w:t>Monchaux, G., Morin, M., Morlier, J. P. and Olivier, M. F. (1997). Long-term effects of combined exposure to fission neutrons and inhaled lead oxide particles in rats. Annals of Occupational Hygiene. 41: 630-635.</w:t>
      </w:r>
    </w:p>
    <w:p w:rsidR="00966AA2" w:rsidRDefault="00966AA2" w:rsidP="00D15CBA">
      <w:pPr>
        <w:spacing w:line="240" w:lineRule="auto"/>
      </w:pPr>
    </w:p>
    <w:p w:rsidR="000A4877" w:rsidRDefault="000A4877" w:rsidP="00D15CBA">
      <w:pPr>
        <w:spacing w:line="240" w:lineRule="auto"/>
      </w:pPr>
      <w:r w:rsidRPr="000A4877">
        <w:t>Morrow, P. E., Beiter, H., Amato, F. and Gibb, F. R. (1980). Pulmonary retention of lead: An experimental study in man. Environmental Research. 21: 373-384.</w:t>
      </w:r>
    </w:p>
    <w:p w:rsidR="000A4877" w:rsidRDefault="000A4877" w:rsidP="00D15CBA">
      <w:pPr>
        <w:spacing w:line="240" w:lineRule="auto"/>
      </w:pPr>
    </w:p>
    <w:p w:rsidR="00131882" w:rsidRDefault="00131882" w:rsidP="00131882">
      <w:pPr>
        <w:spacing w:line="240" w:lineRule="auto"/>
        <w:ind w:firstLine="1"/>
        <w:rPr>
          <w:rFonts w:cs="Arial"/>
        </w:rPr>
      </w:pPr>
      <w:r w:rsidRPr="004C3E55">
        <w:rPr>
          <w:rFonts w:cs="Arial"/>
        </w:rPr>
        <w:t>Mortada, W. I., Sobh, M. A., El-Defrawy, M. M. and Farahat, S. E. (2002). Reference Intervals of Cadmium, Lead, and Mercury in Blood, Urine, Hair, and Nails among Residents in Mansoura City, Nile Delta, Egypt. Environmental Research. 90: 104-110.</w:t>
      </w:r>
    </w:p>
    <w:p w:rsidR="00131882" w:rsidRDefault="00131882" w:rsidP="00D15CBA">
      <w:pPr>
        <w:spacing w:line="240" w:lineRule="auto"/>
      </w:pPr>
    </w:p>
    <w:p w:rsidR="00D0588A" w:rsidRDefault="00D0588A" w:rsidP="00D15CBA">
      <w:pPr>
        <w:spacing w:line="240" w:lineRule="auto"/>
      </w:pPr>
      <w:r w:rsidRPr="00D0588A">
        <w:t xml:space="preserve">MoSAH (2012). HTP-ARVOT 2012. Haitallisiksi tunnetut pitoisuudet (Occupational exposure limits) (in Finnish). Sosiaali-Ja Terveysministerio (Ministry of Social Affairs and Health), Helsinki. </w:t>
      </w:r>
      <w:hyperlink r:id="rId52" w:history="1">
        <w:r w:rsidRPr="006021EF">
          <w:rPr>
            <w:rStyle w:val="Hyperlink"/>
          </w:rPr>
          <w:t>http://www.stm.fi/c/document_library/get_file?folderId=5197397&amp;name=DLFE-19904.pdf</w:t>
        </w:r>
      </w:hyperlink>
      <w:r>
        <w:t xml:space="preserve">. </w:t>
      </w:r>
    </w:p>
    <w:p w:rsidR="00D0588A" w:rsidRDefault="00D0588A" w:rsidP="00D15CBA">
      <w:pPr>
        <w:spacing w:line="240" w:lineRule="auto"/>
      </w:pPr>
    </w:p>
    <w:p w:rsidR="00581F41" w:rsidRDefault="00581F41" w:rsidP="00D15CBA">
      <w:pPr>
        <w:spacing w:line="240" w:lineRule="auto"/>
      </w:pPr>
      <w:r w:rsidRPr="00581F41">
        <w:t xml:space="preserve">MTES (2003). Anexo III correspondiente al Articulo 61 de la reglamentacion (Anexo sustituido por ar. 4 de la Resolucion No 295/2003 del Ministerio de Trabajo, Empleo y Seguridad Social B.O. 21/11/2003). Ministerio de Trabajo, Empleo y Seguridad Social (Ministry of Work and Social Security), Argentina. </w:t>
      </w:r>
      <w:hyperlink r:id="rId53" w:history="1">
        <w:r w:rsidRPr="00A8570D">
          <w:rPr>
            <w:rStyle w:val="Hyperlink"/>
          </w:rPr>
          <w:t>http://infoleg.mecon.gov.ar/infolegInternet/anexos/30000-34999/32030/dto351-1979-anexo3.htm</w:t>
        </w:r>
      </w:hyperlink>
      <w:r>
        <w:t xml:space="preserve">. </w:t>
      </w:r>
    </w:p>
    <w:p w:rsidR="00581F41" w:rsidRDefault="00581F41" w:rsidP="00D15CBA">
      <w:pPr>
        <w:spacing w:line="240" w:lineRule="auto"/>
      </w:pPr>
    </w:p>
    <w:p w:rsidR="002F64F2" w:rsidRDefault="002F64F2" w:rsidP="00D15CBA">
      <w:pPr>
        <w:spacing w:line="240" w:lineRule="auto"/>
      </w:pPr>
      <w:r w:rsidRPr="002F64F2">
        <w:lastRenderedPageBreak/>
        <w:t>Muntner, P., He, J., Vupputuri, S., Coresh, J. and Batuman, V. (2003). Blood lead and chronic kidney disease in the general United States population: Results from NHANES III. Kidney International. 63: 1044-1050.</w:t>
      </w:r>
    </w:p>
    <w:p w:rsidR="002F64F2" w:rsidRDefault="002F64F2" w:rsidP="00D15CBA">
      <w:pPr>
        <w:spacing w:line="240" w:lineRule="auto"/>
      </w:pPr>
    </w:p>
    <w:p w:rsidR="00E721B7" w:rsidRDefault="00E721B7" w:rsidP="00D15CBA">
      <w:pPr>
        <w:spacing w:line="240" w:lineRule="auto"/>
      </w:pPr>
      <w:r w:rsidRPr="00E721B7">
        <w:t>Murata, K. and Araki, S. (1991). Autonomic nervous system dysfunction in workers exposed to lead, zinc, and copper in relation to peripheral nerve conduction: A study of R-R interval variability. American Journal of Industrial Medicine. 20: 663-671.</w:t>
      </w:r>
    </w:p>
    <w:p w:rsidR="00E721B7" w:rsidRDefault="00E721B7" w:rsidP="00D15CBA">
      <w:pPr>
        <w:spacing w:line="240" w:lineRule="auto"/>
      </w:pPr>
    </w:p>
    <w:p w:rsidR="00E721B7" w:rsidRDefault="00E721B7" w:rsidP="00D15CBA">
      <w:pPr>
        <w:spacing w:line="240" w:lineRule="auto"/>
      </w:pPr>
      <w:r w:rsidRPr="00E721B7">
        <w:t>Murata, K., Araki, S., Yokoyama, K., Uchida, E. and Fujimura, Y. (1993). Assessment of central, peripheral, and autonomic nervous system functions in lead workers: neuroelectrophysiological studies. Environmental Research. 61: 323-336.</w:t>
      </w:r>
    </w:p>
    <w:p w:rsidR="00BF6E11" w:rsidRDefault="00BF6E11" w:rsidP="00D15CBA">
      <w:pPr>
        <w:spacing w:line="240" w:lineRule="auto"/>
      </w:pPr>
    </w:p>
    <w:p w:rsidR="00BF6E11" w:rsidRDefault="00BF6E11" w:rsidP="00D15CBA">
      <w:pPr>
        <w:spacing w:line="240" w:lineRule="auto"/>
      </w:pPr>
      <w:r w:rsidRPr="00BF6E11">
        <w:t>Murata, K., Araki, S., Yokoyama, K., Nomiyama, K., Nomiyama, H., Tao, Y.-X. and Liu, S.-J. (1995). Autonomic and central nervous system effects of lead in female glass workers in china. American Journal of Industrial Medicine. 28: 233-244.</w:t>
      </w:r>
    </w:p>
    <w:p w:rsidR="00E721B7" w:rsidRDefault="00E721B7" w:rsidP="00D15CBA">
      <w:pPr>
        <w:spacing w:line="240" w:lineRule="auto"/>
      </w:pPr>
    </w:p>
    <w:p w:rsidR="0079327B" w:rsidRDefault="0079327B" w:rsidP="00D15CBA">
      <w:pPr>
        <w:spacing w:line="240" w:lineRule="auto"/>
      </w:pPr>
      <w:r w:rsidRPr="0079327B">
        <w:t>Naha, N. and Chowdhury, A. R. (2006). Inorganic lead exposure in battery and paint factory: Effect on human sperm structure and functional activity. Journal of University of Occupational and Environmental Health. 28: 157-171. Abstract only.</w:t>
      </w:r>
    </w:p>
    <w:p w:rsidR="0079327B" w:rsidRDefault="0079327B" w:rsidP="00D15CBA">
      <w:pPr>
        <w:spacing w:line="240" w:lineRule="auto"/>
      </w:pPr>
    </w:p>
    <w:p w:rsidR="0079327B" w:rsidRDefault="0079327B" w:rsidP="00D15CBA">
      <w:pPr>
        <w:spacing w:line="240" w:lineRule="auto"/>
      </w:pPr>
      <w:r w:rsidRPr="0079327B">
        <w:t>Naha, N. and Manna, B. (2007). Mechanism of lead induced effects on human spermatozoa after occupational exposure. Kathmandu University Medical Journal. 5: 85-94. Abstract only.</w:t>
      </w:r>
    </w:p>
    <w:p w:rsidR="0079327B" w:rsidRDefault="0079327B" w:rsidP="00D15CBA">
      <w:pPr>
        <w:spacing w:line="240" w:lineRule="auto"/>
      </w:pPr>
    </w:p>
    <w:p w:rsidR="00C50644" w:rsidRDefault="00C50644" w:rsidP="00D15CBA">
      <w:pPr>
        <w:spacing w:line="240" w:lineRule="auto"/>
      </w:pPr>
      <w:r w:rsidRPr="00C50644">
        <w:t>Nash, D., Magder, L., Lustberg, M. and et al. (2003). Blood lead, blood pressure, and hypertension in perimenopausal and postmenopausal women. JAMA. 289: 1523-1532.</w:t>
      </w:r>
    </w:p>
    <w:p w:rsidR="00C50644" w:rsidRDefault="00C50644" w:rsidP="00D15CBA">
      <w:pPr>
        <w:spacing w:line="240" w:lineRule="auto"/>
      </w:pPr>
    </w:p>
    <w:p w:rsidR="00C14E45" w:rsidRDefault="00C14E45" w:rsidP="00D15CBA">
      <w:pPr>
        <w:spacing w:line="240" w:lineRule="auto"/>
      </w:pPr>
      <w:r w:rsidRPr="00C14E45">
        <w:t>Navas-Acien, A., Guallar, E., Silbergeld, E. K. and Rothenberg, S. J. (2007). Lead exposure and cardiovascular disease - a systematic review. Environmental Health Perspectives. 115: 472-482.</w:t>
      </w:r>
    </w:p>
    <w:p w:rsidR="00C14E45" w:rsidRDefault="00C14E45" w:rsidP="00D15CBA">
      <w:pPr>
        <w:spacing w:line="240" w:lineRule="auto"/>
      </w:pPr>
    </w:p>
    <w:p w:rsidR="00D408F7" w:rsidRDefault="00D408F7" w:rsidP="00D15CBA">
      <w:pPr>
        <w:spacing w:line="240" w:lineRule="auto"/>
      </w:pPr>
      <w:r w:rsidRPr="00D408F7">
        <w:t>Navas-Acien, A., Tellez-Plaza, M., Guallar, E., Muntner, P., Silbergeld, E., Jaar, B. and Weaver, V. (2009). Blood cadmium and lead and chronic kidney disease in US adults: A joint analysis. American Journal of Epidemiology. 170: 1156-1164.</w:t>
      </w:r>
    </w:p>
    <w:p w:rsidR="00D408F7" w:rsidRDefault="00D408F7" w:rsidP="00D15CBA">
      <w:pPr>
        <w:spacing w:line="240" w:lineRule="auto"/>
      </w:pPr>
    </w:p>
    <w:p w:rsidR="00C50644" w:rsidRDefault="00C50644" w:rsidP="00D15CBA">
      <w:pPr>
        <w:spacing w:line="240" w:lineRule="auto"/>
      </w:pPr>
      <w:r w:rsidRPr="00C50644">
        <w:t>Nawrot, T. S., Thijs, L., Den Hond, E. M., Roels, H. A. and Staessen, J. A. (2002). An epidemiological re-appraisal of the association between blood pressure and blood lead: a meta-analysis. Journal of Human Hypertension. 16: 123-131.</w:t>
      </w:r>
    </w:p>
    <w:p w:rsidR="00C50644" w:rsidRDefault="00C50644" w:rsidP="00D15CBA">
      <w:pPr>
        <w:spacing w:line="240" w:lineRule="auto"/>
      </w:pPr>
    </w:p>
    <w:p w:rsidR="00713228" w:rsidRDefault="00713228" w:rsidP="00D15CBA">
      <w:pPr>
        <w:spacing w:line="240" w:lineRule="auto"/>
      </w:pPr>
      <w:r w:rsidRPr="00713228">
        <w:t>Ng, T. P., Goh, H. H., Ng, Y. L., Ong, H. Y., Ong, C. N., Chia, K. S., Chia, S. E. and Jeyaratnam, J. (1991). Male endocrine functions in workers with moderate exposure to lead. British Journal of Industrial Medicine. 48: 485-491.</w:t>
      </w:r>
    </w:p>
    <w:p w:rsidR="00713228" w:rsidRDefault="00713228" w:rsidP="00D15CBA">
      <w:pPr>
        <w:spacing w:line="240" w:lineRule="auto"/>
      </w:pPr>
    </w:p>
    <w:p w:rsidR="00BF6314" w:rsidRDefault="00BF6314" w:rsidP="00D15CBA">
      <w:pPr>
        <w:spacing w:line="240" w:lineRule="auto"/>
      </w:pPr>
      <w:r w:rsidRPr="00BF6314">
        <w:t>NHMRC (2006). Ambient Air Quality Standards Setting. An approach to Health-Based Hazard Assessment. National Health and Medical Research Council and Environmental Health Committee (enHealth), Australian Government</w:t>
      </w:r>
      <w:r>
        <w:t xml:space="preserve">. </w:t>
      </w:r>
    </w:p>
    <w:p w:rsidR="00BF6314" w:rsidRDefault="00BF6314" w:rsidP="00D15CBA">
      <w:pPr>
        <w:spacing w:line="240" w:lineRule="auto"/>
      </w:pPr>
    </w:p>
    <w:p w:rsidR="00C87396" w:rsidRDefault="00C87396" w:rsidP="00D15CBA">
      <w:pPr>
        <w:spacing w:line="240" w:lineRule="auto"/>
      </w:pPr>
      <w:r w:rsidRPr="00C87396">
        <w:t xml:space="preserve">NHMRC (2009). Blood lead levels for Australians. National Health and Medical Research Council. Information paper for practitioners and policy makers. </w:t>
      </w:r>
      <w:hyperlink r:id="rId54" w:history="1">
        <w:r w:rsidRPr="00E06EF6">
          <w:rPr>
            <w:rStyle w:val="Hyperlink"/>
          </w:rPr>
          <w:t>http://www.nhmrc.gov.au/_files_nhmrc/file/publications/synopses/gp02-lead-info-paper.pdf</w:t>
        </w:r>
      </w:hyperlink>
      <w:r>
        <w:t xml:space="preserve">. </w:t>
      </w:r>
    </w:p>
    <w:p w:rsidR="00C87396" w:rsidRDefault="00C87396" w:rsidP="00D15CBA">
      <w:pPr>
        <w:spacing w:line="240" w:lineRule="auto"/>
      </w:pPr>
    </w:p>
    <w:p w:rsidR="00721271" w:rsidRDefault="00721271" w:rsidP="00721271">
      <w:pPr>
        <w:spacing w:line="240" w:lineRule="auto"/>
        <w:ind w:firstLine="1"/>
        <w:rPr>
          <w:rFonts w:cs="Arial"/>
        </w:rPr>
      </w:pPr>
      <w:r w:rsidRPr="003B4A4F">
        <w:rPr>
          <w:rFonts w:cs="Arial"/>
        </w:rPr>
        <w:t>NIOSH (1994</w:t>
      </w:r>
      <w:r>
        <w:rPr>
          <w:rFonts w:cs="Arial"/>
        </w:rPr>
        <w:t>a</w:t>
      </w:r>
      <w:r w:rsidRPr="003B4A4F">
        <w:rPr>
          <w:rFonts w:cs="Arial"/>
        </w:rPr>
        <w:t xml:space="preserve">). NIOSH method for Lead by Flame AAS (No. 7082). National Institute for Occupational Safety and Health. </w:t>
      </w:r>
      <w:hyperlink r:id="rId55" w:history="1">
        <w:r w:rsidRPr="001579AE">
          <w:rPr>
            <w:rStyle w:val="Hyperlink"/>
            <w:rFonts w:cs="Arial"/>
          </w:rPr>
          <w:t>http://www.cdc.gov/niosh/docs/2003-154/pdfs/7082.pdf</w:t>
        </w:r>
      </w:hyperlink>
      <w:r>
        <w:rPr>
          <w:rFonts w:cs="Arial"/>
        </w:rPr>
        <w:t xml:space="preserve">. </w:t>
      </w:r>
      <w:r>
        <w:rPr>
          <w:rFonts w:cs="Arial"/>
        </w:rPr>
        <w:br/>
      </w:r>
    </w:p>
    <w:p w:rsidR="00721271" w:rsidRDefault="00721271" w:rsidP="00721271">
      <w:pPr>
        <w:spacing w:line="240" w:lineRule="auto"/>
        <w:ind w:firstLine="1"/>
        <w:rPr>
          <w:rFonts w:cs="Arial"/>
        </w:rPr>
      </w:pPr>
      <w:r w:rsidRPr="003B4A4F">
        <w:rPr>
          <w:rFonts w:cs="Arial"/>
        </w:rPr>
        <w:t>NIOSH (1994</w:t>
      </w:r>
      <w:r>
        <w:rPr>
          <w:rFonts w:cs="Arial"/>
        </w:rPr>
        <w:t>b</w:t>
      </w:r>
      <w:r w:rsidRPr="003B4A4F">
        <w:rPr>
          <w:rFonts w:cs="Arial"/>
        </w:rPr>
        <w:t xml:space="preserve">). NIOSH method for Lead by GFAAS (No. 7105). National Institute for Occupational Safety and Health. </w:t>
      </w:r>
      <w:hyperlink r:id="rId56" w:history="1">
        <w:r w:rsidRPr="001579AE">
          <w:rPr>
            <w:rStyle w:val="Hyperlink"/>
            <w:rFonts w:cs="Arial"/>
          </w:rPr>
          <w:t>http://www.cdc.gov/niosh/docs/2003-154/pdfs/7105.pdf</w:t>
        </w:r>
      </w:hyperlink>
      <w:r>
        <w:rPr>
          <w:rFonts w:cs="Arial"/>
        </w:rPr>
        <w:t xml:space="preserve">. </w:t>
      </w:r>
    </w:p>
    <w:p w:rsidR="00721271" w:rsidRDefault="00721271" w:rsidP="00D15CBA">
      <w:pPr>
        <w:spacing w:line="240" w:lineRule="auto"/>
      </w:pPr>
    </w:p>
    <w:p w:rsidR="00EA3CD6" w:rsidRDefault="00EA3CD6" w:rsidP="00D15CBA">
      <w:pPr>
        <w:spacing w:line="240" w:lineRule="auto"/>
      </w:pPr>
      <w:r>
        <w:lastRenderedPageBreak/>
        <w:t>NIOSH (2010</w:t>
      </w:r>
      <w:r w:rsidRPr="00EA3CD6">
        <w:t xml:space="preserve">). Pocket Guide: Lead. Centers for Disease Control and Prevention, National Institute for Occupational Safety and Health. </w:t>
      </w:r>
      <w:hyperlink r:id="rId57" w:history="1">
        <w:r w:rsidRPr="00C87F1B">
          <w:rPr>
            <w:rStyle w:val="Hyperlink"/>
          </w:rPr>
          <w:t>http://www.cdc.gov/niosh/npg/npgd0368.html</w:t>
        </w:r>
      </w:hyperlink>
      <w:r>
        <w:t xml:space="preserve">. </w:t>
      </w:r>
    </w:p>
    <w:p w:rsidR="00EA3CD6" w:rsidRDefault="00EA3CD6" w:rsidP="00D15CBA">
      <w:pPr>
        <w:spacing w:line="240" w:lineRule="auto"/>
      </w:pPr>
    </w:p>
    <w:p w:rsidR="00EA3CD6" w:rsidRDefault="00EA3CD6" w:rsidP="00D15CBA">
      <w:pPr>
        <w:spacing w:line="240" w:lineRule="auto"/>
      </w:pPr>
      <w:r w:rsidRPr="00EA3CD6">
        <w:t xml:space="preserve">NIOSH (2011). NIOSH pocket guide to chemical hazards: Appendix C - supplementary exposure limits. Centers for Disease Control and Prevention, National Institute for Occupational Safety and Health. </w:t>
      </w:r>
      <w:hyperlink r:id="rId58" w:history="1">
        <w:r w:rsidRPr="00C87F1B">
          <w:rPr>
            <w:rStyle w:val="Hyperlink"/>
          </w:rPr>
          <w:t>http://www.cdc.gov/niosh/npg/nengapdxc.html</w:t>
        </w:r>
      </w:hyperlink>
      <w:r>
        <w:t xml:space="preserve">. </w:t>
      </w:r>
    </w:p>
    <w:p w:rsidR="00EA3CD6" w:rsidRDefault="00EA3CD6" w:rsidP="00D15CBA">
      <w:pPr>
        <w:spacing w:line="240" w:lineRule="auto"/>
      </w:pPr>
    </w:p>
    <w:p w:rsidR="00434263" w:rsidRDefault="00434263" w:rsidP="00D15CBA">
      <w:pPr>
        <w:spacing w:line="240" w:lineRule="auto"/>
      </w:pPr>
      <w:r w:rsidRPr="00434263">
        <w:t xml:space="preserve">NIWL (2005). Criteria document for Swedish occupational standards. Inorganic lead - an update 1991-2004. National Institute for Working Life, Criteria Group for Occupational Standards. NR 2005:3. </w:t>
      </w:r>
      <w:hyperlink r:id="rId59" w:history="1">
        <w:r w:rsidRPr="006021EF">
          <w:rPr>
            <w:rStyle w:val="Hyperlink"/>
          </w:rPr>
          <w:t>http://www.inchem.org/documents/kemi/kemi/ah2005_03.pdf</w:t>
        </w:r>
      </w:hyperlink>
      <w:r>
        <w:t xml:space="preserve">. </w:t>
      </w:r>
    </w:p>
    <w:p w:rsidR="00434263" w:rsidRDefault="00434263" w:rsidP="00D15CBA">
      <w:pPr>
        <w:spacing w:line="240" w:lineRule="auto"/>
      </w:pPr>
    </w:p>
    <w:p w:rsidR="00D15CBA" w:rsidRDefault="00D15CBA" w:rsidP="00D15CBA">
      <w:pPr>
        <w:spacing w:line="240" w:lineRule="auto"/>
      </w:pPr>
      <w:r w:rsidRPr="00D15CBA">
        <w:t>NOHSC (1994). Control of inorganic lead at work. National Standard for the Control of Inorganic Lead at Work [NOHSC:1012(1994)] and National Code of Practice for the Control and Safe Use of Inorganic Lead at Work [NOHSC:2015(1994)]. National Occupational Health and Safety Commission. Canberra</w:t>
      </w:r>
      <w:r>
        <w:t xml:space="preserve">. </w:t>
      </w:r>
    </w:p>
    <w:p w:rsidR="00D15CBA" w:rsidRDefault="00D15CBA" w:rsidP="00D15CBA">
      <w:pPr>
        <w:spacing w:line="240" w:lineRule="auto"/>
      </w:pPr>
    </w:p>
    <w:p w:rsidR="00E60039" w:rsidRDefault="00E60039" w:rsidP="00D15CBA">
      <w:pPr>
        <w:spacing w:line="240" w:lineRule="auto"/>
      </w:pPr>
      <w:r w:rsidRPr="00E60039">
        <w:t>NOHSC (1995). Guidance Note for Exposure Standards for Atmospheric Contaminants in the Occupational Environment. National Occupational Health and Safety Commission</w:t>
      </w:r>
      <w:r>
        <w:t xml:space="preserve">. </w:t>
      </w:r>
    </w:p>
    <w:p w:rsidR="00E60039" w:rsidRDefault="00E60039" w:rsidP="00D15CBA">
      <w:pPr>
        <w:spacing w:line="240" w:lineRule="auto"/>
      </w:pPr>
    </w:p>
    <w:p w:rsidR="00375BEE" w:rsidRDefault="00375BEE" w:rsidP="00D15CBA">
      <w:pPr>
        <w:spacing w:line="240" w:lineRule="auto"/>
      </w:pPr>
      <w:r w:rsidRPr="00375BEE">
        <w:t>Nordenson, I., Beckman, G., Beckman, L. and NordstrÖM, S. (1978). Occupational and environmental risks in and around a smelter in northern Sweden IV. Chromosomal aberrations in workers exposed to lead. Hereditas. 88: 263-267.</w:t>
      </w:r>
    </w:p>
    <w:p w:rsidR="00375BEE" w:rsidRDefault="00375BEE" w:rsidP="00D15CBA">
      <w:pPr>
        <w:spacing w:line="240" w:lineRule="auto"/>
      </w:pPr>
    </w:p>
    <w:p w:rsidR="00D97319" w:rsidRDefault="00D97319" w:rsidP="00D15CBA">
      <w:pPr>
        <w:spacing w:line="240" w:lineRule="auto"/>
      </w:pPr>
      <w:r w:rsidRPr="00D97319">
        <w:t>NRC (2013). Potential health risks to DOD firing-range personnel from recurrent lead exposure. Committee on Toxicology, National Research Council of the National Academies, Washington DC.</w:t>
      </w:r>
    </w:p>
    <w:p w:rsidR="00D97319" w:rsidRDefault="00D97319" w:rsidP="00D15CBA">
      <w:pPr>
        <w:spacing w:line="240" w:lineRule="auto"/>
      </w:pPr>
    </w:p>
    <w:p w:rsidR="00B11601" w:rsidRDefault="0040732A" w:rsidP="00D15CBA">
      <w:pPr>
        <w:spacing w:line="240" w:lineRule="auto"/>
      </w:pPr>
      <w:r w:rsidRPr="0040732A">
        <w:t>NTP (2012). NTP Monograph on health effects of low-level lead. National Toxicology Program, US Department of Health and Human Services.</w:t>
      </w:r>
    </w:p>
    <w:p w:rsidR="0040732A" w:rsidRPr="003E7BC7" w:rsidRDefault="003D35E2" w:rsidP="00D15CBA">
      <w:pPr>
        <w:spacing w:line="240" w:lineRule="auto"/>
        <w:rPr>
          <w:u w:val="single"/>
        </w:rPr>
      </w:pPr>
      <w:r w:rsidRPr="003E7BC7">
        <w:rPr>
          <w:color w:val="0000FF"/>
          <w:u w:val="single"/>
        </w:rPr>
        <w:t>http://ntp.niehs.nih.gov/ntp/ohat/lead/final/monographhealtheffectslowlevellead_newissn_508.pdf</w:t>
      </w:r>
    </w:p>
    <w:p w:rsidR="0040732A" w:rsidRDefault="0040732A" w:rsidP="00D15CBA">
      <w:pPr>
        <w:spacing w:line="240" w:lineRule="auto"/>
      </w:pPr>
    </w:p>
    <w:p w:rsidR="00B65F66" w:rsidRDefault="00B65F66" w:rsidP="00D15CBA">
      <w:pPr>
        <w:spacing w:line="240" w:lineRule="auto"/>
      </w:pPr>
      <w:r w:rsidRPr="00B65F66">
        <w:t>NZ DoL (2011). Workplace exposure standards and biological exposure indices. Department of Labour, Health and Safety. 6th edition</w:t>
      </w:r>
      <w:r w:rsidR="003E7BC7">
        <w:t xml:space="preserve">. </w:t>
      </w:r>
      <w:r>
        <w:t xml:space="preserve"> </w:t>
      </w:r>
    </w:p>
    <w:p w:rsidR="00B65F66" w:rsidRDefault="00B65F66" w:rsidP="00D15CBA">
      <w:pPr>
        <w:spacing w:line="240" w:lineRule="auto"/>
      </w:pPr>
    </w:p>
    <w:p w:rsidR="0040732A" w:rsidRDefault="0040732A" w:rsidP="00D15CBA">
      <w:pPr>
        <w:spacing w:line="240" w:lineRule="auto"/>
      </w:pPr>
      <w:r w:rsidRPr="0040732A">
        <w:t xml:space="preserve">NZ MfE (2011). Toxicological intake values for priority contaminants in soil. New Zealand Ministry for the Environment. Publication Number ME 1056. </w:t>
      </w:r>
      <w:hyperlink r:id="rId60" w:history="1">
        <w:r w:rsidRPr="00C87F1B">
          <w:rPr>
            <w:rStyle w:val="Hyperlink"/>
          </w:rPr>
          <w:t>http://www.mfe.govt.nz/publications/hazardous/toxicological-intake-values-for-priority-contaminants-in-soil/index.html</w:t>
        </w:r>
      </w:hyperlink>
      <w:r>
        <w:t xml:space="preserve">. </w:t>
      </w:r>
    </w:p>
    <w:p w:rsidR="0040732A" w:rsidRDefault="0040732A" w:rsidP="00D15CBA">
      <w:pPr>
        <w:spacing w:line="240" w:lineRule="auto"/>
      </w:pPr>
    </w:p>
    <w:p w:rsidR="00434D68" w:rsidRDefault="00434D68" w:rsidP="00D15CBA">
      <w:pPr>
        <w:spacing w:line="240" w:lineRule="auto"/>
      </w:pPr>
      <w:r w:rsidRPr="00434D68">
        <w:t xml:space="preserve">OEHHA (2013). Estimating workplace air and worker blood lead concentration using an updated physiologically-based pharmacokinetic (PBPK) model. California Environmental Protection Agency, Office of Environmental Health Hazard Assessment.  October 2013. </w:t>
      </w:r>
      <w:hyperlink r:id="rId61" w:history="1">
        <w:r w:rsidRPr="00691657">
          <w:rPr>
            <w:rStyle w:val="Hyperlink"/>
          </w:rPr>
          <w:t>http://www.cdph.ca.gov/programs/olppp/Documents/OEHHALeadRept-Full.pdf</w:t>
        </w:r>
      </w:hyperlink>
      <w:r>
        <w:t xml:space="preserve">. </w:t>
      </w:r>
    </w:p>
    <w:p w:rsidR="00434D68" w:rsidRDefault="00434D68" w:rsidP="00D15CBA">
      <w:pPr>
        <w:spacing w:line="240" w:lineRule="auto"/>
      </w:pPr>
    </w:p>
    <w:p w:rsidR="00DD120A" w:rsidRDefault="00DD120A" w:rsidP="00D15CBA">
      <w:pPr>
        <w:spacing w:line="240" w:lineRule="auto"/>
      </w:pPr>
      <w:r w:rsidRPr="00DD120A">
        <w:t xml:space="preserve">OHCOW (2013). Submission to the Ministry of Labour regarding: 2013 notice of proposal to adopt new or revised occupational exposure limits or listings for hazardous chemical substances March 2013. Occupational Health Clinics for Ontario Workers. </w:t>
      </w:r>
      <w:hyperlink r:id="rId62" w:history="1">
        <w:r w:rsidRPr="00331E4A">
          <w:rPr>
            <w:rStyle w:val="Hyperlink"/>
          </w:rPr>
          <w:t>http://www.ohcow.on.ca/uploads/Resources/OHCOW%202013%20Submission%20to%20the%20MOL%20on%20OELs.pdf</w:t>
        </w:r>
      </w:hyperlink>
      <w:r>
        <w:t xml:space="preserve">. </w:t>
      </w:r>
    </w:p>
    <w:p w:rsidR="00DD120A" w:rsidRDefault="00DD120A" w:rsidP="00D15CBA">
      <w:pPr>
        <w:spacing w:line="240" w:lineRule="auto"/>
      </w:pPr>
    </w:p>
    <w:p w:rsidR="00C62D77" w:rsidRDefault="00C62D77" w:rsidP="00D15CBA">
      <w:pPr>
        <w:spacing w:line="240" w:lineRule="auto"/>
      </w:pPr>
      <w:r w:rsidRPr="00C62D77">
        <w:t>Oliver, T. (1911). A lecture on lead poisoning and the race. The British Medical Journal. 1: 1096-1098.</w:t>
      </w:r>
    </w:p>
    <w:p w:rsidR="00C62D77" w:rsidRDefault="00C62D77" w:rsidP="00D15CBA">
      <w:pPr>
        <w:spacing w:line="240" w:lineRule="auto"/>
      </w:pPr>
    </w:p>
    <w:p w:rsidR="00AD711F" w:rsidRDefault="00AD711F" w:rsidP="00D15CBA">
      <w:pPr>
        <w:spacing w:line="240" w:lineRule="auto"/>
      </w:pPr>
      <w:r w:rsidRPr="00AD711F">
        <w:t>Omokhodion, F. O. and Crockford, G. W. (1991). Lead in sweat and its relationship to salivary and urinary levels in normal healthy subjects. Science of The Total Environment. 103: 113-122.</w:t>
      </w:r>
    </w:p>
    <w:p w:rsidR="00AD711F" w:rsidRDefault="00AD711F" w:rsidP="00D15CBA">
      <w:pPr>
        <w:spacing w:line="240" w:lineRule="auto"/>
      </w:pPr>
    </w:p>
    <w:p w:rsidR="00DD120A" w:rsidRDefault="00DD120A" w:rsidP="00D15CBA">
      <w:pPr>
        <w:spacing w:line="240" w:lineRule="auto"/>
      </w:pPr>
      <w:r w:rsidRPr="00DD120A">
        <w:t>Ontario MoL (1981). Code for medical surveillance for lead. Ontario Ministry of Labour. May 28, 1981</w:t>
      </w:r>
      <w:r>
        <w:t xml:space="preserve">. </w:t>
      </w:r>
    </w:p>
    <w:p w:rsidR="00DD120A" w:rsidRDefault="00DD120A" w:rsidP="00D15CBA">
      <w:pPr>
        <w:spacing w:line="240" w:lineRule="auto"/>
      </w:pPr>
    </w:p>
    <w:p w:rsidR="00B1004F" w:rsidRDefault="00B1004F" w:rsidP="00D15CBA">
      <w:pPr>
        <w:spacing w:line="240" w:lineRule="auto"/>
      </w:pPr>
      <w:r w:rsidRPr="00B1004F">
        <w:t xml:space="preserve">Ontario MoL (2013). Current occupational exposure limits for Ontario workplaces required under Regulation 833. Ontario Ministry of Labour. </w:t>
      </w:r>
      <w:hyperlink r:id="rId63" w:history="1">
        <w:r w:rsidRPr="00A8570D">
          <w:rPr>
            <w:rStyle w:val="Hyperlink"/>
          </w:rPr>
          <w:t>http://www.labour.gov.on.ca/english/hs/pdf/ontario_oels.pdf</w:t>
        </w:r>
      </w:hyperlink>
      <w:r>
        <w:t xml:space="preserve">. </w:t>
      </w:r>
    </w:p>
    <w:p w:rsidR="00B1004F" w:rsidRDefault="00B1004F" w:rsidP="00D15CBA">
      <w:pPr>
        <w:spacing w:line="240" w:lineRule="auto"/>
      </w:pPr>
    </w:p>
    <w:p w:rsidR="003E2444" w:rsidRDefault="003E2444" w:rsidP="00D15CBA">
      <w:pPr>
        <w:spacing w:line="240" w:lineRule="auto"/>
      </w:pPr>
      <w:r w:rsidRPr="003E2444">
        <w:t xml:space="preserve">OSHA (1991). 29 CFR 1910.1025. Lead. Occupational Safety and Health Administration. </w:t>
      </w:r>
      <w:hyperlink r:id="rId64" w:history="1">
        <w:r w:rsidRPr="00C87F1B">
          <w:rPr>
            <w:rStyle w:val="Hyperlink"/>
          </w:rPr>
          <w:t>http://www.nmic.org/nyccelp/laws/29CFR1910.1025.pdf</w:t>
        </w:r>
      </w:hyperlink>
      <w:r>
        <w:t xml:space="preserve">. </w:t>
      </w:r>
    </w:p>
    <w:p w:rsidR="003E2444" w:rsidRDefault="003E2444" w:rsidP="00D15CBA">
      <w:pPr>
        <w:spacing w:line="240" w:lineRule="auto"/>
      </w:pPr>
    </w:p>
    <w:p w:rsidR="005E6B04" w:rsidRDefault="005E6B04" w:rsidP="00D15CBA">
      <w:pPr>
        <w:spacing w:line="240" w:lineRule="auto"/>
      </w:pPr>
      <w:r w:rsidRPr="005E6B04">
        <w:t>Osman, K., Åkesson, A., Berglund, M., Bremme, K., Schütz, A., Ask, K. and Vahter, M. (2000). Toxic and essential elements in placentas of swedish women. Clinical Biochemistry. 33: 131-138.</w:t>
      </w:r>
    </w:p>
    <w:p w:rsidR="005E6B04" w:rsidRDefault="005E6B04" w:rsidP="00D15CBA">
      <w:pPr>
        <w:spacing w:line="240" w:lineRule="auto"/>
      </w:pPr>
    </w:p>
    <w:p w:rsidR="00195A4C" w:rsidRDefault="00195A4C" w:rsidP="00D15CBA">
      <w:pPr>
        <w:spacing w:line="240" w:lineRule="auto"/>
      </w:pPr>
      <w:r w:rsidRPr="00195A4C">
        <w:t>Parkinson, D. K., Ryan, C., Bromet, E. J. and Connell, M. M. (1986). A psychiatric epidemiologic study of occupational lead exposure. American Journal of Epidemiology. 123: 261-269.</w:t>
      </w:r>
    </w:p>
    <w:p w:rsidR="00195A4C" w:rsidRDefault="00195A4C" w:rsidP="00D15CBA">
      <w:pPr>
        <w:spacing w:line="240" w:lineRule="auto"/>
      </w:pPr>
    </w:p>
    <w:p w:rsidR="0001725E" w:rsidRDefault="0001725E" w:rsidP="00D15CBA">
      <w:pPr>
        <w:spacing w:line="240" w:lineRule="auto"/>
      </w:pPr>
      <w:r w:rsidRPr="0001725E">
        <w:t>Patil, A. J., Bhagwat, V. R., Patil, J. A., Dongre, N. N., Ambekar, J. G., Jailkhani, R. and Das, K. K. (2006). Effect of lead (Pb) exposure on the activity of superoxide dismutase and catalase in battery manufacturing workers (BMW) of Western Maharashtra (India) with reference to heme biosynthesis. International Journal of Environmental Research and Public Health. 3: 329-337. Abstract only.</w:t>
      </w:r>
    </w:p>
    <w:p w:rsidR="0001725E" w:rsidRDefault="0001725E" w:rsidP="00D15CBA">
      <w:pPr>
        <w:spacing w:line="240" w:lineRule="auto"/>
      </w:pPr>
    </w:p>
    <w:p w:rsidR="002F64F2" w:rsidRDefault="002F64F2" w:rsidP="00D15CBA">
      <w:pPr>
        <w:spacing w:line="240" w:lineRule="auto"/>
      </w:pPr>
      <w:r w:rsidRPr="002F64F2">
        <w:t>Payton, M., Hu, H., Sparrow, D. and Weiss, S. T. (1994). Low-level lead exposure and renal function in the Normative Aging Study. American Journal of Epidemiology. 140: 821-829.</w:t>
      </w:r>
    </w:p>
    <w:p w:rsidR="002F64F2" w:rsidRDefault="002F64F2" w:rsidP="00D15CBA">
      <w:pPr>
        <w:spacing w:line="240" w:lineRule="auto"/>
      </w:pPr>
    </w:p>
    <w:p w:rsidR="00E0096D" w:rsidRDefault="00E0096D" w:rsidP="00D15CBA">
      <w:pPr>
        <w:spacing w:line="240" w:lineRule="auto"/>
      </w:pPr>
      <w:r w:rsidRPr="00E0096D">
        <w:t>Peters, J. L., Kubzansky, L., McNeely, E., Schwartz, J., Avron, S., III, Sparrow, D., Wright, R. O., Nie, H. and Hu, H. (2007). Stress as a potential modifier of the impact of lead levels on blood pressure: The Normative Aging Study. Environmental Health Perspectives. 115: 1154-1159.</w:t>
      </w:r>
    </w:p>
    <w:p w:rsidR="002038D5" w:rsidRDefault="002038D5" w:rsidP="00D15CBA">
      <w:pPr>
        <w:spacing w:line="240" w:lineRule="auto"/>
      </w:pPr>
    </w:p>
    <w:p w:rsidR="002038D5" w:rsidRDefault="002038D5" w:rsidP="002038D5">
      <w:pPr>
        <w:spacing w:line="240" w:lineRule="auto"/>
      </w:pPr>
      <w:r>
        <w:t xml:space="preserve">Petrucci, R., Leonardi, A., and Battistuzzi, G. (1982). The genetic polymorphism of delta aminolevulinate dehydratase in Italy. Hum. Genet. 50: 289-290. </w:t>
      </w:r>
    </w:p>
    <w:p w:rsidR="00E0096D" w:rsidRDefault="00E0096D" w:rsidP="00D15CBA">
      <w:pPr>
        <w:spacing w:line="240" w:lineRule="auto"/>
      </w:pPr>
    </w:p>
    <w:p w:rsidR="00DA4F10" w:rsidRDefault="00DA4F10" w:rsidP="00D15CBA">
      <w:pPr>
        <w:spacing w:line="240" w:lineRule="auto"/>
      </w:pPr>
      <w:r w:rsidRPr="00DA4F10">
        <w:t>Pfister, E., Bockelmann, I., Darius, S. and Wurthmann, C. (1999). Einbeziehung psychopathologischer Verfahren zur Objektivierung von neurotoxischen Frueffekten durch Blei und Loesemittelgemische. Fortschr Neurol Psychiatr. 67: 435-440. As cited in NIWL 2005.</w:t>
      </w:r>
    </w:p>
    <w:p w:rsidR="00DA4F10" w:rsidRDefault="00DA4F10" w:rsidP="00D15CBA">
      <w:pPr>
        <w:spacing w:line="240" w:lineRule="auto"/>
      </w:pPr>
    </w:p>
    <w:p w:rsidR="00721271" w:rsidRDefault="00721271" w:rsidP="00721271">
      <w:pPr>
        <w:spacing w:line="240" w:lineRule="auto"/>
        <w:ind w:firstLine="1"/>
        <w:rPr>
          <w:rFonts w:cs="Arial"/>
        </w:rPr>
      </w:pPr>
      <w:r w:rsidRPr="0047523D">
        <w:rPr>
          <w:rFonts w:cs="Arial"/>
        </w:rPr>
        <w:t>Pierre, F., Vallayer, C., Baruthio, F., Peltier, A., Pale, S., Rouyer, J., Goutet, P., Aubrège, B., Lecossois, C., Guillemin, C., Elcabache, J.-M., Verelle, B. and Fabriès, J.-F. (2002). Specific relationship between blood lead and air lead in the crystal industry. International Archives of Occupational and Environmental Health. 75 (4): 217-223.</w:t>
      </w:r>
    </w:p>
    <w:p w:rsidR="00721271" w:rsidRDefault="00721271" w:rsidP="00D15CBA">
      <w:pPr>
        <w:spacing w:line="240" w:lineRule="auto"/>
      </w:pPr>
    </w:p>
    <w:p w:rsidR="008B7F45" w:rsidRDefault="008B7F45" w:rsidP="00D15CBA">
      <w:pPr>
        <w:spacing w:line="240" w:lineRule="auto"/>
      </w:pPr>
      <w:r w:rsidRPr="008B7F45">
        <w:t>Pollack, A. Z., Schisterman, E. F., Goldman, L. R., Mumford, S. L., Albert, P. S., Jones, R. L. and Wactawski-Wende, J. (2011). Cadmium, lead, and mercury in relation to reproductive hormones and anovulation in premenopausal women. Environmental Health Perspectives. 119: 1156-1161.</w:t>
      </w:r>
    </w:p>
    <w:p w:rsidR="008B7F45" w:rsidRDefault="008B7F45" w:rsidP="00D15CBA">
      <w:pPr>
        <w:spacing w:line="240" w:lineRule="auto"/>
      </w:pPr>
    </w:p>
    <w:p w:rsidR="0088030B" w:rsidRDefault="0088030B" w:rsidP="00D15CBA">
      <w:pPr>
        <w:spacing w:line="240" w:lineRule="auto"/>
      </w:pPr>
      <w:r w:rsidRPr="0088030B">
        <w:t>Poręba, R., Gać, P., Poręba, M. and Andrzejak, R. (2010). The relationship between occupational exposure to lead and manifestation of cardiovascular complications in persons with arterial hypertension. Toxicology and Applied Pharmacology. 249: 41-46.</w:t>
      </w:r>
    </w:p>
    <w:p w:rsidR="0088030B" w:rsidRDefault="0088030B" w:rsidP="00D15CBA">
      <w:pPr>
        <w:spacing w:line="240" w:lineRule="auto"/>
      </w:pPr>
    </w:p>
    <w:p w:rsidR="00986B4E" w:rsidRDefault="00986B4E" w:rsidP="00D15CBA">
      <w:pPr>
        <w:spacing w:line="240" w:lineRule="auto"/>
      </w:pPr>
      <w:r w:rsidRPr="00986B4E">
        <w:t>Poręba, R., Poreba, M., Gac, P. and Andrzejak, R. (2011a). Ambulatory blood pressure monitoring and structural changes in carotid arteries in normotensive workers occupationally exposed to lead. Human and Experimental Toxicology. 30: 1174-80.</w:t>
      </w:r>
    </w:p>
    <w:p w:rsidR="00986B4E" w:rsidRDefault="00986B4E" w:rsidP="00D15CBA">
      <w:pPr>
        <w:spacing w:line="240" w:lineRule="auto"/>
      </w:pPr>
    </w:p>
    <w:p w:rsidR="00986B4E" w:rsidRDefault="00986B4E" w:rsidP="00D15CBA">
      <w:pPr>
        <w:spacing w:line="240" w:lineRule="auto"/>
      </w:pPr>
      <w:r w:rsidRPr="00986B4E">
        <w:t>Poręba, R., Gać, P., Poręba, M., Antonowicz-Juchniewicz, J. and Andrzejak, R. (2011b). Relationship between occupational exposure to lead and local arterial stiffness and left ventricular diastolic function in individuals with arterial hypertension. Toxicology and Applied Pharmacology. 254: 342-348.</w:t>
      </w:r>
    </w:p>
    <w:p w:rsidR="00986B4E" w:rsidRDefault="00986B4E" w:rsidP="00D15CBA">
      <w:pPr>
        <w:spacing w:line="240" w:lineRule="auto"/>
      </w:pPr>
    </w:p>
    <w:p w:rsidR="00986B4E" w:rsidRDefault="00986B4E" w:rsidP="00D15CBA">
      <w:pPr>
        <w:spacing w:line="240" w:lineRule="auto"/>
      </w:pPr>
      <w:r w:rsidRPr="00986B4E">
        <w:lastRenderedPageBreak/>
        <w:t>Poręba, R., Gać, P., Poręba, M. and Mazur, G. (2013). Echocardiographic assessment of myocardial function in workers occupationally exposed to lead without clinically evident heart disease. Environmental Toxicology and Pharmacology. 36: 522-528.</w:t>
      </w:r>
    </w:p>
    <w:p w:rsidR="00986B4E" w:rsidRDefault="00986B4E" w:rsidP="00D15CBA">
      <w:pPr>
        <w:spacing w:line="240" w:lineRule="auto"/>
      </w:pPr>
    </w:p>
    <w:p w:rsidR="008B153B" w:rsidRDefault="008B153B" w:rsidP="00D15CBA">
      <w:pPr>
        <w:spacing w:line="240" w:lineRule="auto"/>
      </w:pPr>
      <w:r w:rsidRPr="008B153B">
        <w:t>Proctor, S. P., Rotnitzky, A., Sparrow, D., Weiss, S. T. and Hu, H. (1996). The relationship of blood lead and dietary calcium to blood pressure in the Normative Aging Study. International Journal of Epidemiology. 25: 528-536.</w:t>
      </w:r>
    </w:p>
    <w:p w:rsidR="008B153B" w:rsidRDefault="008B153B" w:rsidP="00D15CBA">
      <w:pPr>
        <w:spacing w:line="240" w:lineRule="auto"/>
      </w:pPr>
    </w:p>
    <w:p w:rsidR="005A1DC4" w:rsidRDefault="005A1DC4" w:rsidP="00D15CBA">
      <w:pPr>
        <w:spacing w:line="240" w:lineRule="auto"/>
      </w:pPr>
      <w:r w:rsidRPr="005A1DC4">
        <w:t xml:space="preserve">Quebec Gov (2013). Reglement sur la sante et la securite du travail (in French). Quebec Government, Ch. S-2.1, a.223. </w:t>
      </w:r>
      <w:hyperlink r:id="rId65" w:history="1">
        <w:r w:rsidRPr="00A8570D">
          <w:rPr>
            <w:rStyle w:val="Hyperlink"/>
          </w:rPr>
          <w:t>http://www2.publicationsduquebec.gouv.qc.ca/dynamicSearch/telecharge.php?type=3&amp;file=/S_2_1/S2_1R13.HTM</w:t>
        </w:r>
      </w:hyperlink>
      <w:r>
        <w:t xml:space="preserve">. </w:t>
      </w:r>
    </w:p>
    <w:p w:rsidR="009409CC" w:rsidRDefault="009409CC" w:rsidP="009409CC">
      <w:pPr>
        <w:spacing w:line="240" w:lineRule="auto"/>
      </w:pPr>
    </w:p>
    <w:p w:rsidR="002D0F42" w:rsidRDefault="002D0F42" w:rsidP="009409CC">
      <w:pPr>
        <w:spacing w:line="240" w:lineRule="auto"/>
      </w:pPr>
      <w:r w:rsidRPr="002D0F42">
        <w:t>Rajaraman, P., Stewart, P. A., Samet, J. M., Schwartz, B. S., Linet, M. S., Zahm, S. H., Rothman, N., Yeager, M., Fine, H. A., Black, P. M., Loeffler, J., Shapiro, W. R., Selker, R. G. and Inskip, P. D. (2006). Lead, genetic susceptibility, and risk of adult brain tumors. Cancer Epidemiology Biomarkers &amp; Prevention. 15: 2514-2520.</w:t>
      </w:r>
    </w:p>
    <w:p w:rsidR="002D0F42" w:rsidRDefault="002D0F42" w:rsidP="009409CC">
      <w:pPr>
        <w:spacing w:line="240" w:lineRule="auto"/>
      </w:pPr>
    </w:p>
    <w:p w:rsidR="009409CC" w:rsidRDefault="009409CC" w:rsidP="009409CC">
      <w:pPr>
        <w:spacing w:line="240" w:lineRule="auto"/>
      </w:pPr>
      <w:r w:rsidRPr="00B03F1E">
        <w:t>Rentschler, G., Lundh, T., Oudin, A. and Skerfving, S. (2009). Lead elimination from blood and plasma after lead poisoning. Toxicology Letters. 189, Supplement: S227.</w:t>
      </w:r>
    </w:p>
    <w:p w:rsidR="00B03F1E" w:rsidRDefault="00B03F1E" w:rsidP="00D15CBA">
      <w:pPr>
        <w:spacing w:line="240" w:lineRule="auto"/>
      </w:pPr>
    </w:p>
    <w:p w:rsidR="00B03F1E" w:rsidRDefault="00B03F1E" w:rsidP="00D15CBA">
      <w:pPr>
        <w:spacing w:line="240" w:lineRule="auto"/>
      </w:pPr>
      <w:r w:rsidRPr="00B03F1E">
        <w:t>Rezende, V. B., Amaral, J. H., Gerlach, R. F., Barbosa Jr, F. and Tanus-Santos, J. E. (2010). Should we measure serum or plasma lead concentrations? Journal of Trace Elements in Medicine and Biology. 24: 147-151.</w:t>
      </w:r>
    </w:p>
    <w:p w:rsidR="00B03F1E" w:rsidRDefault="00B03F1E" w:rsidP="00D15CBA">
      <w:pPr>
        <w:spacing w:line="240" w:lineRule="auto"/>
      </w:pPr>
    </w:p>
    <w:p w:rsidR="009409CC" w:rsidRDefault="009409CC" w:rsidP="009409CC">
      <w:pPr>
        <w:spacing w:line="240" w:lineRule="auto"/>
      </w:pPr>
      <w:r w:rsidRPr="00F6487E">
        <w:t>Rhodes, D., Spiro, A., Aro, A. and Hu, H. (2003). Relationship of bone and blood lead levels to psychiatric symptoms: the Normative Aging Study. Journal of Occupational and Environmental Medicine. 45: 1144-1151.</w:t>
      </w:r>
    </w:p>
    <w:p w:rsidR="009409CC" w:rsidRDefault="009409CC" w:rsidP="00D15CBA">
      <w:pPr>
        <w:spacing w:line="240" w:lineRule="auto"/>
      </w:pPr>
    </w:p>
    <w:p w:rsidR="009409CC" w:rsidRDefault="009409CC" w:rsidP="00D15CBA">
      <w:pPr>
        <w:spacing w:line="240" w:lineRule="auto"/>
      </w:pPr>
      <w:r w:rsidRPr="009409CC">
        <w:t>Richmond-Bryant, J., Meng, Q., Davis, J. A., Cohen, J., Svendsgaard, D., Brown, J. S., Tuttle, L., Hubbard, H., Rice, J., Kirrane, E., Vinikoor-Imler, L., Kotchmar, D., Hines, E. and Ross, M. (2013). A multi-level model of blood lead as a function of air lead. Science of The Total Environment. 461–462: 207-213.</w:t>
      </w:r>
    </w:p>
    <w:p w:rsidR="009409CC" w:rsidRDefault="009409CC" w:rsidP="00D15CBA">
      <w:pPr>
        <w:spacing w:line="240" w:lineRule="auto"/>
      </w:pPr>
    </w:p>
    <w:p w:rsidR="00070512" w:rsidRDefault="00070512" w:rsidP="00D15CBA">
      <w:pPr>
        <w:spacing w:line="240" w:lineRule="auto"/>
      </w:pPr>
      <w:r w:rsidRPr="00070512">
        <w:t>RIS (2011). Bundesrecht konsolidiert: Gesamte Rechtsvorschrift fuer Grenzwerteverordnung 2011, Fassun</w:t>
      </w:r>
      <w:r w:rsidR="003E7BC7">
        <w:t xml:space="preserve">g vom 23.08.2013 (in German). </w:t>
      </w:r>
      <w:r w:rsidRPr="00070512">
        <w:t xml:space="preserve">Rechtinformationssystem (Legal Information System of the Republic of Austria). </w:t>
      </w:r>
    </w:p>
    <w:p w:rsidR="00070512" w:rsidRDefault="00070512" w:rsidP="00D15CBA">
      <w:pPr>
        <w:spacing w:line="240" w:lineRule="auto"/>
      </w:pPr>
    </w:p>
    <w:p w:rsidR="00857100" w:rsidRDefault="00857100" w:rsidP="00D15CBA">
      <w:pPr>
        <w:spacing w:line="240" w:lineRule="auto"/>
      </w:pPr>
      <w:r w:rsidRPr="00857100">
        <w:t>Robins, J. M., Cullen, M. R., Connors, B. B. and Kayne, R. D. (1983). Depressed thyroid indexes associated with occupational exposure to inorganic lead. Archives of Internal Medicine. 143: 220-224.</w:t>
      </w:r>
    </w:p>
    <w:p w:rsidR="00857100" w:rsidRDefault="00857100" w:rsidP="00D15CBA">
      <w:pPr>
        <w:spacing w:line="240" w:lineRule="auto"/>
      </w:pPr>
    </w:p>
    <w:p w:rsidR="0013088D" w:rsidRDefault="0013088D" w:rsidP="00D15CBA">
      <w:pPr>
        <w:spacing w:line="240" w:lineRule="auto"/>
      </w:pPr>
      <w:r w:rsidRPr="0013088D">
        <w:t>Rodamilans, M., Osaba, M. J. M., To-Figueras, J., Fillat, F. R., Marques, J. M., Pérez, P. and Corbella, J. (1988). Lead toxicity on endocrine testicular function in an occupationally exposed population. Human &amp; Experimental Toxicology. 7: 125-128.</w:t>
      </w:r>
    </w:p>
    <w:p w:rsidR="0013088D" w:rsidRDefault="0013088D" w:rsidP="00D15CBA">
      <w:pPr>
        <w:spacing w:line="240" w:lineRule="auto"/>
      </w:pPr>
    </w:p>
    <w:p w:rsidR="00721271" w:rsidRDefault="00721271" w:rsidP="00D15CBA">
      <w:pPr>
        <w:spacing w:line="240" w:lineRule="auto"/>
      </w:pPr>
      <w:r w:rsidRPr="00721271">
        <w:t>Rodrigues, E. G., Virji, M. A., McClean, M. D., Weinberg, J., Woskie</w:t>
      </w:r>
      <w:r>
        <w:t>, S. and Pepper, L. D. (2009). Personal exposure, behavior, and work site conditions as determinants of blood lead a</w:t>
      </w:r>
      <w:r w:rsidRPr="00721271">
        <w:t>mo</w:t>
      </w:r>
      <w:r>
        <w:t>ng bridge p</w:t>
      </w:r>
      <w:r w:rsidRPr="00721271">
        <w:t>ainters. Journal of Occupational and Environmental Hygiene. 7: 80-87.</w:t>
      </w:r>
    </w:p>
    <w:p w:rsidR="00721271" w:rsidRDefault="00721271" w:rsidP="00D15CBA">
      <w:pPr>
        <w:spacing w:line="240" w:lineRule="auto"/>
      </w:pPr>
    </w:p>
    <w:p w:rsidR="004A6DC1" w:rsidRDefault="004A6DC1" w:rsidP="00D15CBA">
      <w:pPr>
        <w:spacing w:line="240" w:lineRule="auto"/>
      </w:pPr>
      <w:r w:rsidRPr="004A6DC1">
        <w:t>Rothenberg, S. J., Manalo, M., Jiang, J., Cuellar, R., Reyes, S., Sanschez, M., Diaz, M., Khan, F., Aguilar, A., Reynoso, B., Juaregui, M., Acosta, S. and Johnson, C. (1999</w:t>
      </w:r>
      <w:r>
        <w:t>a</w:t>
      </w:r>
      <w:r w:rsidRPr="004A6DC1">
        <w:t>). Blood lead level and blood pressure during pregnancy in South Central Los Angeles. Archives of Environmental Health: An International Journal. 54: 382-389.</w:t>
      </w:r>
    </w:p>
    <w:p w:rsidR="004A6DC1" w:rsidRDefault="004A6DC1" w:rsidP="00D15CBA">
      <w:pPr>
        <w:spacing w:line="240" w:lineRule="auto"/>
      </w:pPr>
    </w:p>
    <w:p w:rsidR="004A6DC1" w:rsidRDefault="004A6DC1" w:rsidP="00D15CBA">
      <w:pPr>
        <w:spacing w:line="240" w:lineRule="auto"/>
      </w:pPr>
      <w:r w:rsidRPr="004A6DC1">
        <w:lastRenderedPageBreak/>
        <w:t>Rothenberg, S. J., Schnaas, L., Perroni, E., Hernández, R. M., Martı́nez, S. and Hernández, C. (1999b). Pre- and postnatal lead effect on head circumference: a case for critical periods. Neurotoxicology and Teratology. 21: 1-11.</w:t>
      </w:r>
    </w:p>
    <w:p w:rsidR="004A6DC1" w:rsidRDefault="004A6DC1" w:rsidP="00D15CBA">
      <w:pPr>
        <w:spacing w:line="240" w:lineRule="auto"/>
      </w:pPr>
    </w:p>
    <w:p w:rsidR="004A6DC1" w:rsidRDefault="004A6DC1" w:rsidP="00D15CBA">
      <w:pPr>
        <w:spacing w:line="240" w:lineRule="auto"/>
      </w:pPr>
      <w:r w:rsidRPr="004A6DC1">
        <w:t>Rothenberg, S. J., Kondrashov, V., Manalo, M., Jiang, J., Cuellar, R., Garcia, M., Reynoso, B., Reyes, S., Diaz, M. and Todd, A. C. (2002). Increases in hypertension and blood pressure during pregnancy with increased bone lead levels. American Journal of Epidemiology. 156: 1079-1087.</w:t>
      </w:r>
    </w:p>
    <w:p w:rsidR="004A6DC1" w:rsidRDefault="004A6DC1" w:rsidP="00D15CBA">
      <w:pPr>
        <w:spacing w:line="240" w:lineRule="auto"/>
      </w:pPr>
    </w:p>
    <w:p w:rsidR="002D0F42" w:rsidRDefault="002D0F42" w:rsidP="00D15CBA">
      <w:pPr>
        <w:spacing w:line="240" w:lineRule="auto"/>
      </w:pPr>
      <w:r w:rsidRPr="002D0F42">
        <w:t>Rousseau, M.-C., Parent, M.-E., Nadon, L., Latreille, B. and Siemiatycki, J. (2007). Occupational exposure to lead compounds and risk of cancer among men: a population-based case-control study. American Journal of Epidemiology. 166: 1005-1014.</w:t>
      </w:r>
    </w:p>
    <w:p w:rsidR="002D0F42" w:rsidRDefault="002D0F42" w:rsidP="00D15CBA">
      <w:pPr>
        <w:spacing w:line="240" w:lineRule="auto"/>
      </w:pPr>
    </w:p>
    <w:p w:rsidR="00A0576D" w:rsidRDefault="00A0576D" w:rsidP="00D15CBA">
      <w:pPr>
        <w:spacing w:line="240" w:lineRule="auto"/>
      </w:pPr>
      <w:r w:rsidRPr="00A0576D">
        <w:t>Sadeghniiat-Haghighi, K., Saraie, M., Ghasemi, M., Izadi, N., Chavoshi, F. and Khajehmehrizi, A. (2013). Assessment of peripheral neuropathy in male hospitalized patients with lead toxicity in Iran. Journal of Research in Medical Sciences. 18: 6-9.</w:t>
      </w:r>
    </w:p>
    <w:p w:rsidR="00A0576D" w:rsidRDefault="00A0576D" w:rsidP="00D15CBA">
      <w:pPr>
        <w:spacing w:line="240" w:lineRule="auto"/>
      </w:pPr>
    </w:p>
    <w:p w:rsidR="0046240E" w:rsidRDefault="0046240E" w:rsidP="00D15CBA">
      <w:pPr>
        <w:spacing w:line="240" w:lineRule="auto"/>
      </w:pPr>
      <w:r w:rsidRPr="0046240E">
        <w:t xml:space="preserve">SA DoL (2002). Government notice R. 236. Occupational health and Safety Act, 1993 (ACT No. 85 of 1993). Lead Regulations 2001. South African Department of Labour. 28 February 2002. </w:t>
      </w:r>
      <w:hyperlink r:id="rId66" w:history="1">
        <w:r w:rsidRPr="00A8570D">
          <w:rPr>
            <w:rStyle w:val="Hyperlink"/>
          </w:rPr>
          <w:t>http://www.labour.gov.za/DOL/legislation/notices/occupational-health-and-safety/notice-lead-regulations</w:t>
        </w:r>
      </w:hyperlink>
      <w:r>
        <w:t>.</w:t>
      </w:r>
    </w:p>
    <w:p w:rsidR="0046240E" w:rsidRDefault="0046240E" w:rsidP="00D15CBA">
      <w:pPr>
        <w:spacing w:line="240" w:lineRule="auto"/>
      </w:pPr>
    </w:p>
    <w:p w:rsidR="00860A9C" w:rsidRDefault="00ED7F03" w:rsidP="00D15CBA">
      <w:pPr>
        <w:spacing w:line="240" w:lineRule="auto"/>
      </w:pPr>
      <w:r>
        <w:t>Safe Work</w:t>
      </w:r>
      <w:r w:rsidR="005D6674" w:rsidRPr="005D6674">
        <w:t xml:space="preserve"> (201</w:t>
      </w:r>
      <w:r w:rsidR="009E138C">
        <w:t>4</w:t>
      </w:r>
      <w:r w:rsidR="005D6674" w:rsidRPr="005D6674">
        <w:t xml:space="preserve">). Model work health and safety regulations. </w:t>
      </w:r>
      <w:r>
        <w:t>Safe Work</w:t>
      </w:r>
      <w:r w:rsidR="005D6674" w:rsidRPr="005D6674">
        <w:t xml:space="preserve"> Australia. </w:t>
      </w:r>
      <w:r w:rsidR="00860A9C">
        <w:t>9</w:t>
      </w:r>
      <w:r w:rsidR="005D6674" w:rsidRPr="005D6674">
        <w:t xml:space="preserve">th </w:t>
      </w:r>
      <w:r w:rsidR="00860A9C">
        <w:t>January</w:t>
      </w:r>
      <w:r w:rsidR="005D6674" w:rsidRPr="005D6674">
        <w:t xml:space="preserve"> 201</w:t>
      </w:r>
      <w:r w:rsidR="003E7BC7">
        <w:t>4</w:t>
      </w:r>
      <w:r w:rsidR="005D6674" w:rsidRPr="005D6674">
        <w:t xml:space="preserve">. [Accessed </w:t>
      </w:r>
      <w:r w:rsidR="00860A9C">
        <w:t>11</w:t>
      </w:r>
      <w:r w:rsidR="005D6674" w:rsidRPr="005D6674">
        <w:t>/0</w:t>
      </w:r>
      <w:r w:rsidR="00860A9C">
        <w:t>4</w:t>
      </w:r>
      <w:r w:rsidR="005D6674" w:rsidRPr="005D6674">
        <w:t>/201</w:t>
      </w:r>
      <w:r w:rsidR="00860A9C">
        <w:t>4</w:t>
      </w:r>
      <w:r w:rsidR="005D6674" w:rsidRPr="005D6674">
        <w:t>].</w:t>
      </w:r>
    </w:p>
    <w:p w:rsidR="005D6674" w:rsidRPr="003E7BC7" w:rsidRDefault="003D35E2" w:rsidP="00D15CBA">
      <w:pPr>
        <w:spacing w:line="240" w:lineRule="auto"/>
        <w:rPr>
          <w:color w:val="0000FF"/>
          <w:u w:val="single"/>
        </w:rPr>
      </w:pPr>
      <w:r w:rsidRPr="003E7BC7">
        <w:rPr>
          <w:color w:val="0000FF"/>
          <w:u w:val="single"/>
        </w:rPr>
        <w:t xml:space="preserve">http://www.safeworkaustralia.gov.au/sites/SWA/about/Publications/Documents/616/Model-WHS-Regulations-January-2014.pdf </w:t>
      </w:r>
    </w:p>
    <w:p w:rsidR="005D6674" w:rsidRDefault="005D6674" w:rsidP="00D15CBA">
      <w:pPr>
        <w:spacing w:line="240" w:lineRule="auto"/>
      </w:pPr>
    </w:p>
    <w:p w:rsidR="00580F0B" w:rsidRDefault="00ED7F03" w:rsidP="00D15CBA">
      <w:pPr>
        <w:spacing w:line="240" w:lineRule="auto"/>
      </w:pPr>
      <w:r>
        <w:t>Safe Work</w:t>
      </w:r>
      <w:r w:rsidR="00D15CBA">
        <w:t xml:space="preserve"> (2013</w:t>
      </w:r>
      <w:r w:rsidR="00D15CBA" w:rsidRPr="00D15CBA">
        <w:t xml:space="preserve">). Hazardous Substances Information System. </w:t>
      </w:r>
      <w:r>
        <w:t>Safe Work</w:t>
      </w:r>
      <w:r w:rsidR="00D15CBA" w:rsidRPr="00D15CBA">
        <w:t xml:space="preserve"> Australia. </w:t>
      </w:r>
    </w:p>
    <w:p w:rsidR="00860A9C" w:rsidRPr="003E7BC7" w:rsidRDefault="003D35E2" w:rsidP="00D15CBA">
      <w:pPr>
        <w:spacing w:line="240" w:lineRule="auto"/>
        <w:rPr>
          <w:color w:val="0000FF"/>
          <w:u w:val="single"/>
        </w:rPr>
      </w:pPr>
      <w:r w:rsidRPr="003E7BC7">
        <w:rPr>
          <w:color w:val="0000FF"/>
          <w:u w:val="single"/>
        </w:rPr>
        <w:t>http://www.hsis.safeworkaustralia.gov.au/</w:t>
      </w:r>
    </w:p>
    <w:p w:rsidR="00AE7888" w:rsidRPr="00AE7888" w:rsidRDefault="00AE7888" w:rsidP="00AE7888">
      <w:pPr>
        <w:spacing w:line="240" w:lineRule="auto"/>
      </w:pPr>
    </w:p>
    <w:p w:rsidR="00B03F1E" w:rsidRDefault="00B03F1E" w:rsidP="00530C73">
      <w:pPr>
        <w:spacing w:line="240" w:lineRule="auto"/>
      </w:pPr>
      <w:r w:rsidRPr="00B03F1E">
        <w:t>Sajo-Bohus, L., Scott, M. C., Greaves, E. D., Somervaille, L. J., Green, S., Avila, T., Loaiza, F. and Foglietta, L. (2004). In vivo tibial lead measurement to assess the health hazard of Venezuelan workers. Journal of Radioanalytical and Nuclear Chemistry. 259: 251-255.</w:t>
      </w:r>
    </w:p>
    <w:p w:rsidR="00B03F1E" w:rsidRDefault="00B03F1E" w:rsidP="00530C73">
      <w:pPr>
        <w:spacing w:line="240" w:lineRule="auto"/>
      </w:pPr>
    </w:p>
    <w:p w:rsidR="00B03F1E" w:rsidRDefault="00B03F1E" w:rsidP="00530C73">
      <w:pPr>
        <w:spacing w:line="240" w:lineRule="auto"/>
      </w:pPr>
      <w:r w:rsidRPr="00B03F1E">
        <w:t>Sakai, T. (2000). Biomarkers of lead exposure. Industrial Health. 38: 127-142.</w:t>
      </w:r>
    </w:p>
    <w:p w:rsidR="00B03F1E" w:rsidRDefault="00B03F1E" w:rsidP="00530C73">
      <w:pPr>
        <w:spacing w:line="240" w:lineRule="auto"/>
      </w:pPr>
    </w:p>
    <w:p w:rsidR="008257D4" w:rsidRDefault="008257D4" w:rsidP="00530C73">
      <w:pPr>
        <w:spacing w:line="240" w:lineRule="auto"/>
      </w:pPr>
      <w:r w:rsidRPr="008257D4">
        <w:t>Sallmen, M., Anttila, A., Lindbohm, M.-L., Kyyroenen, P., Taskinen, H. and Hemminki, K. (1995). Time to pregnancy among women occupationally exposed to lead. Journal of Occupational and Environmental Medicine. 37: 931-934.</w:t>
      </w:r>
    </w:p>
    <w:p w:rsidR="008257D4" w:rsidRDefault="008257D4" w:rsidP="00530C73">
      <w:pPr>
        <w:spacing w:line="240" w:lineRule="auto"/>
      </w:pPr>
    </w:p>
    <w:p w:rsidR="00AF0D0F" w:rsidRDefault="00AF0D0F" w:rsidP="00530C73">
      <w:pPr>
        <w:spacing w:line="240" w:lineRule="auto"/>
      </w:pPr>
      <w:r w:rsidRPr="00AF0D0F">
        <w:t>Sanin, L. H., Gonzalez-Cossio, T., Romieu, I., Peterson, K. E., Ruiz, S., Palazuelos, E., Hernandez-Avila, M. and Hu, H. (2001). Effect of maternal lead burden on infant weight and weight gain at one month of age among breastfeed infants. Pediatrics. 107: 1016.</w:t>
      </w:r>
    </w:p>
    <w:p w:rsidR="00AF0D0F" w:rsidRDefault="00AF0D0F" w:rsidP="00530C73">
      <w:pPr>
        <w:spacing w:line="240" w:lineRule="auto"/>
      </w:pPr>
    </w:p>
    <w:p w:rsidR="00115330" w:rsidRDefault="00115330" w:rsidP="00530C73">
      <w:pPr>
        <w:spacing w:line="240" w:lineRule="auto"/>
      </w:pPr>
      <w:r w:rsidRPr="00115330">
        <w:t>Santos, A. C. D., Colacciopo, S., Bó, C. M. R. D. and Santos, N. A. G. D. (1994). Occupational exposure to lead, kidney function tests, and blood pressure. American Journal of Industrial Medicine. 26: 635-643.</w:t>
      </w:r>
    </w:p>
    <w:p w:rsidR="00115330" w:rsidRDefault="00115330" w:rsidP="00530C73">
      <w:pPr>
        <w:spacing w:line="240" w:lineRule="auto"/>
      </w:pPr>
    </w:p>
    <w:p w:rsidR="009E3296" w:rsidRDefault="009E3296" w:rsidP="00530C73">
      <w:pPr>
        <w:spacing w:line="240" w:lineRule="auto"/>
      </w:pPr>
      <w:r w:rsidRPr="009E3296">
        <w:t>Schober, S. E., Mirel, L. B., Graubard, B. I., Brody, D. J. and Flegal, K. M. (2006). Blood lead levels and death from all causes, cardiovascular disease, and cancer: Results from the NHANES III mortality study. Environmental Health Perspectives. 114: 1538-1541.</w:t>
      </w:r>
    </w:p>
    <w:p w:rsidR="009E3296" w:rsidRDefault="009E3296" w:rsidP="00530C73">
      <w:pPr>
        <w:spacing w:line="240" w:lineRule="auto"/>
      </w:pPr>
    </w:p>
    <w:p w:rsidR="00076344" w:rsidRDefault="00076344" w:rsidP="00530C73">
      <w:pPr>
        <w:spacing w:line="240" w:lineRule="auto"/>
      </w:pPr>
      <w:r w:rsidRPr="00076344">
        <w:t>Schütz, A., Olsson, M., Jensen, A., Gerhardsson, L., Börjesson, J., Mattsson, S. and Skerfving, S. (2005). Lead in finger bone, whole blood, plasma and urine in lead-smelter workers: extended exposure range. International Archives of Occupational and Environmental Health. 78: 35-43.</w:t>
      </w:r>
    </w:p>
    <w:p w:rsidR="00076344" w:rsidRDefault="00076344" w:rsidP="00530C73">
      <w:pPr>
        <w:spacing w:line="240" w:lineRule="auto"/>
      </w:pPr>
    </w:p>
    <w:p w:rsidR="00C50644" w:rsidRDefault="00C50644" w:rsidP="00530C73">
      <w:pPr>
        <w:spacing w:line="240" w:lineRule="auto"/>
      </w:pPr>
      <w:r w:rsidRPr="00C50644">
        <w:lastRenderedPageBreak/>
        <w:t>Schwartz, J. (1995). Lead, blood-pressure, and cardiovascular-disease in men. Archives of Environmental Health. 50: 31-37.</w:t>
      </w:r>
    </w:p>
    <w:p w:rsidR="00C50644" w:rsidRDefault="00C50644" w:rsidP="00530C73">
      <w:pPr>
        <w:spacing w:line="240" w:lineRule="auto"/>
      </w:pPr>
    </w:p>
    <w:p w:rsidR="00EE4E16" w:rsidRDefault="00EE4E16" w:rsidP="00530C73">
      <w:pPr>
        <w:spacing w:line="240" w:lineRule="auto"/>
      </w:pPr>
      <w:r w:rsidRPr="00EE4E16">
        <w:t>Schwartz, B. S., Stewart, W. F., Todd, A. C., Simon, D. and Links, J. M. (2000). Different associations of blood lead, meso 2,3-dimercaptosuccinic acid (DMSA)-chelatable lead, and tibial lead levels with blood pressure in 543 former organolead manufacturing workers. Archives of Environmental Health: An International Journal. 55: 85-92.</w:t>
      </w:r>
    </w:p>
    <w:p w:rsidR="00EE4E16" w:rsidRDefault="00EE4E16" w:rsidP="00530C73">
      <w:pPr>
        <w:spacing w:line="240" w:lineRule="auto"/>
      </w:pPr>
    </w:p>
    <w:p w:rsidR="00951596" w:rsidRDefault="00951596" w:rsidP="00530C73">
      <w:pPr>
        <w:spacing w:line="240" w:lineRule="auto"/>
      </w:pPr>
      <w:r w:rsidRPr="00951596">
        <w:t>Schwartz, B. S., Lee, B.-K., Lee, G.-S., Stewart, W. F., Lee, S.-S., Hwang, K.-Y., Ahn, K.-D., Kim, Y.-B., Bolla, K. I., Simon, D., Parsons, P. J. and Todd, A. C. (2001). Associations of blood lead, dimercaptosuccinic acid-chelatable lead, and tibia lead with neurobehavioral test scores in South Korean lead workers. American Journal of Epidemiology. 153: 453-464.</w:t>
      </w:r>
    </w:p>
    <w:p w:rsidR="00951596" w:rsidRDefault="00951596" w:rsidP="00530C73">
      <w:pPr>
        <w:spacing w:line="240" w:lineRule="auto"/>
      </w:pPr>
    </w:p>
    <w:p w:rsidR="00EE6DDD" w:rsidRDefault="00EE6DDD" w:rsidP="00530C73">
      <w:pPr>
        <w:spacing w:line="240" w:lineRule="auto"/>
      </w:pPr>
      <w:r w:rsidRPr="00EE6DDD">
        <w:t>Schwartz, B. S., Lee, B.-K., Bandeen-Roche, K., Stewart, W., Bolla, K., Links, J., Weaver, V. and Todd, A. (2005). Occupational lead exposure and longitudinal decline in neurobehavioral test scores. Epidemiology. 16: 106-113.</w:t>
      </w:r>
    </w:p>
    <w:p w:rsidR="00EE6DDD" w:rsidRDefault="00EE6DDD" w:rsidP="00530C73">
      <w:pPr>
        <w:spacing w:line="240" w:lineRule="auto"/>
      </w:pPr>
    </w:p>
    <w:p w:rsidR="00530C73" w:rsidRPr="00530C73" w:rsidRDefault="00530C73" w:rsidP="00530C73">
      <w:pPr>
        <w:spacing w:line="240" w:lineRule="auto"/>
      </w:pPr>
      <w:r w:rsidRPr="00530C73">
        <w:t>Schwartz, B. S. and Hu, H. (2007). Adult lead exposure: time for change. Environmental Health Perspective. 15: 451-454.</w:t>
      </w:r>
    </w:p>
    <w:p w:rsidR="00530C73" w:rsidRDefault="00530C73" w:rsidP="00AE7888">
      <w:pPr>
        <w:spacing w:line="240" w:lineRule="auto"/>
      </w:pPr>
    </w:p>
    <w:p w:rsidR="003C4044" w:rsidRDefault="003C4044" w:rsidP="00AE7888">
      <w:pPr>
        <w:spacing w:line="240" w:lineRule="auto"/>
      </w:pPr>
      <w:r w:rsidRPr="003C4044">
        <w:t>Scinicariello, F., Yesupriya, A., Chang, M.-h. and Fowler, B. A. (2010). Modification by ALAD of the association between blood lead and blood pressure in the U.S. population: results from the Third National Health and Nutrition Examination Survey. Environmental Health Perspectives. 118: 259-264.</w:t>
      </w:r>
    </w:p>
    <w:p w:rsidR="003C4044" w:rsidRDefault="003C4044" w:rsidP="00AE7888">
      <w:pPr>
        <w:spacing w:line="240" w:lineRule="auto"/>
      </w:pPr>
    </w:p>
    <w:p w:rsidR="00790556" w:rsidRPr="00790556" w:rsidRDefault="00790556" w:rsidP="00790556">
      <w:pPr>
        <w:spacing w:line="240" w:lineRule="auto"/>
      </w:pPr>
      <w:r w:rsidRPr="00790556">
        <w:t xml:space="preserve">SCOEL (2002). Recommendation from the Scientific Committee on Occupational Exposure Limits for lead and its inorganic compounds. SCOEL/SUM/83. Scientific Committee on Occupational Exposure Limits, European Commission. </w:t>
      </w:r>
    </w:p>
    <w:p w:rsidR="00790556" w:rsidRDefault="00790556" w:rsidP="00AE7888">
      <w:pPr>
        <w:spacing w:line="240" w:lineRule="auto"/>
      </w:pPr>
    </w:p>
    <w:p w:rsidR="00283E5D" w:rsidRDefault="00283E5D" w:rsidP="00AE7888">
      <w:pPr>
        <w:spacing w:line="240" w:lineRule="auto"/>
      </w:pPr>
      <w:r w:rsidRPr="00283E5D">
        <w:t>Seeber, A., Meyer-Baron, M. and Schäper, M. (2002). A summary of two meta-analyses on neurobehavioural effects due to occupational lead exposure. Archives of Toxicology. 76: 137-145.</w:t>
      </w:r>
    </w:p>
    <w:p w:rsidR="00283E5D" w:rsidRDefault="00283E5D" w:rsidP="00AE7888">
      <w:pPr>
        <w:spacing w:line="240" w:lineRule="auto"/>
      </w:pPr>
    </w:p>
    <w:p w:rsidR="00A83F26" w:rsidRDefault="00A83F26" w:rsidP="00AE7888">
      <w:pPr>
        <w:spacing w:line="240" w:lineRule="auto"/>
      </w:pPr>
      <w:r w:rsidRPr="00A83F26">
        <w:t>Selevan, S. G., Landrigan, P. J., Stern, F. B. and Jones, J. H. (1988). Brief report: lead and hypertension in a mortality study of lead smelter workers. Environmental Health Perspectives. 78: 65-66.</w:t>
      </w:r>
    </w:p>
    <w:p w:rsidR="00A83F26" w:rsidRDefault="00A83F26" w:rsidP="00AE7888">
      <w:pPr>
        <w:spacing w:line="240" w:lineRule="auto"/>
      </w:pPr>
    </w:p>
    <w:p w:rsidR="00076344" w:rsidRDefault="00076344" w:rsidP="00AE7888">
      <w:pPr>
        <w:spacing w:line="240" w:lineRule="auto"/>
      </w:pPr>
      <w:r w:rsidRPr="00076344">
        <w:t>Shih, R. A., Hu, H., Weisskopf, M. G. and Schwartz, B. S. (2007). Cumulative Lead Dose and Cognitive Function in Adults: A Review of Studies That Measured Both Blood Lead and Bone Lead. Environmental Health Perspectives. 115: 483-492.</w:t>
      </w:r>
    </w:p>
    <w:p w:rsidR="00076344" w:rsidRDefault="00076344" w:rsidP="00AE7888">
      <w:pPr>
        <w:spacing w:line="240" w:lineRule="auto"/>
      </w:pPr>
    </w:p>
    <w:p w:rsidR="00857100" w:rsidRDefault="00857100" w:rsidP="00AE7888">
      <w:pPr>
        <w:spacing w:line="240" w:lineRule="auto"/>
      </w:pPr>
      <w:r w:rsidRPr="00857100">
        <w:t>Singh, B., Chandran, V., Bandhu, H., Mittal, B., Bhattacharya, A., Jindal, S. and Varma, S. (2000). Impact of lead exposure on pituitary-thyroid axis in humans. Biometals. 13: 187-192.</w:t>
      </w:r>
    </w:p>
    <w:p w:rsidR="00857100" w:rsidRDefault="00857100" w:rsidP="00AE7888">
      <w:pPr>
        <w:spacing w:line="240" w:lineRule="auto"/>
      </w:pPr>
    </w:p>
    <w:p w:rsidR="00CD7CC0" w:rsidRDefault="00CD7CC0" w:rsidP="00AE7888">
      <w:pPr>
        <w:spacing w:line="240" w:lineRule="auto"/>
      </w:pPr>
      <w:r w:rsidRPr="00CD7CC0">
        <w:t>Singh, Z., Chadha, P. and Sharma, S. (2013). Evaluation of oxidative stress and genotoxicity in battery manufacturing workers occupationally exposed to lead. Toxicology International. 20: 95-100. Abstract only.</w:t>
      </w:r>
    </w:p>
    <w:p w:rsidR="002038D5" w:rsidRDefault="002038D5" w:rsidP="00AE7888">
      <w:pPr>
        <w:spacing w:line="240" w:lineRule="auto"/>
      </w:pPr>
    </w:p>
    <w:p w:rsidR="002038D5" w:rsidRDefault="002038D5" w:rsidP="002038D5">
      <w:pPr>
        <w:spacing w:line="240" w:lineRule="auto"/>
      </w:pPr>
      <w:r>
        <w:t xml:space="preserve">Smith, C.M., Wang, X., Hu, H. and Kelsey, K.D. (1995). Dehydratase gene may modify the pharmacokinetics and toxicity of lead. Environ. Hlth. Perspect. 103: 248-253. </w:t>
      </w:r>
    </w:p>
    <w:p w:rsidR="00CD7CC0" w:rsidRDefault="00CD7CC0" w:rsidP="00AE7888">
      <w:pPr>
        <w:spacing w:line="240" w:lineRule="auto"/>
      </w:pPr>
    </w:p>
    <w:p w:rsidR="00E721B7" w:rsidRDefault="00E721B7" w:rsidP="00AE7888">
      <w:pPr>
        <w:spacing w:line="240" w:lineRule="auto"/>
      </w:pPr>
      <w:r w:rsidRPr="00E721B7">
        <w:t>Solliway, B. M., Schaffer, A., Pratt, H. and Yannai, S. (1994). A multidisciplinary study of lead-exposed subjects: I. Delayed target detection P-300 latency, an electrophysiological parameter, correlates with urinary δ-ALA. Environmental Research. 67: 168-182.</w:t>
      </w:r>
    </w:p>
    <w:p w:rsidR="00E721B7" w:rsidRDefault="00E721B7" w:rsidP="00AE7888">
      <w:pPr>
        <w:spacing w:line="240" w:lineRule="auto"/>
      </w:pPr>
    </w:p>
    <w:p w:rsidR="00076344" w:rsidRDefault="00076344" w:rsidP="00AE7888">
      <w:pPr>
        <w:spacing w:line="240" w:lineRule="auto"/>
      </w:pPr>
      <w:r w:rsidRPr="00076344">
        <w:lastRenderedPageBreak/>
        <w:t>Sommar, J. N., Hedmer, M., Lundh, T., Nilsson, L., Skerfving, S. and Bergdahl, I. A. (2013). Investigation of lead concentrations in whole blood, plasma and urine as biomarkers for biological monitoring of lead exposure. J Expos Sci En</w:t>
      </w:r>
      <w:r>
        <w:t>viron Epidemiol. Advance Online.</w:t>
      </w:r>
    </w:p>
    <w:p w:rsidR="00076344" w:rsidRDefault="00076344" w:rsidP="00AE7888">
      <w:pPr>
        <w:spacing w:line="240" w:lineRule="auto"/>
      </w:pPr>
    </w:p>
    <w:p w:rsidR="00C66228" w:rsidRDefault="00C66228" w:rsidP="00AE7888">
      <w:pPr>
        <w:spacing w:line="240" w:lineRule="auto"/>
      </w:pPr>
      <w:r w:rsidRPr="00C66228">
        <w:t>Staessen, J. A., Lauwerys, R. R., Buchet, J.-P., Bulpitt, C. J., Rondia, D., Vanrenterghem, Y. and Amery, A. (1992). Impairment of renal function with increasing blood lead concentrations in the general population. New England Journal of Medicine. 327: 151-156.</w:t>
      </w:r>
    </w:p>
    <w:p w:rsidR="00C66228" w:rsidRDefault="00C66228" w:rsidP="00AE7888">
      <w:pPr>
        <w:spacing w:line="240" w:lineRule="auto"/>
      </w:pPr>
    </w:p>
    <w:p w:rsidR="00426E9F" w:rsidRDefault="00426E9F" w:rsidP="00AE7888">
      <w:pPr>
        <w:spacing w:line="240" w:lineRule="auto"/>
      </w:pPr>
      <w:r w:rsidRPr="00426E9F">
        <w:t>Stawarz, R., Formicki, G., Chrobaczynska, M., Czajkowska, M., Chryc, K., Kuczkowska-Kuzniar, A., Massanyi, P. and Skalba, P. (2011). Accumulation of cadmium and lead in placenta and amnion of women from upper Silesian region Poland. Journal of Environmental Research and Development. 5: 871-879.</w:t>
      </w:r>
    </w:p>
    <w:p w:rsidR="00DD2765" w:rsidRDefault="00DD2765" w:rsidP="00AE7888">
      <w:pPr>
        <w:spacing w:line="240" w:lineRule="auto"/>
      </w:pPr>
    </w:p>
    <w:p w:rsidR="00DD2765" w:rsidRDefault="00DD2765" w:rsidP="00AE7888">
      <w:pPr>
        <w:spacing w:line="240" w:lineRule="auto"/>
      </w:pPr>
      <w:r>
        <w:t>Stewart, W.F.,</w:t>
      </w:r>
      <w:r w:rsidRPr="00DD2765">
        <w:t xml:space="preserve"> Schwartz, B</w:t>
      </w:r>
      <w:r>
        <w:t>.</w:t>
      </w:r>
      <w:r w:rsidRPr="00DD2765">
        <w:t>S</w:t>
      </w:r>
      <w:r>
        <w:t>.,</w:t>
      </w:r>
      <w:r w:rsidRPr="00DD2765">
        <w:t xml:space="preserve"> Simon, D</w:t>
      </w:r>
      <w:r>
        <w:t>.,</w:t>
      </w:r>
      <w:r w:rsidRPr="00DD2765">
        <w:t xml:space="preserve"> Kelsey, K</w:t>
      </w:r>
      <w:r>
        <w:t>., and</w:t>
      </w:r>
      <w:r w:rsidRPr="00DD2765">
        <w:t xml:space="preserve"> Todd, A</w:t>
      </w:r>
      <w:r>
        <w:t>.</w:t>
      </w:r>
      <w:r w:rsidRPr="00DD2765">
        <w:t>C. (2002). ApoE genotype, past adult lead exposure, and neurobehavioral function. Environ Health Perspect 110: 501-505.</w:t>
      </w:r>
    </w:p>
    <w:p w:rsidR="00426E9F" w:rsidRDefault="00426E9F" w:rsidP="00AE7888">
      <w:pPr>
        <w:spacing w:line="240" w:lineRule="auto"/>
      </w:pPr>
    </w:p>
    <w:p w:rsidR="00CA4E82" w:rsidRDefault="00CA4E82" w:rsidP="00AE7888">
      <w:pPr>
        <w:spacing w:line="240" w:lineRule="auto"/>
      </w:pPr>
      <w:r w:rsidRPr="00CA4E82">
        <w:t>Stollery, B. T., Broadbent, D. E., Banks, H. A. and Lee, W. R. (1991). Short term prospective study of cognitive functioning in lead workers. British Journal of Industrial Medicine. 48: 739-749.</w:t>
      </w:r>
    </w:p>
    <w:p w:rsidR="00CA4E82" w:rsidRDefault="00CA4E82" w:rsidP="00AE7888">
      <w:pPr>
        <w:spacing w:line="240" w:lineRule="auto"/>
      </w:pPr>
    </w:p>
    <w:p w:rsidR="00AE7888" w:rsidRDefault="00AE7888" w:rsidP="00AE7888">
      <w:pPr>
        <w:spacing w:line="240" w:lineRule="auto"/>
      </w:pPr>
      <w:r w:rsidRPr="00AE7888">
        <w:t>SUVA (2013). Grenzwerte am Arbeitsplatz 2013 (in German). Swiss Accident Insurance Fund.</w:t>
      </w:r>
    </w:p>
    <w:p w:rsidR="00AE7888" w:rsidRDefault="00AE7888" w:rsidP="00AE7888">
      <w:pPr>
        <w:spacing w:line="240" w:lineRule="auto"/>
      </w:pPr>
    </w:p>
    <w:p w:rsidR="00434263" w:rsidRDefault="00434263" w:rsidP="00D15CBA">
      <w:pPr>
        <w:spacing w:line="240" w:lineRule="auto"/>
      </w:pPr>
      <w:r w:rsidRPr="00434263">
        <w:t xml:space="preserve">SWEA (2005a). Occupational exposure limit values and measures against air contaminants. Swedish Work Environment Authority. </w:t>
      </w:r>
      <w:hyperlink r:id="rId67" w:history="1">
        <w:r w:rsidRPr="006021EF">
          <w:rPr>
            <w:rStyle w:val="Hyperlink"/>
          </w:rPr>
          <w:t>http://www.av.se/dokument/inenglish/legislations/eng0517.pdf</w:t>
        </w:r>
      </w:hyperlink>
      <w:r>
        <w:t xml:space="preserve">. </w:t>
      </w:r>
    </w:p>
    <w:p w:rsidR="00434263" w:rsidRDefault="00434263" w:rsidP="00D15CBA">
      <w:pPr>
        <w:spacing w:line="240" w:lineRule="auto"/>
      </w:pPr>
    </w:p>
    <w:p w:rsidR="00434263" w:rsidRDefault="00434263" w:rsidP="00D15CBA">
      <w:pPr>
        <w:spacing w:line="240" w:lineRule="auto"/>
      </w:pPr>
      <w:r w:rsidRPr="00434263">
        <w:t xml:space="preserve">SWEA (2005b). Occupational medical supervision. The Swedish Work Environment Authority's provisions on occupational medical supervision and general recommendations for applying the provisions. The Work Environment Authority's Statue Book. Swedish Work Environment Authority. AFS 2005:6. </w:t>
      </w:r>
      <w:hyperlink r:id="rId68" w:history="1">
        <w:r w:rsidRPr="006021EF">
          <w:rPr>
            <w:rStyle w:val="Hyperlink"/>
          </w:rPr>
          <w:t>http://www.av.se/dokument/inenglish/legislations/eng0506.pdf</w:t>
        </w:r>
      </w:hyperlink>
      <w:r>
        <w:t xml:space="preserve">. </w:t>
      </w:r>
    </w:p>
    <w:p w:rsidR="00434263" w:rsidRDefault="00434263" w:rsidP="00D15CBA">
      <w:pPr>
        <w:spacing w:line="240" w:lineRule="auto"/>
      </w:pPr>
    </w:p>
    <w:p w:rsidR="00505519" w:rsidRDefault="00505519" w:rsidP="00DE764C">
      <w:pPr>
        <w:spacing w:line="240" w:lineRule="auto"/>
        <w:ind w:firstLine="1"/>
        <w:rPr>
          <w:rFonts w:cs="Arial"/>
        </w:rPr>
      </w:pPr>
      <w:r w:rsidRPr="00505519">
        <w:rPr>
          <w:rFonts w:cs="Arial"/>
        </w:rPr>
        <w:t>Tang, N. and Zhu, Z. Q. (2003). Adverse reproductive effects in female workers of lead battery plants. International Journal of Occupational Medicine and Environmental Health. 16: 359-361.</w:t>
      </w:r>
    </w:p>
    <w:p w:rsidR="00505519" w:rsidRDefault="00505519" w:rsidP="00DE764C">
      <w:pPr>
        <w:spacing w:line="240" w:lineRule="auto"/>
        <w:ind w:firstLine="1"/>
        <w:rPr>
          <w:rFonts w:cs="Arial"/>
        </w:rPr>
      </w:pPr>
    </w:p>
    <w:p w:rsidR="00713228" w:rsidRDefault="00713228" w:rsidP="00DE764C">
      <w:pPr>
        <w:spacing w:line="240" w:lineRule="auto"/>
        <w:ind w:firstLine="1"/>
        <w:rPr>
          <w:rFonts w:cs="Arial"/>
        </w:rPr>
      </w:pPr>
      <w:r w:rsidRPr="00713228">
        <w:rPr>
          <w:rFonts w:cs="Arial"/>
        </w:rPr>
        <w:t>Telisman, S., Cvitkovic, P., Jurasovic, J., Pizent, A., Gavella, M. and Rocic, B. (2000). Semen quality and reproductive endocrine function in relation to biomarkers of lead, cadmium, zinc and copper in men. Environmental Health Perspectives. 108: 45-53.</w:t>
      </w:r>
    </w:p>
    <w:p w:rsidR="00713228" w:rsidRDefault="00713228" w:rsidP="00DE764C">
      <w:pPr>
        <w:spacing w:line="240" w:lineRule="auto"/>
        <w:ind w:firstLine="1"/>
        <w:rPr>
          <w:rFonts w:cs="Arial"/>
        </w:rPr>
      </w:pPr>
    </w:p>
    <w:p w:rsidR="00C50644" w:rsidRDefault="00C50644" w:rsidP="00DE764C">
      <w:pPr>
        <w:spacing w:line="240" w:lineRule="auto"/>
        <w:ind w:firstLine="1"/>
        <w:rPr>
          <w:rFonts w:cs="Arial"/>
        </w:rPr>
      </w:pPr>
      <w:r w:rsidRPr="00C50644">
        <w:rPr>
          <w:rFonts w:cs="Arial"/>
        </w:rPr>
        <w:t>Telišman, S., Jurasović, J., Pizent, A. and Cvitković, P. (2001). Blood pressure in relation to biomarkers of lead, cadmium, copper, zinc, and selenium in men without occupational exposure to metals. Environmental Research. 87: 57-68.</w:t>
      </w:r>
    </w:p>
    <w:p w:rsidR="00C50644" w:rsidRDefault="00C50644" w:rsidP="00DE764C">
      <w:pPr>
        <w:spacing w:line="240" w:lineRule="auto"/>
        <w:ind w:firstLine="1"/>
        <w:rPr>
          <w:rFonts w:cs="Arial"/>
        </w:rPr>
      </w:pPr>
    </w:p>
    <w:p w:rsidR="002F64F2" w:rsidRDefault="002F64F2" w:rsidP="00DE764C">
      <w:pPr>
        <w:spacing w:line="240" w:lineRule="auto"/>
        <w:ind w:firstLine="1"/>
        <w:rPr>
          <w:rFonts w:cs="Arial"/>
        </w:rPr>
      </w:pPr>
      <w:r w:rsidRPr="002F64F2">
        <w:rPr>
          <w:rFonts w:cs="Arial"/>
        </w:rPr>
        <w:t>Tell, I., Bensryd, I., Chettle, D. R., Gerhardsson, L., Nilsson, U., Schuetz, A. and Skerfving, S. (1998). Njurfunktionsmarkörer hos blyarbetare. Svenska Läkaresällskapets handlingar Hygiea. 107: 139. As cited in NIWL 2005.</w:t>
      </w:r>
    </w:p>
    <w:p w:rsidR="002F64F2" w:rsidRDefault="002F64F2" w:rsidP="00DE764C">
      <w:pPr>
        <w:spacing w:line="240" w:lineRule="auto"/>
        <w:ind w:firstLine="1"/>
        <w:rPr>
          <w:rFonts w:cs="Arial"/>
        </w:rPr>
      </w:pPr>
    </w:p>
    <w:p w:rsidR="00DE764C" w:rsidRDefault="00DE764C" w:rsidP="00DE764C">
      <w:pPr>
        <w:spacing w:line="240" w:lineRule="auto"/>
        <w:ind w:firstLine="1"/>
        <w:rPr>
          <w:rFonts w:cs="Arial"/>
        </w:rPr>
      </w:pPr>
      <w:r w:rsidRPr="00612C60">
        <w:rPr>
          <w:rFonts w:cs="Arial"/>
        </w:rPr>
        <w:t>Tepper, L. B. and Levin, L. S. (1972). A survey of air and population lead levels in selected American communities. Office of Research and Monitoring, United States Environmental Protection Agency. Environmental Health Effects Research Series. EPA-R1-72-005</w:t>
      </w:r>
      <w:r>
        <w:rPr>
          <w:rFonts w:cs="Arial"/>
        </w:rPr>
        <w:t xml:space="preserve">. </w:t>
      </w:r>
    </w:p>
    <w:p w:rsidR="00DE764C" w:rsidRDefault="00DE764C" w:rsidP="00D15CBA">
      <w:pPr>
        <w:spacing w:line="240" w:lineRule="auto"/>
      </w:pPr>
    </w:p>
    <w:p w:rsidR="00BF6E11" w:rsidRDefault="00BF6E11" w:rsidP="00D15CBA">
      <w:pPr>
        <w:spacing w:line="240" w:lineRule="auto"/>
      </w:pPr>
      <w:r w:rsidRPr="00BF6E11">
        <w:t>Teruya, K., Sakurai, H., Omae, K., Higashi, T., Muto, T. and Kaneko, Y. (1991). Effect of lead on cardiac parasympathetic function. International Archives of Occupational and Environmental Health. 62: 549-553.</w:t>
      </w:r>
    </w:p>
    <w:p w:rsidR="00BF6E11" w:rsidRDefault="00BF6E11" w:rsidP="00D15CBA">
      <w:pPr>
        <w:spacing w:line="240" w:lineRule="auto"/>
      </w:pPr>
    </w:p>
    <w:p w:rsidR="00A341CF" w:rsidRDefault="00A341CF" w:rsidP="00D15CBA">
      <w:pPr>
        <w:spacing w:line="240" w:lineRule="auto"/>
      </w:pPr>
      <w:r w:rsidRPr="00A341CF">
        <w:t>Thaweboon, S., Thaweboon, B. and Veerapradist, W. (2005). Lead in saliva and its relationship to blood in the residents of Klity village in Thailand Southeast Asian Journal of Tropical Medicine and Public Health. 36: 1576-9.</w:t>
      </w:r>
    </w:p>
    <w:p w:rsidR="00A341CF" w:rsidRDefault="00A341CF" w:rsidP="00D15CBA">
      <w:pPr>
        <w:spacing w:line="240" w:lineRule="auto"/>
      </w:pPr>
    </w:p>
    <w:p w:rsidR="00A341CF" w:rsidRDefault="00A341CF" w:rsidP="00D15CBA">
      <w:pPr>
        <w:spacing w:line="240" w:lineRule="auto"/>
      </w:pPr>
      <w:r w:rsidRPr="00A341CF">
        <w:t>Theppeang, K., Schwartz, B. S., Lee, B.-K., Lustberg, M. E., Silbergeld, E. K., Kelsey, K. T., Parsons, P. J. and Todd, A. C. (2004). Associations of patella lead with polymorphisms in the vitamin D recepto, delta-aminolevulinic acid dehydratase and endothelial nitric oxide synthase genes. Journal of Occupational and Environmental Medicine. 46: 528-537.</w:t>
      </w:r>
    </w:p>
    <w:p w:rsidR="00A341CF" w:rsidRDefault="00A341CF" w:rsidP="00D15CBA">
      <w:pPr>
        <w:spacing w:line="240" w:lineRule="auto"/>
      </w:pPr>
    </w:p>
    <w:p w:rsidR="00A341CF" w:rsidRDefault="00A341CF" w:rsidP="00D15CBA">
      <w:pPr>
        <w:spacing w:line="240" w:lineRule="auto"/>
      </w:pPr>
      <w:r w:rsidRPr="00A341CF">
        <w:t>Timchalk, C., Poet, T. S., Kousba, A. A., Campbell, J. A. and Lin, Y. (2004). Noninvasive biomonitoring approaches to determine dosimetry and risk following acute chemical exposure: analysis of lead or organophosphate insecticide in saliva. Journal of Toxicology and Environmental Health, Part A. 67: 635-650.</w:t>
      </w:r>
    </w:p>
    <w:p w:rsidR="00A341CF" w:rsidRDefault="00A341CF" w:rsidP="00D15CBA">
      <w:pPr>
        <w:spacing w:line="240" w:lineRule="auto"/>
      </w:pPr>
    </w:p>
    <w:p w:rsidR="00FF7372" w:rsidRDefault="00FF7372" w:rsidP="00D15CBA">
      <w:pPr>
        <w:spacing w:line="240" w:lineRule="auto"/>
      </w:pPr>
      <w:r w:rsidRPr="00FF7372">
        <w:t>Tomokuni, K. and Ogata, M. (1980). Normal levels of delta-aminolevulinic acid in the spot urines of adult men, as measured by a simplified method (in Japanese). Sangyo Igaku. 22: 92-95. Abstract only.</w:t>
      </w:r>
    </w:p>
    <w:p w:rsidR="00FF7372" w:rsidRDefault="00FF7372" w:rsidP="00D15CBA">
      <w:pPr>
        <w:spacing w:line="240" w:lineRule="auto"/>
      </w:pPr>
    </w:p>
    <w:p w:rsidR="00C66228" w:rsidRDefault="00C66228" w:rsidP="00D15CBA">
      <w:pPr>
        <w:spacing w:line="240" w:lineRule="auto"/>
      </w:pPr>
      <w:r w:rsidRPr="00C66228">
        <w:t>Tsaih, S.-W., Korrick, S., Schwartz, J., Amarasiriwardena, C., Aro, A., Sparrow, D. and Hu, H. (2004). Lead, diabetes, hypertension, and renal function: The Normative Aging Study. Environmental Health Perspectives. 112: 1178-1182.</w:t>
      </w:r>
    </w:p>
    <w:p w:rsidR="00C66228" w:rsidRDefault="00C66228" w:rsidP="00D15CBA">
      <w:pPr>
        <w:spacing w:line="240" w:lineRule="auto"/>
      </w:pPr>
    </w:p>
    <w:p w:rsidR="002D1392" w:rsidRDefault="002D1392" w:rsidP="00D15CBA">
      <w:pPr>
        <w:spacing w:line="240" w:lineRule="auto"/>
      </w:pPr>
      <w:r w:rsidRPr="002D1392">
        <w:t>Ukaejiofo, E. O., Thomas, N. and Ike, S. O. (2009). Haematological assessment of occupational exposure to lead handlers in Enugu urban, Enugu State, Nigeria. Nigerian Journal of Clinical Practice. 12: 58-64. Abstract only.</w:t>
      </w:r>
    </w:p>
    <w:p w:rsidR="00E60039" w:rsidRDefault="00E60039" w:rsidP="00D15CBA">
      <w:pPr>
        <w:spacing w:line="240" w:lineRule="auto"/>
      </w:pPr>
    </w:p>
    <w:p w:rsidR="00721271" w:rsidRDefault="00721271" w:rsidP="00721271">
      <w:pPr>
        <w:spacing w:line="240" w:lineRule="auto"/>
        <w:ind w:firstLine="1"/>
        <w:rPr>
          <w:rFonts w:cs="Arial"/>
        </w:rPr>
      </w:pPr>
      <w:r w:rsidRPr="008433DC">
        <w:rPr>
          <w:rFonts w:cs="Arial"/>
        </w:rPr>
        <w:t xml:space="preserve">UK HSE (1998). Methods for the determination of hazardous substances. 6/3 lead and inorganic compounds of lead in air. Laboratory method using flame electrothermal atromic absorption spectrometry. United Kingdom Health and Safety Executive. </w:t>
      </w:r>
      <w:hyperlink r:id="rId69" w:history="1">
        <w:r w:rsidRPr="001579AE">
          <w:rPr>
            <w:rStyle w:val="Hyperlink"/>
            <w:rFonts w:cs="Arial"/>
          </w:rPr>
          <w:t>http://www.hse.gov.uk/pubns/mdhs/pdfs/mdhs6-3.pdf</w:t>
        </w:r>
      </w:hyperlink>
      <w:r>
        <w:rPr>
          <w:rFonts w:cs="Arial"/>
        </w:rPr>
        <w:t xml:space="preserve">. </w:t>
      </w:r>
    </w:p>
    <w:p w:rsidR="00721271" w:rsidRDefault="00721271" w:rsidP="00D15CBA">
      <w:pPr>
        <w:spacing w:line="240" w:lineRule="auto"/>
      </w:pPr>
    </w:p>
    <w:p w:rsidR="00C05791" w:rsidRDefault="00C05791" w:rsidP="00D15CBA">
      <w:pPr>
        <w:spacing w:line="240" w:lineRule="auto"/>
      </w:pPr>
      <w:r w:rsidRPr="00C05791">
        <w:t xml:space="preserve">UK HSE (2002). Control of lead at work (third edition). United Kingdom Health and Safety Executive. L132. </w:t>
      </w:r>
      <w:hyperlink r:id="rId70" w:history="1">
        <w:r w:rsidRPr="006021EF">
          <w:rPr>
            <w:rStyle w:val="Hyperlink"/>
          </w:rPr>
          <w:t>http://www.hse.gov.uk/pubns/priced/l132.pdf</w:t>
        </w:r>
      </w:hyperlink>
      <w:r>
        <w:t xml:space="preserve">. </w:t>
      </w:r>
    </w:p>
    <w:p w:rsidR="00C05791" w:rsidRDefault="00C05791" w:rsidP="00D15CBA">
      <w:pPr>
        <w:spacing w:line="240" w:lineRule="auto"/>
      </w:pPr>
    </w:p>
    <w:p w:rsidR="00C05791" w:rsidRDefault="00C05791" w:rsidP="00D15CBA">
      <w:pPr>
        <w:spacing w:line="240" w:lineRule="auto"/>
      </w:pPr>
      <w:r w:rsidRPr="00C05791">
        <w:t xml:space="preserve">UK HSE (2012). Lead and you: working safely with lead. UK Health and Safety Executive. INDG305 (rev2). </w:t>
      </w:r>
      <w:hyperlink r:id="rId71" w:history="1">
        <w:r w:rsidRPr="006021EF">
          <w:rPr>
            <w:rStyle w:val="Hyperlink"/>
          </w:rPr>
          <w:t>http://www.hse.gov.uk/pubns/indg305.pdf</w:t>
        </w:r>
      </w:hyperlink>
      <w:r>
        <w:t xml:space="preserve">. </w:t>
      </w:r>
    </w:p>
    <w:p w:rsidR="00C05791" w:rsidRDefault="00C05791" w:rsidP="00D15CBA">
      <w:pPr>
        <w:spacing w:line="240" w:lineRule="auto"/>
      </w:pPr>
    </w:p>
    <w:p w:rsidR="00E60039" w:rsidRDefault="00E60039" w:rsidP="00E60039">
      <w:pPr>
        <w:spacing w:line="240" w:lineRule="auto"/>
      </w:pPr>
      <w:r w:rsidRPr="00E60039">
        <w:t>Ulenbelt, P., Lumens, M. G. L., Géron, H. A., Herber, R. M., Broersen, S. and Zielhuis, R. (1990). Work hygienic behaviour as modifier of the lead air-lead blood relation. International Archives of Occupational and Environmental Health. 62: 203-207.</w:t>
      </w:r>
    </w:p>
    <w:p w:rsidR="00E60039" w:rsidRDefault="00E60039" w:rsidP="009A7626">
      <w:pPr>
        <w:spacing w:line="240" w:lineRule="auto"/>
      </w:pPr>
    </w:p>
    <w:p w:rsidR="009A7626" w:rsidRPr="009A7626" w:rsidRDefault="009A7626" w:rsidP="009A7626">
      <w:pPr>
        <w:spacing w:line="240" w:lineRule="auto"/>
      </w:pPr>
      <w:r w:rsidRPr="009A7626">
        <w:t xml:space="preserve">UNEP (2006). Interim review of scientific information on lead. United Nations Environment Programme. </w:t>
      </w:r>
      <w:hyperlink r:id="rId72" w:history="1">
        <w:r w:rsidRPr="009A7626">
          <w:rPr>
            <w:rStyle w:val="Hyperlink"/>
          </w:rPr>
          <w:t>http://www.chem.unep.ch/pb_and_cd/SR/Files/Interim_reviews/UNEP_Lead_review_Interim-Oct2006.pdf</w:t>
        </w:r>
      </w:hyperlink>
      <w:r w:rsidRPr="009A7626">
        <w:t xml:space="preserve">. </w:t>
      </w:r>
    </w:p>
    <w:p w:rsidR="009A7626" w:rsidRDefault="009A7626" w:rsidP="00D15CBA">
      <w:pPr>
        <w:spacing w:line="240" w:lineRule="auto"/>
      </w:pPr>
    </w:p>
    <w:p w:rsidR="00282D1A" w:rsidRPr="00282D1A" w:rsidRDefault="00282D1A" w:rsidP="00282D1A">
      <w:pPr>
        <w:spacing w:line="240" w:lineRule="auto"/>
      </w:pPr>
      <w:r w:rsidRPr="00282D1A">
        <w:t>US EPA (1986). Air quality criteria for lead. Vol I-IV. EPS 600/8-83-028a-d. Environmental Criteria and Assessment Office, United States Environmental Protection Agency.</w:t>
      </w:r>
    </w:p>
    <w:p w:rsidR="00282D1A" w:rsidRDefault="00282D1A" w:rsidP="00D15CBA">
      <w:pPr>
        <w:spacing w:line="240" w:lineRule="auto"/>
      </w:pPr>
    </w:p>
    <w:p w:rsidR="00E60039" w:rsidRPr="00E60039" w:rsidRDefault="00E60039" w:rsidP="00E60039">
      <w:pPr>
        <w:spacing w:line="240" w:lineRule="auto"/>
      </w:pPr>
      <w:r w:rsidRPr="00E60039">
        <w:t>US EPA (1996). Recommendations of the technical workgroup for lead for an approach to assessing risks associated with adult exposures to lead in soil. Technical Review Workgroup for Lead, United States Environmental Protection Agency. EPA-540-R-03-001.</w:t>
      </w:r>
    </w:p>
    <w:p w:rsidR="00E60039" w:rsidRDefault="00E60039" w:rsidP="00D15CBA">
      <w:pPr>
        <w:spacing w:line="240" w:lineRule="auto"/>
      </w:pPr>
    </w:p>
    <w:p w:rsidR="00E60039" w:rsidRDefault="0040732A" w:rsidP="00D15CBA">
      <w:pPr>
        <w:spacing w:line="240" w:lineRule="auto"/>
      </w:pPr>
      <w:r w:rsidRPr="0040732A">
        <w:t>US EPA (2006). Air quality criteria for lead. Vol I-II. EPA/600/R-5/144aF. United States Environmental Protection Agency</w:t>
      </w:r>
      <w:r>
        <w:t>.</w:t>
      </w:r>
    </w:p>
    <w:p w:rsidR="00E60039" w:rsidRDefault="00E60039" w:rsidP="00D15CBA">
      <w:pPr>
        <w:spacing w:line="240" w:lineRule="auto"/>
      </w:pPr>
    </w:p>
    <w:p w:rsidR="0040732A" w:rsidRDefault="00E60039" w:rsidP="00D15CBA">
      <w:pPr>
        <w:spacing w:line="240" w:lineRule="auto"/>
      </w:pPr>
      <w:r>
        <w:t xml:space="preserve">US EPA (2009). ALM spreadsheet, Appendix B of the ALM document. Available at: </w:t>
      </w:r>
      <w:hyperlink r:id="rId73" w:anchor="alm" w:history="1">
        <w:r w:rsidRPr="00ED0E24">
          <w:rPr>
            <w:rStyle w:val="Hyperlink"/>
          </w:rPr>
          <w:t>http://www.epa.gov/superfund/lead/products.htm#alm</w:t>
        </w:r>
      </w:hyperlink>
      <w:r>
        <w:t xml:space="preserve">. </w:t>
      </w:r>
      <w:r w:rsidR="0040732A">
        <w:t xml:space="preserve"> </w:t>
      </w:r>
    </w:p>
    <w:p w:rsidR="00961A5D" w:rsidRDefault="00961A5D" w:rsidP="00D15CBA">
      <w:pPr>
        <w:spacing w:line="240" w:lineRule="auto"/>
      </w:pPr>
    </w:p>
    <w:p w:rsidR="00961A5D" w:rsidRDefault="00961A5D" w:rsidP="00D15CBA">
      <w:pPr>
        <w:spacing w:line="240" w:lineRule="auto"/>
      </w:pPr>
      <w:r w:rsidRPr="00961A5D">
        <w:lastRenderedPageBreak/>
        <w:t xml:space="preserve">US EPA (2013). Integrated science assessment for lead. United States Environmental Protection Agency. EPA/600/R-10/075F. June 2013. </w:t>
      </w:r>
      <w:hyperlink r:id="rId74" w:history="1">
        <w:r w:rsidRPr="00753814">
          <w:rPr>
            <w:rStyle w:val="Hyperlink"/>
          </w:rPr>
          <w:t>http://cfpub.epa.gov/ncea/isa/recordisplay.cfm?deid=255721</w:t>
        </w:r>
      </w:hyperlink>
      <w:r>
        <w:t xml:space="preserve">. </w:t>
      </w:r>
    </w:p>
    <w:p w:rsidR="00375BEE" w:rsidRDefault="00375BEE" w:rsidP="00D15CBA">
      <w:pPr>
        <w:spacing w:line="240" w:lineRule="auto"/>
      </w:pPr>
    </w:p>
    <w:p w:rsidR="00463C46" w:rsidRDefault="00463C46" w:rsidP="00D15CBA">
      <w:pPr>
        <w:spacing w:line="240" w:lineRule="auto"/>
      </w:pPr>
      <w:r w:rsidRPr="00463C46">
        <w:t>Vaglenov, A., Carbonell, E. and Marcos, R. (1998). Biomonitoring of workers exposed to lead. Genotoxic effects, its modulation by polyvitamin treatment and evaluation of the induced radioresistance. Mutation Research/Genetic Toxicology and Environmental Mutagenesis. 418: 79-92.</w:t>
      </w:r>
    </w:p>
    <w:p w:rsidR="00463C46" w:rsidRDefault="00463C46" w:rsidP="00D15CBA">
      <w:pPr>
        <w:spacing w:line="240" w:lineRule="auto"/>
      </w:pPr>
    </w:p>
    <w:p w:rsidR="00375BEE" w:rsidRDefault="00375BEE" w:rsidP="00D15CBA">
      <w:pPr>
        <w:spacing w:line="240" w:lineRule="auto"/>
      </w:pPr>
      <w:r w:rsidRPr="00375BEE">
        <w:t>Vaglenov, A., Creus, A., Laltchev, S., Petkova, V., Pavlova, S. and Marcos, R. (2001). Occupational exposure to lead and induction of genetic damage. Environmental Health Perspectives. 109: 295-298.</w:t>
      </w:r>
    </w:p>
    <w:p w:rsidR="00BC7957" w:rsidRDefault="00BC7957" w:rsidP="00D15CBA">
      <w:pPr>
        <w:spacing w:line="240" w:lineRule="auto"/>
      </w:pPr>
    </w:p>
    <w:p w:rsidR="002D0F42" w:rsidRDefault="002D0F42" w:rsidP="00D15CBA">
      <w:pPr>
        <w:spacing w:line="240" w:lineRule="auto"/>
      </w:pPr>
      <w:r w:rsidRPr="002D0F42">
        <w:t>van Wijngaarden, E. and Dosemeci, M. (2006). Brain cancer mortality and potential occupational exposure to lead: Findings from the National Longitudinal Mortality Study, 1979–1989. International Journal of Cancer. 119: 1136-1144.</w:t>
      </w:r>
    </w:p>
    <w:p w:rsidR="002D0F42" w:rsidRDefault="002D0F42" w:rsidP="00D15CBA">
      <w:pPr>
        <w:spacing w:line="240" w:lineRule="auto"/>
      </w:pPr>
    </w:p>
    <w:p w:rsidR="00747D87" w:rsidRDefault="00747D87" w:rsidP="00D15CBA">
      <w:pPr>
        <w:spacing w:line="240" w:lineRule="auto"/>
      </w:pPr>
      <w:r w:rsidRPr="00747D87">
        <w:t>Vigeh, M., Yokoyama, K., Seyedaghamiri, Z., Shinohara, A., Matsukawa, T., Chiba, M. and Yunesian, M. (2011). Blood lead at currently acceptable levels may cause preterm labour. Occupational and Environmental Medicine. 68: 231-234.</w:t>
      </w:r>
    </w:p>
    <w:p w:rsidR="00747D87" w:rsidRDefault="00747D87" w:rsidP="00D15CBA">
      <w:pPr>
        <w:spacing w:line="240" w:lineRule="auto"/>
      </w:pPr>
    </w:p>
    <w:p w:rsidR="00B93B2F" w:rsidRDefault="00B93B2F" w:rsidP="00D15CBA">
      <w:pPr>
        <w:spacing w:line="240" w:lineRule="auto"/>
      </w:pPr>
      <w:r w:rsidRPr="00B93B2F">
        <w:t>Vupputuri, S., He, J., Muntner, P., Bazzano, L. A., Whelton, P. K. and Batuman, V. (2003). Blood lead level is associated with elevated blood pressure in blacks. Hypertension. 41: 463-468.</w:t>
      </w:r>
    </w:p>
    <w:p w:rsidR="00B93B2F" w:rsidRDefault="00B93B2F" w:rsidP="00D15CBA">
      <w:pPr>
        <w:spacing w:line="240" w:lineRule="auto"/>
      </w:pPr>
    </w:p>
    <w:p w:rsidR="001C74BC" w:rsidRDefault="001C74BC" w:rsidP="00131882">
      <w:pPr>
        <w:spacing w:line="240" w:lineRule="auto"/>
        <w:ind w:firstLine="1"/>
        <w:rPr>
          <w:rFonts w:cs="Arial"/>
        </w:rPr>
      </w:pPr>
      <w:r w:rsidRPr="001C74BC">
        <w:rPr>
          <w:rFonts w:cs="Arial"/>
        </w:rPr>
        <w:t>Waalkes, M. P., Diwan, B. A., Ward, J. M., Devor, D. E. and Goyer, R. A. (1995). Renal tubular tumors and atypical hyperplasias in B6C3F1 mice exposed to lead acetate during gestation and lactation occur with minimal chronic nephropathy. Cancer Research. 55: 5265-5271.</w:t>
      </w:r>
    </w:p>
    <w:p w:rsidR="001C74BC" w:rsidRDefault="001C74BC" w:rsidP="00131882">
      <w:pPr>
        <w:spacing w:line="240" w:lineRule="auto"/>
        <w:ind w:firstLine="1"/>
        <w:rPr>
          <w:rFonts w:cs="Arial"/>
        </w:rPr>
      </w:pPr>
    </w:p>
    <w:p w:rsidR="00131882" w:rsidRDefault="00131882" w:rsidP="00131882">
      <w:pPr>
        <w:spacing w:line="240" w:lineRule="auto"/>
        <w:ind w:firstLine="1"/>
        <w:rPr>
          <w:rFonts w:cs="Arial"/>
        </w:rPr>
      </w:pPr>
      <w:r w:rsidRPr="00801C36">
        <w:rPr>
          <w:rFonts w:cs="Arial"/>
        </w:rPr>
        <w:t>WA DoH (2007). Lead issue update. Issue No. 3, Sept 2007. Western Australian Department of Health.</w:t>
      </w:r>
    </w:p>
    <w:p w:rsidR="00131882" w:rsidRDefault="00131882" w:rsidP="00D15CBA">
      <w:pPr>
        <w:spacing w:line="240" w:lineRule="auto"/>
      </w:pPr>
    </w:p>
    <w:p w:rsidR="00CD3546" w:rsidRDefault="00CD3546" w:rsidP="00D15CBA">
      <w:pPr>
        <w:spacing w:line="240" w:lineRule="auto"/>
      </w:pPr>
      <w:r w:rsidRPr="00CD3546">
        <w:t>Wang, Q., Zhao, H.-h., Chen, J.-w., Hao, Q.-l., Gu, K.-d., Zhu, Y.-x., Zhou, Y.-k. and Ye, L.-x. (2010). δ-Aminolevulinic acid dehydratase activity, urinary δ-aminolevulinic acid concentration and zinc protoporphyrin level among people with low level of lead exposure. International Journal of Hygiene and Environmental Health. 213: 52-58.</w:t>
      </w:r>
    </w:p>
    <w:p w:rsidR="00CD3546" w:rsidRDefault="00CD3546" w:rsidP="00D15CBA">
      <w:pPr>
        <w:spacing w:line="240" w:lineRule="auto"/>
      </w:pPr>
    </w:p>
    <w:p w:rsidR="00965EC5" w:rsidRDefault="00965EC5" w:rsidP="00D15CBA">
      <w:pPr>
        <w:spacing w:line="240" w:lineRule="auto"/>
      </w:pPr>
      <w:r w:rsidRPr="00965EC5">
        <w:t xml:space="preserve">Wash DoL (2009). General occupational health standards. Air contaminants (specific). Chapter 296-62-07521 (Lead). Washington State Department of Labour and Industries. </w:t>
      </w:r>
      <w:hyperlink r:id="rId75" w:history="1">
        <w:r w:rsidRPr="00A908DE">
          <w:rPr>
            <w:rStyle w:val="Hyperlink"/>
          </w:rPr>
          <w:t>http://www.lni.wa.gov/wisha/rules/generaloccupationalhealth/PDFs/62if.pdf</w:t>
        </w:r>
      </w:hyperlink>
      <w:r>
        <w:t xml:space="preserve">. </w:t>
      </w:r>
    </w:p>
    <w:p w:rsidR="00965EC5" w:rsidRDefault="00965EC5" w:rsidP="00D15CBA">
      <w:pPr>
        <w:spacing w:line="240" w:lineRule="auto"/>
      </w:pPr>
    </w:p>
    <w:p w:rsidR="002F64F2" w:rsidRDefault="002F64F2" w:rsidP="009A7626">
      <w:pPr>
        <w:spacing w:line="240" w:lineRule="auto"/>
      </w:pPr>
      <w:r w:rsidRPr="002F64F2">
        <w:t>Weaver, V. M., Lee, B.-K., Ahn, K.-D., Lee, G.-S., Todd, A. C., Stewart, W. F., Wen, J., Simon, D. J., Parsons, P. J. and Schwartz, B. S. (2003). Associations of lead biomarkers with renal function in Korean lead workers. Occupational and Environmental Medicine. 60: 551-562.</w:t>
      </w:r>
    </w:p>
    <w:p w:rsidR="002F64F2" w:rsidRDefault="002F64F2" w:rsidP="009A7626">
      <w:pPr>
        <w:spacing w:line="240" w:lineRule="auto"/>
      </w:pPr>
    </w:p>
    <w:p w:rsidR="00BA3AFF" w:rsidRDefault="00BA3AFF" w:rsidP="009A7626">
      <w:pPr>
        <w:spacing w:line="240" w:lineRule="auto"/>
      </w:pPr>
      <w:r w:rsidRPr="00BA3AFF">
        <w:t>Weisskopf, M. G., Proctor, S. P., Wright, R. O., Schwartz, J., Avron, S., III, Sparrow, D., Nie, H. and Hu, H. (2007). Cumulative lead exposure and cognitive performance among elderly men. Epidemiology. 18: 59-66.</w:t>
      </w:r>
    </w:p>
    <w:p w:rsidR="00BA3AFF" w:rsidRDefault="00BA3AFF" w:rsidP="009A7626">
      <w:pPr>
        <w:spacing w:line="240" w:lineRule="auto"/>
      </w:pPr>
    </w:p>
    <w:p w:rsidR="00242F86" w:rsidRDefault="00242F86" w:rsidP="009A7626">
      <w:pPr>
        <w:spacing w:line="240" w:lineRule="auto"/>
      </w:pPr>
      <w:r w:rsidRPr="00242F86">
        <w:t>Weisskopf, M. (2013). Aging and neurobehavioral effects of environmental lead exposure. Neurotoxicology and Teratology. 37: 75.</w:t>
      </w:r>
    </w:p>
    <w:p w:rsidR="00242F86" w:rsidRDefault="00242F86" w:rsidP="009A7626">
      <w:pPr>
        <w:spacing w:line="240" w:lineRule="auto"/>
      </w:pPr>
    </w:p>
    <w:p w:rsidR="004A6DC1" w:rsidRDefault="004A6DC1" w:rsidP="009A7626">
      <w:pPr>
        <w:spacing w:line="240" w:lineRule="auto"/>
      </w:pPr>
      <w:r w:rsidRPr="004A6DC1">
        <w:t>West, W. L., Knight, E. M., Edwards, C. H., Manning, M., Spurlock, B., James, H., Johnson, A. A., Oyemade, U. J., Cole, O. J., Westney, O. E., Laryea, H., Jones, S. and Westney, L. S. (1994). Maternal low level lead and pregnancy outcomes. The Journal of Nutrition. 124: 981S-986S.</w:t>
      </w:r>
    </w:p>
    <w:p w:rsidR="002038D5" w:rsidRDefault="002038D5" w:rsidP="009A7626">
      <w:pPr>
        <w:spacing w:line="240" w:lineRule="auto"/>
      </w:pPr>
    </w:p>
    <w:p w:rsidR="002038D5" w:rsidRDefault="002038D5" w:rsidP="002038D5">
      <w:pPr>
        <w:spacing w:line="240" w:lineRule="auto"/>
      </w:pPr>
      <w:r>
        <w:lastRenderedPageBreak/>
        <w:t>Wetmur, J.G., Kaya, A.H., Plewinska, M. and Desnick, R.J. (1991). Molecular characterization of the human delta-aminolevulinate dehydratase-2 (ALAD-2) allele: Implications for molecular screening of individuals for genetic susceptibility to lead. Am. J. Hum. Genetics 49: 757-763.</w:t>
      </w:r>
    </w:p>
    <w:p w:rsidR="004A6DC1" w:rsidRDefault="004A6DC1" w:rsidP="009A7626">
      <w:pPr>
        <w:spacing w:line="240" w:lineRule="auto"/>
      </w:pPr>
    </w:p>
    <w:p w:rsidR="009942DB" w:rsidRDefault="009942DB" w:rsidP="009A7626">
      <w:pPr>
        <w:spacing w:line="240" w:lineRule="auto"/>
      </w:pPr>
      <w:r w:rsidRPr="009942DB">
        <w:t xml:space="preserve">WHO (1948). Preamble to the Constitution of the World Health Organization as adopted by the International Health Conference, New York, 19-22 June, 1946. </w:t>
      </w:r>
      <w:hyperlink r:id="rId76" w:history="1">
        <w:r w:rsidRPr="00753814">
          <w:rPr>
            <w:rStyle w:val="Hyperlink"/>
          </w:rPr>
          <w:t>http://www.who.int/about/definition/en/print.html</w:t>
        </w:r>
      </w:hyperlink>
      <w:r>
        <w:t xml:space="preserve">. </w:t>
      </w:r>
    </w:p>
    <w:p w:rsidR="009942DB" w:rsidRDefault="009942DB" w:rsidP="009A7626">
      <w:pPr>
        <w:spacing w:line="240" w:lineRule="auto"/>
      </w:pPr>
    </w:p>
    <w:p w:rsidR="009A7626" w:rsidRPr="009A7626" w:rsidRDefault="009A7626" w:rsidP="009A7626">
      <w:pPr>
        <w:spacing w:line="240" w:lineRule="auto"/>
        <w:rPr>
          <w:lang w:val="en-GB"/>
        </w:rPr>
      </w:pPr>
      <w:r w:rsidRPr="009A7626">
        <w:t xml:space="preserve">WHO (1995). </w:t>
      </w:r>
      <w:r w:rsidRPr="009A7626">
        <w:rPr>
          <w:lang w:val="en-GB"/>
        </w:rPr>
        <w:t xml:space="preserve">Environmental Health Criteria 165: Lead. International Programme on Chemical Safety, World Health Organisation, Geneva. </w:t>
      </w:r>
    </w:p>
    <w:p w:rsidR="009A7626" w:rsidRDefault="009A7626" w:rsidP="00D15CBA">
      <w:pPr>
        <w:spacing w:line="240" w:lineRule="auto"/>
      </w:pPr>
    </w:p>
    <w:p w:rsidR="00131882" w:rsidRPr="00165E0A" w:rsidRDefault="00131882" w:rsidP="00131882">
      <w:pPr>
        <w:spacing w:line="240" w:lineRule="auto"/>
        <w:ind w:firstLine="1"/>
        <w:rPr>
          <w:rFonts w:cs="Arial"/>
        </w:rPr>
      </w:pPr>
      <w:r w:rsidRPr="00165E0A">
        <w:rPr>
          <w:rFonts w:cs="Arial"/>
        </w:rPr>
        <w:t>WHO (2000). Air quality guidelines for Europe. 2</w:t>
      </w:r>
      <w:r w:rsidRPr="00165E0A">
        <w:rPr>
          <w:rFonts w:cs="Arial"/>
          <w:vertAlign w:val="superscript"/>
        </w:rPr>
        <w:t>nd</w:t>
      </w:r>
      <w:r w:rsidRPr="00165E0A">
        <w:rPr>
          <w:rFonts w:cs="Arial"/>
        </w:rPr>
        <w:t xml:space="preserve"> edition. World Health Organisation</w:t>
      </w:r>
      <w:r>
        <w:rPr>
          <w:rFonts w:cs="Arial"/>
        </w:rPr>
        <w:t xml:space="preserve">, Copenhagen. </w:t>
      </w:r>
    </w:p>
    <w:p w:rsidR="00131882" w:rsidRDefault="00131882" w:rsidP="00721271">
      <w:pPr>
        <w:spacing w:line="240" w:lineRule="auto"/>
        <w:ind w:firstLine="1"/>
        <w:rPr>
          <w:rFonts w:cs="Arial"/>
        </w:rPr>
      </w:pPr>
    </w:p>
    <w:p w:rsidR="009F71F1" w:rsidRDefault="009F71F1" w:rsidP="00721271">
      <w:pPr>
        <w:spacing w:line="240" w:lineRule="auto"/>
        <w:ind w:firstLine="1"/>
        <w:rPr>
          <w:rFonts w:cs="Arial"/>
        </w:rPr>
      </w:pPr>
      <w:r w:rsidRPr="009F71F1">
        <w:rPr>
          <w:rFonts w:cs="Arial"/>
        </w:rPr>
        <w:t xml:space="preserve">WHO (2004). Comparative quantification of health risks. Global and regional burden of disease attributable to selected major risk factors. Ezzati M, Lopez A.D., Rodgers A, and Murray C.J.L. (eds.). World Health Organization, Geneva. </w:t>
      </w:r>
      <w:hyperlink r:id="rId77" w:history="1">
        <w:r w:rsidRPr="00F954CD">
          <w:rPr>
            <w:rStyle w:val="Hyperlink"/>
            <w:rFonts w:cs="Arial"/>
          </w:rPr>
          <w:t>http://www.who.int/healthinfo/global_burden_disease/cra/en/</w:t>
        </w:r>
      </w:hyperlink>
      <w:r>
        <w:rPr>
          <w:rFonts w:cs="Arial"/>
        </w:rPr>
        <w:t xml:space="preserve">. </w:t>
      </w:r>
    </w:p>
    <w:p w:rsidR="009F71F1" w:rsidRDefault="009F71F1" w:rsidP="00721271">
      <w:pPr>
        <w:spacing w:line="240" w:lineRule="auto"/>
        <w:ind w:firstLine="1"/>
        <w:rPr>
          <w:rFonts w:cs="Arial"/>
        </w:rPr>
      </w:pPr>
    </w:p>
    <w:p w:rsidR="00721271" w:rsidRDefault="00721271" w:rsidP="00721271">
      <w:pPr>
        <w:spacing w:line="240" w:lineRule="auto"/>
        <w:ind w:firstLine="1"/>
        <w:rPr>
          <w:rFonts w:cs="Arial"/>
        </w:rPr>
      </w:pPr>
      <w:r>
        <w:rPr>
          <w:rFonts w:cs="Arial"/>
        </w:rPr>
        <w:t xml:space="preserve">Williams, M.K., King, E. and Walford, J. (1969). </w:t>
      </w:r>
      <w:r w:rsidRPr="00E419F2">
        <w:rPr>
          <w:rFonts w:cs="Arial"/>
        </w:rPr>
        <w:t>An investigation of lead absorption in an electric accumulator</w:t>
      </w:r>
      <w:r>
        <w:rPr>
          <w:rFonts w:cs="Arial"/>
        </w:rPr>
        <w:t xml:space="preserve"> with use of personal samplers. British J. Industrial Medicine. 26:202 -216.</w:t>
      </w:r>
    </w:p>
    <w:p w:rsidR="00721271" w:rsidRDefault="00721271" w:rsidP="00D15CBA">
      <w:pPr>
        <w:spacing w:line="240" w:lineRule="auto"/>
      </w:pPr>
    </w:p>
    <w:p w:rsidR="008B153B" w:rsidRDefault="008B153B" w:rsidP="00D15CBA">
      <w:pPr>
        <w:spacing w:line="240" w:lineRule="auto"/>
      </w:pPr>
      <w:r w:rsidRPr="008B153B">
        <w:t>Wolf, C., Wallnofer, A., Waldhor, T., Vutuc, C., Meisinger, V. and Rudiger, H. W. (1995). Effect of lead on blood pressure in occupationally nonexposed men. American Journal of Industrial Medicine. 27: 897-903.</w:t>
      </w:r>
    </w:p>
    <w:p w:rsidR="008B153B" w:rsidRDefault="008B153B" w:rsidP="00D15CBA">
      <w:pPr>
        <w:spacing w:line="240" w:lineRule="auto"/>
      </w:pPr>
    </w:p>
    <w:p w:rsidR="00BC7957" w:rsidRDefault="00BC7957" w:rsidP="00D15CBA">
      <w:pPr>
        <w:spacing w:line="240" w:lineRule="auto"/>
      </w:pPr>
      <w:r w:rsidRPr="00BC7957">
        <w:t>WorkSafe Alberta (2009). Workplace health and safety bulletin: Lead at the work site. Work Safe Alberta.</w:t>
      </w:r>
      <w:r>
        <w:t xml:space="preserve"> </w:t>
      </w:r>
    </w:p>
    <w:p w:rsidR="00BC7957" w:rsidRDefault="00BC7957" w:rsidP="00D15CBA">
      <w:pPr>
        <w:spacing w:line="240" w:lineRule="auto"/>
      </w:pPr>
    </w:p>
    <w:p w:rsidR="00BC7957" w:rsidRDefault="00BC7957" w:rsidP="00D15CBA">
      <w:pPr>
        <w:spacing w:line="240" w:lineRule="auto"/>
      </w:pPr>
      <w:r w:rsidRPr="00BC7957">
        <w:t xml:space="preserve">WorkSafe BC (2013). OHS Regulation: Guidelines Part 5. Work Safe British Columbia. </w:t>
      </w:r>
      <w:hyperlink r:id="rId78" w:anchor="EL_Table" w:history="1">
        <w:r w:rsidRPr="00A8570D">
          <w:rPr>
            <w:rStyle w:val="Hyperlink"/>
          </w:rPr>
          <w:t>http://www2.worksafebc.com/publications/ohsregulation/GuidelinePart5.asp#EL_Table</w:t>
        </w:r>
      </w:hyperlink>
      <w:r>
        <w:t xml:space="preserve">. </w:t>
      </w:r>
    </w:p>
    <w:p w:rsidR="001C2B77" w:rsidRDefault="001C2B77" w:rsidP="00D15CBA">
      <w:pPr>
        <w:spacing w:line="240" w:lineRule="auto"/>
      </w:pPr>
    </w:p>
    <w:p w:rsidR="003D2468" w:rsidRDefault="003D2468" w:rsidP="00D15CBA">
      <w:pPr>
        <w:spacing w:line="240" w:lineRule="auto"/>
      </w:pPr>
      <w:r w:rsidRPr="003D2468">
        <w:t>Wright, R. O., Tsaih, S.-W., Schwartz, J., Spiro, A., McDonald, K., Weiss, S. T. and Hu, H. (2003). Lead exposure biomarkers and mini-mental status exam scores in older men. Epidemiology. 14: 713-718.</w:t>
      </w:r>
    </w:p>
    <w:p w:rsidR="003D2468" w:rsidRDefault="003D2468" w:rsidP="00D15CBA">
      <w:pPr>
        <w:spacing w:line="240" w:lineRule="auto"/>
      </w:pPr>
    </w:p>
    <w:p w:rsidR="00463C46" w:rsidRDefault="00463C46" w:rsidP="00D15CBA">
      <w:pPr>
        <w:spacing w:line="240" w:lineRule="auto"/>
      </w:pPr>
      <w:r w:rsidRPr="00463C46">
        <w:t>Wu, F.-Y., Chang, P.-W., Wu, C.-C. and Kuo, H.-W. (2002). Correlations of blood lead with DNA-protein cross-links and sister chromatid exchanges in lead workers. Cancer Epidemiology Biomarkers &amp; Prevention. 11: 287-290.</w:t>
      </w:r>
    </w:p>
    <w:p w:rsidR="002427AF" w:rsidRDefault="002427AF" w:rsidP="00D15CBA">
      <w:pPr>
        <w:spacing w:line="240" w:lineRule="auto"/>
      </w:pPr>
    </w:p>
    <w:p w:rsidR="002427AF" w:rsidRDefault="002427AF" w:rsidP="00D15CBA">
      <w:pPr>
        <w:spacing w:line="240" w:lineRule="auto"/>
      </w:pPr>
      <w:r w:rsidRPr="002427AF">
        <w:t>Wu, H.-M., Lin-Tan, D.-T., Wang, M.-L., Huang, H.-Y., Lee, C.-L., Wang, H.-S., Soong, Y.-K. and Lin, J.-L. (2012b). Lead level in seminal plasma may affect semen quality for men without occupational exposure to lead. Reproductive Biology and Endocrinology. 10: 91.</w:t>
      </w:r>
    </w:p>
    <w:p w:rsidR="00463C46" w:rsidRDefault="00463C46" w:rsidP="00D15CBA">
      <w:pPr>
        <w:spacing w:line="240" w:lineRule="auto"/>
      </w:pPr>
    </w:p>
    <w:p w:rsidR="00A55636" w:rsidRDefault="00A55636" w:rsidP="00D15CBA">
      <w:pPr>
        <w:spacing w:line="240" w:lineRule="auto"/>
      </w:pPr>
      <w:r w:rsidRPr="00A55636">
        <w:t>Wynant, W., Siemiatycki, J., Parent, M.-É. and Rousseau, M.-C. (2013). Occupational exposure to lead and lung cancer: results from two case-control studies in Montreal, Canada. Occupational and Environmental Medicine. 70: 164-170.</w:t>
      </w:r>
    </w:p>
    <w:p w:rsidR="00A55636" w:rsidRDefault="00A55636" w:rsidP="00D15CBA">
      <w:pPr>
        <w:spacing w:line="240" w:lineRule="auto"/>
      </w:pPr>
    </w:p>
    <w:p w:rsidR="001C2B77" w:rsidRDefault="001C2B77" w:rsidP="00D15CBA">
      <w:pPr>
        <w:spacing w:line="240" w:lineRule="auto"/>
      </w:pPr>
      <w:r w:rsidRPr="001C2B77">
        <w:t>Ye, X. and Wong, O. (2006). Lead exposure, lead poisoning, and lead regulatory standards in China, 1990–2005. Regulatory Toxicology and Pharmacology. 46: 157-162.</w:t>
      </w:r>
    </w:p>
    <w:p w:rsidR="00AC6C67" w:rsidRDefault="00AC6C67" w:rsidP="00D15CBA">
      <w:pPr>
        <w:spacing w:line="240" w:lineRule="auto"/>
      </w:pPr>
    </w:p>
    <w:p w:rsidR="00680183" w:rsidRDefault="00680183" w:rsidP="00D15CBA">
      <w:pPr>
        <w:spacing w:line="240" w:lineRule="auto"/>
      </w:pPr>
      <w:r w:rsidRPr="00680183">
        <w:t>Yeh, J. H., Chang, Y. C. and Wang, J. D. (1995). Combined electroneurographic and electromyographic studies in lead workers. Occupational and Environmental Medicine. 52: 415-419.</w:t>
      </w:r>
    </w:p>
    <w:p w:rsidR="00680183" w:rsidRDefault="00680183" w:rsidP="00D15CBA">
      <w:pPr>
        <w:spacing w:line="240" w:lineRule="auto"/>
      </w:pPr>
    </w:p>
    <w:p w:rsidR="00AC6C67" w:rsidRDefault="00AC6C67" w:rsidP="00D15CBA">
      <w:pPr>
        <w:spacing w:line="240" w:lineRule="auto"/>
      </w:pPr>
      <w:r w:rsidRPr="00AC6C67">
        <w:t>Yokoyama, K., Araki, S. and Aono, H. (1988). Reversibility of psychological performance in subclinical lead absorption. NeuroToxicology. 9: 405-410. As cited in NIWL 2005.</w:t>
      </w:r>
    </w:p>
    <w:p w:rsidR="00F050B4" w:rsidRDefault="00F050B4" w:rsidP="00D15CBA">
      <w:pPr>
        <w:spacing w:line="240" w:lineRule="auto"/>
      </w:pPr>
    </w:p>
    <w:p w:rsidR="00F050B4" w:rsidRDefault="00F050B4" w:rsidP="00D15CBA">
      <w:pPr>
        <w:spacing w:line="240" w:lineRule="auto"/>
      </w:pPr>
      <w:r w:rsidRPr="00F050B4">
        <w:lastRenderedPageBreak/>
        <w:t>Yokoyama, K., Araki, S., Aono, H. and Murata, K. (1998). Calcium disodium ethylenediaminetetraacetate-chelated lead as a predictor for subclinical lead neurotoxicity: follow-up study on gun-metal foundry workers. International Archives of Occupational and Environmental Health. 71: 459-464.</w:t>
      </w:r>
    </w:p>
    <w:p w:rsidR="00C66228" w:rsidRDefault="00C66228" w:rsidP="00D15CBA">
      <w:pPr>
        <w:spacing w:line="240" w:lineRule="auto"/>
      </w:pPr>
    </w:p>
    <w:p w:rsidR="00C66228" w:rsidRDefault="00C66228" w:rsidP="00D15CBA">
      <w:pPr>
        <w:spacing w:line="240" w:lineRule="auto"/>
      </w:pPr>
      <w:r w:rsidRPr="00C66228">
        <w:t>Yu, C.-C., Lin, J.-L. and Lin-Tan, D.-T. (2004). Environmental exposure to lead and progression of chronic renal diseases: a four-year prospective longitudinal study. Journal of the American Society of Nephrology. 15: 1016-1022.</w:t>
      </w:r>
    </w:p>
    <w:p w:rsidR="00747D87" w:rsidRDefault="00747D87" w:rsidP="00D15CBA">
      <w:pPr>
        <w:spacing w:line="240" w:lineRule="auto"/>
      </w:pPr>
    </w:p>
    <w:p w:rsidR="005E7746" w:rsidRDefault="005E7746" w:rsidP="00D15CBA">
      <w:pPr>
        <w:spacing w:line="240" w:lineRule="auto"/>
      </w:pPr>
      <w:r w:rsidRPr="005E7746">
        <w:t>Zeqiri, N., Zeqiri, S. and Skenderaj, S. (2012). Blood pressure evaluation at the workers exposed to lead. Medical Archives. 66: 92.</w:t>
      </w:r>
    </w:p>
    <w:p w:rsidR="005E7746" w:rsidRDefault="005E7746" w:rsidP="00D15CBA">
      <w:pPr>
        <w:spacing w:line="240" w:lineRule="auto"/>
      </w:pPr>
    </w:p>
    <w:p w:rsidR="00747D87" w:rsidRDefault="00747D87" w:rsidP="00D15CBA">
      <w:pPr>
        <w:spacing w:line="240" w:lineRule="auto"/>
      </w:pPr>
      <w:r w:rsidRPr="00747D87">
        <w:t>Zhu, M., Fitzgerald, E. F., Gelberg, K. H., Lin, S. and Druschel, C. M. (2010). Maternal low-level lead exposure and fetal growth. Environmental Health Perspectives. 118: 1471-1475.</w:t>
      </w:r>
    </w:p>
    <w:p w:rsidR="002427AF" w:rsidRDefault="002427AF" w:rsidP="00D15CBA">
      <w:pPr>
        <w:spacing w:line="240" w:lineRule="auto"/>
      </w:pPr>
    </w:p>
    <w:p w:rsidR="002427AF" w:rsidRDefault="002427AF" w:rsidP="00D15CBA">
      <w:pPr>
        <w:spacing w:line="240" w:lineRule="auto"/>
      </w:pPr>
      <w:r w:rsidRPr="002427AF">
        <w:t>Zota, A., Shenassa, E. and Morello-Frosch, R. (2013). Allostatic load amplifies the effect of blood lead levels on elevated blood pressure among middle-aged U.S. adults: a cross-sectional study. Environmental Health. 12: 64.</w:t>
      </w:r>
    </w:p>
    <w:p w:rsidR="00F066C9" w:rsidRDefault="00F066C9" w:rsidP="00D15CBA">
      <w:pPr>
        <w:spacing w:line="240" w:lineRule="auto"/>
      </w:pPr>
    </w:p>
    <w:p w:rsidR="00F066C9" w:rsidRDefault="00F066C9">
      <w:r>
        <w:br w:type="page"/>
      </w:r>
    </w:p>
    <w:p w:rsidR="00F066C9" w:rsidRDefault="00F066C9" w:rsidP="00F066C9">
      <w:pPr>
        <w:pStyle w:val="Heading1"/>
      </w:pPr>
      <w:bookmarkStart w:id="49" w:name="_Toc391288257"/>
      <w:r>
        <w:lastRenderedPageBreak/>
        <w:t>Appendix A: Literature search strategy, Part A</w:t>
      </w:r>
      <w:bookmarkEnd w:id="49"/>
    </w:p>
    <w:p w:rsidR="00F066C9" w:rsidRDefault="00F066C9" w:rsidP="00F066C9"/>
    <w:p w:rsidR="00F066C9" w:rsidRDefault="00F066C9" w:rsidP="00F066C9">
      <w:r>
        <w:t>A1: Identify international lead standards</w:t>
      </w:r>
    </w:p>
    <w:p w:rsidR="00F066C9" w:rsidRDefault="00F066C9" w:rsidP="00F066C9"/>
    <w:p w:rsidR="00F066C9" w:rsidRDefault="00F066C9" w:rsidP="00EE4FAC">
      <w:r>
        <w:t xml:space="preserve">To address Task A1, a targeted literature search was conducted for contemporary </w:t>
      </w:r>
      <w:r w:rsidR="00B91330">
        <w:t xml:space="preserve">workplace exposure standards (WES) </w:t>
      </w:r>
      <w:r>
        <w:t xml:space="preserve">and biological exposure </w:t>
      </w:r>
      <w:r w:rsidR="00B91330">
        <w:t>standards (</w:t>
      </w:r>
      <w:r w:rsidR="00B91330" w:rsidRPr="001B414C">
        <w:t>BES</w:t>
      </w:r>
      <w:r w:rsidR="00B91330">
        <w:t xml:space="preserve">) </w:t>
      </w:r>
      <w:r>
        <w:t>on websites of the following agencies</w:t>
      </w:r>
      <w:r>
        <w:rPr>
          <w:rStyle w:val="FootnoteReference"/>
        </w:rPr>
        <w:footnoteReference w:id="29"/>
      </w:r>
      <w:r>
        <w:t>:</w:t>
      </w:r>
    </w:p>
    <w:p w:rsidR="00F066C9" w:rsidRDefault="00F066C9" w:rsidP="00F066C9">
      <w:pPr>
        <w:pStyle w:val="ListParagraph"/>
        <w:numPr>
          <w:ilvl w:val="0"/>
          <w:numId w:val="5"/>
        </w:numPr>
      </w:pPr>
      <w:r>
        <w:t>ACGIH (USA)</w:t>
      </w:r>
    </w:p>
    <w:p w:rsidR="00590C2A" w:rsidRDefault="00590C2A" w:rsidP="00590C2A">
      <w:pPr>
        <w:pStyle w:val="ListParagraph"/>
        <w:numPr>
          <w:ilvl w:val="0"/>
          <w:numId w:val="5"/>
        </w:numPr>
      </w:pPr>
      <w:r>
        <w:t>OSHA (USA)</w:t>
      </w:r>
    </w:p>
    <w:p w:rsidR="00590C2A" w:rsidRDefault="00590C2A" w:rsidP="00590C2A">
      <w:pPr>
        <w:pStyle w:val="ListParagraph"/>
        <w:numPr>
          <w:ilvl w:val="0"/>
          <w:numId w:val="5"/>
        </w:numPr>
      </w:pPr>
      <w:r>
        <w:t>NIOSH (USA)</w:t>
      </w:r>
    </w:p>
    <w:p w:rsidR="00590C2A" w:rsidRDefault="00590C2A" w:rsidP="00590C2A">
      <w:pPr>
        <w:pStyle w:val="ListParagraph"/>
        <w:numPr>
          <w:ilvl w:val="0"/>
          <w:numId w:val="5"/>
        </w:numPr>
      </w:pPr>
      <w:r>
        <w:t>European Commission</w:t>
      </w:r>
    </w:p>
    <w:p w:rsidR="00590C2A" w:rsidRDefault="00590C2A" w:rsidP="00590C2A">
      <w:pPr>
        <w:pStyle w:val="ListParagraph"/>
        <w:numPr>
          <w:ilvl w:val="0"/>
          <w:numId w:val="5"/>
        </w:numPr>
      </w:pPr>
      <w:r>
        <w:t>European AfSHW</w:t>
      </w:r>
    </w:p>
    <w:p w:rsidR="00F066C9" w:rsidRDefault="00F066C9" w:rsidP="00F066C9">
      <w:pPr>
        <w:pStyle w:val="ListParagraph"/>
        <w:numPr>
          <w:ilvl w:val="0"/>
          <w:numId w:val="5"/>
        </w:numPr>
      </w:pPr>
      <w:r>
        <w:t>Arbeits Inspektion (Austria)</w:t>
      </w:r>
    </w:p>
    <w:p w:rsidR="00F066C9" w:rsidRDefault="00F066C9" w:rsidP="00F066C9">
      <w:pPr>
        <w:pStyle w:val="ListParagraph"/>
        <w:numPr>
          <w:ilvl w:val="0"/>
          <w:numId w:val="5"/>
        </w:numPr>
      </w:pPr>
      <w:r>
        <w:t>B</w:t>
      </w:r>
      <w:r w:rsidR="00D36761">
        <w:t>Au</w:t>
      </w:r>
      <w:r>
        <w:t>A (Germany)</w:t>
      </w:r>
    </w:p>
    <w:p w:rsidR="00F066C9" w:rsidRDefault="00F066C9" w:rsidP="00F066C9">
      <w:pPr>
        <w:pStyle w:val="ListParagraph"/>
        <w:numPr>
          <w:ilvl w:val="0"/>
          <w:numId w:val="5"/>
        </w:numPr>
      </w:pPr>
      <w:r>
        <w:t>DFG MAK (Germany)</w:t>
      </w:r>
    </w:p>
    <w:p w:rsidR="00F066C9" w:rsidRDefault="00F066C9" w:rsidP="00F066C9">
      <w:pPr>
        <w:pStyle w:val="ListParagraph"/>
        <w:numPr>
          <w:ilvl w:val="0"/>
          <w:numId w:val="5"/>
        </w:numPr>
      </w:pPr>
      <w:r>
        <w:t>DWEA (Denmark)</w:t>
      </w:r>
    </w:p>
    <w:p w:rsidR="00F066C9" w:rsidRDefault="00F066C9" w:rsidP="00F066C9">
      <w:pPr>
        <w:pStyle w:val="ListParagraph"/>
        <w:numPr>
          <w:ilvl w:val="0"/>
          <w:numId w:val="5"/>
        </w:numPr>
      </w:pPr>
      <w:r>
        <w:t>FIOH (Finland)</w:t>
      </w:r>
    </w:p>
    <w:p w:rsidR="00F066C9" w:rsidRDefault="00590C2A" w:rsidP="00F066C9">
      <w:pPr>
        <w:pStyle w:val="ListParagraph"/>
        <w:numPr>
          <w:ilvl w:val="0"/>
          <w:numId w:val="5"/>
        </w:numPr>
      </w:pPr>
      <w:r>
        <w:t>H&amp;</w:t>
      </w:r>
      <w:r w:rsidR="00F066C9">
        <w:t>S</w:t>
      </w:r>
      <w:r>
        <w:t>A</w:t>
      </w:r>
      <w:r w:rsidR="00F066C9">
        <w:t xml:space="preserve"> (Ireland)</w:t>
      </w:r>
      <w:r>
        <w:t xml:space="preserve"> </w:t>
      </w:r>
    </w:p>
    <w:p w:rsidR="00F066C9" w:rsidRDefault="00F066C9" w:rsidP="00F066C9">
      <w:pPr>
        <w:pStyle w:val="ListParagraph"/>
        <w:numPr>
          <w:ilvl w:val="0"/>
          <w:numId w:val="5"/>
        </w:numPr>
      </w:pPr>
      <w:r>
        <w:t>INRS (France)</w:t>
      </w:r>
    </w:p>
    <w:p w:rsidR="00F066C9" w:rsidRDefault="00F066C9" w:rsidP="00F066C9">
      <w:pPr>
        <w:pStyle w:val="ListParagraph"/>
        <w:numPr>
          <w:ilvl w:val="0"/>
          <w:numId w:val="5"/>
        </w:numPr>
      </w:pPr>
      <w:r>
        <w:t>INSHT (Spain)</w:t>
      </w:r>
    </w:p>
    <w:p w:rsidR="00F066C9" w:rsidRDefault="00F066C9" w:rsidP="00F066C9">
      <w:pPr>
        <w:pStyle w:val="ListParagraph"/>
        <w:numPr>
          <w:ilvl w:val="0"/>
          <w:numId w:val="5"/>
        </w:numPr>
      </w:pPr>
      <w:r>
        <w:t>JOGDL (Luxembourg)</w:t>
      </w:r>
    </w:p>
    <w:p w:rsidR="00590C2A" w:rsidRDefault="00590C2A" w:rsidP="00F066C9">
      <w:pPr>
        <w:pStyle w:val="ListParagraph"/>
        <w:numPr>
          <w:ilvl w:val="0"/>
          <w:numId w:val="5"/>
        </w:numPr>
      </w:pPr>
      <w:r>
        <w:t xml:space="preserve">MoE&amp;W (Belgium) </w:t>
      </w:r>
    </w:p>
    <w:p w:rsidR="00F066C9" w:rsidRDefault="00F066C9" w:rsidP="00F066C9">
      <w:pPr>
        <w:pStyle w:val="ListParagraph"/>
        <w:numPr>
          <w:ilvl w:val="0"/>
          <w:numId w:val="5"/>
        </w:numPr>
      </w:pPr>
      <w:r>
        <w:t>JSOH (Japan)</w:t>
      </w:r>
    </w:p>
    <w:p w:rsidR="00F066C9" w:rsidRDefault="00F066C9" w:rsidP="00F066C9">
      <w:pPr>
        <w:pStyle w:val="ListParagraph"/>
        <w:numPr>
          <w:ilvl w:val="0"/>
          <w:numId w:val="5"/>
        </w:numPr>
      </w:pPr>
      <w:r>
        <w:t>NZ DoL (New Zealand)</w:t>
      </w:r>
    </w:p>
    <w:p w:rsidR="00F066C9" w:rsidRDefault="00F066C9" w:rsidP="00F066C9">
      <w:pPr>
        <w:pStyle w:val="ListParagraph"/>
        <w:numPr>
          <w:ilvl w:val="0"/>
          <w:numId w:val="5"/>
        </w:numPr>
      </w:pPr>
      <w:r>
        <w:t>SUVA (Switzerland)</w:t>
      </w:r>
    </w:p>
    <w:p w:rsidR="00F066C9" w:rsidRDefault="00F066C9" w:rsidP="00F066C9">
      <w:pPr>
        <w:pStyle w:val="ListParagraph"/>
        <w:numPr>
          <w:ilvl w:val="0"/>
          <w:numId w:val="5"/>
        </w:numPr>
      </w:pPr>
      <w:r>
        <w:t>SWEA</w:t>
      </w:r>
      <w:r w:rsidR="00590C2A">
        <w:t>, NIWL</w:t>
      </w:r>
      <w:r>
        <w:t xml:space="preserve"> (Sweden)</w:t>
      </w:r>
    </w:p>
    <w:p w:rsidR="00F066C9" w:rsidRDefault="00F066C9" w:rsidP="00F066C9">
      <w:pPr>
        <w:pStyle w:val="ListParagraph"/>
        <w:numPr>
          <w:ilvl w:val="0"/>
          <w:numId w:val="5"/>
        </w:numPr>
      </w:pPr>
      <w:r>
        <w:lastRenderedPageBreak/>
        <w:t>UK HSE (UK)</w:t>
      </w:r>
    </w:p>
    <w:p w:rsidR="00590C2A" w:rsidRDefault="00590C2A" w:rsidP="00F066C9">
      <w:pPr>
        <w:pStyle w:val="ListParagraph"/>
        <w:numPr>
          <w:ilvl w:val="0"/>
          <w:numId w:val="5"/>
        </w:numPr>
      </w:pPr>
      <w:r>
        <w:t>MdS (Chile)</w:t>
      </w:r>
    </w:p>
    <w:p w:rsidR="00590C2A" w:rsidRDefault="00590C2A" w:rsidP="00F066C9">
      <w:pPr>
        <w:pStyle w:val="ListParagraph"/>
        <w:numPr>
          <w:ilvl w:val="0"/>
          <w:numId w:val="5"/>
        </w:numPr>
      </w:pPr>
      <w:r>
        <w:t>MTES (Argentina)</w:t>
      </w:r>
    </w:p>
    <w:p w:rsidR="00590C2A" w:rsidRDefault="00590C2A" w:rsidP="00F066C9">
      <w:pPr>
        <w:pStyle w:val="ListParagraph"/>
        <w:numPr>
          <w:ilvl w:val="0"/>
          <w:numId w:val="5"/>
        </w:numPr>
      </w:pPr>
      <w:r>
        <w:t>SA DoL (South Africa)</w:t>
      </w:r>
    </w:p>
    <w:p w:rsidR="00F066C9" w:rsidRDefault="00F066C9" w:rsidP="00F066C9">
      <w:pPr>
        <w:pStyle w:val="ListParagraph"/>
        <w:numPr>
          <w:ilvl w:val="0"/>
          <w:numId w:val="5"/>
        </w:numPr>
      </w:pPr>
      <w:r>
        <w:t>Ontario MoL (Canada)</w:t>
      </w:r>
    </w:p>
    <w:p w:rsidR="00F066C9" w:rsidRDefault="00F066C9" w:rsidP="00F066C9">
      <w:pPr>
        <w:pStyle w:val="ListParagraph"/>
        <w:numPr>
          <w:ilvl w:val="0"/>
          <w:numId w:val="5"/>
        </w:numPr>
      </w:pPr>
      <w:r>
        <w:t>WorkSafe BC (Canada)</w:t>
      </w:r>
    </w:p>
    <w:p w:rsidR="00F066C9" w:rsidRDefault="00F066C9" w:rsidP="00F066C9">
      <w:pPr>
        <w:pStyle w:val="ListParagraph"/>
        <w:numPr>
          <w:ilvl w:val="0"/>
          <w:numId w:val="5"/>
        </w:numPr>
      </w:pPr>
      <w:r>
        <w:t>Gov of Alberta (Canada)</w:t>
      </w:r>
    </w:p>
    <w:p w:rsidR="00F066C9" w:rsidRDefault="00F066C9" w:rsidP="00F066C9">
      <w:pPr>
        <w:pStyle w:val="ListParagraph"/>
        <w:numPr>
          <w:ilvl w:val="0"/>
          <w:numId w:val="5"/>
        </w:numPr>
      </w:pPr>
      <w:r>
        <w:t>Quebec CfOH (Canada)</w:t>
      </w:r>
    </w:p>
    <w:p w:rsidR="00590C2A" w:rsidRDefault="00590C2A" w:rsidP="00F066C9">
      <w:pPr>
        <w:pStyle w:val="ListParagraph"/>
        <w:numPr>
          <w:ilvl w:val="0"/>
          <w:numId w:val="5"/>
        </w:numPr>
      </w:pPr>
      <w:r>
        <w:t>California DIR (USA)</w:t>
      </w:r>
    </w:p>
    <w:p w:rsidR="00590C2A" w:rsidRDefault="00590C2A" w:rsidP="00F066C9">
      <w:pPr>
        <w:pStyle w:val="ListParagraph"/>
        <w:numPr>
          <w:ilvl w:val="0"/>
          <w:numId w:val="5"/>
        </w:numPr>
      </w:pPr>
      <w:r>
        <w:t>NY DoL (USA)</w:t>
      </w:r>
    </w:p>
    <w:p w:rsidR="00965EC5" w:rsidRPr="00F066C9" w:rsidRDefault="00965EC5" w:rsidP="00F066C9">
      <w:pPr>
        <w:pStyle w:val="ListParagraph"/>
        <w:numPr>
          <w:ilvl w:val="0"/>
          <w:numId w:val="5"/>
        </w:numPr>
      </w:pPr>
      <w:r>
        <w:t>Wash DoL (USA)</w:t>
      </w:r>
    </w:p>
    <w:p w:rsidR="00F066C9" w:rsidRDefault="00F066C9" w:rsidP="003B2E45">
      <w:pPr>
        <w:rPr>
          <w:b/>
        </w:rPr>
      </w:pPr>
    </w:p>
    <w:p w:rsidR="003B2E45" w:rsidRDefault="003B2E45" w:rsidP="00EE4FAC">
      <w:r>
        <w:t>In addition, a literature search was conducted in general and scientific databases</w:t>
      </w:r>
      <w:r>
        <w:rPr>
          <w:rStyle w:val="FootnoteReference"/>
        </w:rPr>
        <w:footnoteReference w:id="30"/>
      </w:r>
      <w:r>
        <w:t xml:space="preserve"> for reviews on international </w:t>
      </w:r>
      <w:r w:rsidR="00B91330">
        <w:t>WES</w:t>
      </w:r>
      <w:r>
        <w:t xml:space="preserve"> and </w:t>
      </w:r>
      <w:r w:rsidRPr="001B414C">
        <w:t>BE</w:t>
      </w:r>
      <w:r w:rsidR="00B91330" w:rsidRPr="001B414C">
        <w:t>S</w:t>
      </w:r>
      <w:r w:rsidRPr="001B414C">
        <w:t xml:space="preserve"> f</w:t>
      </w:r>
      <w:r>
        <w:t>or lead in order to supplement the agency information the following search terms were used:</w:t>
      </w:r>
    </w:p>
    <w:p w:rsidR="003B2E45" w:rsidRDefault="003B2E45" w:rsidP="003B2E45">
      <w:pPr>
        <w:pStyle w:val="ListParagraph"/>
        <w:numPr>
          <w:ilvl w:val="0"/>
          <w:numId w:val="6"/>
        </w:numPr>
      </w:pPr>
      <w:r>
        <w:t>Occupational exposure limit</w:t>
      </w:r>
    </w:p>
    <w:p w:rsidR="003B2E45" w:rsidRDefault="003B2E45" w:rsidP="003B2E45">
      <w:pPr>
        <w:pStyle w:val="ListParagraph"/>
        <w:numPr>
          <w:ilvl w:val="0"/>
          <w:numId w:val="6"/>
        </w:numPr>
      </w:pPr>
      <w:r>
        <w:t>Workplace exposure limit</w:t>
      </w:r>
    </w:p>
    <w:p w:rsidR="003B2E45" w:rsidRDefault="003B2E45" w:rsidP="003B2E45">
      <w:pPr>
        <w:pStyle w:val="ListParagraph"/>
        <w:numPr>
          <w:ilvl w:val="0"/>
          <w:numId w:val="6"/>
        </w:numPr>
      </w:pPr>
      <w:r>
        <w:t>Lead exposure limit</w:t>
      </w:r>
    </w:p>
    <w:p w:rsidR="003B2E45" w:rsidRDefault="003B2E45" w:rsidP="003B2E45">
      <w:pPr>
        <w:pStyle w:val="ListParagraph"/>
        <w:numPr>
          <w:ilvl w:val="0"/>
          <w:numId w:val="6"/>
        </w:numPr>
      </w:pPr>
      <w:r>
        <w:t>Biological exposure index</w:t>
      </w:r>
      <w:r w:rsidR="008130DE">
        <w:t>* (indices)</w:t>
      </w:r>
    </w:p>
    <w:p w:rsidR="008130DE" w:rsidRDefault="008130DE" w:rsidP="008130DE"/>
    <w:p w:rsidR="008130DE" w:rsidRDefault="008130DE" w:rsidP="00EE4FAC">
      <w:r>
        <w:t>A2: Alternative biomonitoring techniques for lead</w:t>
      </w:r>
    </w:p>
    <w:p w:rsidR="008130DE" w:rsidRDefault="008130DE" w:rsidP="008130DE"/>
    <w:p w:rsidR="00B36B66" w:rsidRDefault="006873B4" w:rsidP="008130DE">
      <w:r>
        <w:t>T</w:t>
      </w:r>
      <w:r w:rsidR="00B36B66">
        <w:t xml:space="preserve">he following agency reviews were consulted for information regarding alternative biomonitoring techniques to </w:t>
      </w:r>
      <w:r w:rsidR="000C3863">
        <w:t>PbB</w:t>
      </w:r>
      <w:r w:rsidR="00B36B66">
        <w:t>:</w:t>
      </w:r>
    </w:p>
    <w:p w:rsidR="00B36B66" w:rsidRDefault="00B36B66" w:rsidP="006873B4">
      <w:pPr>
        <w:pStyle w:val="ListParagraph"/>
        <w:numPr>
          <w:ilvl w:val="0"/>
          <w:numId w:val="10"/>
        </w:numPr>
        <w:spacing w:line="240" w:lineRule="auto"/>
      </w:pPr>
      <w:r w:rsidRPr="0040732A">
        <w:t>ATSDR (2007). Toxicological profile for lead. Agency for Toxic Substances and Disease Registry</w:t>
      </w:r>
      <w:r>
        <w:t>.</w:t>
      </w:r>
    </w:p>
    <w:p w:rsidR="00B36B66" w:rsidRDefault="00B36B66" w:rsidP="006873B4">
      <w:pPr>
        <w:pStyle w:val="ListParagraph"/>
        <w:numPr>
          <w:ilvl w:val="0"/>
          <w:numId w:val="10"/>
        </w:numPr>
        <w:spacing w:line="240" w:lineRule="auto"/>
      </w:pPr>
      <w:r w:rsidRPr="00B36B66">
        <w:t>US EPA (2006). Air quality criteria for lead. Vol I-II. EPA/600/R-5/144aF. United States Environmental Protection Agency</w:t>
      </w:r>
      <w:r>
        <w:t xml:space="preserve">. </w:t>
      </w:r>
    </w:p>
    <w:p w:rsidR="00B36B66" w:rsidRDefault="00B36B66" w:rsidP="006873B4">
      <w:pPr>
        <w:pStyle w:val="ListParagraph"/>
        <w:numPr>
          <w:ilvl w:val="0"/>
          <w:numId w:val="10"/>
        </w:numPr>
        <w:spacing w:line="240" w:lineRule="auto"/>
      </w:pPr>
      <w:r w:rsidRPr="00B36B66">
        <w:t>US EPA (2013). Integrated science assessment for lead (Final report). United States Environmental Protection Agency. EPA/600/R-10/075F</w:t>
      </w:r>
      <w:r>
        <w:t xml:space="preserve">. </w:t>
      </w:r>
    </w:p>
    <w:p w:rsidR="00B36B66" w:rsidRDefault="00566A05" w:rsidP="00EE4FAC">
      <w:pPr>
        <w:pStyle w:val="ListParagraph"/>
        <w:numPr>
          <w:ilvl w:val="0"/>
          <w:numId w:val="10"/>
        </w:numPr>
        <w:spacing w:line="240" w:lineRule="auto"/>
      </w:pPr>
      <w:r w:rsidRPr="00566A05">
        <w:t xml:space="preserve">NTP (2012). NTP Monograph on health effects of low-level lead. National Toxicology Program, US Department of Health and Human Services. </w:t>
      </w:r>
      <w:hyperlink r:id="rId79" w:history="1">
        <w:r w:rsidR="003E7BC7" w:rsidRPr="003E7BC7">
          <w:rPr>
            <w:rStyle w:val="Hyperlink"/>
          </w:rPr>
          <w:t>http://ntp.niehs.nih.gov/ntp/ohat/lead/final/monographhealtheffectslowlevellead_newissn_508.pdf</w:t>
        </w:r>
      </w:hyperlink>
      <w:r w:rsidR="003E7BC7">
        <w:rPr>
          <w:rStyle w:val="Hyperlink"/>
        </w:rPr>
        <w:t xml:space="preserve">. </w:t>
      </w:r>
    </w:p>
    <w:p w:rsidR="00566A05" w:rsidRDefault="00566A05" w:rsidP="006873B4">
      <w:pPr>
        <w:pStyle w:val="ListParagraph"/>
        <w:numPr>
          <w:ilvl w:val="0"/>
          <w:numId w:val="10"/>
        </w:numPr>
        <w:spacing w:line="240" w:lineRule="auto"/>
      </w:pPr>
      <w:r w:rsidRPr="00566A05">
        <w:t>NRC (2013). Potential health risks to DOD firing-range personnel from recurrent lead exposure. Committee on Toxicology, National Research Council of the National Academies, Washington DC.</w:t>
      </w:r>
    </w:p>
    <w:p w:rsidR="00B36B66" w:rsidRDefault="00B36B66" w:rsidP="008130DE"/>
    <w:p w:rsidR="00B36B66" w:rsidRDefault="00B36B66" w:rsidP="00EE4FAC">
      <w:r>
        <w:lastRenderedPageBreak/>
        <w:t xml:space="preserve">A literature search was </w:t>
      </w:r>
      <w:r w:rsidR="006873B4">
        <w:t xml:space="preserve">also </w:t>
      </w:r>
      <w:r>
        <w:t>conducted in general and scientific databases</w:t>
      </w:r>
      <w:r>
        <w:rPr>
          <w:vertAlign w:val="superscript"/>
        </w:rPr>
        <w:t>8</w:t>
      </w:r>
      <w:r>
        <w:t xml:space="preserve"> for review and non-review papers on biomonitoring methods for lead. The literature was limited to articles published between the years 2000 and 2013. The following search terms were queried:</w:t>
      </w:r>
    </w:p>
    <w:p w:rsidR="00B36B66" w:rsidRDefault="00B36B66" w:rsidP="00B36B66">
      <w:pPr>
        <w:pStyle w:val="ListParagraph"/>
        <w:numPr>
          <w:ilvl w:val="0"/>
          <w:numId w:val="9"/>
        </w:numPr>
      </w:pPr>
      <w:r>
        <w:t>Biomonitoring lead</w:t>
      </w:r>
    </w:p>
    <w:p w:rsidR="00B36B66" w:rsidRDefault="00B36B66" w:rsidP="00B36B66">
      <w:pPr>
        <w:pStyle w:val="ListParagraph"/>
        <w:numPr>
          <w:ilvl w:val="0"/>
          <w:numId w:val="9"/>
        </w:numPr>
      </w:pPr>
      <w:r>
        <w:t>Alternative biomonitoring</w:t>
      </w:r>
      <w:r w:rsidR="00566A05">
        <w:t xml:space="preserve"> to</w:t>
      </w:r>
      <w:r>
        <w:t xml:space="preserve"> blood lead</w:t>
      </w:r>
    </w:p>
    <w:p w:rsidR="00DE764C" w:rsidRDefault="00DE764C" w:rsidP="00EE4FAC">
      <w:pPr>
        <w:pStyle w:val="ListParagraph"/>
        <w:numPr>
          <w:ilvl w:val="0"/>
          <w:numId w:val="9"/>
        </w:numPr>
      </w:pPr>
      <w:r>
        <w:br w:type="page"/>
      </w:r>
    </w:p>
    <w:p w:rsidR="00DE764C" w:rsidRDefault="00DE764C" w:rsidP="00DE764C">
      <w:pPr>
        <w:pStyle w:val="Heading1"/>
      </w:pPr>
      <w:bookmarkStart w:id="50" w:name="_Toc391288258"/>
      <w:r>
        <w:lastRenderedPageBreak/>
        <w:t>Appendix B: Literature search strategy, Part B</w:t>
      </w:r>
      <w:bookmarkEnd w:id="50"/>
    </w:p>
    <w:p w:rsidR="00B855DE" w:rsidRDefault="00B855DE"/>
    <w:p w:rsidR="00B855DE" w:rsidRDefault="00B855DE" w:rsidP="00B855DE">
      <w:r>
        <w:t xml:space="preserve">B: Identify critical epidemiological investigations </w:t>
      </w:r>
    </w:p>
    <w:p w:rsidR="00B855DE" w:rsidRDefault="00B855DE" w:rsidP="00B855DE"/>
    <w:p w:rsidR="00B855DE" w:rsidRDefault="00B855DE" w:rsidP="00B855DE">
      <w:r>
        <w:t xml:space="preserve">The literature search was limited to papers published after September 2011, since the latest comprehensive agency review of the toxicology of lead (US EPA 2013) reviewed information up to that date. </w:t>
      </w:r>
    </w:p>
    <w:p w:rsidR="00B855DE" w:rsidRDefault="00B855DE" w:rsidP="00B855DE"/>
    <w:p w:rsidR="00B855DE" w:rsidRDefault="00B855DE" w:rsidP="00B855DE">
      <w:r>
        <w:t>A literature search was conducted in general and scientific databases</w:t>
      </w:r>
      <w:r>
        <w:rPr>
          <w:rStyle w:val="FootnoteReference"/>
        </w:rPr>
        <w:footnoteReference w:id="31"/>
      </w:r>
      <w:r>
        <w:t xml:space="preserve"> for critical epidemiological investigations, focusing on workplace exposure to lead in order to supplement the agency information. The following search terms were used:</w:t>
      </w:r>
    </w:p>
    <w:p w:rsidR="00CD7CC0" w:rsidRDefault="00CD7CC0" w:rsidP="00242F1D">
      <w:pPr>
        <w:pStyle w:val="ListParagraph"/>
        <w:numPr>
          <w:ilvl w:val="0"/>
          <w:numId w:val="16"/>
        </w:numPr>
      </w:pPr>
      <w:r>
        <w:t>Occupational lead exposure</w:t>
      </w:r>
    </w:p>
    <w:p w:rsidR="00CD7CC0" w:rsidRDefault="00CD7CC0" w:rsidP="00242F1D">
      <w:pPr>
        <w:pStyle w:val="ListParagraph"/>
        <w:numPr>
          <w:ilvl w:val="0"/>
          <w:numId w:val="16"/>
        </w:numPr>
      </w:pPr>
      <w:r>
        <w:t>Occupational health effects of lead</w:t>
      </w:r>
    </w:p>
    <w:p w:rsidR="00B855DE" w:rsidRPr="00DB7E81" w:rsidRDefault="00B855DE" w:rsidP="00242F1D">
      <w:pPr>
        <w:pStyle w:val="ListParagraph"/>
        <w:numPr>
          <w:ilvl w:val="0"/>
          <w:numId w:val="16"/>
        </w:numPr>
      </w:pPr>
      <w:r w:rsidRPr="00DB7E81">
        <w:t xml:space="preserve">Lead </w:t>
      </w:r>
      <w:r w:rsidR="00CD14A4">
        <w:t>and health of workers</w:t>
      </w:r>
    </w:p>
    <w:p w:rsidR="00A818B0" w:rsidRDefault="00A818B0" w:rsidP="00A818B0">
      <w:pPr>
        <w:rPr>
          <w:highlight w:val="yellow"/>
        </w:rPr>
      </w:pPr>
    </w:p>
    <w:p w:rsidR="00DB7E81" w:rsidRDefault="00DB7E81" w:rsidP="00A818B0">
      <w:r w:rsidRPr="00DB7E81">
        <w:t xml:space="preserve">In addition, the </w:t>
      </w:r>
      <w:r>
        <w:t>2011-2013 issues of the following peer reviewed journals which publish primarily epidemiological information were searched for relevant papers</w:t>
      </w:r>
      <w:r w:rsidR="00513617">
        <w:t xml:space="preserve"> using “lead” as a search term</w:t>
      </w:r>
      <w:r>
        <w:t>:</w:t>
      </w:r>
    </w:p>
    <w:p w:rsidR="00A818B0" w:rsidRDefault="00DB7E81" w:rsidP="00242F1D">
      <w:pPr>
        <w:pStyle w:val="ListParagraph"/>
        <w:numPr>
          <w:ilvl w:val="0"/>
          <w:numId w:val="18"/>
        </w:numPr>
      </w:pPr>
      <w:r>
        <w:t>Occupational and Environmental Medicine</w:t>
      </w:r>
    </w:p>
    <w:p w:rsidR="00DB7E81" w:rsidRDefault="00DB7E81" w:rsidP="00242F1D">
      <w:pPr>
        <w:pStyle w:val="ListParagraph"/>
        <w:numPr>
          <w:ilvl w:val="0"/>
          <w:numId w:val="18"/>
        </w:numPr>
      </w:pPr>
      <w:r>
        <w:t>Epidemiology</w:t>
      </w:r>
    </w:p>
    <w:p w:rsidR="00DB7E81" w:rsidRDefault="00DB7E81" w:rsidP="00242F1D">
      <w:pPr>
        <w:pStyle w:val="ListParagraph"/>
        <w:numPr>
          <w:ilvl w:val="0"/>
          <w:numId w:val="18"/>
        </w:numPr>
      </w:pPr>
      <w:r>
        <w:t>American Journal of Epidemiology</w:t>
      </w:r>
    </w:p>
    <w:p w:rsidR="00DB7E81" w:rsidRPr="00513617" w:rsidRDefault="003E12C5" w:rsidP="00242F1D">
      <w:pPr>
        <w:pStyle w:val="ListParagraph"/>
        <w:numPr>
          <w:ilvl w:val="0"/>
          <w:numId w:val="18"/>
        </w:numPr>
      </w:pPr>
      <w:r w:rsidRPr="00513617">
        <w:t>International</w:t>
      </w:r>
      <w:r w:rsidR="00DB7E81" w:rsidRPr="00513617">
        <w:t xml:space="preserve"> Journal of Epidemiology</w:t>
      </w:r>
    </w:p>
    <w:p w:rsidR="003E12C5" w:rsidRPr="00513617" w:rsidRDefault="003E12C5" w:rsidP="00242F1D">
      <w:pPr>
        <w:pStyle w:val="ListParagraph"/>
        <w:numPr>
          <w:ilvl w:val="0"/>
          <w:numId w:val="18"/>
        </w:numPr>
      </w:pPr>
      <w:r w:rsidRPr="00513617">
        <w:t>Epidemiologic Reviews</w:t>
      </w:r>
    </w:p>
    <w:p w:rsidR="003E12C5" w:rsidRPr="00513617" w:rsidRDefault="003E12C5" w:rsidP="00242F1D">
      <w:pPr>
        <w:pStyle w:val="ListParagraph"/>
        <w:numPr>
          <w:ilvl w:val="0"/>
          <w:numId w:val="18"/>
        </w:numPr>
      </w:pPr>
      <w:r w:rsidRPr="00513617">
        <w:t>Journal of Clinical Epidemiology</w:t>
      </w:r>
    </w:p>
    <w:p w:rsidR="003E12C5" w:rsidRPr="00513617" w:rsidRDefault="003E12C5" w:rsidP="00242F1D">
      <w:pPr>
        <w:pStyle w:val="ListParagraph"/>
        <w:numPr>
          <w:ilvl w:val="0"/>
          <w:numId w:val="18"/>
        </w:numPr>
      </w:pPr>
      <w:r w:rsidRPr="00513617">
        <w:t>European Journal of Epidemiology</w:t>
      </w:r>
    </w:p>
    <w:p w:rsidR="00DE764C" w:rsidRDefault="00DE764C">
      <w:r>
        <w:br w:type="page"/>
      </w:r>
    </w:p>
    <w:p w:rsidR="00DE764C" w:rsidRDefault="00DE764C" w:rsidP="00DE764C">
      <w:pPr>
        <w:pStyle w:val="Heading1"/>
      </w:pPr>
      <w:bookmarkStart w:id="51" w:name="_Toc391288259"/>
      <w:r>
        <w:lastRenderedPageBreak/>
        <w:t xml:space="preserve">Appendix C: </w:t>
      </w:r>
      <w:bookmarkStart w:id="52" w:name="_Toc335322154"/>
      <w:r>
        <w:t>Background PbB in adults</w:t>
      </w:r>
      <w:bookmarkEnd w:id="51"/>
      <w:bookmarkEnd w:id="52"/>
    </w:p>
    <w:p w:rsidR="00DE764C" w:rsidRDefault="00DE764C" w:rsidP="00DE764C"/>
    <w:p w:rsidR="00DE764C" w:rsidRPr="00191A37" w:rsidRDefault="00DE764C" w:rsidP="00DE764C">
      <w:r>
        <w:t xml:space="preserve">Data in Table C.1 have been used to generate Figure 6.1. </w:t>
      </w:r>
    </w:p>
    <w:p w:rsidR="00DE764C" w:rsidRDefault="00DE764C" w:rsidP="00DE764C"/>
    <w:p w:rsidR="00DE764C" w:rsidRPr="00934029" w:rsidRDefault="00DE764C" w:rsidP="00DE764C">
      <w:pPr>
        <w:rPr>
          <w:b/>
          <w:sz w:val="24"/>
          <w:szCs w:val="24"/>
          <w:vertAlign w:val="superscript"/>
          <w:lang w:eastAsia="en-AU"/>
        </w:rPr>
      </w:pPr>
      <w:r w:rsidRPr="00934029">
        <w:rPr>
          <w:b/>
          <w:lang w:eastAsia="en-AU"/>
        </w:rPr>
        <w:t xml:space="preserve">Table </w:t>
      </w:r>
      <w:r>
        <w:rPr>
          <w:b/>
          <w:lang w:eastAsia="en-AU"/>
        </w:rPr>
        <w:t xml:space="preserve">C.1: Summary of background </w:t>
      </w:r>
      <w:r w:rsidR="000C3863">
        <w:rPr>
          <w:b/>
          <w:lang w:eastAsia="en-AU"/>
        </w:rPr>
        <w:t>PbB</w:t>
      </w:r>
      <w:r w:rsidRPr="00934029">
        <w:rPr>
          <w:b/>
          <w:lang w:eastAsia="en-AU"/>
        </w:rPr>
        <w:t xml:space="preserve"> levels in Australian and overseas adults </w:t>
      </w:r>
    </w:p>
    <w:tbl>
      <w:tblPr>
        <w:tblW w:w="8334"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1E0" w:firstRow="1" w:lastRow="1" w:firstColumn="1" w:lastColumn="1" w:noHBand="0" w:noVBand="0"/>
      </w:tblPr>
      <w:tblGrid>
        <w:gridCol w:w="950"/>
        <w:gridCol w:w="1762"/>
        <w:gridCol w:w="1321"/>
        <w:gridCol w:w="840"/>
        <w:gridCol w:w="781"/>
        <w:gridCol w:w="1081"/>
        <w:gridCol w:w="1599"/>
      </w:tblGrid>
      <w:tr w:rsidR="00DE764C" w:rsidRPr="001A4F1E" w:rsidTr="00DE764C">
        <w:trPr>
          <w:cantSplit/>
          <w:trHeight w:val="390"/>
          <w:tblHeader/>
        </w:trPr>
        <w:tc>
          <w:tcPr>
            <w:tcW w:w="950" w:type="dxa"/>
            <w:vMerge w:val="restart"/>
            <w:tcBorders>
              <w:top w:val="single" w:sz="12" w:space="0" w:color="auto"/>
              <w:bottom w:val="single" w:sz="12" w:space="0" w:color="auto"/>
            </w:tcBorders>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Study</w:t>
            </w:r>
          </w:p>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date</w:t>
            </w:r>
          </w:p>
        </w:tc>
        <w:tc>
          <w:tcPr>
            <w:tcW w:w="1762" w:type="dxa"/>
            <w:vMerge w:val="restart"/>
            <w:tcBorders>
              <w:top w:val="single" w:sz="12" w:space="0" w:color="auto"/>
              <w:bottom w:val="single" w:sz="12" w:space="0" w:color="auto"/>
            </w:tcBorders>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Location</w:t>
            </w:r>
          </w:p>
        </w:tc>
        <w:tc>
          <w:tcPr>
            <w:tcW w:w="1321" w:type="dxa"/>
            <w:vMerge w:val="restart"/>
            <w:tcBorders>
              <w:top w:val="single" w:sz="12" w:space="0" w:color="auto"/>
              <w:bottom w:val="single" w:sz="12" w:space="0" w:color="auto"/>
            </w:tcBorders>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Study Group</w:t>
            </w:r>
          </w:p>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(n)</w:t>
            </w:r>
          </w:p>
        </w:tc>
        <w:tc>
          <w:tcPr>
            <w:tcW w:w="2702" w:type="dxa"/>
            <w:gridSpan w:val="3"/>
            <w:tcBorders>
              <w:top w:val="single" w:sz="12" w:space="0" w:color="auto"/>
              <w:bottom w:val="single" w:sz="12" w:space="0" w:color="auto"/>
            </w:tcBorders>
            <w:vAlign w:val="center"/>
          </w:tcPr>
          <w:p w:rsidR="00DE764C" w:rsidRPr="001A4F1E" w:rsidRDefault="00C41E59" w:rsidP="00DE764C">
            <w:pPr>
              <w:spacing w:line="240" w:lineRule="auto"/>
              <w:jc w:val="center"/>
              <w:rPr>
                <w:rFonts w:cs="Arial"/>
                <w:sz w:val="20"/>
                <w:szCs w:val="20"/>
                <w:lang w:eastAsia="en-AU"/>
              </w:rPr>
            </w:pPr>
            <w:r>
              <w:rPr>
                <w:rFonts w:cs="Arial"/>
                <w:sz w:val="20"/>
                <w:szCs w:val="20"/>
                <w:lang w:eastAsia="en-AU"/>
              </w:rPr>
              <w:t xml:space="preserve">PbB </w:t>
            </w:r>
            <w:r w:rsidR="00DE764C" w:rsidRPr="001A4F1E">
              <w:rPr>
                <w:rFonts w:cs="Arial"/>
                <w:sz w:val="20"/>
                <w:szCs w:val="20"/>
                <w:lang w:eastAsia="en-AU"/>
              </w:rPr>
              <w:t>(μg/dL)</w:t>
            </w:r>
          </w:p>
        </w:tc>
        <w:tc>
          <w:tcPr>
            <w:tcW w:w="1599" w:type="dxa"/>
            <w:vMerge w:val="restart"/>
            <w:tcBorders>
              <w:top w:val="single" w:sz="12" w:space="0" w:color="auto"/>
              <w:bottom w:val="single" w:sz="12" w:space="0" w:color="auto"/>
            </w:tcBorders>
            <w:vAlign w:val="center"/>
          </w:tcPr>
          <w:p w:rsidR="00DE764C" w:rsidRPr="001A4F1E" w:rsidRDefault="00DE764C" w:rsidP="00DE764C">
            <w:pPr>
              <w:spacing w:line="240" w:lineRule="auto"/>
              <w:jc w:val="center"/>
              <w:rPr>
                <w:rFonts w:cs="Arial"/>
                <w:color w:val="FFFFFF"/>
                <w:sz w:val="20"/>
                <w:szCs w:val="20"/>
                <w:lang w:eastAsia="en-AU"/>
              </w:rPr>
            </w:pPr>
            <w:r w:rsidRPr="001A4F1E">
              <w:rPr>
                <w:rFonts w:cs="Arial"/>
                <w:sz w:val="20"/>
                <w:szCs w:val="20"/>
                <w:lang w:eastAsia="en-AU"/>
              </w:rPr>
              <w:t>Reference</w:t>
            </w:r>
          </w:p>
        </w:tc>
      </w:tr>
      <w:tr w:rsidR="00DE764C" w:rsidRPr="001A4F1E" w:rsidTr="00DE764C">
        <w:trPr>
          <w:cantSplit/>
          <w:tblHeader/>
        </w:trPr>
        <w:tc>
          <w:tcPr>
            <w:tcW w:w="950" w:type="dxa"/>
            <w:vMerge/>
            <w:tcBorders>
              <w:top w:val="single" w:sz="12" w:space="0" w:color="auto"/>
              <w:bottom w:val="single" w:sz="12" w:space="0" w:color="auto"/>
            </w:tcBorders>
            <w:vAlign w:val="center"/>
          </w:tcPr>
          <w:p w:rsidR="00DE764C" w:rsidRPr="001A4F1E" w:rsidRDefault="00DE764C" w:rsidP="00DE764C">
            <w:pPr>
              <w:spacing w:line="240" w:lineRule="auto"/>
              <w:rPr>
                <w:rFonts w:cs="Arial"/>
                <w:sz w:val="20"/>
                <w:szCs w:val="20"/>
                <w:lang w:eastAsia="en-AU"/>
              </w:rPr>
            </w:pPr>
          </w:p>
        </w:tc>
        <w:tc>
          <w:tcPr>
            <w:tcW w:w="1762" w:type="dxa"/>
            <w:vMerge/>
            <w:tcBorders>
              <w:top w:val="single" w:sz="12" w:space="0" w:color="auto"/>
              <w:bottom w:val="single" w:sz="12" w:space="0" w:color="auto"/>
            </w:tcBorders>
            <w:vAlign w:val="center"/>
          </w:tcPr>
          <w:p w:rsidR="00DE764C" w:rsidRPr="001A4F1E" w:rsidRDefault="00DE764C" w:rsidP="00DE764C">
            <w:pPr>
              <w:spacing w:line="240" w:lineRule="auto"/>
              <w:rPr>
                <w:rFonts w:cs="Arial"/>
                <w:sz w:val="20"/>
                <w:szCs w:val="20"/>
                <w:lang w:eastAsia="en-AU"/>
              </w:rPr>
            </w:pPr>
          </w:p>
        </w:tc>
        <w:tc>
          <w:tcPr>
            <w:tcW w:w="1321" w:type="dxa"/>
            <w:vMerge/>
            <w:tcBorders>
              <w:top w:val="single" w:sz="12" w:space="0" w:color="auto"/>
              <w:bottom w:val="single" w:sz="12" w:space="0" w:color="auto"/>
            </w:tcBorders>
            <w:vAlign w:val="center"/>
          </w:tcPr>
          <w:p w:rsidR="00DE764C" w:rsidRPr="001A4F1E" w:rsidRDefault="00DE764C" w:rsidP="00DE764C">
            <w:pPr>
              <w:spacing w:line="240" w:lineRule="auto"/>
              <w:jc w:val="center"/>
              <w:rPr>
                <w:rFonts w:cs="Arial"/>
                <w:sz w:val="20"/>
                <w:szCs w:val="20"/>
                <w:lang w:eastAsia="en-AU"/>
              </w:rPr>
            </w:pPr>
          </w:p>
        </w:tc>
        <w:tc>
          <w:tcPr>
            <w:tcW w:w="840" w:type="dxa"/>
            <w:tcBorders>
              <w:top w:val="single" w:sz="12" w:space="0" w:color="auto"/>
              <w:bottom w:val="single" w:sz="12" w:space="0" w:color="auto"/>
              <w:right w:val="single" w:sz="4" w:space="0" w:color="auto"/>
            </w:tcBorders>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AM</w:t>
            </w:r>
          </w:p>
        </w:tc>
        <w:tc>
          <w:tcPr>
            <w:tcW w:w="781" w:type="dxa"/>
            <w:tcBorders>
              <w:top w:val="single" w:sz="12" w:space="0" w:color="auto"/>
              <w:left w:val="single" w:sz="4" w:space="0" w:color="auto"/>
              <w:bottom w:val="single" w:sz="12" w:space="0" w:color="auto"/>
              <w:right w:val="single" w:sz="4" w:space="0" w:color="auto"/>
            </w:tcBorders>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GM</w:t>
            </w:r>
          </w:p>
        </w:tc>
        <w:tc>
          <w:tcPr>
            <w:tcW w:w="1081" w:type="dxa"/>
            <w:tcBorders>
              <w:top w:val="single" w:sz="12" w:space="0" w:color="auto"/>
              <w:left w:val="single" w:sz="4" w:space="0" w:color="auto"/>
              <w:bottom w:val="single" w:sz="12" w:space="0" w:color="auto"/>
            </w:tcBorders>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 xml:space="preserve">% </w:t>
            </w:r>
            <w:r w:rsidRPr="001A4F1E">
              <w:rPr>
                <w:rFonts w:cs="Arial"/>
                <w:sz w:val="20"/>
                <w:szCs w:val="20"/>
                <w:u w:val="single"/>
                <w:lang w:eastAsia="en-AU"/>
              </w:rPr>
              <w:t>&gt;</w:t>
            </w:r>
            <w:r w:rsidRPr="001A4F1E">
              <w:rPr>
                <w:rFonts w:cs="Arial"/>
                <w:sz w:val="20"/>
                <w:szCs w:val="20"/>
                <w:lang w:eastAsia="en-AU"/>
              </w:rPr>
              <w:t xml:space="preserve"> 10μg/dL</w:t>
            </w:r>
          </w:p>
        </w:tc>
        <w:tc>
          <w:tcPr>
            <w:tcW w:w="1599" w:type="dxa"/>
            <w:vMerge/>
            <w:tcBorders>
              <w:top w:val="single" w:sz="12" w:space="0" w:color="auto"/>
              <w:bottom w:val="single" w:sz="12" w:space="0" w:color="auto"/>
            </w:tcBorders>
            <w:vAlign w:val="center"/>
          </w:tcPr>
          <w:p w:rsidR="00DE764C" w:rsidRPr="001A4F1E" w:rsidRDefault="00DE764C" w:rsidP="00DE764C">
            <w:pPr>
              <w:spacing w:line="240" w:lineRule="auto"/>
              <w:rPr>
                <w:rFonts w:cs="Arial"/>
                <w:sz w:val="20"/>
                <w:szCs w:val="20"/>
                <w:lang w:eastAsia="en-AU"/>
              </w:rPr>
            </w:pPr>
          </w:p>
        </w:tc>
      </w:tr>
      <w:tr w:rsidR="00DE764C" w:rsidRPr="001A4F1E" w:rsidTr="00DE764C">
        <w:trPr>
          <w:cantSplit/>
        </w:trPr>
        <w:tc>
          <w:tcPr>
            <w:tcW w:w="8334" w:type="dxa"/>
            <w:gridSpan w:val="7"/>
            <w:tcBorders>
              <w:top w:val="single" w:sz="12" w:space="0" w:color="auto"/>
              <w:bottom w:val="single" w:sz="8" w:space="0" w:color="auto"/>
            </w:tcBorders>
            <w:shd w:val="clear" w:color="auto" w:fill="B8CCE4" w:themeFill="accent1" w:themeFillTint="66"/>
            <w:vAlign w:val="center"/>
          </w:tcPr>
          <w:p w:rsidR="00DE764C" w:rsidRPr="00A50C8E" w:rsidRDefault="00DE764C" w:rsidP="00DE764C">
            <w:pPr>
              <w:spacing w:line="240" w:lineRule="auto"/>
              <w:rPr>
                <w:rFonts w:cs="Arial"/>
                <w:b/>
                <w:sz w:val="20"/>
                <w:szCs w:val="20"/>
                <w:lang w:eastAsia="en-AU"/>
              </w:rPr>
            </w:pPr>
            <w:r w:rsidRPr="00A50C8E">
              <w:rPr>
                <w:rFonts w:cs="Arial"/>
                <w:b/>
                <w:sz w:val="20"/>
                <w:szCs w:val="20"/>
                <w:lang w:eastAsia="en-AU"/>
              </w:rPr>
              <w:t xml:space="preserve">2000 </w:t>
            </w:r>
            <w:r>
              <w:rPr>
                <w:rFonts w:cs="Arial"/>
                <w:b/>
                <w:sz w:val="20"/>
                <w:szCs w:val="20"/>
                <w:lang w:eastAsia="en-AU"/>
              </w:rPr>
              <w:t>–</w:t>
            </w:r>
            <w:r w:rsidRPr="00A50C8E">
              <w:rPr>
                <w:rFonts w:cs="Arial"/>
                <w:b/>
                <w:sz w:val="20"/>
                <w:szCs w:val="20"/>
                <w:lang w:eastAsia="en-AU"/>
              </w:rPr>
              <w:t xml:space="preserve"> current</w:t>
            </w:r>
            <w:r>
              <w:rPr>
                <w:rFonts w:cs="Arial"/>
                <w:b/>
                <w:sz w:val="20"/>
                <w:szCs w:val="20"/>
                <w:lang w:eastAsia="en-AU"/>
              </w:rPr>
              <w:t xml:space="preserve"> </w:t>
            </w:r>
            <w:r w:rsidRPr="00934029">
              <w:rPr>
                <w:b/>
                <w:sz w:val="24"/>
                <w:szCs w:val="24"/>
                <w:vertAlign w:val="superscript"/>
                <w:lang w:eastAsia="en-AU"/>
              </w:rPr>
              <w:t>a</w:t>
            </w:r>
          </w:p>
        </w:tc>
      </w:tr>
      <w:tr w:rsidR="00DE764C" w:rsidRPr="001A4F1E" w:rsidTr="00DE764C">
        <w:trPr>
          <w:cantSplit/>
        </w:trPr>
        <w:tc>
          <w:tcPr>
            <w:tcW w:w="2712" w:type="dxa"/>
            <w:gridSpan w:val="2"/>
            <w:tcBorders>
              <w:top w:val="single" w:sz="8" w:space="0" w:color="auto"/>
              <w:bottom w:val="single" w:sz="8" w:space="0" w:color="auto"/>
            </w:tcBorders>
            <w:shd w:val="clear" w:color="auto" w:fill="D6E3BC" w:themeFill="accent3"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Australia</w:t>
            </w:r>
          </w:p>
        </w:tc>
        <w:tc>
          <w:tcPr>
            <w:tcW w:w="5622" w:type="dxa"/>
            <w:gridSpan w:val="5"/>
            <w:tcBorders>
              <w:top w:val="single" w:sz="8" w:space="0" w:color="auto"/>
              <w:bottom w:val="single" w:sz="8" w:space="0" w:color="auto"/>
            </w:tcBorders>
            <w:shd w:val="clear" w:color="auto" w:fill="FFFFFF"/>
            <w:vAlign w:val="center"/>
          </w:tcPr>
          <w:p w:rsidR="00DE764C" w:rsidRDefault="00DE764C" w:rsidP="00DE764C">
            <w:pPr>
              <w:spacing w:line="240" w:lineRule="auto"/>
              <w:rPr>
                <w:rFonts w:cs="Arial"/>
                <w:sz w:val="20"/>
                <w:szCs w:val="20"/>
                <w:lang w:eastAsia="en-AU"/>
              </w:rPr>
            </w:pPr>
          </w:p>
        </w:tc>
      </w:tr>
      <w:tr w:rsidR="00DE764C" w:rsidRPr="001A4F1E" w:rsidTr="00DE764C">
        <w:trPr>
          <w:cantSplit/>
        </w:trPr>
        <w:tc>
          <w:tcPr>
            <w:tcW w:w="950" w:type="dxa"/>
            <w:tcBorders>
              <w:top w:val="single" w:sz="8"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2011</w:t>
            </w:r>
          </w:p>
        </w:tc>
        <w:tc>
          <w:tcPr>
            <w:tcW w:w="1762" w:type="dxa"/>
            <w:tcBorders>
              <w:top w:val="single" w:sz="8" w:space="0" w:color="auto"/>
              <w:bottom w:val="single" w:sz="6" w:space="0" w:color="auto"/>
            </w:tcBorders>
            <w:shd w:val="clear" w:color="auto" w:fill="D6E3BC" w:themeFill="accent3"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Victoria</w:t>
            </w:r>
          </w:p>
        </w:tc>
        <w:tc>
          <w:tcPr>
            <w:tcW w:w="1321" w:type="dxa"/>
            <w:tcBorders>
              <w:top w:val="single" w:sz="8"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Male &amp; female adults (3,622)</w:t>
            </w:r>
          </w:p>
        </w:tc>
        <w:tc>
          <w:tcPr>
            <w:tcW w:w="840" w:type="dxa"/>
            <w:tcBorders>
              <w:top w:val="single" w:sz="8"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8"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1.4</w:t>
            </w:r>
          </w:p>
        </w:tc>
        <w:tc>
          <w:tcPr>
            <w:tcW w:w="1081" w:type="dxa"/>
            <w:tcBorders>
              <w:top w:val="single" w:sz="8"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0.7</w:t>
            </w:r>
          </w:p>
        </w:tc>
        <w:tc>
          <w:tcPr>
            <w:tcW w:w="1599" w:type="dxa"/>
            <w:tcBorders>
              <w:top w:val="single" w:sz="8" w:space="0" w:color="auto"/>
              <w:bottom w:val="single" w:sz="6" w:space="0" w:color="auto"/>
            </w:tcBorders>
            <w:shd w:val="clear" w:color="auto" w:fill="FFFFFF"/>
            <w:vAlign w:val="center"/>
          </w:tcPr>
          <w:p w:rsidR="00DE764C" w:rsidRPr="001A4F1E" w:rsidRDefault="001F1A21" w:rsidP="00DE764C">
            <w:pPr>
              <w:spacing w:line="240" w:lineRule="auto"/>
              <w:rPr>
                <w:rFonts w:cs="Arial"/>
                <w:sz w:val="20"/>
                <w:szCs w:val="20"/>
                <w:lang w:eastAsia="en-AU"/>
              </w:rPr>
            </w:pPr>
            <w:r>
              <w:rPr>
                <w:rFonts w:cs="Arial"/>
                <w:sz w:val="20"/>
                <w:szCs w:val="20"/>
                <w:lang w:eastAsia="en-AU"/>
              </w:rPr>
              <w:t>Vic DoH 2012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2008</w:t>
            </w:r>
          </w:p>
        </w:tc>
        <w:tc>
          <w:tcPr>
            <w:tcW w:w="1762" w:type="dxa"/>
            <w:tcBorders>
              <w:top w:val="single" w:sz="6" w:space="0" w:color="auto"/>
              <w:bottom w:val="single" w:sz="6" w:space="0" w:color="auto"/>
            </w:tcBorders>
            <w:shd w:val="clear" w:color="auto" w:fill="D6E3BC" w:themeFill="accent3" w:themeFillTint="66"/>
            <w:vAlign w:val="center"/>
          </w:tcPr>
          <w:p w:rsidR="00DE764C" w:rsidRPr="001A4F1E" w:rsidRDefault="00DE764C" w:rsidP="00DE764C">
            <w:pPr>
              <w:spacing w:line="240" w:lineRule="auto"/>
              <w:rPr>
                <w:rFonts w:cs="Arial"/>
                <w:sz w:val="24"/>
                <w:szCs w:val="24"/>
                <w:vertAlign w:val="superscript"/>
                <w:lang w:eastAsia="en-AU"/>
              </w:rPr>
            </w:pPr>
            <w:r w:rsidRPr="001A4F1E">
              <w:rPr>
                <w:rFonts w:cs="Arial"/>
                <w:sz w:val="20"/>
                <w:szCs w:val="20"/>
                <w:lang w:eastAsia="en-AU"/>
              </w:rPr>
              <w:t xml:space="preserve">Broken Hill </w:t>
            </w:r>
            <w:r w:rsidRPr="001A4F1E">
              <w:rPr>
                <w:rFonts w:cs="Arial"/>
                <w:sz w:val="24"/>
                <w:szCs w:val="24"/>
                <w:vertAlign w:val="superscript"/>
                <w:lang w:eastAsia="en-AU"/>
              </w:rPr>
              <w:t>b</w:t>
            </w:r>
          </w:p>
        </w:tc>
        <w:tc>
          <w:tcPr>
            <w:tcW w:w="1321"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Ante-natal women</w:t>
            </w:r>
          </w:p>
          <w:p w:rsidR="00DE764C" w:rsidRPr="001A4F1E" w:rsidRDefault="00DE764C" w:rsidP="00DE764C">
            <w:pPr>
              <w:spacing w:line="240" w:lineRule="auto"/>
              <w:rPr>
                <w:rFonts w:cs="Arial"/>
                <w:sz w:val="20"/>
                <w:szCs w:val="20"/>
                <w:lang w:eastAsia="en-AU"/>
              </w:rPr>
            </w:pPr>
            <w:r w:rsidRPr="001A4F1E">
              <w:rPr>
                <w:rFonts w:cs="Arial"/>
                <w:sz w:val="20"/>
                <w:szCs w:val="20"/>
                <w:lang w:eastAsia="en-AU"/>
              </w:rPr>
              <w:t>(120)</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1.3</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GWAHS 2009</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2007</w:t>
            </w:r>
          </w:p>
        </w:tc>
        <w:tc>
          <w:tcPr>
            <w:tcW w:w="1762" w:type="dxa"/>
            <w:tcBorders>
              <w:top w:val="single" w:sz="6" w:space="0" w:color="auto"/>
              <w:bottom w:val="single" w:sz="6" w:space="0" w:color="auto"/>
            </w:tcBorders>
            <w:shd w:val="clear" w:color="auto" w:fill="D6E3BC" w:themeFill="accent3" w:themeFillTint="66"/>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 xml:space="preserve">Port Esperance, WA </w:t>
            </w:r>
          </w:p>
        </w:tc>
        <w:tc>
          <w:tcPr>
            <w:tcW w:w="1321"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20-&lt;40yrs,</w:t>
            </w:r>
          </w:p>
          <w:p w:rsidR="00DE764C" w:rsidRPr="001A4F1E" w:rsidRDefault="00DE764C" w:rsidP="00DE764C">
            <w:pPr>
              <w:spacing w:line="240" w:lineRule="auto"/>
              <w:rPr>
                <w:rFonts w:cs="Arial"/>
                <w:sz w:val="20"/>
                <w:szCs w:val="20"/>
                <w:lang w:eastAsia="en-AU"/>
              </w:rPr>
            </w:pPr>
            <w:r w:rsidRPr="001A4F1E">
              <w:rPr>
                <w:rFonts w:cs="Arial"/>
                <w:sz w:val="20"/>
                <w:szCs w:val="20"/>
                <w:lang w:eastAsia="en-AU"/>
              </w:rPr>
              <w:t>(565)</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1.9</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0.7</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WA DoH 2007</w:t>
            </w:r>
          </w:p>
        </w:tc>
      </w:tr>
      <w:tr w:rsidR="00DE764C" w:rsidRPr="001A4F1E" w:rsidTr="00DE764C">
        <w:trPr>
          <w:cantSplit/>
        </w:trPr>
        <w:tc>
          <w:tcPr>
            <w:tcW w:w="950" w:type="dxa"/>
            <w:tcBorders>
              <w:top w:val="single" w:sz="6" w:space="0" w:color="auto"/>
              <w:bottom w:val="double" w:sz="4"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1999-2002</w:t>
            </w:r>
          </w:p>
        </w:tc>
        <w:tc>
          <w:tcPr>
            <w:tcW w:w="1762" w:type="dxa"/>
            <w:tcBorders>
              <w:top w:val="single" w:sz="6" w:space="0" w:color="auto"/>
              <w:bottom w:val="double" w:sz="4" w:space="0" w:color="auto"/>
            </w:tcBorders>
            <w:shd w:val="clear" w:color="auto" w:fill="D6E3BC" w:themeFill="accent3" w:themeFillTint="66"/>
            <w:vAlign w:val="center"/>
          </w:tcPr>
          <w:p w:rsidR="00DE764C" w:rsidRPr="00984BCB" w:rsidRDefault="00DE764C" w:rsidP="00DE764C">
            <w:pPr>
              <w:spacing w:line="240" w:lineRule="auto"/>
              <w:rPr>
                <w:rFonts w:cs="Arial"/>
                <w:sz w:val="24"/>
                <w:szCs w:val="24"/>
                <w:vertAlign w:val="superscript"/>
                <w:lang w:eastAsia="en-AU"/>
              </w:rPr>
            </w:pPr>
            <w:r>
              <w:rPr>
                <w:rFonts w:cs="Arial"/>
                <w:sz w:val="20"/>
                <w:szCs w:val="20"/>
                <w:lang w:eastAsia="en-AU"/>
              </w:rPr>
              <w:t>Australia</w:t>
            </w:r>
          </w:p>
        </w:tc>
        <w:tc>
          <w:tcPr>
            <w:tcW w:w="1321" w:type="dxa"/>
            <w:tcBorders>
              <w:top w:val="single" w:sz="6" w:space="0" w:color="auto"/>
              <w:bottom w:val="double" w:sz="4"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 xml:space="preserve">Pregnant females </w:t>
            </w:r>
          </w:p>
          <w:p w:rsidR="00DE764C" w:rsidRDefault="00DE764C" w:rsidP="00DE764C">
            <w:pPr>
              <w:spacing w:line="240" w:lineRule="auto"/>
              <w:rPr>
                <w:rFonts w:cs="Arial"/>
                <w:sz w:val="20"/>
                <w:szCs w:val="20"/>
                <w:lang w:eastAsia="en-AU"/>
              </w:rPr>
            </w:pPr>
            <w:r>
              <w:rPr>
                <w:rFonts w:cs="Arial"/>
                <w:sz w:val="20"/>
                <w:szCs w:val="20"/>
                <w:lang w:eastAsia="en-AU"/>
              </w:rPr>
              <w:t>19-32yrs</w:t>
            </w:r>
          </w:p>
          <w:p w:rsidR="00DE764C" w:rsidRPr="001A4F1E" w:rsidRDefault="00DE764C" w:rsidP="00DE764C">
            <w:pPr>
              <w:spacing w:line="240" w:lineRule="auto"/>
              <w:rPr>
                <w:rFonts w:cs="Arial"/>
                <w:sz w:val="20"/>
                <w:szCs w:val="20"/>
                <w:lang w:eastAsia="en-AU"/>
              </w:rPr>
            </w:pPr>
            <w:r>
              <w:rPr>
                <w:rFonts w:cs="Arial"/>
                <w:sz w:val="20"/>
                <w:szCs w:val="20"/>
                <w:lang w:eastAsia="en-AU"/>
              </w:rPr>
              <w:t>(9)</w:t>
            </w:r>
          </w:p>
        </w:tc>
        <w:tc>
          <w:tcPr>
            <w:tcW w:w="840" w:type="dxa"/>
            <w:tcBorders>
              <w:top w:val="single" w:sz="6" w:space="0" w:color="auto"/>
              <w:bottom w:val="double" w:sz="4" w:space="0" w:color="auto"/>
              <w:right w:val="single" w:sz="4" w:space="0" w:color="auto"/>
            </w:tcBorders>
            <w:shd w:val="clear" w:color="auto" w:fill="FFFFFF"/>
            <w:vAlign w:val="center"/>
          </w:tcPr>
          <w:p w:rsidR="00DE764C" w:rsidRPr="00984BCB" w:rsidRDefault="00DE764C" w:rsidP="00DE764C">
            <w:pPr>
              <w:spacing w:line="240" w:lineRule="auto"/>
              <w:jc w:val="center"/>
              <w:rPr>
                <w:rFonts w:cs="Arial"/>
                <w:sz w:val="24"/>
                <w:szCs w:val="24"/>
                <w:vertAlign w:val="superscript"/>
                <w:lang w:eastAsia="en-AU"/>
              </w:rPr>
            </w:pPr>
            <w:r>
              <w:rPr>
                <w:rFonts w:cs="Arial"/>
                <w:sz w:val="20"/>
                <w:szCs w:val="20"/>
                <w:lang w:eastAsia="en-AU"/>
              </w:rPr>
              <w:t xml:space="preserve">2.3 </w:t>
            </w:r>
            <w:r>
              <w:rPr>
                <w:rFonts w:cs="Arial"/>
                <w:sz w:val="24"/>
                <w:szCs w:val="24"/>
                <w:vertAlign w:val="superscript"/>
                <w:lang w:eastAsia="en-AU"/>
              </w:rPr>
              <w:t>c</w:t>
            </w:r>
          </w:p>
        </w:tc>
        <w:tc>
          <w:tcPr>
            <w:tcW w:w="781" w:type="dxa"/>
            <w:tcBorders>
              <w:top w:val="single" w:sz="6" w:space="0" w:color="auto"/>
              <w:left w:val="single" w:sz="4" w:space="0" w:color="auto"/>
              <w:bottom w:val="double" w:sz="4"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 xml:space="preserve">2.1 </w:t>
            </w:r>
            <w:r>
              <w:rPr>
                <w:rFonts w:cs="Arial"/>
                <w:sz w:val="24"/>
                <w:szCs w:val="24"/>
                <w:vertAlign w:val="superscript"/>
                <w:lang w:eastAsia="en-AU"/>
              </w:rPr>
              <w:t>c</w:t>
            </w:r>
          </w:p>
        </w:tc>
        <w:tc>
          <w:tcPr>
            <w:tcW w:w="1081" w:type="dxa"/>
            <w:tcBorders>
              <w:top w:val="single" w:sz="6" w:space="0" w:color="auto"/>
              <w:left w:val="single" w:sz="4" w:space="0" w:color="auto"/>
              <w:bottom w:val="doub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0</w:t>
            </w:r>
          </w:p>
        </w:tc>
        <w:tc>
          <w:tcPr>
            <w:tcW w:w="1599" w:type="dxa"/>
            <w:tcBorders>
              <w:top w:val="single" w:sz="6" w:space="0" w:color="auto"/>
              <w:bottom w:val="double" w:sz="4"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Gulson et al. 2006</w:t>
            </w:r>
          </w:p>
        </w:tc>
      </w:tr>
      <w:tr w:rsidR="00DE764C" w:rsidRPr="001A4F1E" w:rsidTr="00DE764C">
        <w:trPr>
          <w:cantSplit/>
        </w:trPr>
        <w:tc>
          <w:tcPr>
            <w:tcW w:w="2712" w:type="dxa"/>
            <w:gridSpan w:val="2"/>
            <w:tcBorders>
              <w:top w:val="double" w:sz="4"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Overseas</w:t>
            </w:r>
          </w:p>
        </w:tc>
        <w:tc>
          <w:tcPr>
            <w:tcW w:w="5622" w:type="dxa"/>
            <w:gridSpan w:val="5"/>
            <w:tcBorders>
              <w:top w:val="double" w:sz="4"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2005</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Korea</w:t>
            </w:r>
          </w:p>
        </w:tc>
        <w:tc>
          <w:tcPr>
            <w:tcW w:w="1321"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&gt;20 yrs</w:t>
            </w:r>
          </w:p>
          <w:p w:rsidR="00DE764C" w:rsidRPr="001A4F1E" w:rsidRDefault="00DE764C" w:rsidP="00DE764C">
            <w:pPr>
              <w:spacing w:line="240" w:lineRule="auto"/>
              <w:rPr>
                <w:rFonts w:cs="Arial"/>
                <w:sz w:val="20"/>
                <w:szCs w:val="20"/>
                <w:lang w:eastAsia="en-AU"/>
              </w:rPr>
            </w:pPr>
            <w:r w:rsidRPr="001A4F1E">
              <w:rPr>
                <w:rFonts w:cs="Arial"/>
                <w:sz w:val="20"/>
                <w:szCs w:val="20"/>
                <w:lang w:eastAsia="en-AU"/>
              </w:rPr>
              <w:t>(1997)</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2.61</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Kim &amp; Lee 2009</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2003-2004</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USA</w:t>
            </w:r>
          </w:p>
        </w:tc>
        <w:tc>
          <w:tcPr>
            <w:tcW w:w="1321"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&gt;20 yrs</w:t>
            </w:r>
          </w:p>
          <w:p w:rsidR="00DE764C" w:rsidRPr="001A4F1E" w:rsidRDefault="00DE764C" w:rsidP="00DE764C">
            <w:pPr>
              <w:spacing w:line="240" w:lineRule="auto"/>
              <w:rPr>
                <w:rFonts w:cs="Arial"/>
                <w:sz w:val="20"/>
                <w:szCs w:val="20"/>
                <w:lang w:eastAsia="en-AU"/>
              </w:rPr>
            </w:pPr>
            <w:r w:rsidRPr="001A4F1E">
              <w:rPr>
                <w:rFonts w:cs="Arial"/>
                <w:sz w:val="20"/>
                <w:szCs w:val="20"/>
                <w:lang w:eastAsia="en-AU"/>
              </w:rPr>
              <w:t>(4</w:t>
            </w:r>
            <w:r>
              <w:rPr>
                <w:rFonts w:cs="Arial"/>
                <w:sz w:val="20"/>
                <w:szCs w:val="20"/>
                <w:lang w:eastAsia="en-AU"/>
              </w:rPr>
              <w:t>,</w:t>
            </w:r>
            <w:r w:rsidRPr="001A4F1E">
              <w:rPr>
                <w:rFonts w:cs="Arial"/>
                <w:sz w:val="20"/>
                <w:szCs w:val="20"/>
                <w:lang w:eastAsia="en-AU"/>
              </w:rPr>
              <w:t>525)</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781" w:type="dxa"/>
            <w:tcBorders>
              <w:top w:val="single" w:sz="6" w:space="0" w:color="auto"/>
              <w:left w:val="single" w:sz="4" w:space="0" w:color="auto"/>
              <w:bottom w:val="single" w:sz="6" w:space="0" w:color="auto"/>
              <w:right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1.52</w:t>
            </w:r>
          </w:p>
        </w:tc>
        <w:tc>
          <w:tcPr>
            <w:tcW w:w="1081" w:type="dxa"/>
            <w:tcBorders>
              <w:top w:val="single" w:sz="6" w:space="0" w:color="auto"/>
              <w:left w:val="single" w:sz="6"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CDC 2009</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2002</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Suwannee County, FL</w:t>
            </w:r>
          </w:p>
        </w:tc>
        <w:tc>
          <w:tcPr>
            <w:tcW w:w="1321"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Adults</w:t>
            </w:r>
          </w:p>
          <w:p w:rsidR="00DE764C" w:rsidRPr="001A4F1E" w:rsidRDefault="00DE764C" w:rsidP="00DE764C">
            <w:pPr>
              <w:spacing w:line="240" w:lineRule="auto"/>
              <w:rPr>
                <w:rFonts w:cs="Arial"/>
                <w:sz w:val="20"/>
                <w:szCs w:val="20"/>
                <w:lang w:eastAsia="en-AU"/>
              </w:rPr>
            </w:pPr>
            <w:r w:rsidRPr="001A4F1E">
              <w:rPr>
                <w:rFonts w:cs="Arial"/>
                <w:sz w:val="20"/>
                <w:szCs w:val="20"/>
                <w:lang w:eastAsia="en-AU"/>
              </w:rPr>
              <w:t>(5)</w:t>
            </w:r>
          </w:p>
        </w:tc>
        <w:tc>
          <w:tcPr>
            <w:tcW w:w="2702" w:type="dxa"/>
            <w:gridSpan w:val="3"/>
            <w:tcBorders>
              <w:top w:val="single" w:sz="6"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Range: 2.5 - &lt;5</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ATSDR 2004</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2001</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Czech Republic</w:t>
            </w:r>
          </w:p>
        </w:tc>
        <w:tc>
          <w:tcPr>
            <w:tcW w:w="1321"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18-58 yrs</w:t>
            </w:r>
          </w:p>
          <w:p w:rsidR="00DE764C" w:rsidRPr="001A4F1E" w:rsidRDefault="00DE764C" w:rsidP="00DE764C">
            <w:pPr>
              <w:spacing w:line="240" w:lineRule="auto"/>
              <w:rPr>
                <w:rFonts w:cs="Arial"/>
                <w:sz w:val="20"/>
                <w:szCs w:val="20"/>
                <w:lang w:eastAsia="en-AU"/>
              </w:rPr>
            </w:pPr>
            <w:r w:rsidRPr="001A4F1E">
              <w:rPr>
                <w:rFonts w:cs="Arial"/>
                <w:sz w:val="20"/>
                <w:szCs w:val="20"/>
                <w:lang w:eastAsia="en-AU"/>
              </w:rPr>
              <w:t>(1188)</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3.3</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sidRPr="001A4F1E">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sidRPr="001A4F1E">
              <w:rPr>
                <w:rFonts w:cs="Arial"/>
                <w:sz w:val="20"/>
                <w:szCs w:val="20"/>
                <w:lang w:eastAsia="en-AU"/>
              </w:rPr>
              <w:t>Batariova et al. 2006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2000?</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Italy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18-64 yrs</w:t>
            </w:r>
          </w:p>
          <w:p w:rsidR="00DE764C" w:rsidRPr="001A4F1E" w:rsidRDefault="00DE764C" w:rsidP="00DE764C">
            <w:pPr>
              <w:spacing w:line="240" w:lineRule="auto"/>
              <w:rPr>
                <w:rFonts w:cs="Arial"/>
                <w:sz w:val="20"/>
                <w:szCs w:val="20"/>
                <w:lang w:eastAsia="en-AU"/>
              </w:rPr>
            </w:pPr>
            <w:r>
              <w:rPr>
                <w:rFonts w:cs="Arial"/>
                <w:sz w:val="20"/>
                <w:szCs w:val="20"/>
                <w:lang w:eastAsia="en-AU"/>
              </w:rPr>
              <w:t>(1164)</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4.5(M)</w:t>
            </w:r>
          </w:p>
          <w:p w:rsidR="00DE764C" w:rsidRPr="001A4F1E" w:rsidRDefault="00DE764C" w:rsidP="00DE764C">
            <w:pPr>
              <w:spacing w:line="240" w:lineRule="auto"/>
              <w:jc w:val="center"/>
              <w:rPr>
                <w:rFonts w:cs="Arial"/>
                <w:sz w:val="20"/>
                <w:szCs w:val="20"/>
                <w:lang w:eastAsia="en-AU"/>
              </w:rPr>
            </w:pPr>
            <w:r>
              <w:rPr>
                <w:rFonts w:cs="Arial"/>
                <w:sz w:val="20"/>
                <w:szCs w:val="20"/>
                <w:lang w:eastAsia="en-AU"/>
              </w:rPr>
              <w:t>3.1(F)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Apostoli et al. 2002</w:t>
            </w:r>
          </w:p>
        </w:tc>
      </w:tr>
      <w:tr w:rsidR="00DE764C" w:rsidRPr="001A4F1E" w:rsidTr="00DE764C">
        <w:trPr>
          <w:cantSplit/>
        </w:trPr>
        <w:tc>
          <w:tcPr>
            <w:tcW w:w="950" w:type="dxa"/>
            <w:tcBorders>
              <w:top w:val="single" w:sz="6" w:space="0" w:color="auto"/>
              <w:bottom w:val="single" w:sz="12"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2000</w:t>
            </w:r>
          </w:p>
        </w:tc>
        <w:tc>
          <w:tcPr>
            <w:tcW w:w="1762" w:type="dxa"/>
            <w:tcBorders>
              <w:top w:val="single" w:sz="6" w:space="0" w:color="auto"/>
              <w:bottom w:val="single" w:sz="12"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Egypt</w:t>
            </w:r>
          </w:p>
        </w:tc>
        <w:tc>
          <w:tcPr>
            <w:tcW w:w="1321" w:type="dxa"/>
            <w:tcBorders>
              <w:top w:val="single" w:sz="6" w:space="0" w:color="auto"/>
              <w:bottom w:val="single" w:sz="12"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Adults      28-40 yrs (93)</w:t>
            </w:r>
          </w:p>
        </w:tc>
        <w:tc>
          <w:tcPr>
            <w:tcW w:w="840" w:type="dxa"/>
            <w:tcBorders>
              <w:top w:val="single" w:sz="6" w:space="0" w:color="auto"/>
              <w:bottom w:val="single" w:sz="12"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12.4</w:t>
            </w:r>
          </w:p>
        </w:tc>
        <w:tc>
          <w:tcPr>
            <w:tcW w:w="781" w:type="dxa"/>
            <w:tcBorders>
              <w:top w:val="single" w:sz="6" w:space="0" w:color="auto"/>
              <w:left w:val="single" w:sz="4" w:space="0" w:color="auto"/>
              <w:bottom w:val="single" w:sz="12"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12"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12"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Mortada et al. 2002</w:t>
            </w:r>
          </w:p>
        </w:tc>
      </w:tr>
      <w:tr w:rsidR="00DE764C" w:rsidRPr="001A4F1E" w:rsidTr="00DE764C">
        <w:trPr>
          <w:cantSplit/>
        </w:trPr>
        <w:tc>
          <w:tcPr>
            <w:tcW w:w="8334" w:type="dxa"/>
            <w:gridSpan w:val="7"/>
            <w:tcBorders>
              <w:top w:val="single" w:sz="12" w:space="0" w:color="auto"/>
              <w:bottom w:val="single" w:sz="12" w:space="0" w:color="auto"/>
            </w:tcBorders>
            <w:shd w:val="clear" w:color="auto" w:fill="B8CCE4" w:themeFill="accent1" w:themeFillTint="66"/>
            <w:vAlign w:val="center"/>
          </w:tcPr>
          <w:p w:rsidR="00DE764C" w:rsidRPr="00A50C8E" w:rsidRDefault="00DE764C" w:rsidP="00DE764C">
            <w:pPr>
              <w:spacing w:line="240" w:lineRule="auto"/>
              <w:rPr>
                <w:rFonts w:cs="Arial"/>
                <w:b/>
                <w:sz w:val="24"/>
                <w:szCs w:val="24"/>
                <w:vertAlign w:val="superscript"/>
                <w:lang w:eastAsia="en-AU"/>
              </w:rPr>
            </w:pPr>
            <w:r>
              <w:rPr>
                <w:rFonts w:cs="Arial"/>
                <w:b/>
                <w:sz w:val="20"/>
                <w:szCs w:val="20"/>
                <w:lang w:eastAsia="en-AU"/>
              </w:rPr>
              <w:t xml:space="preserve">1960 – 1999 </w:t>
            </w:r>
            <w:r>
              <w:rPr>
                <w:rFonts w:cs="Arial"/>
                <w:b/>
                <w:sz w:val="24"/>
                <w:szCs w:val="24"/>
                <w:vertAlign w:val="superscript"/>
                <w:lang w:eastAsia="en-AU"/>
              </w:rPr>
              <w:t>d</w:t>
            </w:r>
          </w:p>
        </w:tc>
      </w:tr>
      <w:tr w:rsidR="00DE764C" w:rsidRPr="001A4F1E" w:rsidTr="00DE764C">
        <w:trPr>
          <w:cantSplit/>
        </w:trPr>
        <w:tc>
          <w:tcPr>
            <w:tcW w:w="2712" w:type="dxa"/>
            <w:gridSpan w:val="2"/>
            <w:tcBorders>
              <w:top w:val="single" w:sz="12" w:space="0" w:color="auto"/>
              <w:bottom w:val="single" w:sz="6" w:space="0" w:color="auto"/>
            </w:tcBorders>
            <w:shd w:val="clear" w:color="auto" w:fill="D6E3BC" w:themeFill="accent3"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Australia</w:t>
            </w:r>
          </w:p>
        </w:tc>
        <w:tc>
          <w:tcPr>
            <w:tcW w:w="5622" w:type="dxa"/>
            <w:gridSpan w:val="5"/>
            <w:tcBorders>
              <w:top w:val="single" w:sz="12"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1993-1998</w:t>
            </w:r>
          </w:p>
        </w:tc>
        <w:tc>
          <w:tcPr>
            <w:tcW w:w="1762" w:type="dxa"/>
            <w:tcBorders>
              <w:top w:val="single" w:sz="6" w:space="0" w:color="auto"/>
              <w:bottom w:val="single" w:sz="6" w:space="0" w:color="auto"/>
            </w:tcBorders>
            <w:shd w:val="clear" w:color="auto" w:fill="D6E3BC" w:themeFill="accent3"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Australia</w:t>
            </w:r>
          </w:p>
        </w:tc>
        <w:tc>
          <w:tcPr>
            <w:tcW w:w="1321"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Pregnant &amp; non-pregnant females (30)</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262179" w:rsidRDefault="00DE764C" w:rsidP="00DE764C">
            <w:pPr>
              <w:spacing w:line="240" w:lineRule="auto"/>
              <w:jc w:val="center"/>
              <w:rPr>
                <w:rFonts w:cs="Arial"/>
                <w:sz w:val="20"/>
                <w:szCs w:val="20"/>
                <w:vertAlign w:val="superscript"/>
                <w:lang w:eastAsia="en-AU"/>
              </w:rPr>
            </w:pPr>
            <w:r>
              <w:rPr>
                <w:rFonts w:cs="Arial"/>
                <w:sz w:val="20"/>
                <w:szCs w:val="20"/>
                <w:lang w:eastAsia="en-AU"/>
              </w:rPr>
              <w:t xml:space="preserve">2.6 </w:t>
            </w:r>
            <w:r w:rsidRPr="00262179">
              <w:rPr>
                <w:rFonts w:cs="Arial"/>
                <w:sz w:val="24"/>
                <w:szCs w:val="24"/>
                <w:vertAlign w:val="superscript"/>
                <w:lang w:eastAsia="en-AU"/>
              </w:rPr>
              <w:t>c</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2.7</w:t>
            </w:r>
            <w:r w:rsidRPr="00262179">
              <w:rPr>
                <w:rFonts w:cs="Arial"/>
                <w:sz w:val="24"/>
                <w:szCs w:val="24"/>
                <w:vertAlign w:val="superscript"/>
                <w:lang w:eastAsia="en-AU"/>
              </w:rPr>
              <w:t xml:space="preserve"> c</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Gulson et al. 2006</w:t>
            </w:r>
          </w:p>
        </w:tc>
      </w:tr>
      <w:tr w:rsidR="00DE764C" w:rsidRPr="001A4F1E" w:rsidTr="00DE764C">
        <w:trPr>
          <w:cantSplit/>
        </w:trPr>
        <w:tc>
          <w:tcPr>
            <w:tcW w:w="950" w:type="dxa"/>
            <w:tcBorders>
              <w:top w:val="single" w:sz="6" w:space="0" w:color="auto"/>
              <w:bottom w:val="double" w:sz="4"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1979-1982</w:t>
            </w:r>
          </w:p>
        </w:tc>
        <w:tc>
          <w:tcPr>
            <w:tcW w:w="1762" w:type="dxa"/>
            <w:tcBorders>
              <w:top w:val="single" w:sz="6" w:space="0" w:color="auto"/>
              <w:bottom w:val="double" w:sz="4" w:space="0" w:color="auto"/>
            </w:tcBorders>
            <w:shd w:val="clear" w:color="auto" w:fill="D6E3BC" w:themeFill="accent3" w:themeFillTint="66"/>
            <w:vAlign w:val="center"/>
          </w:tcPr>
          <w:p w:rsidR="00DE764C" w:rsidRPr="00A50C8E" w:rsidRDefault="00DE764C" w:rsidP="00DE764C">
            <w:pPr>
              <w:spacing w:line="240" w:lineRule="auto"/>
              <w:rPr>
                <w:rFonts w:cs="Arial"/>
                <w:sz w:val="24"/>
                <w:szCs w:val="24"/>
                <w:vertAlign w:val="superscript"/>
                <w:lang w:eastAsia="en-AU"/>
              </w:rPr>
            </w:pPr>
            <w:r>
              <w:rPr>
                <w:rFonts w:cs="Arial"/>
                <w:sz w:val="20"/>
                <w:szCs w:val="20"/>
                <w:lang w:eastAsia="en-AU"/>
              </w:rPr>
              <w:t xml:space="preserve">South Australia </w:t>
            </w:r>
            <w:r>
              <w:rPr>
                <w:rFonts w:cs="Arial"/>
                <w:sz w:val="24"/>
                <w:szCs w:val="24"/>
                <w:vertAlign w:val="superscript"/>
                <w:lang w:eastAsia="en-AU"/>
              </w:rPr>
              <w:t>e</w:t>
            </w:r>
          </w:p>
        </w:tc>
        <w:tc>
          <w:tcPr>
            <w:tcW w:w="1321" w:type="dxa"/>
            <w:tcBorders>
              <w:top w:val="single" w:sz="6" w:space="0" w:color="auto"/>
              <w:bottom w:val="double" w:sz="4"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Pregnant females (185)</w:t>
            </w:r>
          </w:p>
        </w:tc>
        <w:tc>
          <w:tcPr>
            <w:tcW w:w="840" w:type="dxa"/>
            <w:tcBorders>
              <w:top w:val="single" w:sz="6" w:space="0" w:color="auto"/>
              <w:bottom w:val="double" w:sz="4"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7.6</w:t>
            </w:r>
          </w:p>
        </w:tc>
        <w:tc>
          <w:tcPr>
            <w:tcW w:w="781" w:type="dxa"/>
            <w:tcBorders>
              <w:top w:val="single" w:sz="6" w:space="0" w:color="auto"/>
              <w:left w:val="single" w:sz="4" w:space="0" w:color="auto"/>
              <w:bottom w:val="double" w:sz="4"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doub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double" w:sz="4"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McMichael et al. 1986</w:t>
            </w:r>
          </w:p>
        </w:tc>
      </w:tr>
      <w:tr w:rsidR="00DE764C" w:rsidRPr="001A4F1E" w:rsidTr="00DE764C">
        <w:trPr>
          <w:cantSplit/>
        </w:trPr>
        <w:tc>
          <w:tcPr>
            <w:tcW w:w="2712" w:type="dxa"/>
            <w:gridSpan w:val="2"/>
            <w:tcBorders>
              <w:top w:val="double" w:sz="4"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Overseas</w:t>
            </w:r>
          </w:p>
        </w:tc>
        <w:tc>
          <w:tcPr>
            <w:tcW w:w="5622" w:type="dxa"/>
            <w:gridSpan w:val="5"/>
            <w:tcBorders>
              <w:top w:val="double" w:sz="4"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1998</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18-69 yrs</w:t>
            </w:r>
          </w:p>
          <w:p w:rsidR="00DE764C" w:rsidRPr="001A4F1E" w:rsidRDefault="00DE764C" w:rsidP="00DE764C">
            <w:pPr>
              <w:spacing w:line="240" w:lineRule="auto"/>
              <w:rPr>
                <w:rFonts w:cs="Arial"/>
                <w:sz w:val="20"/>
                <w:szCs w:val="20"/>
                <w:lang w:eastAsia="en-AU"/>
              </w:rPr>
            </w:pPr>
            <w:r>
              <w:rPr>
                <w:rFonts w:cs="Arial"/>
                <w:sz w:val="20"/>
                <w:szCs w:val="20"/>
                <w:lang w:eastAsia="en-AU"/>
              </w:rPr>
              <w:t>(4,800)</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3.1</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Becker et al. 2002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1989</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Italy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 xml:space="preserve">Adults </w:t>
            </w:r>
          </w:p>
          <w:p w:rsidR="00DE764C" w:rsidRPr="001A4F1E" w:rsidRDefault="00DE764C" w:rsidP="00DE764C">
            <w:pPr>
              <w:spacing w:line="240" w:lineRule="auto"/>
              <w:rPr>
                <w:rFonts w:cs="Arial"/>
                <w:sz w:val="20"/>
                <w:szCs w:val="20"/>
                <w:lang w:eastAsia="en-AU"/>
              </w:rPr>
            </w:pPr>
            <w:r>
              <w:rPr>
                <w:rFonts w:cs="Arial"/>
                <w:sz w:val="20"/>
                <w:szCs w:val="20"/>
                <w:lang w:eastAsia="en-AU"/>
              </w:rPr>
              <w:t>(959)</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15.8</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Minoia et al. 1990</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lastRenderedPageBreak/>
              <w:t>1989</w:t>
            </w:r>
          </w:p>
        </w:tc>
        <w:tc>
          <w:tcPr>
            <w:tcW w:w="1762" w:type="dxa"/>
            <w:tcBorders>
              <w:top w:val="single" w:sz="6" w:space="0" w:color="auto"/>
              <w:bottom w:val="single" w:sz="6" w:space="0" w:color="auto"/>
            </w:tcBorders>
            <w:shd w:val="clear" w:color="auto" w:fill="FBD4B4" w:themeFill="accent6" w:themeFillTint="66"/>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5.9(M)</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5.3(F)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1988</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Belgium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 xml:space="preserve">Adults </w:t>
            </w:r>
          </w:p>
          <w:p w:rsidR="00DE764C" w:rsidRDefault="00DE764C" w:rsidP="00DE764C">
            <w:pPr>
              <w:spacing w:line="240" w:lineRule="auto"/>
              <w:rPr>
                <w:rFonts w:cs="Arial"/>
                <w:sz w:val="20"/>
                <w:szCs w:val="20"/>
                <w:lang w:eastAsia="en-AU"/>
              </w:rPr>
            </w:pPr>
            <w:r>
              <w:rPr>
                <w:rFonts w:cs="Arial"/>
                <w:sz w:val="20"/>
                <w:szCs w:val="20"/>
                <w:lang w:eastAsia="en-AU"/>
              </w:rPr>
              <w:t>&gt;20 yrs</w:t>
            </w:r>
          </w:p>
          <w:p w:rsidR="00DE764C" w:rsidRDefault="00DE764C" w:rsidP="00DE764C">
            <w:pPr>
              <w:spacing w:line="240" w:lineRule="auto"/>
              <w:rPr>
                <w:rFonts w:cs="Arial"/>
                <w:sz w:val="20"/>
                <w:szCs w:val="20"/>
                <w:lang w:eastAsia="en-AU"/>
              </w:rPr>
            </w:pPr>
            <w:r>
              <w:rPr>
                <w:rFonts w:cs="Arial"/>
                <w:sz w:val="20"/>
                <w:szCs w:val="20"/>
                <w:lang w:eastAsia="en-AU"/>
              </w:rPr>
              <w:t>(5,837)</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7.8</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Ducoffre et al. 1990</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1988</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6.8(M)</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5.3(F)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1987</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away from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9.1(M)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6.9(F)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1987</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near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9.8(M)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7.6(F)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1987</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7.7(M)</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6.2(F)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near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10.9 (M)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7.9(F)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away from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9.9(M)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7.2(F)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9.1(M)</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7.7(F)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near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12(M)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8.7(F)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away from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10.2 (M)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7.4(F)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10.3 (M)</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7.4(F)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near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12.6 (M)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9.8(F)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United Kingdom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living away from highway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10.7 (M)</w:t>
            </w:r>
          </w:p>
          <w:p w:rsidR="00DE764C" w:rsidRPr="00FA689D" w:rsidRDefault="00DE764C" w:rsidP="00DE764C">
            <w:pPr>
              <w:spacing w:line="240" w:lineRule="auto"/>
              <w:jc w:val="center"/>
              <w:rPr>
                <w:rFonts w:cs="Arial"/>
                <w:sz w:val="20"/>
                <w:szCs w:val="20"/>
                <w:vertAlign w:val="superscript"/>
                <w:lang w:eastAsia="en-AU"/>
              </w:rPr>
            </w:pPr>
            <w:r>
              <w:rPr>
                <w:rFonts w:cs="Arial"/>
                <w:sz w:val="20"/>
                <w:szCs w:val="20"/>
                <w:lang w:eastAsia="en-AU"/>
              </w:rPr>
              <w:t>7.9(F)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Atherton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Stockholm, Sweden</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General population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0C351E" w:rsidRDefault="00DE764C" w:rsidP="00DE764C">
            <w:pPr>
              <w:spacing w:line="240" w:lineRule="auto"/>
              <w:jc w:val="center"/>
              <w:rPr>
                <w:rFonts w:cs="Arial"/>
                <w:sz w:val="20"/>
                <w:szCs w:val="20"/>
                <w:vertAlign w:val="superscript"/>
                <w:lang w:eastAsia="en-AU"/>
              </w:rPr>
            </w:pPr>
            <w:r>
              <w:rPr>
                <w:rFonts w:cs="Arial"/>
                <w:sz w:val="20"/>
                <w:szCs w:val="20"/>
                <w:lang w:eastAsia="en-AU"/>
              </w:rPr>
              <w:t>5.2</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KEMI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Halkyn,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52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13.7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Y Fan,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58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10.2</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lastRenderedPageBreak/>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Ruthin,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58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12.6</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Greenfield,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46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11.2</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10.9 (M)</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8(F)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Christchurch, New Zealand</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&gt;17 yrs (372)</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10.4 (M) 6.8(F)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9.7 (M) 6.4(F)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Hinton et al.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Stockholm, Sweden</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General population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0C351E" w:rsidRDefault="00DE764C" w:rsidP="00DE764C">
            <w:pPr>
              <w:spacing w:line="240" w:lineRule="auto"/>
              <w:jc w:val="center"/>
              <w:rPr>
                <w:rFonts w:cs="Arial"/>
                <w:sz w:val="20"/>
                <w:szCs w:val="20"/>
                <w:vertAlign w:val="superscript"/>
                <w:lang w:eastAsia="en-AU"/>
              </w:rPr>
            </w:pPr>
            <w:r>
              <w:rPr>
                <w:rFonts w:cs="Arial"/>
                <w:sz w:val="20"/>
                <w:szCs w:val="20"/>
                <w:lang w:eastAsia="en-AU"/>
              </w:rPr>
              <w:t>5.5</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KEMI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Christchurch, New Zealand</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&gt;17 yrs (442)</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12(M) 8.7(F)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11.4 (M) 8.3(F)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Hinton et al.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1982</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Christchurch, New Zealand</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&gt;17 yrs (322)</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14.9 (M) 9.3(F)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14.3 (M) 8.7(F)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Hinton et al.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Christchurch, New Zealand</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&gt;17 yrs (273)</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16.2 (M) 11.2 (F)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15.5 (M) 10.8 (F)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Hinton et al.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1980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Stockholm, Sweden</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General population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0C351E" w:rsidRDefault="00DE764C" w:rsidP="00DE764C">
            <w:pPr>
              <w:spacing w:line="240" w:lineRule="auto"/>
              <w:jc w:val="center"/>
              <w:rPr>
                <w:rFonts w:cs="Arial"/>
                <w:sz w:val="20"/>
                <w:szCs w:val="20"/>
                <w:vertAlign w:val="superscript"/>
                <w:lang w:eastAsia="en-AU"/>
              </w:rPr>
            </w:pPr>
            <w:r>
              <w:rPr>
                <w:rFonts w:cs="Arial"/>
                <w:sz w:val="20"/>
                <w:szCs w:val="20"/>
                <w:lang w:eastAsia="en-AU"/>
              </w:rPr>
              <w:t>7.7</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KEMI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1979</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Atlanta, Florida,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Family members of Pb-exposed workers (4)</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11.3</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Landrigan et al. 1980</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1978</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0B71D6" w:rsidRDefault="00DE764C" w:rsidP="00DE764C">
            <w:pPr>
              <w:spacing w:line="240" w:lineRule="auto"/>
              <w:jc w:val="center"/>
              <w:rPr>
                <w:rFonts w:cs="Arial"/>
                <w:sz w:val="20"/>
                <w:szCs w:val="20"/>
                <w:vertAlign w:val="superscript"/>
                <w:lang w:eastAsia="en-AU"/>
              </w:rPr>
            </w:pPr>
            <w:r>
              <w:rPr>
                <w:rFonts w:cs="Arial"/>
                <w:sz w:val="20"/>
                <w:szCs w:val="20"/>
                <w:lang w:eastAsia="en-AU"/>
              </w:rPr>
              <w:t>13.5 (M)</w:t>
            </w:r>
            <w:r>
              <w:rPr>
                <w:rFonts w:cs="Arial"/>
                <w:sz w:val="20"/>
                <w:szCs w:val="20"/>
                <w:vertAlign w:val="superscript"/>
                <w:lang w:eastAsia="en-AU"/>
              </w:rPr>
              <w:t>f</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10.8 (F)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1978</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Belgium</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 xml:space="preserve">Adults </w:t>
            </w:r>
          </w:p>
          <w:p w:rsidR="00DE764C" w:rsidRDefault="00DE764C" w:rsidP="00DE764C">
            <w:pPr>
              <w:spacing w:line="240" w:lineRule="auto"/>
              <w:rPr>
                <w:rFonts w:cs="Arial"/>
                <w:sz w:val="20"/>
                <w:szCs w:val="20"/>
                <w:lang w:eastAsia="en-AU"/>
              </w:rPr>
            </w:pPr>
            <w:r>
              <w:rPr>
                <w:rFonts w:cs="Arial"/>
                <w:sz w:val="20"/>
                <w:szCs w:val="20"/>
                <w:lang w:eastAsia="en-AU"/>
              </w:rPr>
              <w:t>&gt;20 yrs</w:t>
            </w:r>
          </w:p>
          <w:p w:rsidR="00DE764C" w:rsidRDefault="00DE764C" w:rsidP="00DE764C">
            <w:pPr>
              <w:spacing w:line="240" w:lineRule="auto"/>
              <w:rPr>
                <w:rFonts w:cs="Arial"/>
                <w:sz w:val="20"/>
                <w:szCs w:val="20"/>
                <w:lang w:eastAsia="en-AU"/>
              </w:rPr>
            </w:pPr>
            <w:r>
              <w:rPr>
                <w:rFonts w:cs="Arial"/>
                <w:sz w:val="20"/>
                <w:szCs w:val="20"/>
                <w:lang w:eastAsia="en-AU"/>
              </w:rPr>
              <w:t>(5,837)</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Ducoffre et al. 1990</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1978</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Christchurch, New Zealand</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&gt;17 yrs (828)</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 xml:space="preserve">17.8 (M) </w:t>
            </w:r>
          </w:p>
          <w:p w:rsidR="00DE764C" w:rsidRDefault="00DE764C" w:rsidP="00DE764C">
            <w:pPr>
              <w:spacing w:line="240" w:lineRule="auto"/>
              <w:jc w:val="center"/>
              <w:rPr>
                <w:rFonts w:cs="Arial"/>
                <w:sz w:val="20"/>
                <w:szCs w:val="20"/>
                <w:lang w:eastAsia="en-AU"/>
              </w:rPr>
            </w:pPr>
            <w:r>
              <w:rPr>
                <w:rFonts w:cs="Arial"/>
                <w:sz w:val="20"/>
                <w:szCs w:val="20"/>
                <w:lang w:eastAsia="en-AU"/>
              </w:rPr>
              <w:t>12 (F)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17(M) 11.4</w:t>
            </w:r>
          </w:p>
          <w:p w:rsidR="00DE764C" w:rsidRDefault="00DE764C" w:rsidP="00DE764C">
            <w:pPr>
              <w:spacing w:line="240" w:lineRule="auto"/>
              <w:jc w:val="center"/>
              <w:rPr>
                <w:rFonts w:cs="Arial"/>
                <w:sz w:val="20"/>
                <w:szCs w:val="20"/>
                <w:lang w:eastAsia="en-AU"/>
              </w:rPr>
            </w:pPr>
            <w:r>
              <w:rPr>
                <w:rFonts w:cs="Arial"/>
                <w:sz w:val="20"/>
                <w:szCs w:val="20"/>
                <w:lang w:eastAsia="en-AU"/>
              </w:rPr>
              <w:t>(F)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Hinton et al.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1977</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0B71D6" w:rsidRDefault="00DE764C" w:rsidP="00DE764C">
            <w:pPr>
              <w:spacing w:line="240" w:lineRule="auto"/>
              <w:jc w:val="center"/>
              <w:rPr>
                <w:rFonts w:cs="Arial"/>
                <w:sz w:val="20"/>
                <w:szCs w:val="20"/>
                <w:vertAlign w:val="superscript"/>
                <w:lang w:eastAsia="en-AU"/>
              </w:rPr>
            </w:pPr>
            <w:r>
              <w:rPr>
                <w:rFonts w:cs="Arial"/>
                <w:sz w:val="20"/>
                <w:szCs w:val="20"/>
                <w:lang w:eastAsia="en-AU"/>
              </w:rPr>
              <w:t>14.1 (M)</w:t>
            </w:r>
            <w:r>
              <w:rPr>
                <w:rFonts w:cs="Arial"/>
                <w:sz w:val="20"/>
                <w:szCs w:val="20"/>
                <w:vertAlign w:val="superscript"/>
                <w:lang w:eastAsia="en-AU"/>
              </w:rPr>
              <w:t>f</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11.5 (F)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1977</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 males 22-63 yrs (19)</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16.3</w:t>
            </w:r>
          </w:p>
          <w:p w:rsidR="00DE764C" w:rsidRDefault="00DE764C" w:rsidP="00DE764C">
            <w:pPr>
              <w:spacing w:line="240" w:lineRule="auto"/>
              <w:jc w:val="center"/>
              <w:rPr>
                <w:rFonts w:cs="Arial"/>
                <w:sz w:val="20"/>
                <w:szCs w:val="20"/>
                <w:lang w:eastAsia="en-AU"/>
              </w:rPr>
            </w:pPr>
            <w:r>
              <w:rPr>
                <w:rFonts w:cs="Arial"/>
                <w:sz w:val="20"/>
                <w:szCs w:val="20"/>
                <w:lang w:eastAsia="en-AU"/>
              </w:rPr>
              <w:t>(M)</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Hammond et al. 1980</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0B71D6" w:rsidRDefault="00DE764C" w:rsidP="00DE764C">
            <w:pPr>
              <w:spacing w:line="240" w:lineRule="auto"/>
              <w:jc w:val="center"/>
              <w:rPr>
                <w:rFonts w:cs="Arial"/>
                <w:sz w:val="20"/>
                <w:szCs w:val="20"/>
                <w:vertAlign w:val="superscript"/>
                <w:lang w:eastAsia="en-AU"/>
              </w:rPr>
            </w:pPr>
            <w:r>
              <w:rPr>
                <w:rFonts w:cs="Arial"/>
                <w:sz w:val="20"/>
                <w:szCs w:val="20"/>
                <w:lang w:eastAsia="en-AU"/>
              </w:rPr>
              <w:t>15.6 (M)</w:t>
            </w:r>
            <w:r>
              <w:rPr>
                <w:rFonts w:cs="Arial"/>
                <w:sz w:val="20"/>
                <w:szCs w:val="20"/>
                <w:vertAlign w:val="superscript"/>
                <w:lang w:eastAsia="en-AU"/>
              </w:rPr>
              <w:t>f</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12.4 (F)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lastRenderedPageBreak/>
              <w:t>1976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Greenfield,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46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16.7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Halkyn,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52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18.2</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Y Fan,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58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1976</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Ruthin, Wales, UK</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mean age 58 yrs</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17.9</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Elwood and Toothill 1986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Germany</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w:t>
            </w:r>
          </w:p>
          <w:p w:rsidR="00DE764C" w:rsidRPr="001A4F1E" w:rsidRDefault="00DE764C" w:rsidP="00DE764C">
            <w:pPr>
              <w:spacing w:line="240" w:lineRule="auto"/>
              <w:rPr>
                <w:rFonts w:cs="Arial"/>
                <w:sz w:val="20"/>
                <w:szCs w:val="20"/>
                <w:lang w:eastAsia="en-AU"/>
              </w:rPr>
            </w:pPr>
            <w:r>
              <w:rPr>
                <w:rFonts w:cs="Arial"/>
                <w:sz w:val="20"/>
                <w:szCs w:val="20"/>
                <w:lang w:eastAsia="en-AU"/>
              </w:rPr>
              <w:t>(unknown)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Pr="00665468" w:rsidRDefault="00DE764C" w:rsidP="00DE764C">
            <w:pPr>
              <w:spacing w:line="240" w:lineRule="auto"/>
              <w:jc w:val="center"/>
              <w:rPr>
                <w:rFonts w:cs="Arial"/>
                <w:sz w:val="20"/>
                <w:szCs w:val="20"/>
                <w:vertAlign w:val="superscript"/>
                <w:lang w:eastAsia="en-AU"/>
              </w:rPr>
            </w:pPr>
            <w:r>
              <w:rPr>
                <w:rFonts w:cs="Arial"/>
                <w:sz w:val="20"/>
                <w:szCs w:val="20"/>
                <w:lang w:eastAsia="en-AU"/>
              </w:rPr>
              <w:t>16.8 (M)</w:t>
            </w:r>
            <w:r>
              <w:rPr>
                <w:rFonts w:cs="Arial"/>
                <w:sz w:val="20"/>
                <w:szCs w:val="20"/>
                <w:vertAlign w:val="superscript"/>
                <w:lang w:eastAsia="en-AU"/>
              </w:rPr>
              <w:t>f</w:t>
            </w:r>
          </w:p>
          <w:p w:rsidR="00DE764C" w:rsidRDefault="00DE764C" w:rsidP="00DE764C">
            <w:pPr>
              <w:spacing w:line="240" w:lineRule="auto"/>
              <w:jc w:val="center"/>
              <w:rPr>
                <w:rFonts w:cs="Arial"/>
                <w:sz w:val="20"/>
                <w:szCs w:val="20"/>
                <w:lang w:eastAsia="en-AU"/>
              </w:rPr>
            </w:pPr>
            <w:r>
              <w:rPr>
                <w:rFonts w:cs="Arial"/>
                <w:sz w:val="20"/>
                <w:szCs w:val="20"/>
                <w:lang w:eastAsia="en-AU"/>
              </w:rPr>
              <w:t>13.2</w:t>
            </w:r>
          </w:p>
          <w:p w:rsidR="00DE764C" w:rsidRPr="001005FF" w:rsidRDefault="00DE764C" w:rsidP="00DE764C">
            <w:pPr>
              <w:spacing w:line="240" w:lineRule="auto"/>
              <w:jc w:val="center"/>
              <w:rPr>
                <w:rFonts w:cs="Arial"/>
                <w:sz w:val="20"/>
                <w:szCs w:val="20"/>
                <w:vertAlign w:val="superscript"/>
                <w:lang w:eastAsia="en-AU"/>
              </w:rPr>
            </w:pPr>
            <w:r>
              <w:rPr>
                <w:rFonts w:cs="Arial"/>
                <w:sz w:val="20"/>
                <w:szCs w:val="20"/>
                <w:lang w:eastAsia="en-AU"/>
              </w:rPr>
              <w:t>(F)</w:t>
            </w:r>
            <w:r>
              <w:rPr>
                <w:rFonts w:cs="Arial"/>
                <w:sz w:val="20"/>
                <w:szCs w:val="20"/>
                <w:vertAlign w:val="superscript"/>
                <w:lang w:eastAsia="en-AU"/>
              </w:rPr>
              <w:t>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Pr="001A4F1E"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Pr="001A4F1E" w:rsidRDefault="00DE764C" w:rsidP="00DE764C">
            <w:pPr>
              <w:spacing w:line="240" w:lineRule="auto"/>
              <w:rPr>
                <w:rFonts w:cs="Arial"/>
                <w:sz w:val="20"/>
                <w:szCs w:val="20"/>
                <w:lang w:eastAsia="en-AU"/>
              </w:rPr>
            </w:pPr>
            <w:r>
              <w:rPr>
                <w:rFonts w:cs="Arial"/>
                <w:sz w:val="20"/>
                <w:szCs w:val="20"/>
                <w:lang w:eastAsia="en-AU"/>
              </w:rPr>
              <w:t>Müller 1992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Fontana,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Mothers (41)</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Wei Liang et al. 1977</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Fontana,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17-50 yrs (36)</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20</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Wei Liang et al. 1977</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Fontana,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50-81 yrs (29)</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Wei Liang et al. 1977</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Fontana,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 xml:space="preserve">Adults </w:t>
            </w:r>
            <w:r>
              <w:rPr>
                <w:rFonts w:cs="Arial"/>
                <w:sz w:val="20"/>
                <w:szCs w:val="20"/>
                <w:u w:val="single"/>
                <w:lang w:eastAsia="en-AU"/>
              </w:rPr>
              <w:t>&gt;</w:t>
            </w:r>
            <w:r>
              <w:rPr>
                <w:rFonts w:cs="Arial"/>
                <w:sz w:val="20"/>
                <w:szCs w:val="20"/>
                <w:lang w:eastAsia="en-AU"/>
              </w:rPr>
              <w:t>81 yrs (21)</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16</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Wei Liang et al. 1977</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Houston, Texas,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 females living close to freeway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12.9</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1975b</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Houston, Texas,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 females living away from freeway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11.9</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1975b</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Houston, Texas,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 orderlies &amp; custodians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21.3</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1975b</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1975</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Houston, Texas,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 office workers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18.4</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1975b</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Lancaster,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17-35 yrs (45)</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11.8 (M) 9.1(F)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10.9 (M) 8(F)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1975a</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Lancaster,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 xml:space="preserve">Adults </w:t>
            </w:r>
            <w:r w:rsidRPr="00A0793F">
              <w:rPr>
                <w:rFonts w:cs="Arial"/>
                <w:sz w:val="20"/>
                <w:szCs w:val="20"/>
                <w:u w:val="single"/>
                <w:lang w:eastAsia="en-AU"/>
              </w:rPr>
              <w:t>&gt;</w:t>
            </w:r>
            <w:r>
              <w:rPr>
                <w:rFonts w:cs="Arial"/>
                <w:sz w:val="20"/>
                <w:szCs w:val="20"/>
                <w:lang w:eastAsia="en-AU"/>
              </w:rPr>
              <w:t>35 yrs (41)</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13 (M) 9.3(F)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11.1 (M) 8.7(F)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1975a</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Los Angeles,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17-35 yrs (73)</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16.6 (M) 12.9 (F)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15.1 (M) 11.8 (F)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1975a</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lastRenderedPageBreak/>
              <w:t>1974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Los Angeles,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 xml:space="preserve">Adults </w:t>
            </w:r>
            <w:r>
              <w:rPr>
                <w:rFonts w:cs="Arial"/>
                <w:sz w:val="20"/>
                <w:szCs w:val="20"/>
                <w:u w:val="single"/>
                <w:lang w:eastAsia="en-AU"/>
              </w:rPr>
              <w:t>&gt;</w:t>
            </w:r>
            <w:r>
              <w:rPr>
                <w:rFonts w:cs="Arial"/>
                <w:sz w:val="20"/>
                <w:szCs w:val="20"/>
                <w:lang w:eastAsia="en-AU"/>
              </w:rPr>
              <w:t>35 yrs (18)</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18.5 (M) 14.7 (F)</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17.1 (M) 13.4 (F)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Johnson et al. 1975a</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1974</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Ann Arbor, Michigan,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14.6</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Hecker et al. 1974</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Hartford, Connecticut,USA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15.9</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Osbourne et al. 1976</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Southern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Goldsmith 1974</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1972</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19.2</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McLaughlin and Stopps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Port Washington, New York,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(198)</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15.3</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Greenwich Village, New York,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(140)</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16.6</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Bridgeport, Illinois,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(147)</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17.6</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Lombard, Illinois,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(208)</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13.9</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Houston, Texas,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(191)</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12.5</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Washington D.C.,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(219)</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19.2</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1970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18.3</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McLaughlin et al. 1973</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1969</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Okeana, Ohio,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(162)</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15.7</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1969</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Los Alamos,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(271)</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17.2 (M) 14.9 (F)</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1969</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Philadelphia, Pennsylvania,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20-79 yrs (136)</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20.5</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1969</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Ardmore, USA</w:t>
            </w:r>
          </w:p>
        </w:tc>
        <w:tc>
          <w:tcPr>
            <w:tcW w:w="1321" w:type="dxa"/>
            <w:tcBorders>
              <w:top w:val="single" w:sz="6" w:space="0" w:color="auto"/>
              <w:bottom w:val="single" w:sz="6" w:space="0" w:color="auto"/>
            </w:tcBorders>
            <w:shd w:val="clear" w:color="auto" w:fill="FFFFFF"/>
            <w:vAlign w:val="center"/>
          </w:tcPr>
          <w:p w:rsidR="00DE764C" w:rsidRDefault="00DE764C" w:rsidP="00E21B29">
            <w:pPr>
              <w:spacing w:line="240" w:lineRule="auto"/>
              <w:rPr>
                <w:rFonts w:cs="Arial"/>
                <w:sz w:val="20"/>
                <w:szCs w:val="20"/>
                <w:lang w:eastAsia="en-AU"/>
              </w:rPr>
            </w:pPr>
            <w:r>
              <w:rPr>
                <w:rFonts w:cs="Arial"/>
                <w:sz w:val="20"/>
                <w:szCs w:val="20"/>
                <w:lang w:eastAsia="en-AU"/>
              </w:rPr>
              <w:t>Adults</w:t>
            </w:r>
            <w:r w:rsidR="00E21B29">
              <w:rPr>
                <w:rFonts w:cs="Arial"/>
                <w:sz w:val="20"/>
                <w:szCs w:val="20"/>
                <w:lang w:eastAsia="en-AU"/>
              </w:rPr>
              <w:br/>
            </w:r>
            <w:r>
              <w:rPr>
                <w:rFonts w:cs="Arial"/>
                <w:sz w:val="20"/>
                <w:szCs w:val="20"/>
                <w:lang w:eastAsia="en-AU"/>
              </w:rPr>
              <w:t>20-79 yrs (150)</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1969</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Pasadena, USA</w:t>
            </w:r>
          </w:p>
        </w:tc>
        <w:tc>
          <w:tcPr>
            <w:tcW w:w="1321" w:type="dxa"/>
            <w:tcBorders>
              <w:top w:val="single" w:sz="6" w:space="0" w:color="auto"/>
              <w:bottom w:val="single" w:sz="6" w:space="0" w:color="auto"/>
            </w:tcBorders>
            <w:shd w:val="clear" w:color="auto" w:fill="FFFFFF"/>
            <w:vAlign w:val="center"/>
          </w:tcPr>
          <w:p w:rsidR="00DE764C" w:rsidRDefault="00DE764C" w:rsidP="00E21B29">
            <w:pPr>
              <w:spacing w:line="240" w:lineRule="auto"/>
              <w:rPr>
                <w:rFonts w:cs="Arial"/>
                <w:sz w:val="20"/>
                <w:szCs w:val="20"/>
                <w:lang w:eastAsia="en-AU"/>
              </w:rPr>
            </w:pPr>
            <w:r>
              <w:rPr>
                <w:rFonts w:cs="Arial"/>
                <w:sz w:val="20"/>
                <w:szCs w:val="20"/>
                <w:lang w:eastAsia="en-AU"/>
              </w:rPr>
              <w:t>Adults</w:t>
            </w:r>
            <w:r w:rsidR="00E21B29">
              <w:rPr>
                <w:rFonts w:cs="Arial"/>
                <w:sz w:val="20"/>
                <w:szCs w:val="20"/>
                <w:lang w:eastAsia="en-AU"/>
              </w:rPr>
              <w:br/>
            </w:r>
            <w:r>
              <w:rPr>
                <w:rFonts w:cs="Arial"/>
                <w:sz w:val="20"/>
                <w:szCs w:val="20"/>
                <w:lang w:eastAsia="en-AU"/>
              </w:rPr>
              <w:t>20-79 yrs (193)</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17.5</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Tepper and Levin 1972</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1968</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19.8</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McLaughlin et al. 1973</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1967</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20.1</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McLaughlin et al. 1973</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Ohio,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16</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Goldwater and Hoover 1967</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lastRenderedPageBreak/>
              <w:t>1963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New York,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21</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Goldwater and Hoover 1967</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Goldwater and Hoover 1967</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Pasadena,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Butt et al. 1964</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1963</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Cincinnati, Ohio,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24</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Ludwig et al. 1965</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1962</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Los Angeles,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Ludwig et al. 1965</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1961</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Philadelphia, Pennsylvania,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Ludwig et al. 1965</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Rural Ohio,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14</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Hofreuter et al. 1961</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Cincinnati, Ohio,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20</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Hofreuter et al. 1961</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New York,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20</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Hofreuter et al. 1961</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Chicago, Illinois,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20</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Hofreuter et al. 1961</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Denver, Colorado,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19</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Hofreuter et al. 1961</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Dallas, Texas,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18</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Hofreuter et al. 1961</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New Orleans, Louisiana,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22</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Hofreuter et al. 1961</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Alpine Colorado,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11</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Ludwig et al. 1965</w:t>
            </w:r>
          </w:p>
        </w:tc>
      </w:tr>
      <w:tr w:rsidR="00DE764C" w:rsidRPr="001A4F1E" w:rsidTr="00DE764C">
        <w:trPr>
          <w:cantSplit/>
        </w:trPr>
        <w:tc>
          <w:tcPr>
            <w:tcW w:w="950"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6"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Los Angeles, California, USA</w:t>
            </w:r>
          </w:p>
        </w:tc>
        <w:tc>
          <w:tcPr>
            <w:tcW w:w="1321"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17</w:t>
            </w:r>
          </w:p>
        </w:tc>
        <w:tc>
          <w:tcPr>
            <w:tcW w:w="781" w:type="dxa"/>
            <w:tcBorders>
              <w:top w:val="single" w:sz="6" w:space="0" w:color="auto"/>
              <w:left w:val="single" w:sz="4" w:space="0" w:color="auto"/>
              <w:bottom w:val="single" w:sz="6"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6"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6"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Ludwig et al. 1965</w:t>
            </w:r>
          </w:p>
        </w:tc>
      </w:tr>
      <w:tr w:rsidR="00DE764C" w:rsidRPr="001A4F1E" w:rsidTr="00DE764C">
        <w:trPr>
          <w:cantSplit/>
        </w:trPr>
        <w:tc>
          <w:tcPr>
            <w:tcW w:w="950" w:type="dxa"/>
            <w:tcBorders>
              <w:top w:val="single" w:sz="6" w:space="0" w:color="auto"/>
              <w:bottom w:val="single" w:sz="12"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1960</w:t>
            </w:r>
          </w:p>
        </w:tc>
        <w:tc>
          <w:tcPr>
            <w:tcW w:w="1762" w:type="dxa"/>
            <w:tcBorders>
              <w:top w:val="single" w:sz="6" w:space="0" w:color="auto"/>
              <w:bottom w:val="single" w:sz="12" w:space="0" w:color="auto"/>
            </w:tcBorders>
            <w:shd w:val="clear" w:color="auto" w:fill="FBD4B4" w:themeFill="accent6" w:themeFillTint="66"/>
            <w:vAlign w:val="center"/>
          </w:tcPr>
          <w:p w:rsidR="00DE764C" w:rsidRDefault="00DE764C" w:rsidP="00DE764C">
            <w:pPr>
              <w:spacing w:line="240" w:lineRule="auto"/>
              <w:rPr>
                <w:rFonts w:cs="Arial"/>
                <w:sz w:val="20"/>
                <w:szCs w:val="20"/>
                <w:lang w:eastAsia="en-AU"/>
              </w:rPr>
            </w:pPr>
            <w:r>
              <w:rPr>
                <w:rFonts w:cs="Arial"/>
                <w:sz w:val="20"/>
                <w:szCs w:val="20"/>
                <w:lang w:eastAsia="en-AU"/>
              </w:rPr>
              <w:t>Los Angeles, California, USA</w:t>
            </w:r>
          </w:p>
        </w:tc>
        <w:tc>
          <w:tcPr>
            <w:tcW w:w="1321" w:type="dxa"/>
            <w:tcBorders>
              <w:top w:val="single" w:sz="6" w:space="0" w:color="auto"/>
              <w:bottom w:val="single" w:sz="12"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Adults (unknown)</w:t>
            </w:r>
          </w:p>
        </w:tc>
        <w:tc>
          <w:tcPr>
            <w:tcW w:w="840" w:type="dxa"/>
            <w:tcBorders>
              <w:top w:val="single" w:sz="6" w:space="0" w:color="auto"/>
              <w:bottom w:val="single" w:sz="12"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21</w:t>
            </w:r>
          </w:p>
        </w:tc>
        <w:tc>
          <w:tcPr>
            <w:tcW w:w="781" w:type="dxa"/>
            <w:tcBorders>
              <w:top w:val="single" w:sz="6" w:space="0" w:color="auto"/>
              <w:left w:val="single" w:sz="4" w:space="0" w:color="auto"/>
              <w:bottom w:val="single" w:sz="12" w:space="0" w:color="auto"/>
              <w:right w:val="single" w:sz="4"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081" w:type="dxa"/>
            <w:tcBorders>
              <w:top w:val="single" w:sz="6" w:space="0" w:color="auto"/>
              <w:left w:val="single" w:sz="4" w:space="0" w:color="auto"/>
              <w:bottom w:val="single" w:sz="12" w:space="0" w:color="auto"/>
            </w:tcBorders>
            <w:shd w:val="clear" w:color="auto" w:fill="FFFFFF"/>
            <w:vAlign w:val="center"/>
          </w:tcPr>
          <w:p w:rsidR="00DE764C" w:rsidRDefault="00DE764C" w:rsidP="00DE764C">
            <w:pPr>
              <w:spacing w:line="240" w:lineRule="auto"/>
              <w:jc w:val="center"/>
              <w:rPr>
                <w:rFonts w:cs="Arial"/>
                <w:sz w:val="20"/>
                <w:szCs w:val="20"/>
                <w:lang w:eastAsia="en-AU"/>
              </w:rPr>
            </w:pPr>
            <w:r>
              <w:rPr>
                <w:rFonts w:cs="Arial"/>
                <w:sz w:val="20"/>
                <w:szCs w:val="20"/>
                <w:lang w:eastAsia="en-AU"/>
              </w:rPr>
              <w:t>-</w:t>
            </w:r>
          </w:p>
        </w:tc>
        <w:tc>
          <w:tcPr>
            <w:tcW w:w="1599" w:type="dxa"/>
            <w:tcBorders>
              <w:top w:val="single" w:sz="6" w:space="0" w:color="auto"/>
              <w:bottom w:val="single" w:sz="12" w:space="0" w:color="auto"/>
            </w:tcBorders>
            <w:shd w:val="clear" w:color="auto" w:fill="FFFFFF"/>
            <w:vAlign w:val="center"/>
          </w:tcPr>
          <w:p w:rsidR="00DE764C" w:rsidRDefault="00DE764C" w:rsidP="00DE764C">
            <w:pPr>
              <w:spacing w:line="240" w:lineRule="auto"/>
              <w:rPr>
                <w:rFonts w:cs="Arial"/>
                <w:sz w:val="20"/>
                <w:szCs w:val="20"/>
                <w:lang w:eastAsia="en-AU"/>
              </w:rPr>
            </w:pPr>
            <w:r>
              <w:rPr>
                <w:rFonts w:cs="Arial"/>
                <w:sz w:val="20"/>
                <w:szCs w:val="20"/>
                <w:lang w:eastAsia="en-AU"/>
              </w:rPr>
              <w:t>Ludwig et al. 1965</w:t>
            </w:r>
          </w:p>
        </w:tc>
      </w:tr>
    </w:tbl>
    <w:p w:rsidR="00DE764C" w:rsidRPr="00590E65" w:rsidRDefault="00DE764C" w:rsidP="00DE764C">
      <w:pPr>
        <w:spacing w:line="240" w:lineRule="auto"/>
        <w:rPr>
          <w:rFonts w:cs="Arial"/>
          <w:sz w:val="18"/>
          <w:szCs w:val="18"/>
          <w:lang w:eastAsia="en-AU"/>
        </w:rPr>
      </w:pPr>
      <w:r w:rsidRPr="00590E65">
        <w:rPr>
          <w:rFonts w:cs="Arial"/>
          <w:sz w:val="18"/>
          <w:szCs w:val="18"/>
          <w:lang w:eastAsia="en-AU"/>
        </w:rPr>
        <w:t>- = not reported; M = male; F = female</w:t>
      </w:r>
    </w:p>
    <w:p w:rsidR="00DE764C" w:rsidRPr="00590E65" w:rsidRDefault="00DE764C" w:rsidP="00DE764C">
      <w:pPr>
        <w:spacing w:line="240" w:lineRule="auto"/>
        <w:ind w:left="142" w:hanging="142"/>
        <w:rPr>
          <w:rFonts w:cs="Arial"/>
          <w:sz w:val="18"/>
          <w:szCs w:val="18"/>
          <w:lang w:eastAsia="en-AU"/>
        </w:rPr>
      </w:pPr>
      <w:r w:rsidRPr="00590E65">
        <w:rPr>
          <w:rFonts w:cs="Arial"/>
          <w:sz w:val="24"/>
          <w:szCs w:val="24"/>
          <w:vertAlign w:val="superscript"/>
          <w:lang w:eastAsia="en-AU"/>
        </w:rPr>
        <w:t>a</w:t>
      </w:r>
      <w:r>
        <w:rPr>
          <w:rFonts w:cs="Arial"/>
          <w:sz w:val="18"/>
          <w:szCs w:val="18"/>
          <w:lang w:eastAsia="en-AU"/>
        </w:rPr>
        <w:t xml:space="preserve"> Current background </w:t>
      </w:r>
      <w:r w:rsidR="000C3863">
        <w:rPr>
          <w:rFonts w:cs="Arial"/>
          <w:sz w:val="18"/>
          <w:szCs w:val="18"/>
          <w:lang w:eastAsia="en-AU"/>
        </w:rPr>
        <w:t>PbB</w:t>
      </w:r>
      <w:r w:rsidRPr="00590E65">
        <w:rPr>
          <w:rFonts w:cs="Arial"/>
          <w:sz w:val="18"/>
          <w:szCs w:val="18"/>
          <w:lang w:eastAsia="en-AU"/>
        </w:rPr>
        <w:t xml:space="preserve"> is taken from </w:t>
      </w:r>
      <w:r>
        <w:rPr>
          <w:rFonts w:cs="Arial"/>
          <w:sz w:val="18"/>
          <w:szCs w:val="18"/>
          <w:lang w:eastAsia="en-AU"/>
        </w:rPr>
        <w:t xml:space="preserve">geometric means in </w:t>
      </w:r>
      <w:r w:rsidRPr="00590E65">
        <w:rPr>
          <w:rFonts w:cs="Arial"/>
          <w:sz w:val="18"/>
          <w:szCs w:val="18"/>
          <w:lang w:eastAsia="en-AU"/>
        </w:rPr>
        <w:t>studies of communities post 2000 (when leaded petrol was no longer in widespread use) and which were not affected by point sources of lead exposure.</w:t>
      </w:r>
    </w:p>
    <w:p w:rsidR="00DE764C" w:rsidRDefault="00DE764C" w:rsidP="00DE764C">
      <w:pPr>
        <w:spacing w:line="240" w:lineRule="auto"/>
        <w:ind w:left="142" w:hanging="142"/>
        <w:rPr>
          <w:rFonts w:cs="Arial"/>
          <w:sz w:val="18"/>
          <w:szCs w:val="18"/>
          <w:lang w:eastAsia="en-AU"/>
        </w:rPr>
      </w:pPr>
      <w:r w:rsidRPr="00590E65">
        <w:rPr>
          <w:rFonts w:cs="Arial"/>
          <w:sz w:val="24"/>
          <w:szCs w:val="24"/>
          <w:vertAlign w:val="superscript"/>
          <w:lang w:eastAsia="en-AU"/>
        </w:rPr>
        <w:t xml:space="preserve">b </w:t>
      </w:r>
      <w:r w:rsidRPr="00590E65">
        <w:rPr>
          <w:rFonts w:cs="Arial"/>
          <w:sz w:val="18"/>
          <w:szCs w:val="18"/>
          <w:lang w:eastAsia="en-AU"/>
        </w:rPr>
        <w:t>Although Broken Hill has been impacted by historical and current mining operations</w:t>
      </w:r>
      <w:r>
        <w:rPr>
          <w:rFonts w:cs="Arial"/>
          <w:sz w:val="18"/>
          <w:szCs w:val="18"/>
          <w:lang w:eastAsia="en-AU"/>
        </w:rPr>
        <w:t xml:space="preserve">, extensive remediation has reduced </w:t>
      </w:r>
      <w:r w:rsidR="000C3863">
        <w:rPr>
          <w:rFonts w:cs="Arial"/>
          <w:sz w:val="18"/>
          <w:szCs w:val="18"/>
          <w:lang w:eastAsia="en-AU"/>
        </w:rPr>
        <w:t>PbB</w:t>
      </w:r>
      <w:r>
        <w:rPr>
          <w:rFonts w:cs="Arial"/>
          <w:sz w:val="18"/>
          <w:szCs w:val="18"/>
          <w:lang w:eastAsia="en-AU"/>
        </w:rPr>
        <w:t xml:space="preserve"> levels in adults to background ranges</w:t>
      </w:r>
      <w:r w:rsidRPr="00590E65">
        <w:rPr>
          <w:rFonts w:cs="Arial"/>
          <w:sz w:val="18"/>
          <w:szCs w:val="18"/>
          <w:lang w:eastAsia="en-AU"/>
        </w:rPr>
        <w:t xml:space="preserve">. </w:t>
      </w:r>
    </w:p>
    <w:p w:rsidR="00DE764C" w:rsidRDefault="00DE764C" w:rsidP="00DE764C">
      <w:pPr>
        <w:spacing w:line="240" w:lineRule="auto"/>
        <w:ind w:left="142" w:hanging="142"/>
        <w:rPr>
          <w:rFonts w:cs="Arial"/>
          <w:sz w:val="18"/>
          <w:szCs w:val="18"/>
          <w:lang w:eastAsia="en-AU"/>
        </w:rPr>
      </w:pPr>
      <w:r>
        <w:rPr>
          <w:rFonts w:cs="Arial"/>
          <w:sz w:val="24"/>
          <w:szCs w:val="24"/>
          <w:vertAlign w:val="superscript"/>
          <w:lang w:eastAsia="en-AU"/>
        </w:rPr>
        <w:t>c</w:t>
      </w:r>
      <w:r>
        <w:rPr>
          <w:rFonts w:cs="Arial"/>
          <w:sz w:val="18"/>
          <w:szCs w:val="18"/>
          <w:lang w:eastAsia="en-AU"/>
        </w:rPr>
        <w:t xml:space="preserve"> Statistics calculated by ToxConsult from raw data provided in Gulson et al. (2006).</w:t>
      </w:r>
    </w:p>
    <w:p w:rsidR="00DE764C" w:rsidRDefault="00DE764C" w:rsidP="00DE764C">
      <w:pPr>
        <w:spacing w:line="240" w:lineRule="auto"/>
        <w:ind w:left="142" w:hanging="142"/>
        <w:rPr>
          <w:rFonts w:cs="Arial"/>
          <w:sz w:val="18"/>
          <w:szCs w:val="18"/>
          <w:lang w:eastAsia="en-AU"/>
        </w:rPr>
      </w:pPr>
      <w:r>
        <w:rPr>
          <w:rFonts w:cs="Arial"/>
          <w:sz w:val="24"/>
          <w:szCs w:val="24"/>
          <w:vertAlign w:val="superscript"/>
          <w:lang w:eastAsia="en-AU"/>
        </w:rPr>
        <w:t>d</w:t>
      </w:r>
      <w:r>
        <w:rPr>
          <w:rFonts w:cs="Arial"/>
          <w:sz w:val="18"/>
          <w:szCs w:val="18"/>
          <w:lang w:eastAsia="en-AU"/>
        </w:rPr>
        <w:t xml:space="preserve"> Background blood reported here is for communities between 1960-1999 (when leaded petrol was still in use) and which were not affected by point sources of lead exposure.  </w:t>
      </w:r>
    </w:p>
    <w:p w:rsidR="00DE764C" w:rsidRDefault="00DE764C" w:rsidP="00DE764C">
      <w:pPr>
        <w:spacing w:line="240" w:lineRule="auto"/>
        <w:ind w:left="142" w:hanging="142"/>
        <w:rPr>
          <w:rFonts w:cs="Arial"/>
          <w:sz w:val="18"/>
          <w:szCs w:val="18"/>
          <w:lang w:eastAsia="en-AU"/>
        </w:rPr>
      </w:pPr>
      <w:r>
        <w:rPr>
          <w:rFonts w:cs="Arial"/>
          <w:sz w:val="24"/>
          <w:szCs w:val="24"/>
          <w:vertAlign w:val="superscript"/>
          <w:lang w:eastAsia="en-AU"/>
        </w:rPr>
        <w:t>e</w:t>
      </w:r>
      <w:r>
        <w:rPr>
          <w:rFonts w:cs="Arial"/>
          <w:sz w:val="18"/>
          <w:szCs w:val="18"/>
          <w:lang w:eastAsia="en-AU"/>
        </w:rPr>
        <w:t xml:space="preserve"> Women in this study were recruited from the Port Pirie surrounding rural area and towns neighbouring Port Pirie. The values in this table do not represent </w:t>
      </w:r>
      <w:r w:rsidR="000C3863">
        <w:rPr>
          <w:rFonts w:cs="Arial"/>
          <w:sz w:val="18"/>
          <w:szCs w:val="18"/>
          <w:lang w:eastAsia="en-AU"/>
        </w:rPr>
        <w:t>PbB</w:t>
      </w:r>
      <w:r>
        <w:rPr>
          <w:rFonts w:cs="Arial"/>
          <w:sz w:val="18"/>
          <w:szCs w:val="18"/>
          <w:lang w:eastAsia="en-AU"/>
        </w:rPr>
        <w:t xml:space="preserve"> from women living in Port Pirie, which had a lead smelter (i.e. a point source of lead).  </w:t>
      </w:r>
    </w:p>
    <w:p w:rsidR="00DE764C" w:rsidRDefault="00DE764C" w:rsidP="00E21B29">
      <w:pPr>
        <w:spacing w:line="240" w:lineRule="auto"/>
        <w:ind w:left="142" w:hanging="142"/>
        <w:rPr>
          <w:b/>
        </w:rPr>
      </w:pPr>
      <w:r>
        <w:rPr>
          <w:rFonts w:cs="Arial"/>
          <w:sz w:val="24"/>
          <w:szCs w:val="24"/>
          <w:vertAlign w:val="superscript"/>
          <w:lang w:eastAsia="en-AU"/>
        </w:rPr>
        <w:t>f</w:t>
      </w:r>
      <w:r>
        <w:rPr>
          <w:rFonts w:cs="Arial"/>
          <w:sz w:val="18"/>
          <w:szCs w:val="18"/>
          <w:lang w:eastAsia="en-AU"/>
        </w:rPr>
        <w:t xml:space="preserve"> </w:t>
      </w:r>
      <w:r w:rsidR="000C3863">
        <w:rPr>
          <w:rFonts w:cs="Arial"/>
          <w:sz w:val="18"/>
          <w:szCs w:val="18"/>
          <w:lang w:eastAsia="en-AU"/>
        </w:rPr>
        <w:t>PbB</w:t>
      </w:r>
      <w:r>
        <w:rPr>
          <w:rFonts w:cs="Arial"/>
          <w:sz w:val="18"/>
          <w:szCs w:val="18"/>
          <w:lang w:eastAsia="en-AU"/>
        </w:rPr>
        <w:t xml:space="preserve"> values estimated from figures in OECD (1993), as original publications could not be sourced. </w:t>
      </w:r>
      <w:r>
        <w:rPr>
          <w:b/>
        </w:rPr>
        <w:br w:type="page"/>
      </w:r>
    </w:p>
    <w:p w:rsidR="00DE764C" w:rsidRDefault="00DE764C" w:rsidP="00DE764C">
      <w:pPr>
        <w:rPr>
          <w:b/>
        </w:rPr>
      </w:pPr>
      <w:r>
        <w:rPr>
          <w:b/>
        </w:rPr>
        <w:lastRenderedPageBreak/>
        <w:t>References for Appendix C</w:t>
      </w:r>
    </w:p>
    <w:p w:rsidR="00DE764C" w:rsidRPr="00DE764C" w:rsidRDefault="00DE764C" w:rsidP="00DE764C">
      <w:pPr>
        <w:spacing w:line="240" w:lineRule="auto"/>
        <w:ind w:firstLine="1"/>
        <w:rPr>
          <w:rFonts w:cs="Arial"/>
          <w:sz w:val="20"/>
          <w:szCs w:val="20"/>
        </w:rPr>
      </w:pPr>
      <w:r w:rsidRPr="00DE764C">
        <w:rPr>
          <w:rFonts w:cs="Arial"/>
          <w:sz w:val="20"/>
          <w:szCs w:val="20"/>
        </w:rPr>
        <w:t xml:space="preserve">Atherton, J. K. (1992). Fascimile to Dr. J Buccini (Environment Canada), re: comments on the draft OECD Risk Reduction Strategy Document for Lead. UK Department of the Environment. December. As cited in OECD 1993. </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Apostoli, P., Baj, A., Bavazzano, P., Ganzi, A., Neri, G., Ronchi, A., Soleo, L., Di Lorenzo, L., Spinelli, P., Valente, T. and Minoia, C. (2002). Blood lead reference values: the results of an Italian polycentric study. The Science of The Total Environment. 287: 1-11.</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 xml:space="preserve">Batáriová, A., Spevácková, V., Benes, B., Cejchanová, M., Smíd, J. and Cerná, M. (2006). Blood and urine levels of Pb, Cd and Hg in the general population of the Czech Republic and proposed reference values. International Journal of Hygiene and Environmental Health. 209 (4): 359-366. </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Becker, K., Kaus, S., Krause, C., Lepom, P., Schulz, C., Seiwert, M. and Seifert, B. (2002). German Environmental Survey 1998 (GerES III): environmental pollutants in blood of the German population. International Journal of Hygiene and Environmental Health. 205: 297-308.</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Butt, E. M., Nusbaum, R. E., Gilmour, T. C., Didio, S. L. and Sister, M. (1964). Trace metal levels in human serum and blood. Archives of Environmental Health. 8: 52-57. As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Ducoffre, G., Claeys, F. and Bruaux, P. (1990). Lowering time trend of blood lead levels in Belgium since 1978. Environmental Research. 51: 25-34.</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Elwood, P. and Toothill, C. (1986). Further evidence of a fall in blood lead levels in Wales. Journal of Epidemiology and Community Health. 40: 178-180.</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Goldsmith, J. R. (1974). Food chain and health implications of airborne lead. Epidemiological Studies Laboratory, California State Department of Health, September 1974. As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Goldwater, L. J. and Hoover, W. A. (1967). An international study of 'normal' levels of lead in blood and urine. Archives of Environmental Health. 15: 60-63. As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Gulson, B. L., Mizon, K. J., Korsch, M. J. and Taylor, A. J. N. (2006). Low blood lead levels do not appear to be further reduced by dietary supplements. Environmental Health Perspectives. 114: 1186-1192.</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Hammond, P. B., Lerner, S. I., Gartside, P. S., Hanenson, I. B., Roda, S. B., Foulkes, E. C., Johnson, D. R. and Pesce, A. J. (1980). The relationship of biological indices of lead exposure to the health status of workers in a secondary lead smelter. Journal of Occupational Medicine. 22: 475-484.</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Hecker, L. H., Allen, H. E. and Dinman, B. D. (1974). Heavy metal levels in acculturated and unacculturated populations. Archives of Environmental Health. 29: 181-185. As cited in OECD 1993.</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Hinton, D., Coope, P. A., Malpress, W. A. and Janus, E. D. (1986). Trends in blood lead levels in Christchurch (NZ) and environs 1978-85. Journal of Epidemiology and Community Health. 40: 244-248.</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Hofreuter, D. H., Catcott, E. J., Keenan, R. G. and Xintaras, C. (1961). The public health significance of atmospheric lead. Archives of Environmental Health. 3: 568-574. As cited in OECD 1993.</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Johnson, D. E., Tillery, J. B. and Prevost, R. J. (1975a). Levels of Platinum, Palladium, and Lead in Populations of Southern California. Environmental Health Perspectives. 12: 27-33.</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Johnson, D. E., Tillery, J. B. and Prevost, R. J. (1975b). Trace Metals in Occupationally and Nonoccupationally Exposed Individuals. Environmental Health Perspectives. 10: 151-158.</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rPr>
          <w:rFonts w:cs="Arial"/>
          <w:sz w:val="20"/>
          <w:szCs w:val="20"/>
        </w:rPr>
      </w:pPr>
      <w:r w:rsidRPr="00DE764C">
        <w:rPr>
          <w:rFonts w:cs="Arial"/>
          <w:sz w:val="20"/>
          <w:szCs w:val="20"/>
        </w:rPr>
        <w:t>KEMI (1992). Comments and data from Dr. L. Gustafsson, KEMI, to J. Buccini, Environment Canada, regarding lead in Sweden. National Chemicals Inspectorate, Sweden. June. As cited in OECD 1993.</w:t>
      </w:r>
    </w:p>
    <w:p w:rsidR="00DE764C" w:rsidRPr="00DE764C" w:rsidRDefault="00DE764C" w:rsidP="00DE764C">
      <w:pPr>
        <w:spacing w:line="240" w:lineRule="auto"/>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Kim, N.-S. and Lee, B.-K. (2009). National estimates of blood lead, cadmium, and mercury levels in the Korean general adult population. International Archives of Occupational and Environmental Health. 84 (1): 53-63.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lastRenderedPageBreak/>
        <w:t>Landrigan, P. J., Tamblyn, P. B., Nelson, M., Kerndt, P., Kronoveter, K. J. and Zack, M. M. (1980). Lead exposure in stained glass workers. American Journal of Industrial Medicine. 1: 177-180.</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Ludwig, J. H., Diggs, D. R., Hesselberg, H. E. and Maga, J. A. (1965). Survey of lead in the atmosphere of three urban communities: a summary. American Industrial Hygeine Association Journal. 26: 270-284.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McLaughlin, M. and Stopps, G. J. (1972). Smoking and lead. Presented at American Academy of Occupational Medicine, Pittsburgh. Feb. 1972. As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McLaughlin, M., Linch, A. L. and Snee, R. D. (1973). Longitudinal studies of lead levels in a US population. Archives of Environmental Health. 27: 305-311. As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McMichael, A. J., Vimpani, G. V., Robertson, E. F., Baghurst, P. A. and Clark, P. D. (1986). The Port Pirie cohort study: maternal blood lead and pregnancy outcome. Journal of Epidemiological Community Health. 40: 18-25.</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Minoia, C., Sabbioni, E., Apostoli, P., Pietra, R., Pozzoli, L., Gallorini, M., Nicolaou, G., Alessio, L. and Capodaglio, E. (1990). Trace element reference values in tissues from inhabitants of the European community I. A study of 46 elements in urine, blood and serum of Italian subjects. Science of The Total Environment. 95: 89-105.</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Mortada, W. I., Sobh, M. A., El-Defrawy, M. M. and Farahat, S. E. (2002). Reference Intervals of Cadmium, Lead, and Mercury in Blood, Urine, Hair, and Nails among Residents in Mansoura City, Nile Delta, Egypt. Environmental Research. 90: 104-110.</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Mϋller, G. (1992). Comments and data submitted to J. Buccini regarding lead in Germany. Federal Environment Agency, Germany. July. As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 xml:space="preserve">OECD (1993). Risk reduction monograph No. 1. Lead: background and national experience with reducing risk. Organisation for Economic Co-operation and Development. OECD/GD(93)67. </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Osbourne, R. G., Raye, J. R., Bowers, G. N. and Lepow, M. L. (1976). The influence of environmental factors on maternal and neonatal blood lead levels. Connecticut medicine. 40: 452-455. As cited in OECD 1993.</w:t>
      </w:r>
    </w:p>
    <w:p w:rsidR="00DE764C" w:rsidRPr="00DE764C" w:rsidRDefault="00DE764C" w:rsidP="00DE764C">
      <w:pPr>
        <w:spacing w:line="240" w:lineRule="auto"/>
        <w:ind w:firstLine="1"/>
        <w:rPr>
          <w:rFonts w:cs="Arial"/>
          <w:sz w:val="20"/>
          <w:szCs w:val="20"/>
        </w:rPr>
      </w:pPr>
    </w:p>
    <w:p w:rsidR="00DE764C" w:rsidRPr="00DE764C" w:rsidRDefault="00DE764C" w:rsidP="00DE764C">
      <w:pPr>
        <w:spacing w:line="240" w:lineRule="auto"/>
        <w:ind w:firstLine="1"/>
        <w:rPr>
          <w:rFonts w:cs="Arial"/>
          <w:sz w:val="20"/>
          <w:szCs w:val="20"/>
        </w:rPr>
      </w:pPr>
      <w:r w:rsidRPr="00DE764C">
        <w:rPr>
          <w:rFonts w:cs="Arial"/>
          <w:sz w:val="20"/>
          <w:szCs w:val="20"/>
        </w:rPr>
        <w:t xml:space="preserve">Tepper, L. B. and Levin, L. S. (1972). A survey of air and population lead levels in selected American communities. Office of Research and Monitoring, United States Environmental Protection Agency. Environmental Health Effects Research Series. EPA-R1-72-005. </w:t>
      </w:r>
    </w:p>
    <w:p w:rsidR="00DE764C" w:rsidRPr="00DE764C" w:rsidRDefault="00DE764C" w:rsidP="00DE764C">
      <w:pPr>
        <w:spacing w:line="240" w:lineRule="auto"/>
        <w:ind w:firstLine="1"/>
        <w:rPr>
          <w:rFonts w:cs="Arial"/>
          <w:sz w:val="20"/>
          <w:szCs w:val="20"/>
        </w:rPr>
      </w:pPr>
    </w:p>
    <w:p w:rsidR="00DE764C" w:rsidRDefault="001F1A21" w:rsidP="00DE764C">
      <w:pPr>
        <w:spacing w:line="240" w:lineRule="auto"/>
        <w:ind w:firstLine="1"/>
        <w:rPr>
          <w:rFonts w:cs="Arial"/>
          <w:sz w:val="20"/>
          <w:szCs w:val="20"/>
        </w:rPr>
      </w:pPr>
      <w:r w:rsidRPr="001F1A21">
        <w:rPr>
          <w:rFonts w:cs="Arial"/>
          <w:sz w:val="20"/>
          <w:szCs w:val="20"/>
        </w:rPr>
        <w:t xml:space="preserve">VIC DoH (2012). The Victorian Health Monitor. Victorian Department of Health. </w:t>
      </w:r>
      <w:hyperlink r:id="rId80" w:history="1">
        <w:r w:rsidRPr="00ED0E24">
          <w:rPr>
            <w:rStyle w:val="Hyperlink"/>
            <w:rFonts w:cs="Arial"/>
            <w:sz w:val="20"/>
            <w:szCs w:val="20"/>
          </w:rPr>
          <w:t>http://docs.health.vic.gov.au/docs/doc/CC6A20C055B5AA75CA257A80001A7128/$FILE/VHM%20Report.pdf</w:t>
        </w:r>
      </w:hyperlink>
      <w:r>
        <w:rPr>
          <w:rFonts w:cs="Arial"/>
          <w:sz w:val="20"/>
          <w:szCs w:val="20"/>
        </w:rPr>
        <w:t xml:space="preserve">. </w:t>
      </w:r>
    </w:p>
    <w:p w:rsidR="001F1A21" w:rsidRPr="00DE764C" w:rsidRDefault="001F1A21" w:rsidP="00DE764C">
      <w:pPr>
        <w:spacing w:line="240" w:lineRule="auto"/>
        <w:ind w:firstLine="1"/>
        <w:rPr>
          <w:rFonts w:cs="Arial"/>
          <w:sz w:val="20"/>
          <w:szCs w:val="20"/>
        </w:rPr>
      </w:pPr>
    </w:p>
    <w:p w:rsidR="00DE764C" w:rsidRDefault="00DE764C" w:rsidP="00DE764C">
      <w:pPr>
        <w:spacing w:line="240" w:lineRule="auto"/>
        <w:ind w:firstLine="1"/>
        <w:rPr>
          <w:rFonts w:cs="Arial"/>
          <w:sz w:val="20"/>
          <w:szCs w:val="20"/>
        </w:rPr>
      </w:pPr>
      <w:r w:rsidRPr="00DE764C">
        <w:rPr>
          <w:rFonts w:cs="Arial"/>
          <w:sz w:val="20"/>
          <w:szCs w:val="20"/>
        </w:rPr>
        <w:t>Wei Liang, Y., Vislay, S. A. and Edwards, R. E. (1977). Is Airborne Lead from Combustion of Leaded Gasoline a Possible Health Hazard? Clinical Pediatrics. 16: 791-794.</w:t>
      </w:r>
    </w:p>
    <w:p w:rsidR="00DE764C" w:rsidRDefault="00DE764C" w:rsidP="00DE764C">
      <w:pPr>
        <w:spacing w:line="240" w:lineRule="auto"/>
        <w:ind w:firstLine="1"/>
        <w:rPr>
          <w:rFonts w:cs="Arial"/>
          <w:sz w:val="20"/>
          <w:szCs w:val="20"/>
        </w:rPr>
      </w:pPr>
    </w:p>
    <w:p w:rsidR="00DE764C" w:rsidRDefault="00DE764C">
      <w:pPr>
        <w:rPr>
          <w:rFonts w:cs="Arial"/>
          <w:sz w:val="20"/>
          <w:szCs w:val="20"/>
        </w:rPr>
      </w:pPr>
      <w:r>
        <w:rPr>
          <w:rFonts w:cs="Arial"/>
          <w:sz w:val="20"/>
          <w:szCs w:val="20"/>
        </w:rPr>
        <w:br w:type="page"/>
      </w:r>
    </w:p>
    <w:p w:rsidR="00DE764C" w:rsidRDefault="00DE764C" w:rsidP="00DE764C">
      <w:pPr>
        <w:pStyle w:val="Heading1"/>
      </w:pPr>
      <w:bookmarkStart w:id="53" w:name="_Toc391288260"/>
      <w:r>
        <w:lastRenderedPageBreak/>
        <w:t>Appendix D: Leaded petrol consumption in Australia and overseas</w:t>
      </w:r>
      <w:bookmarkEnd w:id="53"/>
    </w:p>
    <w:p w:rsidR="00DE764C" w:rsidRDefault="00DE764C" w:rsidP="00DE764C">
      <w:pPr>
        <w:rPr>
          <w:b/>
        </w:rPr>
      </w:pPr>
    </w:p>
    <w:p w:rsidR="00DE764C" w:rsidRPr="0070133C" w:rsidRDefault="00DE764C" w:rsidP="00DE764C">
      <w:pPr>
        <w:rPr>
          <w:b/>
        </w:rPr>
      </w:pPr>
      <w:r w:rsidRPr="0070133C">
        <w:rPr>
          <w:b/>
        </w:rPr>
        <w:t>Leaded petrol consumption in Australia</w:t>
      </w:r>
      <w:r>
        <w:rPr>
          <w:b/>
        </w:rPr>
        <w:t xml:space="preserve"> </w:t>
      </w:r>
    </w:p>
    <w:p w:rsidR="00DE764C" w:rsidRDefault="00DE764C" w:rsidP="00DE764C">
      <w:pPr>
        <w:rPr>
          <w:b/>
        </w:rPr>
      </w:pPr>
    </w:p>
    <w:p w:rsidR="00DE764C" w:rsidRDefault="00DE764C" w:rsidP="00DE764C">
      <w:r>
        <w:t xml:space="preserve">Figure D.1 shows the percentage of vehicles in Australia that ran on leaded petrol and the percentage of fuel consumption that was leaded petrol decreased since 1993. </w:t>
      </w:r>
    </w:p>
    <w:p w:rsidR="00DE764C" w:rsidRDefault="00DE764C" w:rsidP="00DE764C"/>
    <w:p w:rsidR="00DE764C" w:rsidRPr="003D37C5" w:rsidRDefault="00DE764C" w:rsidP="00DE764C">
      <w:r>
        <w:t xml:space="preserve">The earliest motor vehicle census available online from the Australian Bureau of Statistics’ (ABS) was published in 1995, and reports on the fuel type of registered vehicles around Australia. In 1993, the </w:t>
      </w:r>
      <w:r w:rsidR="001B414C">
        <w:t xml:space="preserve">many (approximately 56.9%) </w:t>
      </w:r>
      <w:r>
        <w:t xml:space="preserve">registered vehicles were running on leaded petrol (5,974,136 out of 10,504,150 vehicles) (ABS 1995), which decreased to around 48% (5,306,287 out of 10,947,530) by 1995. </w:t>
      </w:r>
    </w:p>
    <w:p w:rsidR="00DE764C" w:rsidRDefault="00DE764C" w:rsidP="00DE764C"/>
    <w:p w:rsidR="00DE764C" w:rsidRDefault="00DE764C" w:rsidP="00DE764C">
      <w:r w:rsidRPr="0070133C">
        <w:t>In the year ended on the 31</w:t>
      </w:r>
      <w:r w:rsidRPr="0070133C">
        <w:rPr>
          <w:vertAlign w:val="superscript"/>
        </w:rPr>
        <w:t>st</w:t>
      </w:r>
      <w:r w:rsidRPr="0070133C">
        <w:t xml:space="preserve"> of July, 1998, fuel consumption that was leaded petrol was still around 13% of total fuel consumption </w:t>
      </w:r>
      <w:r>
        <w:t>(3,191 million lit</w:t>
      </w:r>
      <w:r w:rsidRPr="0070133C">
        <w:t>r</w:t>
      </w:r>
      <w:r>
        <w:t>e</w:t>
      </w:r>
      <w:r w:rsidRPr="0070133C">
        <w:t>s</w:t>
      </w:r>
      <w:r>
        <w:t xml:space="preserve"> of 23,909) (ABS 2000). Leaded petrol fuel consumption was still around 12% in the year ended on the 31</w:t>
      </w:r>
      <w:r w:rsidRPr="0070133C">
        <w:rPr>
          <w:vertAlign w:val="superscript"/>
        </w:rPr>
        <w:t>st</w:t>
      </w:r>
      <w:r>
        <w:t xml:space="preserve"> of October 2000 (ABS 2001), which decreased to 9% at the end of 2001 (ABS 2003a), to 1.7% by the end of 2002 (ABS 2003b) and 0.6% by the end of 2003 (ABS 2004).</w:t>
      </w:r>
    </w:p>
    <w:p w:rsidR="00DE764C" w:rsidRDefault="00DE764C" w:rsidP="00DE764C"/>
    <w:p w:rsidR="00DE764C" w:rsidRDefault="00DE764C" w:rsidP="00DE764C">
      <w:r>
        <w:t>Leaded petrol was phased out nationally by the 1</w:t>
      </w:r>
      <w:r w:rsidRPr="0070133C">
        <w:rPr>
          <w:vertAlign w:val="superscript"/>
        </w:rPr>
        <w:t>st</w:t>
      </w:r>
      <w:r>
        <w:t xml:space="preserve"> of January, 2002. All new vehicles built after 1986 ran on unleaded petrol (DEWHA 2001). </w:t>
      </w:r>
    </w:p>
    <w:p w:rsidR="00DE764C" w:rsidRDefault="00DE764C" w:rsidP="00DE764C"/>
    <w:p w:rsidR="00DE764C" w:rsidRDefault="00685FBE" w:rsidP="00DE764C">
      <w:r>
        <w:rPr>
          <w:noProof/>
          <w:lang w:eastAsia="en-AU"/>
        </w:rPr>
        <w:lastRenderedPageBreak/>
        <mc:AlternateContent>
          <mc:Choice Requires="wpc">
            <w:drawing>
              <wp:inline distT="0" distB="0" distL="0" distR="0" wp14:anchorId="22B81E8C" wp14:editId="0C789DDB">
                <wp:extent cx="5943600" cy="4883150"/>
                <wp:effectExtent l="0" t="0" r="0" b="0"/>
                <wp:docPr id="179" name="Canvas 54" title="Figure D.1: Leaded petrol consumption in Australia"/>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 name="Picture 5" title="% of vehicles that ran on / % fuel consumption that was leaded petrol"/>
                          <pic:cNvPicPr>
                            <a:picLocks noChangeAspect="1" noChangeArrowheads="1"/>
                          </pic:cNvPicPr>
                        </pic:nvPicPr>
                        <pic:blipFill>
                          <a:blip r:embed="rId81">
                            <a:extLst>
                              <a:ext uri="{28A0092B-C50C-407E-A947-70E740481C1C}">
                                <a14:useLocalDpi xmlns:a14="http://schemas.microsoft.com/office/drawing/2010/main" val="0"/>
                              </a:ext>
                            </a:extLst>
                          </a:blip>
                          <a:srcRect l="1671" t="3117" r="1393"/>
                          <a:stretch>
                            <a:fillRect/>
                          </a:stretch>
                        </pic:blipFill>
                        <pic:spPr bwMode="auto">
                          <a:xfrm>
                            <a:off x="0" y="0"/>
                            <a:ext cx="5943600" cy="3185398"/>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6" descr="1993 and 1995 data corresponds to percentage of registered vehicles that ran on leaded petrol in Australia.&#10;&#10;Data for the other years corresponds to percentage of total fuel consumption that was leaded petrol.&#10;&#10;All vehicles built after 1986 ran on unleaded petrol.&#10;" title="Figure D.1: Leaded petrol consumption in Australia"/>
                        <wps:cNvSpPr txBox="1">
                          <a:spLocks noChangeArrowheads="1"/>
                        </wps:cNvSpPr>
                        <wps:spPr bwMode="auto">
                          <a:xfrm>
                            <a:off x="228572" y="3314700"/>
                            <a:ext cx="5600377" cy="1466850"/>
                          </a:xfrm>
                          <a:prstGeom prst="rect">
                            <a:avLst/>
                          </a:prstGeom>
                          <a:solidFill>
                            <a:srgbClr val="FFFF99"/>
                          </a:solidFill>
                          <a:ln w="19050">
                            <a:solidFill>
                              <a:srgbClr val="000000"/>
                            </a:solidFill>
                            <a:miter lim="800000"/>
                            <a:headEnd/>
                            <a:tailEnd/>
                          </a:ln>
                        </wps:spPr>
                        <wps:txbx>
                          <w:txbxContent>
                            <w:p w:rsidR="00723BD5" w:rsidRDefault="00723BD5" w:rsidP="00DE764C">
                              <w:pPr>
                                <w:spacing w:line="240" w:lineRule="auto"/>
                                <w:rPr>
                                  <w:b/>
                                  <w:lang w:val="en-US"/>
                                </w:rPr>
                              </w:pPr>
                              <w:r>
                                <w:rPr>
                                  <w:b/>
                                  <w:lang w:val="en-US"/>
                                </w:rPr>
                                <w:t>Figure D.1: Leaded petrol consumption in Australia</w:t>
                              </w:r>
                            </w:p>
                            <w:p w:rsidR="00723BD5" w:rsidRDefault="00723BD5" w:rsidP="00DE764C">
                              <w:pPr>
                                <w:spacing w:line="240" w:lineRule="auto"/>
                                <w:rPr>
                                  <w:b/>
                                  <w:lang w:val="en-US"/>
                                </w:rPr>
                              </w:pPr>
                            </w:p>
                            <w:p w:rsidR="00723BD5" w:rsidRPr="00686405" w:rsidRDefault="00723BD5" w:rsidP="00DE764C">
                              <w:pPr>
                                <w:spacing w:line="240" w:lineRule="auto"/>
                                <w:rPr>
                                  <w:sz w:val="20"/>
                                  <w:szCs w:val="20"/>
                                  <w:lang w:val="en-US"/>
                                </w:rPr>
                              </w:pPr>
                              <w:r w:rsidRPr="00686405">
                                <w:rPr>
                                  <w:sz w:val="20"/>
                                  <w:szCs w:val="20"/>
                                  <w:lang w:val="en-US"/>
                                </w:rPr>
                                <w:t>1993 and 1995 data corresponds to percentage of registered vehicles that ran on leaded petrol in Australia.</w:t>
                              </w:r>
                            </w:p>
                            <w:p w:rsidR="00723BD5" w:rsidRPr="00686405" w:rsidRDefault="00723BD5" w:rsidP="00DE764C">
                              <w:pPr>
                                <w:spacing w:line="240" w:lineRule="auto"/>
                                <w:rPr>
                                  <w:sz w:val="20"/>
                                  <w:szCs w:val="20"/>
                                  <w:lang w:val="en-US"/>
                                </w:rPr>
                              </w:pPr>
                            </w:p>
                            <w:p w:rsidR="00723BD5" w:rsidRPr="00686405" w:rsidRDefault="00723BD5" w:rsidP="00DE764C">
                              <w:pPr>
                                <w:spacing w:line="240" w:lineRule="auto"/>
                                <w:rPr>
                                  <w:sz w:val="20"/>
                                  <w:szCs w:val="20"/>
                                  <w:lang w:val="en-US"/>
                                </w:rPr>
                              </w:pPr>
                              <w:r w:rsidRPr="00686405">
                                <w:rPr>
                                  <w:sz w:val="20"/>
                                  <w:szCs w:val="20"/>
                                  <w:lang w:val="en-US"/>
                                </w:rPr>
                                <w:t>Data for the other years corresponds to percentage of total fuel consumption that was leaded petrol.</w:t>
                              </w:r>
                            </w:p>
                            <w:p w:rsidR="00723BD5" w:rsidRPr="00686405" w:rsidRDefault="00723BD5" w:rsidP="00DE764C">
                              <w:pPr>
                                <w:spacing w:line="240" w:lineRule="auto"/>
                                <w:rPr>
                                  <w:sz w:val="20"/>
                                  <w:szCs w:val="20"/>
                                  <w:lang w:val="en-US"/>
                                </w:rPr>
                              </w:pPr>
                            </w:p>
                            <w:p w:rsidR="00723BD5" w:rsidRPr="00686405" w:rsidRDefault="00723BD5" w:rsidP="00DE764C">
                              <w:pPr>
                                <w:spacing w:line="240" w:lineRule="auto"/>
                                <w:rPr>
                                  <w:sz w:val="20"/>
                                  <w:szCs w:val="20"/>
                                  <w:lang w:val="en-US"/>
                                </w:rPr>
                              </w:pPr>
                              <w:r w:rsidRPr="00686405">
                                <w:rPr>
                                  <w:sz w:val="20"/>
                                  <w:szCs w:val="20"/>
                                  <w:lang w:val="en-US"/>
                                </w:rPr>
                                <w:t xml:space="preserve">All vehicles built after 1986 ran on unleaded petrol. </w:t>
                              </w:r>
                            </w:p>
                          </w:txbxContent>
                        </wps:txbx>
                        <wps:bodyPr rot="0" vert="horz" wrap="square" lIns="91440" tIns="45720" rIns="91440" bIns="45720" anchor="t" anchorCtr="0" upright="1">
                          <a:noAutofit/>
                        </wps:bodyPr>
                      </wps:wsp>
                      <wps:wsp>
                        <wps:cNvPr id="52" name="Line 7"/>
                        <wps:cNvCnPr/>
                        <wps:spPr bwMode="auto">
                          <a:xfrm>
                            <a:off x="4914661" y="1257300"/>
                            <a:ext cx="0" cy="1028700"/>
                          </a:xfrm>
                          <a:prstGeom prst="line">
                            <a:avLst/>
                          </a:prstGeom>
                          <a:noFill/>
                          <a:ln w="19050">
                            <a:solidFill>
                              <a:schemeClr val="accent2">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53" name="Text Box 8"/>
                        <wps:cNvSpPr txBox="1">
                          <a:spLocks noChangeArrowheads="1"/>
                        </wps:cNvSpPr>
                        <wps:spPr bwMode="auto">
                          <a:xfrm>
                            <a:off x="4000374" y="571500"/>
                            <a:ext cx="1713924"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BD5" w:rsidRPr="004A4F0A" w:rsidRDefault="00723BD5" w:rsidP="00DE764C">
                              <w:pPr>
                                <w:spacing w:line="240" w:lineRule="auto"/>
                                <w:jc w:val="center"/>
                                <w:rPr>
                                  <w:b/>
                                  <w:color w:val="943634" w:themeColor="accent2" w:themeShade="BF"/>
                                  <w:sz w:val="20"/>
                                  <w:szCs w:val="20"/>
                                  <w:lang w:val="en-US"/>
                                </w:rPr>
                              </w:pPr>
                              <w:r w:rsidRPr="004A4F0A">
                                <w:rPr>
                                  <w:b/>
                                  <w:color w:val="943634" w:themeColor="accent2" w:themeShade="BF"/>
                                  <w:sz w:val="20"/>
                                  <w:szCs w:val="20"/>
                                  <w:lang w:val="en-US"/>
                                </w:rPr>
                                <w:t>Leaded petrol was “phased out” nationally on January 1</w:t>
                              </w:r>
                              <w:r w:rsidRPr="004A4F0A">
                                <w:rPr>
                                  <w:b/>
                                  <w:color w:val="943634" w:themeColor="accent2" w:themeShade="BF"/>
                                  <w:sz w:val="20"/>
                                  <w:szCs w:val="20"/>
                                  <w:vertAlign w:val="superscript"/>
                                  <w:lang w:val="en-US"/>
                                </w:rPr>
                                <w:t>st</w:t>
                              </w:r>
                              <w:r w:rsidRPr="004A4F0A">
                                <w:rPr>
                                  <w:b/>
                                  <w:color w:val="943634" w:themeColor="accent2" w:themeShade="BF"/>
                                  <w:sz w:val="20"/>
                                  <w:szCs w:val="20"/>
                                  <w:lang w:val="en-US"/>
                                </w:rPr>
                                <w:t>, 2002 (DEWHA 2001)</w:t>
                              </w:r>
                            </w:p>
                          </w:txbxContent>
                        </wps:txbx>
                        <wps:bodyPr rot="0" vert="horz" wrap="square" lIns="91440" tIns="45720" rIns="91440" bIns="45720" anchor="t" anchorCtr="0" upright="1">
                          <a:noAutofit/>
                        </wps:bodyPr>
                      </wps:wsp>
                    </wpc:wpc>
                  </a:graphicData>
                </a:graphic>
              </wp:inline>
            </w:drawing>
          </mc:Choice>
          <mc:Fallback>
            <w:pict>
              <v:group id="Canvas 54" o:spid="_x0000_s1201" editas="canvas" alt="Title: Figure D.1: Leaded petrol consumption in Australia" style="width:468pt;height:384.5pt;mso-position-horizontal-relative:char;mso-position-vertical-relative:line" coordsize="59436,488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&#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">
                <v:shape id="_x0000_s1202" type="#_x0000_t75" style="position:absolute;width:59436;height:48831;visibility:visible;mso-wrap-style:square">
                  <v:fill o:detectmouseclick="t"/>
                  <v:path o:connecttype="none"/>
                </v:shape>
                <v:shape id="Picture 5" o:spid="_x0000_s1203" type="#_x0000_t75" style="position:absolute;width:59436;height:3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mxHAAAAA2wAAAA8AAABkcnMvZG93bnJldi54bWxET02LwjAQvS/4H8IIe9umCutKbRQRBS97&#10;sKuCt7EZm2IzKU3U7r83B8Hj433ni9424k6drx0rGCUpCOLS6ZorBfu/zdcUhA/IGhvHpOCfPCzm&#10;g48cM+0evKN7ESoRQ9hnqMCE0GZS+tKQRZ+4ljhyF9dZDBF2ldQdPmK4beQ4TSfSYs2xwWBLK0Pl&#10;tbhZBenP7/G0LpbnAqsDlxNt9qNTr9TnsF/OQATqw1v8cm+1gu+4Pn6JP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ObEcAAAADbAAAADwAAAAAAAAAAAAAAAACfAgAA&#10;ZHJzL2Rvd25yZXYueG1sUEsFBgAAAAAEAAQA9wAAAIwDAAAAAA==&#10;">
                  <v:imagedata r:id="rId82" o:title="" croptop="2043f" cropleft="1095f" cropright="913f"/>
                </v:shape>
                <v:shape id="Text Box 6" o:spid="_x0000_s1204" type="#_x0000_t202" alt="1993 and 1995 data corresponds to percentage of registered vehicles that ran on leaded petrol in Australia.&#10;&#10;Data for the other years corresponds to percentage of total fuel consumption that was leaded petrol.&#10;&#10;All vehicles built after 1986 ran on unleaded petrol.&#10;" style="position:absolute;left:2285;top:33147;width:56004;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D8QA&#10;AADbAAAADwAAAGRycy9kb3ducmV2LnhtbESPzWrDMBCE74W8g9hAbo2cmJTWjRyCSyC30jSHHrfW&#10;+ie2VkZSHefto0Khx2FmvmG2u8n0YiTnW8sKVssEBHFpdcu1gvPn4fEZhA/IGnvLpOBGHnb57GGL&#10;mbZX/qDxFGoRIewzVNCEMGRS+rIhg35pB+LoVdYZDFG6WmqH1wg3vVwnyZM02HJcaHCgoqGyO/0Y&#10;BW/BVS82TeX3162ozuPm0r3XF6UW82n/CiLQFP7Df+2jVrBZw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A/EAAAA2wAAAA8AAAAAAAAAAAAAAAAAmAIAAGRycy9k&#10;b3ducmV2LnhtbFBLBQYAAAAABAAEAPUAAACJAwAAAAA=&#10;" fillcolor="#ff9" strokeweight="1.5pt">
                  <v:textbox>
                    <w:txbxContent>
                      <w:p w:rsidR="00723BD5" w:rsidRDefault="00723BD5" w:rsidP="00DE764C">
                        <w:pPr>
                          <w:spacing w:line="240" w:lineRule="auto"/>
                          <w:rPr>
                            <w:b/>
                            <w:lang w:val="en-US"/>
                          </w:rPr>
                        </w:pPr>
                        <w:r>
                          <w:rPr>
                            <w:b/>
                            <w:lang w:val="en-US"/>
                          </w:rPr>
                          <w:t>Figure D.1: Leaded petrol consumption in Australia</w:t>
                        </w:r>
                      </w:p>
                      <w:p w:rsidR="00723BD5" w:rsidRDefault="00723BD5" w:rsidP="00DE764C">
                        <w:pPr>
                          <w:spacing w:line="240" w:lineRule="auto"/>
                          <w:rPr>
                            <w:b/>
                            <w:lang w:val="en-US"/>
                          </w:rPr>
                        </w:pPr>
                      </w:p>
                      <w:p w:rsidR="00723BD5" w:rsidRPr="00686405" w:rsidRDefault="00723BD5" w:rsidP="00DE764C">
                        <w:pPr>
                          <w:spacing w:line="240" w:lineRule="auto"/>
                          <w:rPr>
                            <w:sz w:val="20"/>
                            <w:szCs w:val="20"/>
                            <w:lang w:val="en-US"/>
                          </w:rPr>
                        </w:pPr>
                        <w:r w:rsidRPr="00686405">
                          <w:rPr>
                            <w:sz w:val="20"/>
                            <w:szCs w:val="20"/>
                            <w:lang w:val="en-US"/>
                          </w:rPr>
                          <w:t>1993 and 1995 data corresponds to percentage of registered vehicles that ran on leaded petrol in Australia.</w:t>
                        </w:r>
                      </w:p>
                      <w:p w:rsidR="00723BD5" w:rsidRPr="00686405" w:rsidRDefault="00723BD5" w:rsidP="00DE764C">
                        <w:pPr>
                          <w:spacing w:line="240" w:lineRule="auto"/>
                          <w:rPr>
                            <w:sz w:val="20"/>
                            <w:szCs w:val="20"/>
                            <w:lang w:val="en-US"/>
                          </w:rPr>
                        </w:pPr>
                      </w:p>
                      <w:p w:rsidR="00723BD5" w:rsidRPr="00686405" w:rsidRDefault="00723BD5" w:rsidP="00DE764C">
                        <w:pPr>
                          <w:spacing w:line="240" w:lineRule="auto"/>
                          <w:rPr>
                            <w:sz w:val="20"/>
                            <w:szCs w:val="20"/>
                            <w:lang w:val="en-US"/>
                          </w:rPr>
                        </w:pPr>
                        <w:r w:rsidRPr="00686405">
                          <w:rPr>
                            <w:sz w:val="20"/>
                            <w:szCs w:val="20"/>
                            <w:lang w:val="en-US"/>
                          </w:rPr>
                          <w:t>Data for the other years corresponds to percentage of total fuel consumption that was leaded petrol.</w:t>
                        </w:r>
                      </w:p>
                      <w:p w:rsidR="00723BD5" w:rsidRPr="00686405" w:rsidRDefault="00723BD5" w:rsidP="00DE764C">
                        <w:pPr>
                          <w:spacing w:line="240" w:lineRule="auto"/>
                          <w:rPr>
                            <w:sz w:val="20"/>
                            <w:szCs w:val="20"/>
                            <w:lang w:val="en-US"/>
                          </w:rPr>
                        </w:pPr>
                      </w:p>
                      <w:p w:rsidR="00723BD5" w:rsidRPr="00686405" w:rsidRDefault="00723BD5" w:rsidP="00DE764C">
                        <w:pPr>
                          <w:spacing w:line="240" w:lineRule="auto"/>
                          <w:rPr>
                            <w:sz w:val="20"/>
                            <w:szCs w:val="20"/>
                            <w:lang w:val="en-US"/>
                          </w:rPr>
                        </w:pPr>
                        <w:r w:rsidRPr="00686405">
                          <w:rPr>
                            <w:sz w:val="20"/>
                            <w:szCs w:val="20"/>
                            <w:lang w:val="en-US"/>
                          </w:rPr>
                          <w:t xml:space="preserve">All vehicles built after 1986 ran on unleaded petrol. </w:t>
                        </w:r>
                      </w:p>
                    </w:txbxContent>
                  </v:textbox>
                </v:shape>
                <v:line id="Line 7" o:spid="_x0000_s1205" style="position:absolute;visibility:visible;mso-wrap-style:square" from="49146,12573" to="4914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gUn8QAAADbAAAADwAAAGRycy9kb3ducmV2LnhtbESPQWvCQBSE74X+h+UVejMbg7Elukor&#10;2MaL0FTI9ZF9TVKzb0N2q/Hfu4LQ4zAz3zDL9Wg6caLBtZYVTKMYBHFldcu1gsP3dvIKwnlkjZ1l&#10;UnAhB+vV48MSM23P/EWnwtciQNhlqKDxvs+kdFVDBl1ke+Lg/djBoA9yqKUe8BzgppNJHM+lwZbD&#10;QoM9bRqqjsWfUYB6V2r5+97uX+bbvOTZR/pZJUo9P41vCxCeRv8fvrdzrSBN4PYl/A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BSfxAAAANsAAAAPAAAAAAAAAAAA&#10;AAAAAKECAABkcnMvZG93bnJldi54bWxQSwUGAAAAAAQABAD5AAAAkgMAAAAA&#10;" strokecolor="#943634 [2405]" strokeweight="1.5pt">
                  <v:stroke endarrow="block"/>
                </v:line>
                <v:shape id="Text Box 8" o:spid="_x0000_s1206" type="#_x0000_t202" style="position:absolute;left:40003;top:5715;width:1713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723BD5" w:rsidRPr="004A4F0A" w:rsidRDefault="00723BD5" w:rsidP="00DE764C">
                        <w:pPr>
                          <w:spacing w:line="240" w:lineRule="auto"/>
                          <w:jc w:val="center"/>
                          <w:rPr>
                            <w:b/>
                            <w:color w:val="943634" w:themeColor="accent2" w:themeShade="BF"/>
                            <w:sz w:val="20"/>
                            <w:szCs w:val="20"/>
                            <w:lang w:val="en-US"/>
                          </w:rPr>
                        </w:pPr>
                        <w:r w:rsidRPr="004A4F0A">
                          <w:rPr>
                            <w:b/>
                            <w:color w:val="943634" w:themeColor="accent2" w:themeShade="BF"/>
                            <w:sz w:val="20"/>
                            <w:szCs w:val="20"/>
                            <w:lang w:val="en-US"/>
                          </w:rPr>
                          <w:t>Leaded petrol was “phased out” nationally on January 1</w:t>
                        </w:r>
                        <w:r w:rsidRPr="004A4F0A">
                          <w:rPr>
                            <w:b/>
                            <w:color w:val="943634" w:themeColor="accent2" w:themeShade="BF"/>
                            <w:sz w:val="20"/>
                            <w:szCs w:val="20"/>
                            <w:vertAlign w:val="superscript"/>
                            <w:lang w:val="en-US"/>
                          </w:rPr>
                          <w:t>st</w:t>
                        </w:r>
                        <w:r w:rsidRPr="004A4F0A">
                          <w:rPr>
                            <w:b/>
                            <w:color w:val="943634" w:themeColor="accent2" w:themeShade="BF"/>
                            <w:sz w:val="20"/>
                            <w:szCs w:val="20"/>
                            <w:lang w:val="en-US"/>
                          </w:rPr>
                          <w:t>, 2002 (DEWHA 2001)</w:t>
                        </w:r>
                      </w:p>
                    </w:txbxContent>
                  </v:textbox>
                </v:shape>
                <w10:anchorlock/>
              </v:group>
            </w:pict>
          </mc:Fallback>
        </mc:AlternateContent>
      </w:r>
    </w:p>
    <w:p w:rsidR="00DE764C" w:rsidRDefault="00DE764C" w:rsidP="00DE764C"/>
    <w:p w:rsidR="00DE764C" w:rsidRPr="003566B1" w:rsidRDefault="00DE764C" w:rsidP="00DE764C">
      <w:pPr>
        <w:rPr>
          <w:b/>
        </w:rPr>
      </w:pPr>
      <w:r w:rsidRPr="003566B1">
        <w:rPr>
          <w:b/>
        </w:rPr>
        <w:t>Leaded petrol consumption overseas</w:t>
      </w:r>
      <w:r w:rsidRPr="003566B1">
        <w:t xml:space="preserve"> </w:t>
      </w:r>
    </w:p>
    <w:p w:rsidR="00DE764C" w:rsidRDefault="00DE764C" w:rsidP="00DE764C">
      <w:pPr>
        <w:rPr>
          <w:b/>
          <w:u w:val="single"/>
        </w:rPr>
      </w:pPr>
    </w:p>
    <w:p w:rsidR="00DE764C" w:rsidRDefault="00DE764C" w:rsidP="00DE764C">
      <w:r w:rsidRPr="00A57229">
        <w:t>A European directive banned the marketing of leaded petrol in 2000, but some countries within Europe had already made significant steps to reduce the use of leaded petrol and other</w:t>
      </w:r>
      <w:r>
        <w:t>s</w:t>
      </w:r>
      <w:r w:rsidRPr="00A57229">
        <w:t xml:space="preserve"> had completely banned leaded petrol before then (e.g. Germany in 1996) (EC 1998). </w:t>
      </w:r>
    </w:p>
    <w:p w:rsidR="00DE764C" w:rsidRPr="00A57229" w:rsidRDefault="00DE764C" w:rsidP="00DE764C"/>
    <w:p w:rsidR="00DE764C" w:rsidRDefault="00DE764C" w:rsidP="00DE764C">
      <w:r>
        <w:t xml:space="preserve">In </w:t>
      </w:r>
      <w:r w:rsidRPr="00A57229">
        <w:t>Eastern Europe</w:t>
      </w:r>
      <w:r>
        <w:t>, banning of leaded petrol</w:t>
      </w:r>
      <w:r w:rsidRPr="00A57229">
        <w:t xml:space="preserve"> </w:t>
      </w:r>
      <w:r>
        <w:t xml:space="preserve">is still </w:t>
      </w:r>
      <w:r w:rsidRPr="00A57229">
        <w:t>in progress for some countries, whereas other</w:t>
      </w:r>
      <w:r>
        <w:t>s had</w:t>
      </w:r>
      <w:r w:rsidRPr="00A57229">
        <w:t xml:space="preserve"> already banned it </w:t>
      </w:r>
      <w:r>
        <w:t xml:space="preserve">between 1995 and </w:t>
      </w:r>
      <w:r w:rsidRPr="00A57229">
        <w:t xml:space="preserve">2010 (UNEP 2009). </w:t>
      </w:r>
    </w:p>
    <w:p w:rsidR="00DE764C" w:rsidRPr="00A57229" w:rsidRDefault="00DE764C" w:rsidP="00DE764C"/>
    <w:p w:rsidR="00DE764C" w:rsidRDefault="00DE764C" w:rsidP="00DE764C">
      <w:r w:rsidRPr="00A57229">
        <w:t>Canada banned the use of leaded petr</w:t>
      </w:r>
      <w:r>
        <w:t>ol in 1990 (Health Canada 2008), whereas t</w:t>
      </w:r>
      <w:r w:rsidRPr="00A57229">
        <w:t xml:space="preserve">he US banned </w:t>
      </w:r>
      <w:r>
        <w:t xml:space="preserve">it </w:t>
      </w:r>
      <w:r w:rsidRPr="00A57229">
        <w:t>in 1996</w:t>
      </w:r>
      <w:r>
        <w:t xml:space="preserve"> (</w:t>
      </w:r>
      <w:r w:rsidRPr="00186770">
        <w:rPr>
          <w:i/>
        </w:rPr>
        <w:t>US EPA Clean Air Act 1996</w:t>
      </w:r>
      <w:r>
        <w:t>), but both were already taking significant steps to reduce its use prior to those dates</w:t>
      </w:r>
      <w:r w:rsidRPr="00A57229">
        <w:t xml:space="preserve">. </w:t>
      </w:r>
    </w:p>
    <w:p w:rsidR="00DE764C" w:rsidRPr="00A57229" w:rsidRDefault="00DE764C" w:rsidP="00DE764C"/>
    <w:p w:rsidR="00DE764C" w:rsidRDefault="00DE764C" w:rsidP="00DE764C">
      <w:r w:rsidRPr="00A57229">
        <w:t>Japan had already ph</w:t>
      </w:r>
      <w:r>
        <w:t>ased out leaded petrol in 1980</w:t>
      </w:r>
      <w:r w:rsidRPr="00A57229">
        <w:t xml:space="preserve"> (UNEP 1999). </w:t>
      </w:r>
    </w:p>
    <w:p w:rsidR="00DE764C" w:rsidRDefault="00DE764C" w:rsidP="00DE764C"/>
    <w:p w:rsidR="00DE764C" w:rsidRDefault="00DE764C" w:rsidP="00E21B29">
      <w:pPr>
        <w:spacing w:after="360"/>
      </w:pPr>
      <w:r>
        <w:lastRenderedPageBreak/>
        <w:t>I</w:t>
      </w:r>
      <w:r w:rsidRPr="00A57229">
        <w:t xml:space="preserve">n some countries (e.g. USA) there is still permission for using leaded petrol for specialised vehicles or aircrafts. </w:t>
      </w:r>
    </w:p>
    <w:p w:rsidR="00DE764C" w:rsidRDefault="00DE764C" w:rsidP="00DE764C">
      <w:pPr>
        <w:rPr>
          <w:b/>
        </w:rPr>
      </w:pPr>
      <w:r>
        <w:rPr>
          <w:b/>
        </w:rPr>
        <w:t>References for Appendix D</w:t>
      </w:r>
    </w:p>
    <w:p w:rsidR="00DE764C" w:rsidRDefault="00DE764C" w:rsidP="00DE764C">
      <w:pPr>
        <w:rPr>
          <w:b/>
        </w:rPr>
      </w:pPr>
    </w:p>
    <w:p w:rsidR="00DE764C" w:rsidRPr="00DE764C" w:rsidRDefault="00DE764C" w:rsidP="00DE764C">
      <w:pPr>
        <w:autoSpaceDE w:val="0"/>
        <w:autoSpaceDN w:val="0"/>
        <w:adjustRightInd w:val="0"/>
        <w:spacing w:line="240" w:lineRule="auto"/>
        <w:rPr>
          <w:sz w:val="20"/>
          <w:szCs w:val="20"/>
        </w:rPr>
      </w:pPr>
      <w:r w:rsidRPr="00DE764C">
        <w:rPr>
          <w:sz w:val="20"/>
          <w:szCs w:val="20"/>
        </w:rPr>
        <w:t xml:space="preserve">ABS (1995). Motor vehicle census Australia. Australian Bureau of Statistics. Catalogue No. 9309.0. </w:t>
      </w:r>
    </w:p>
    <w:p w:rsidR="00DE764C" w:rsidRPr="00DE764C" w:rsidRDefault="00DE764C" w:rsidP="00DE764C">
      <w:pPr>
        <w:autoSpaceDE w:val="0"/>
        <w:autoSpaceDN w:val="0"/>
        <w:adjustRightInd w:val="0"/>
        <w:spacing w:line="240" w:lineRule="auto"/>
        <w:rPr>
          <w:sz w:val="20"/>
          <w:szCs w:val="20"/>
        </w:rPr>
      </w:pPr>
    </w:p>
    <w:p w:rsidR="00DE764C" w:rsidRPr="00DE764C" w:rsidRDefault="00DE764C" w:rsidP="00DE764C">
      <w:pPr>
        <w:autoSpaceDE w:val="0"/>
        <w:autoSpaceDN w:val="0"/>
        <w:adjustRightInd w:val="0"/>
        <w:spacing w:line="240" w:lineRule="auto"/>
        <w:rPr>
          <w:sz w:val="20"/>
          <w:szCs w:val="20"/>
        </w:rPr>
      </w:pPr>
      <w:r w:rsidRPr="00DE764C">
        <w:rPr>
          <w:sz w:val="20"/>
          <w:szCs w:val="20"/>
        </w:rPr>
        <w:t>ABS (2000). Survey of motor vehicle use. Australian Bureau of Statistics. Catalogue No. 9208.0. 12 months ended 31 July 1998.</w:t>
      </w:r>
    </w:p>
    <w:p w:rsidR="00DE764C" w:rsidRPr="00DE764C" w:rsidRDefault="00DE764C" w:rsidP="00DE764C">
      <w:pPr>
        <w:spacing w:line="240" w:lineRule="auto"/>
        <w:rPr>
          <w:sz w:val="20"/>
          <w:szCs w:val="20"/>
        </w:rPr>
      </w:pPr>
      <w:r w:rsidRPr="00DE764C">
        <w:rPr>
          <w:sz w:val="20"/>
          <w:szCs w:val="20"/>
        </w:rPr>
        <w:t xml:space="preserve"> </w:t>
      </w:r>
    </w:p>
    <w:p w:rsidR="00DE764C" w:rsidRPr="00DE764C" w:rsidRDefault="00DE764C" w:rsidP="00DE764C">
      <w:pPr>
        <w:spacing w:line="240" w:lineRule="auto"/>
        <w:rPr>
          <w:sz w:val="20"/>
          <w:szCs w:val="20"/>
        </w:rPr>
      </w:pPr>
      <w:r w:rsidRPr="00DE764C">
        <w:rPr>
          <w:sz w:val="20"/>
          <w:szCs w:val="20"/>
        </w:rPr>
        <w:t>ABS (2001). Survey of motor vehicle use. Australian Bureau of Statistics. Catalogue No. 9208.0. 12 months ended 31 October 2000.</w:t>
      </w:r>
    </w:p>
    <w:p w:rsidR="00DE764C" w:rsidRPr="00DE764C" w:rsidRDefault="00DE764C" w:rsidP="00DE764C">
      <w:pPr>
        <w:spacing w:line="240" w:lineRule="auto"/>
        <w:rPr>
          <w:sz w:val="20"/>
          <w:szCs w:val="20"/>
        </w:rPr>
      </w:pPr>
    </w:p>
    <w:p w:rsidR="00DE764C" w:rsidRPr="00DE764C" w:rsidRDefault="00DE764C" w:rsidP="00DE764C">
      <w:pPr>
        <w:spacing w:line="240" w:lineRule="auto"/>
        <w:rPr>
          <w:sz w:val="20"/>
          <w:szCs w:val="20"/>
        </w:rPr>
      </w:pPr>
      <w:r w:rsidRPr="00DE764C">
        <w:rPr>
          <w:sz w:val="20"/>
          <w:szCs w:val="20"/>
        </w:rPr>
        <w:t>ABS (2003a). Survey of motor vehicle use. Australian Bureau of Statistics. Catalogue No. 9208.0. 12 months ended 31 October 2001.</w:t>
      </w:r>
    </w:p>
    <w:p w:rsidR="00DE764C" w:rsidRPr="00DE764C" w:rsidRDefault="00DE764C" w:rsidP="00DE764C">
      <w:pPr>
        <w:spacing w:line="240" w:lineRule="auto"/>
        <w:rPr>
          <w:sz w:val="20"/>
          <w:szCs w:val="20"/>
        </w:rPr>
      </w:pPr>
    </w:p>
    <w:p w:rsidR="00DE764C" w:rsidRPr="00DE764C" w:rsidRDefault="00DE764C" w:rsidP="00DE764C">
      <w:pPr>
        <w:spacing w:line="240" w:lineRule="auto"/>
        <w:rPr>
          <w:sz w:val="20"/>
          <w:szCs w:val="20"/>
        </w:rPr>
      </w:pPr>
      <w:r w:rsidRPr="00DE764C">
        <w:rPr>
          <w:sz w:val="20"/>
          <w:szCs w:val="20"/>
        </w:rPr>
        <w:t>ABS (2003b). Survey of motor vehicle use. Australian Bureau of Statistics. Catalogue No. 9208.0. 12 months ended 31 October 2002.</w:t>
      </w:r>
    </w:p>
    <w:p w:rsidR="00DE764C" w:rsidRPr="00DE764C" w:rsidRDefault="00DE764C" w:rsidP="00DE764C">
      <w:pPr>
        <w:spacing w:line="240" w:lineRule="auto"/>
        <w:rPr>
          <w:sz w:val="20"/>
          <w:szCs w:val="20"/>
        </w:rPr>
      </w:pPr>
    </w:p>
    <w:p w:rsidR="00DE764C" w:rsidRPr="00DE764C" w:rsidRDefault="00DE764C" w:rsidP="00DE764C">
      <w:pPr>
        <w:spacing w:line="240" w:lineRule="auto"/>
        <w:rPr>
          <w:sz w:val="20"/>
          <w:szCs w:val="20"/>
        </w:rPr>
      </w:pPr>
      <w:r w:rsidRPr="00DE764C">
        <w:rPr>
          <w:sz w:val="20"/>
          <w:szCs w:val="20"/>
        </w:rPr>
        <w:t>ABS (2004). Survey of motor vehicle use. Australian Bureau of Statistics. Catalogue No. 9208.0. 12 months ended 31 October 2003.</w:t>
      </w:r>
    </w:p>
    <w:p w:rsidR="00DE764C" w:rsidRPr="00DE764C" w:rsidRDefault="00DE764C" w:rsidP="00DE764C">
      <w:pPr>
        <w:spacing w:line="240" w:lineRule="auto"/>
        <w:rPr>
          <w:sz w:val="20"/>
          <w:szCs w:val="20"/>
        </w:rPr>
      </w:pPr>
    </w:p>
    <w:p w:rsidR="00DE764C" w:rsidRPr="00DE764C" w:rsidRDefault="00DE764C" w:rsidP="00DE764C">
      <w:pPr>
        <w:spacing w:line="240" w:lineRule="auto"/>
        <w:rPr>
          <w:sz w:val="20"/>
          <w:szCs w:val="20"/>
        </w:rPr>
      </w:pPr>
      <w:r w:rsidRPr="00DE764C">
        <w:rPr>
          <w:sz w:val="20"/>
          <w:szCs w:val="20"/>
        </w:rPr>
        <w:t xml:space="preserve">DEWHA (2001). National phase out of leaded petrol: Some questions and answers. Department of the Environment, Water, Heritage and the Arts. Available: </w:t>
      </w:r>
      <w:hyperlink r:id="rId83" w:history="1">
        <w:r w:rsidRPr="00DE764C">
          <w:rPr>
            <w:rStyle w:val="Hyperlink"/>
            <w:sz w:val="20"/>
            <w:szCs w:val="20"/>
          </w:rPr>
          <w:t>http://www.environment.gov.au/atmosphere/airquality/publications/qa.html</w:t>
        </w:r>
      </w:hyperlink>
      <w:r w:rsidRPr="00DE764C">
        <w:rPr>
          <w:sz w:val="20"/>
          <w:szCs w:val="20"/>
        </w:rPr>
        <w:t>.</w:t>
      </w:r>
    </w:p>
    <w:p w:rsidR="00DE764C" w:rsidRPr="00DE764C" w:rsidRDefault="00DE764C" w:rsidP="00DE764C">
      <w:pPr>
        <w:spacing w:line="240" w:lineRule="auto"/>
        <w:rPr>
          <w:sz w:val="20"/>
          <w:szCs w:val="20"/>
        </w:rPr>
      </w:pPr>
    </w:p>
    <w:p w:rsidR="00DE764C" w:rsidRPr="003E7BC7" w:rsidRDefault="00DE764C" w:rsidP="00DE764C">
      <w:pPr>
        <w:spacing w:line="240" w:lineRule="auto"/>
        <w:rPr>
          <w:sz w:val="20"/>
          <w:szCs w:val="20"/>
        </w:rPr>
      </w:pPr>
      <w:r w:rsidRPr="00DE764C">
        <w:rPr>
          <w:sz w:val="20"/>
          <w:szCs w:val="20"/>
        </w:rPr>
        <w:t xml:space="preserve">EC (1998). Commission directive 98/70/EC relating to the quality of petrol and diesel fuels and amending </w:t>
      </w:r>
      <w:r w:rsidRPr="003E7BC7">
        <w:rPr>
          <w:sz w:val="20"/>
          <w:szCs w:val="20"/>
        </w:rPr>
        <w:t xml:space="preserve">Council Directive 93/12/EEC. </w:t>
      </w:r>
    </w:p>
    <w:p w:rsidR="00DE764C" w:rsidRDefault="00697BE1" w:rsidP="00DE764C">
      <w:pPr>
        <w:spacing w:line="240" w:lineRule="auto"/>
        <w:rPr>
          <w:color w:val="0000FF"/>
          <w:sz w:val="20"/>
          <w:szCs w:val="20"/>
          <w:u w:val="single"/>
        </w:rPr>
      </w:pPr>
      <w:hyperlink r:id="rId84" w:history="1">
        <w:r w:rsidR="003D35E2" w:rsidRPr="003E7BC7">
          <w:rPr>
            <w:rStyle w:val="Hyperlink"/>
            <w:sz w:val="20"/>
            <w:szCs w:val="20"/>
          </w:rPr>
          <w:t>http://eur-lex.europa.eu/legal-content/EN/TXT/?uri=uriserv:OJ.L_.1998.350.01.0058.01.ENG</w:t>
        </w:r>
      </w:hyperlink>
    </w:p>
    <w:p w:rsidR="00306F59" w:rsidRPr="003E7BC7" w:rsidRDefault="00306F59" w:rsidP="00DE764C">
      <w:pPr>
        <w:spacing w:line="240" w:lineRule="auto"/>
        <w:rPr>
          <w:color w:val="0000FF"/>
          <w:sz w:val="20"/>
          <w:szCs w:val="20"/>
          <w:u w:val="single"/>
        </w:rPr>
      </w:pPr>
    </w:p>
    <w:p w:rsidR="00DE764C" w:rsidRPr="00DE764C" w:rsidRDefault="00DE764C" w:rsidP="00DE764C">
      <w:pPr>
        <w:spacing w:line="240" w:lineRule="auto"/>
        <w:rPr>
          <w:sz w:val="20"/>
          <w:szCs w:val="20"/>
        </w:rPr>
      </w:pPr>
      <w:r w:rsidRPr="00DE764C">
        <w:rPr>
          <w:sz w:val="20"/>
          <w:szCs w:val="20"/>
        </w:rPr>
        <w:t xml:space="preserve">Health Canada (2008). Effects of lead on human health. Health Canada. </w:t>
      </w:r>
    </w:p>
    <w:p w:rsidR="00DE764C" w:rsidRPr="00DE764C" w:rsidRDefault="00DE764C" w:rsidP="00DE764C">
      <w:pPr>
        <w:spacing w:line="240" w:lineRule="auto"/>
        <w:rPr>
          <w:sz w:val="20"/>
          <w:szCs w:val="20"/>
        </w:rPr>
      </w:pPr>
    </w:p>
    <w:p w:rsidR="00061CE0" w:rsidRDefault="00DE764C" w:rsidP="00DE764C">
      <w:pPr>
        <w:spacing w:line="240" w:lineRule="auto"/>
        <w:rPr>
          <w:sz w:val="20"/>
          <w:szCs w:val="20"/>
        </w:rPr>
      </w:pPr>
      <w:r w:rsidRPr="00DE764C">
        <w:rPr>
          <w:sz w:val="20"/>
          <w:szCs w:val="20"/>
        </w:rPr>
        <w:t>UNEP (1999). Phasing lead out of gasoline: an examination of policy approaches in different countries.</w:t>
      </w:r>
    </w:p>
    <w:p w:rsidR="00DE764C" w:rsidRPr="003E7BC7" w:rsidRDefault="003D35E2" w:rsidP="00DE764C">
      <w:pPr>
        <w:spacing w:line="240" w:lineRule="auto"/>
        <w:rPr>
          <w:color w:val="0000FF"/>
          <w:sz w:val="20"/>
          <w:szCs w:val="20"/>
          <w:u w:val="single"/>
        </w:rPr>
      </w:pPr>
      <w:r w:rsidRPr="003E7BC7">
        <w:rPr>
          <w:color w:val="0000FF"/>
          <w:sz w:val="20"/>
          <w:szCs w:val="20"/>
          <w:u w:val="single"/>
        </w:rPr>
        <w:t>http://www.unep.org/publications/search/pub_details_s.asp?ID=3874</w:t>
      </w:r>
      <w:r w:rsidR="003E7BC7">
        <w:rPr>
          <w:color w:val="0000FF"/>
          <w:sz w:val="20"/>
          <w:szCs w:val="20"/>
          <w:u w:val="single"/>
        </w:rPr>
        <w:t>.</w:t>
      </w:r>
      <w:r w:rsidRPr="003E7BC7">
        <w:rPr>
          <w:color w:val="0000FF"/>
          <w:sz w:val="20"/>
          <w:szCs w:val="20"/>
          <w:u w:val="single"/>
        </w:rPr>
        <w:t xml:space="preserve"> </w:t>
      </w:r>
    </w:p>
    <w:p w:rsidR="00DE764C" w:rsidRPr="00DE764C" w:rsidRDefault="00DE764C" w:rsidP="00DE764C">
      <w:pPr>
        <w:spacing w:line="240" w:lineRule="auto"/>
        <w:rPr>
          <w:sz w:val="20"/>
          <w:szCs w:val="20"/>
        </w:rPr>
      </w:pPr>
    </w:p>
    <w:p w:rsidR="00751F05" w:rsidRDefault="00DE764C" w:rsidP="00E21B29">
      <w:pPr>
        <w:spacing w:line="240" w:lineRule="auto"/>
        <w:rPr>
          <w:b/>
          <w:bCs/>
        </w:rPr>
      </w:pPr>
      <w:r w:rsidRPr="00DE764C">
        <w:rPr>
          <w:sz w:val="20"/>
          <w:szCs w:val="20"/>
        </w:rPr>
        <w:t xml:space="preserve">UNEP (2009). Current status of lead and sulphur in fuels in Central and Eastern Europe, the Caucasus and Central Asia. </w:t>
      </w:r>
      <w:hyperlink r:id="rId85" w:tooltip="http://www.unep.org/pcfv/PDF/Matrix%20CEE_FuelsFeb_2009.pdf" w:history="1">
        <w:r w:rsidRPr="00DE764C">
          <w:rPr>
            <w:rStyle w:val="Hyperlink"/>
            <w:sz w:val="20"/>
            <w:szCs w:val="20"/>
          </w:rPr>
          <w:t>http://www.unep.org/pcfv/PDF/Matrix%20CEE_FuelsFeb_2009.pdf</w:t>
        </w:r>
      </w:hyperlink>
      <w:r w:rsidRPr="00DE764C">
        <w:rPr>
          <w:sz w:val="20"/>
          <w:szCs w:val="20"/>
        </w:rPr>
        <w:t xml:space="preserve">. </w:t>
      </w:r>
    </w:p>
    <w:sectPr w:rsidR="00751F05" w:rsidSect="00DC5F6A">
      <w:pgSz w:w="11906" w:h="16838"/>
      <w:pgMar w:top="1418" w:right="849" w:bottom="1440" w:left="1134" w:header="284"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BD5" w:rsidRDefault="00723BD5" w:rsidP="003B1AB2">
      <w:pPr>
        <w:spacing w:line="240" w:lineRule="auto"/>
      </w:pPr>
      <w:r>
        <w:separator/>
      </w:r>
    </w:p>
  </w:endnote>
  <w:endnote w:type="continuationSeparator" w:id="0">
    <w:p w:rsidR="00723BD5" w:rsidRDefault="00723BD5" w:rsidP="003B1A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20"/>
        <w:szCs w:val="20"/>
      </w:rPr>
      <w:id w:val="-1690288267"/>
      <w:docPartObj>
        <w:docPartGallery w:val="Page Numbers (Bottom of Page)"/>
        <w:docPartUnique/>
      </w:docPartObj>
    </w:sdtPr>
    <w:sdtEndPr/>
    <w:sdtContent>
      <w:sdt>
        <w:sdtPr>
          <w:rPr>
            <w:rFonts w:cs="Arial"/>
            <w:sz w:val="20"/>
            <w:szCs w:val="20"/>
          </w:rPr>
          <w:id w:val="-788358915"/>
          <w:docPartObj>
            <w:docPartGallery w:val="Page Numbers (Top of Page)"/>
            <w:docPartUnique/>
          </w:docPartObj>
        </w:sdtPr>
        <w:sdtEndPr/>
        <w:sdtContent>
          <w:p w:rsidR="00723BD5" w:rsidRPr="005D34E5" w:rsidRDefault="00723BD5" w:rsidP="005D04B6">
            <w:pPr>
              <w:pStyle w:val="Footer"/>
              <w:ind w:firstLine="2880"/>
              <w:jc w:val="center"/>
              <w:rPr>
                <w:rFonts w:cs="Arial"/>
                <w:sz w:val="20"/>
                <w:szCs w:val="20"/>
              </w:rPr>
            </w:pPr>
            <w:r w:rsidRPr="005D34E5">
              <w:rPr>
                <w:rFonts w:cs="Arial"/>
                <w:sz w:val="20"/>
                <w:szCs w:val="20"/>
              </w:rPr>
              <w:t xml:space="preserve">Page </w:t>
            </w:r>
            <w:r w:rsidRPr="005D34E5">
              <w:rPr>
                <w:rFonts w:cs="Arial"/>
                <w:bCs/>
                <w:sz w:val="20"/>
                <w:szCs w:val="20"/>
              </w:rPr>
              <w:fldChar w:fldCharType="begin"/>
            </w:r>
            <w:r w:rsidRPr="005D34E5">
              <w:rPr>
                <w:rFonts w:cs="Arial"/>
                <w:bCs/>
                <w:sz w:val="20"/>
                <w:szCs w:val="20"/>
              </w:rPr>
              <w:instrText xml:space="preserve"> PAGE </w:instrText>
            </w:r>
            <w:r w:rsidRPr="005D34E5">
              <w:rPr>
                <w:rFonts w:cs="Arial"/>
                <w:bCs/>
                <w:sz w:val="20"/>
                <w:szCs w:val="20"/>
              </w:rPr>
              <w:fldChar w:fldCharType="separate"/>
            </w:r>
            <w:r w:rsidR="00697BE1">
              <w:rPr>
                <w:rFonts w:cs="Arial"/>
                <w:bCs/>
                <w:noProof/>
                <w:sz w:val="20"/>
                <w:szCs w:val="20"/>
              </w:rPr>
              <w:t>2</w:t>
            </w:r>
            <w:r w:rsidRPr="005D34E5">
              <w:rPr>
                <w:rFonts w:cs="Arial"/>
                <w:bCs/>
                <w:sz w:val="20"/>
                <w:szCs w:val="20"/>
              </w:rPr>
              <w:fldChar w:fldCharType="end"/>
            </w:r>
            <w:r w:rsidRPr="005D34E5">
              <w:rPr>
                <w:rFonts w:cs="Arial"/>
                <w:sz w:val="20"/>
                <w:szCs w:val="20"/>
              </w:rPr>
              <w:t xml:space="preserve"> of </w:t>
            </w:r>
            <w:r w:rsidRPr="005D34E5">
              <w:rPr>
                <w:rFonts w:cs="Arial"/>
                <w:bCs/>
                <w:sz w:val="20"/>
                <w:szCs w:val="20"/>
              </w:rPr>
              <w:fldChar w:fldCharType="begin"/>
            </w:r>
            <w:r w:rsidRPr="005D34E5">
              <w:rPr>
                <w:rFonts w:cs="Arial"/>
                <w:bCs/>
                <w:sz w:val="20"/>
                <w:szCs w:val="20"/>
              </w:rPr>
              <w:instrText xml:space="preserve"> NUMPAGES  </w:instrText>
            </w:r>
            <w:r w:rsidRPr="005D34E5">
              <w:rPr>
                <w:rFonts w:cs="Arial"/>
                <w:bCs/>
                <w:sz w:val="20"/>
                <w:szCs w:val="20"/>
              </w:rPr>
              <w:fldChar w:fldCharType="separate"/>
            </w:r>
            <w:r w:rsidR="00697BE1">
              <w:rPr>
                <w:rFonts w:cs="Arial"/>
                <w:bCs/>
                <w:noProof/>
                <w:sz w:val="20"/>
                <w:szCs w:val="20"/>
              </w:rPr>
              <w:t>143</w:t>
            </w:r>
            <w:r w:rsidRPr="005D34E5">
              <w:rPr>
                <w:rFonts w:cs="Arial"/>
                <w:bCs/>
                <w:sz w:val="20"/>
                <w:szCs w:val="20"/>
              </w:rPr>
              <w:fldChar w:fldCharType="end"/>
            </w:r>
            <w:r>
              <w:rPr>
                <w:rFonts w:cs="Arial"/>
                <w:bCs/>
                <w:sz w:val="20"/>
                <w:szCs w:val="20"/>
              </w:rPr>
              <w:tab/>
            </w:r>
            <w:r>
              <w:rPr>
                <w:rFonts w:cs="Arial"/>
                <w:bCs/>
                <w:sz w:val="20"/>
                <w:szCs w:val="20"/>
              </w:rPr>
              <w:tab/>
            </w:r>
          </w:p>
        </w:sdtContent>
      </w:sdt>
    </w:sdtContent>
  </w:sdt>
  <w:p w:rsidR="00723BD5" w:rsidRDefault="00723BD5" w:rsidP="003B1AB2">
    <w:pPr>
      <w:pStyle w:val="Footer"/>
      <w:tabs>
        <w:tab w:val="clear" w:pos="4513"/>
        <w:tab w:val="clear" w:pos="9026"/>
        <w:tab w:val="left" w:pos="5719"/>
      </w:tabs>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BD5" w:rsidRDefault="00723BD5" w:rsidP="003B1AB2">
      <w:pPr>
        <w:spacing w:line="240" w:lineRule="auto"/>
      </w:pPr>
      <w:r>
        <w:separator/>
      </w:r>
    </w:p>
  </w:footnote>
  <w:footnote w:type="continuationSeparator" w:id="0">
    <w:p w:rsidR="00723BD5" w:rsidRDefault="00723BD5" w:rsidP="003B1AB2">
      <w:pPr>
        <w:spacing w:line="240" w:lineRule="auto"/>
      </w:pPr>
      <w:r>
        <w:continuationSeparator/>
      </w:r>
    </w:p>
  </w:footnote>
  <w:footnote w:id="1">
    <w:p w:rsidR="00723BD5" w:rsidRDefault="00723BD5">
      <w:pPr>
        <w:pStyle w:val="FootnoteText"/>
      </w:pPr>
      <w:r>
        <w:rPr>
          <w:rStyle w:val="FootnoteReference"/>
        </w:rPr>
        <w:footnoteRef/>
      </w:r>
      <w:r>
        <w:t xml:space="preserve"> Although women who are breastfeeding may experience a time of infertility, the definition of ‘women of reproductive capacity’ in this report is intended to include women who are breastfeeding. </w:t>
      </w:r>
    </w:p>
  </w:footnote>
  <w:footnote w:id="2">
    <w:p w:rsidR="00723BD5" w:rsidRDefault="00723BD5">
      <w:pPr>
        <w:pStyle w:val="FootnoteText"/>
      </w:pPr>
      <w:r>
        <w:rPr>
          <w:rStyle w:val="FootnoteReference"/>
        </w:rPr>
        <w:footnoteRef/>
      </w:r>
      <w:r>
        <w:t xml:space="preserve"> This range does not include a health-based proposed WES from California of 0.0005 mg/m</w:t>
      </w:r>
      <w:r>
        <w:rPr>
          <w:vertAlign w:val="superscript"/>
        </w:rPr>
        <w:t>3</w:t>
      </w:r>
      <w:r>
        <w:t xml:space="preserve"> (Table 2.1).</w:t>
      </w:r>
    </w:p>
    <w:p w:rsidR="00723BD5" w:rsidRPr="00A87F7C" w:rsidRDefault="00723BD5">
      <w:pPr>
        <w:pStyle w:val="FootnoteText"/>
      </w:pPr>
    </w:p>
  </w:footnote>
  <w:footnote w:id="3">
    <w:p w:rsidR="00723BD5" w:rsidRDefault="00723BD5">
      <w:pPr>
        <w:pStyle w:val="FootnoteText"/>
      </w:pPr>
      <w:r>
        <w:rPr>
          <w:rStyle w:val="FootnoteReference"/>
        </w:rPr>
        <w:footnoteRef/>
      </w:r>
      <w:r>
        <w:t xml:space="preserve"> The air slope factor refers to the </w:t>
      </w:r>
      <w:r>
        <w:rPr>
          <w:rFonts w:cs="Arial"/>
        </w:rPr>
        <w:t xml:space="preserve">relationship between inhalable PbAir and PbB. </w:t>
      </w:r>
    </w:p>
    <w:p w:rsidR="00723BD5" w:rsidRDefault="00723BD5">
      <w:pPr>
        <w:pStyle w:val="FootnoteText"/>
      </w:pPr>
    </w:p>
  </w:footnote>
  <w:footnote w:id="4">
    <w:p w:rsidR="00723BD5" w:rsidRPr="005D6674" w:rsidRDefault="00723BD5">
      <w:pPr>
        <w:pStyle w:val="FootnoteText"/>
      </w:pPr>
      <w:r>
        <w:rPr>
          <w:rStyle w:val="FootnoteReference"/>
        </w:rPr>
        <w:footnoteRef/>
      </w:r>
      <w:r>
        <w:t xml:space="preserve"> In Australia, a female of reproductive capacity means “</w:t>
      </w:r>
      <w:r>
        <w:rPr>
          <w:i/>
        </w:rPr>
        <w:t xml:space="preserve">a female other than a female who provides information stating that she is not of reproductive capacity” </w:t>
      </w:r>
      <w:r>
        <w:t xml:space="preserve">(Safe Work 2014). Some </w:t>
      </w:r>
      <w:r w:rsidRPr="00525A86">
        <w:t>countries (e.g. Germany and Switzerland)</w:t>
      </w:r>
      <w:r>
        <w:t xml:space="preserve"> provide different  BLRLs for females according to their age. For example, females &gt; 45 years of age are considered not to be of reproductive capacity, whereas females &lt;45 years of age are considered to be of reproductive capacity (DFG 2013b, BAuA 2013b, SUVA 2013). </w:t>
      </w:r>
    </w:p>
    <w:p w:rsidR="00723BD5" w:rsidRDefault="00723BD5">
      <w:pPr>
        <w:pStyle w:val="FootnoteText"/>
      </w:pPr>
    </w:p>
  </w:footnote>
  <w:footnote w:id="5">
    <w:p w:rsidR="00723BD5" w:rsidRDefault="00723BD5" w:rsidP="000A1BA9">
      <w:pPr>
        <w:pStyle w:val="FootnoteText"/>
      </w:pPr>
      <w:r>
        <w:rPr>
          <w:rStyle w:val="FootnoteReference"/>
        </w:rPr>
        <w:footnoteRef/>
      </w:r>
      <w:r>
        <w:t xml:space="preserve"> The publications referred to here have been recently published (i.e. within the last 10 years), however the dates the BLRL were set or revised are not provided. It is therefore assumed the BLRL were set when the documents were published. </w:t>
      </w:r>
    </w:p>
    <w:p w:rsidR="00723BD5" w:rsidRDefault="00723BD5" w:rsidP="000A1BA9">
      <w:pPr>
        <w:pStyle w:val="FootnoteText"/>
      </w:pPr>
    </w:p>
  </w:footnote>
  <w:footnote w:id="6">
    <w:p w:rsidR="00723BD5" w:rsidRDefault="00723BD5">
      <w:pPr>
        <w:pStyle w:val="FootnoteText"/>
        <w:rPr>
          <w:sz w:val="18"/>
          <w:szCs w:val="18"/>
        </w:rPr>
      </w:pPr>
      <w:r>
        <w:rPr>
          <w:rStyle w:val="FootnoteReference"/>
        </w:rPr>
        <w:footnoteRef/>
      </w:r>
      <w:r>
        <w:t xml:space="preserve"> The United States </w:t>
      </w:r>
      <w:r w:rsidRPr="00024D0A">
        <w:t xml:space="preserve">OSHA (1991) consider an employee should be removed from work if they have an exposure to lead at or above the </w:t>
      </w:r>
      <w:r>
        <w:t>WES</w:t>
      </w:r>
      <w:r w:rsidRPr="00024D0A">
        <w:t xml:space="preserve"> of </w:t>
      </w:r>
      <w:r>
        <w:t>0.0</w:t>
      </w:r>
      <w:r w:rsidRPr="00024D0A">
        <w:t xml:space="preserve">5 </w:t>
      </w:r>
      <w:r>
        <w:rPr>
          <w:rFonts w:cs="Arial"/>
        </w:rPr>
        <w:t>m</w:t>
      </w:r>
      <w:r w:rsidRPr="00024D0A">
        <w:rPr>
          <w:rFonts w:cs="Arial"/>
        </w:rPr>
        <w:t>g/m</w:t>
      </w:r>
      <w:r w:rsidRPr="00024D0A">
        <w:rPr>
          <w:rFonts w:cs="Arial"/>
          <w:vertAlign w:val="superscript"/>
        </w:rPr>
        <w:t>3</w:t>
      </w:r>
      <w:r w:rsidRPr="00024D0A">
        <w:rPr>
          <w:rFonts w:cs="Arial"/>
        </w:rPr>
        <w:t xml:space="preserve"> and on each occasion that a periodic and a follow-up blood sampling test indicates the employee PbB is </w:t>
      </w:r>
      <w:r w:rsidRPr="00024D0A">
        <w:rPr>
          <w:rFonts w:cs="Arial"/>
          <w:u w:val="single"/>
        </w:rPr>
        <w:t>&gt;</w:t>
      </w:r>
      <w:r w:rsidRPr="00024D0A">
        <w:rPr>
          <w:rFonts w:cs="Arial"/>
        </w:rPr>
        <w:t xml:space="preserve"> 60 µ</w:t>
      </w:r>
      <w:r w:rsidRPr="00024D0A">
        <w:t xml:space="preserve">g/dL, or if the average of the last three blood sampling tests conducted over the previous six months indicates the PbB is </w:t>
      </w:r>
      <w:r w:rsidRPr="00024D0A">
        <w:rPr>
          <w:u w:val="single"/>
        </w:rPr>
        <w:t>&gt;</w:t>
      </w:r>
      <w:r w:rsidRPr="00024D0A">
        <w:t xml:space="preserve"> 50 </w:t>
      </w:r>
      <w:r w:rsidRPr="00024D0A">
        <w:rPr>
          <w:rFonts w:cs="Arial"/>
        </w:rPr>
        <w:t>µ</w:t>
      </w:r>
      <w:r w:rsidRPr="00024D0A">
        <w:t xml:space="preserve">g/dL. But an employee does not need to be removed if the last blood sampling test gave a PbB </w:t>
      </w:r>
      <w:r w:rsidRPr="00024D0A">
        <w:rPr>
          <w:u w:val="single"/>
        </w:rPr>
        <w:t>&lt;</w:t>
      </w:r>
      <w:r w:rsidRPr="00024D0A">
        <w:t xml:space="preserve"> 40 </w:t>
      </w:r>
      <w:r w:rsidRPr="00024D0A">
        <w:rPr>
          <w:rFonts w:cs="Arial"/>
        </w:rPr>
        <w:t>µ</w:t>
      </w:r>
      <w:r w:rsidRPr="00024D0A">
        <w:t xml:space="preserve">g/dL. This implies OSHA (1991) consider a PbB of 40 </w:t>
      </w:r>
      <w:r w:rsidRPr="00024D0A">
        <w:rPr>
          <w:rFonts w:cs="Arial"/>
        </w:rPr>
        <w:t>µ</w:t>
      </w:r>
      <w:r w:rsidRPr="00024D0A">
        <w:t xml:space="preserve">g/dL an appropriate target level. The PbB threshold level for workers who wish to plan pregnancies is 30 </w:t>
      </w:r>
      <w:r w:rsidRPr="00024D0A">
        <w:rPr>
          <w:rFonts w:cs="Arial"/>
        </w:rPr>
        <w:t>µ</w:t>
      </w:r>
      <w:r w:rsidRPr="00024D0A">
        <w:t>g/dL.</w:t>
      </w:r>
      <w:r>
        <w:rPr>
          <w:sz w:val="18"/>
          <w:szCs w:val="18"/>
        </w:rPr>
        <w:t xml:space="preserve"> </w:t>
      </w:r>
    </w:p>
    <w:p w:rsidR="00723BD5" w:rsidRDefault="00723BD5">
      <w:pPr>
        <w:pStyle w:val="FootnoteText"/>
      </w:pPr>
    </w:p>
  </w:footnote>
  <w:footnote w:id="7">
    <w:p w:rsidR="00723BD5" w:rsidRDefault="00723BD5">
      <w:pPr>
        <w:pStyle w:val="FootnoteText"/>
      </w:pPr>
      <w:r>
        <w:rPr>
          <w:rStyle w:val="FootnoteReference"/>
        </w:rPr>
        <w:footnoteRef/>
      </w:r>
      <w:r>
        <w:t xml:space="preserve"> Schwartz and Hu (2007) do not state how this average PbB is estimated (i.e. monthly, yearly, etc). </w:t>
      </w:r>
    </w:p>
  </w:footnote>
  <w:footnote w:id="8">
    <w:p w:rsidR="00723BD5" w:rsidRDefault="00723BD5">
      <w:pPr>
        <w:pStyle w:val="FootnoteText"/>
      </w:pPr>
      <w:r>
        <w:rPr>
          <w:rStyle w:val="FootnoteReference"/>
        </w:rPr>
        <w:footnoteRef/>
      </w:r>
      <w:r>
        <w:t xml:space="preserve"> Protoporphyrin IX is an important precursor to biologically essential groups such as haeme, cytochrome c, etc. Accumulation of protoporphyrin IX in erythrocytes is the earliest of the haematological effects in response to lead exposure. This occurs as a result of inhibition of ferrochelatase (haeme synthetase) activity in the bone marrow (WHO 1980). </w:t>
      </w:r>
    </w:p>
    <w:p w:rsidR="00723BD5" w:rsidRDefault="00723BD5">
      <w:pPr>
        <w:pStyle w:val="FootnoteText"/>
      </w:pPr>
    </w:p>
  </w:footnote>
  <w:footnote w:id="9">
    <w:p w:rsidR="00723BD5" w:rsidRDefault="00723BD5">
      <w:pPr>
        <w:pStyle w:val="FootnoteText"/>
      </w:pPr>
      <w:r>
        <w:rPr>
          <w:rStyle w:val="FootnoteReference"/>
        </w:rPr>
        <w:footnoteRef/>
      </w:r>
      <w:r>
        <w:t xml:space="preserve"> ALA-U has been used a biological test for monitoring occupational exposure to lead; it is considered an indirect indicator of exposure to lead. </w:t>
      </w:r>
    </w:p>
    <w:p w:rsidR="00723BD5" w:rsidRDefault="00723BD5">
      <w:pPr>
        <w:pStyle w:val="FootnoteText"/>
      </w:pPr>
    </w:p>
  </w:footnote>
  <w:footnote w:id="10">
    <w:p w:rsidR="00723BD5" w:rsidRDefault="00723BD5">
      <w:pPr>
        <w:pStyle w:val="FootnoteText"/>
      </w:pPr>
      <w:r>
        <w:rPr>
          <w:rStyle w:val="FootnoteReference"/>
        </w:rPr>
        <w:footnoteRef/>
      </w:r>
      <w:r>
        <w:t xml:space="preserve"> The mean urinary ALA concentrations in healthy adult men with no history of occupational lead exposure is ~2.4 mg/L, with a 95% upper confidence limit of 4.1 mg/L (Tomokuni and Ogata 1980). </w:t>
      </w:r>
    </w:p>
  </w:footnote>
  <w:footnote w:id="11">
    <w:p w:rsidR="00723BD5" w:rsidRDefault="00723BD5">
      <w:pPr>
        <w:pStyle w:val="FootnoteText"/>
      </w:pPr>
      <w:r>
        <w:rPr>
          <w:rStyle w:val="FootnoteReference"/>
        </w:rPr>
        <w:footnoteRef/>
      </w:r>
      <w:r>
        <w:t xml:space="preserve"> The pattern of coproporphyrin excretion in the urine follows closely that of ALA although the latter is more specific to lead. </w:t>
      </w:r>
    </w:p>
  </w:footnote>
  <w:footnote w:id="12">
    <w:p w:rsidR="00723BD5" w:rsidRDefault="00723BD5">
      <w:pPr>
        <w:pStyle w:val="FootnoteText"/>
      </w:pPr>
      <w:r>
        <w:rPr>
          <w:rStyle w:val="FootnoteReference"/>
        </w:rPr>
        <w:footnoteRef/>
      </w:r>
      <w:r>
        <w:t xml:space="preserve"> OEHHA (2013) state they cannot be certain that PbB in the worker population with be distributed in the same way as in children, however they checked the measure of variability (the geometric standard deviation, or GSD) against GSDs derived from data available on adults exposed to lead in controlled chamber studies and field studies. The GSDs in the studies with adults were 1.4, 1.4 and 1.97 in the low, medium and high exposure groups, respectively. Therefore OEHHA (2013) concluded that the GSD of 1.6 used in the modelling is in the range expected for worker populations. </w:t>
      </w:r>
    </w:p>
  </w:footnote>
  <w:footnote w:id="13">
    <w:p w:rsidR="00723BD5" w:rsidRDefault="00723BD5" w:rsidP="00BE264C">
      <w:pPr>
        <w:pStyle w:val="FootnoteText"/>
      </w:pPr>
      <w:r>
        <w:rPr>
          <w:rStyle w:val="FootnoteReference"/>
        </w:rPr>
        <w:footnoteRef/>
      </w:r>
      <w:r>
        <w:t xml:space="preserve"> Cardiovascular effects (e.g. increased blood pressure and heart rate variability) have been observed in worker cohorts with mean or median PbB ranging </w:t>
      </w:r>
      <w:r w:rsidRPr="00F41186">
        <w:t>from 22 µg/dL (in Poręba et al 2013) to 56 µg/dL (in</w:t>
      </w:r>
      <w:r>
        <w:t xml:space="preserve"> Murata et al. 1995</w:t>
      </w:r>
      <w:r w:rsidRPr="00F41186">
        <w:t>)</w:t>
      </w:r>
      <w:r>
        <w:t xml:space="preserve">, with many of the investigations around 25-30 </w:t>
      </w:r>
      <w:r w:rsidRPr="00F41186">
        <w:t>µ</w:t>
      </w:r>
      <w:r>
        <w:t xml:space="preserve">g/dL. </w:t>
      </w:r>
    </w:p>
    <w:p w:rsidR="00723BD5" w:rsidRDefault="00723BD5" w:rsidP="00BE264C">
      <w:pPr>
        <w:pStyle w:val="FootnoteText"/>
      </w:pPr>
    </w:p>
    <w:p w:rsidR="00723BD5" w:rsidRDefault="00723BD5" w:rsidP="00BE264C">
      <w:pPr>
        <w:pStyle w:val="FootnoteText"/>
      </w:pPr>
      <w:r>
        <w:t xml:space="preserve">Haematological effects (e.g. decreased haemoglobin and </w:t>
      </w:r>
      <w:r w:rsidRPr="00FD06B7">
        <w:rPr>
          <w:sz w:val="16"/>
          <w:szCs w:val="16"/>
        </w:rPr>
        <w:t>δ</w:t>
      </w:r>
      <w:r w:rsidRPr="00A7721A">
        <w:t xml:space="preserve"> </w:t>
      </w:r>
      <w:r>
        <w:t>–aminolevulinate dehydratase [ALAD] activity) have been observed in workers with mean PbB ranging from 22</w:t>
      </w:r>
      <w:r w:rsidRPr="00532780">
        <w:t xml:space="preserve"> </w:t>
      </w:r>
      <w:r w:rsidRPr="00F41186">
        <w:t>µg/dL</w:t>
      </w:r>
      <w:r>
        <w:t xml:space="preserve"> (Mohammed et al. 2008) to 62 </w:t>
      </w:r>
      <w:r w:rsidRPr="00F41186">
        <w:t>µg/dL</w:t>
      </w:r>
      <w:r>
        <w:t xml:space="preserve"> (Feksa et al. 2012). Karita et al. (2005) estimated the lower 95% confidence limits on the benchmark dose (BMD) levels of PbB giving an excess risk of 5% in exposed workers of decreased haemoglobin or red blood cell counts as ~20 </w:t>
      </w:r>
      <w:r w:rsidRPr="00F41186">
        <w:t>µg/dL</w:t>
      </w:r>
      <w:r>
        <w:t xml:space="preserve"> and for decreased haematocrit the BMDL</w:t>
      </w:r>
      <w:r>
        <w:rPr>
          <w:vertAlign w:val="subscript"/>
        </w:rPr>
        <w:t>05</w:t>
      </w:r>
      <w:r>
        <w:t xml:space="preserve"> was ~30 </w:t>
      </w:r>
      <w:r w:rsidRPr="00F41186">
        <w:t>µg/dL</w:t>
      </w:r>
      <w:r>
        <w:t xml:space="preserve">. </w:t>
      </w:r>
    </w:p>
    <w:p w:rsidR="00723BD5" w:rsidRDefault="00723BD5" w:rsidP="00BE264C">
      <w:pPr>
        <w:pStyle w:val="FootnoteText"/>
      </w:pPr>
    </w:p>
    <w:p w:rsidR="00723BD5" w:rsidRDefault="00723BD5" w:rsidP="00BE264C">
      <w:pPr>
        <w:pStyle w:val="FootnoteText"/>
      </w:pPr>
      <w:r>
        <w:t xml:space="preserve">Effects on the immune system (e.g. subtle changes in immune markers and immunosuppression) have been noted in workers with PbB ranging from 25 </w:t>
      </w:r>
      <w:r w:rsidRPr="00F41186">
        <w:t>µg/dL</w:t>
      </w:r>
      <w:r>
        <w:t xml:space="preserve"> (Fischbein et al. 1993) to 51 </w:t>
      </w:r>
      <w:r w:rsidRPr="00F41186">
        <w:t>µg/dL</w:t>
      </w:r>
      <w:r>
        <w:t xml:space="preserve"> (Ewers et al. 1982) or </w:t>
      </w:r>
      <w:r>
        <w:rPr>
          <w:u w:val="single"/>
        </w:rPr>
        <w:t>&gt;</w:t>
      </w:r>
      <w:r>
        <w:t xml:space="preserve"> 40 </w:t>
      </w:r>
      <w:r w:rsidRPr="00F41186">
        <w:t>µg/dL</w:t>
      </w:r>
      <w:r>
        <w:t xml:space="preserve"> (Horiguchi et al. 1992, McCabe et al. 1994). </w:t>
      </w:r>
    </w:p>
    <w:p w:rsidR="00723BD5" w:rsidRDefault="00723BD5" w:rsidP="00BE264C">
      <w:pPr>
        <w:pStyle w:val="FootnoteText"/>
      </w:pPr>
    </w:p>
    <w:p w:rsidR="00723BD5" w:rsidRDefault="00723BD5" w:rsidP="00BE264C">
      <w:pPr>
        <w:pStyle w:val="FootnoteText"/>
      </w:pPr>
      <w:r>
        <w:t xml:space="preserve">Statistically significant effects on male reproductive parameters (e.g. reduced sperm quality) have been noted in workers with mean PbB ranging from 25 </w:t>
      </w:r>
      <w:r w:rsidRPr="00F41186">
        <w:t>µg/dL</w:t>
      </w:r>
      <w:r>
        <w:t xml:space="preserve"> (Hsu et al. 2009) to 87 </w:t>
      </w:r>
      <w:r w:rsidRPr="00F41186">
        <w:t>µg/dL</w:t>
      </w:r>
      <w:r>
        <w:t xml:space="preserve"> (Lerda 1992). Hosni et al. (2013) reported reduced sperm quality in workers with PbB </w:t>
      </w:r>
      <w:r>
        <w:rPr>
          <w:u w:val="single"/>
        </w:rPr>
        <w:t>&gt;</w:t>
      </w:r>
      <w:r>
        <w:t xml:space="preserve"> 20 </w:t>
      </w:r>
      <w:r w:rsidRPr="00F41186">
        <w:t>µg/dL</w:t>
      </w:r>
      <w:r>
        <w:t xml:space="preserve">, but these effects did not reach statistical significance. </w:t>
      </w:r>
    </w:p>
    <w:p w:rsidR="00723BD5" w:rsidRDefault="00723BD5" w:rsidP="00BE264C">
      <w:pPr>
        <w:pStyle w:val="FootnoteText"/>
      </w:pPr>
    </w:p>
    <w:p w:rsidR="00723BD5" w:rsidRDefault="00723BD5" w:rsidP="00BE264C">
      <w:pPr>
        <w:pStyle w:val="FootnoteText"/>
      </w:pPr>
      <w:r>
        <w:t xml:space="preserve">Markers of mutagenicity (e.g. sister chromatic exchange frequency, DNA protein cross-links) were elevated in workers with mean or median PbB ranging from 20 </w:t>
      </w:r>
      <w:r w:rsidRPr="00F41186">
        <w:t>µg/dL</w:t>
      </w:r>
      <w:r>
        <w:t xml:space="preserve"> (Kasuba et al. 2012) to 61 </w:t>
      </w:r>
      <w:r w:rsidRPr="00F41186">
        <w:t>µg/dL</w:t>
      </w:r>
      <w:r>
        <w:t xml:space="preserve"> (Vaglenov et al. 1998).</w:t>
      </w:r>
    </w:p>
  </w:footnote>
  <w:footnote w:id="14">
    <w:p w:rsidR="00723BD5" w:rsidRDefault="00723BD5">
      <w:pPr>
        <w:pStyle w:val="FootnoteText"/>
      </w:pPr>
      <w:r>
        <w:rPr>
          <w:rStyle w:val="FootnoteReference"/>
        </w:rPr>
        <w:footnoteRef/>
      </w:r>
      <w:r>
        <w:t xml:space="preserve"> Although women who are breastfeeding may experience a time of infertility, the definition of ‘women of reproductive capacity’ in this report is intended to include women who are breastfeeding.</w:t>
      </w:r>
    </w:p>
  </w:footnote>
  <w:footnote w:id="15">
    <w:p w:rsidR="00723BD5" w:rsidRDefault="00723BD5">
      <w:pPr>
        <w:pStyle w:val="FootnoteText"/>
      </w:pPr>
      <w:r>
        <w:rPr>
          <w:rStyle w:val="FootnoteReference"/>
        </w:rPr>
        <w:footnoteRef/>
      </w:r>
      <w:r>
        <w:t xml:space="preserve"> Odds ratio = [P</w:t>
      </w:r>
      <w:r w:rsidRPr="006831A4">
        <w:rPr>
          <w:vertAlign w:val="subscript"/>
        </w:rPr>
        <w:t>1</w:t>
      </w:r>
      <w:r>
        <w:t>/(1-P</w:t>
      </w:r>
      <w:r w:rsidRPr="006831A4">
        <w:rPr>
          <w:vertAlign w:val="subscript"/>
        </w:rPr>
        <w:t>1</w:t>
      </w:r>
      <w:r>
        <w:t>)]/[P</w:t>
      </w:r>
      <w:r w:rsidRPr="006831A4">
        <w:rPr>
          <w:vertAlign w:val="subscript"/>
        </w:rPr>
        <w:t>2</w:t>
      </w:r>
      <w:r>
        <w:t>/(1-P</w:t>
      </w:r>
      <w:r w:rsidRPr="00D416CB">
        <w:rPr>
          <w:vertAlign w:val="subscript"/>
        </w:rPr>
        <w:t>2</w:t>
      </w:r>
      <w:r>
        <w:t>)] where P1 is the probability of the outcome in group 1 (exposed group) and P2 is the probability of the outcome in group 2 (unexposed group). If the odds ratio is &gt; 1, the probability of the outcome is higher in the exposed group.</w:t>
      </w:r>
    </w:p>
  </w:footnote>
  <w:footnote w:id="16">
    <w:p w:rsidR="00723BD5" w:rsidRDefault="00723BD5">
      <w:pPr>
        <w:pStyle w:val="FootnoteText"/>
      </w:pPr>
      <w:r>
        <w:rPr>
          <w:rStyle w:val="FootnoteReference"/>
        </w:rPr>
        <w:footnoteRef/>
      </w:r>
      <w:r>
        <w:t xml:space="preserve"> The odds ratios reported by Bleecker et al. (2007b) are truncated to two significant figures whereas the confidence limits are reported to three significant figures.</w:t>
      </w:r>
    </w:p>
    <w:p w:rsidR="00723BD5" w:rsidRDefault="00723BD5">
      <w:pPr>
        <w:pStyle w:val="FootnoteText"/>
      </w:pPr>
    </w:p>
  </w:footnote>
  <w:footnote w:id="17">
    <w:p w:rsidR="00723BD5" w:rsidRDefault="00723BD5">
      <w:pPr>
        <w:pStyle w:val="FootnoteText"/>
      </w:pPr>
      <w:r>
        <w:rPr>
          <w:rStyle w:val="FootnoteReference"/>
        </w:rPr>
        <w:footnoteRef/>
      </w:r>
      <w:r>
        <w:t xml:space="preserve"> A</w:t>
      </w:r>
      <w:r w:rsidRPr="006E630E">
        <w:t>myotrophic lateral sclerosis</w:t>
      </w:r>
      <w:r>
        <w:t xml:space="preserve"> is also known as motor neurone disease.  </w:t>
      </w:r>
    </w:p>
  </w:footnote>
  <w:footnote w:id="18">
    <w:p w:rsidR="00723BD5" w:rsidRDefault="00723BD5">
      <w:pPr>
        <w:pStyle w:val="FootnoteText"/>
      </w:pPr>
      <w:r>
        <w:rPr>
          <w:rStyle w:val="FootnoteReference"/>
        </w:rPr>
        <w:footnoteRef/>
      </w:r>
      <w:r>
        <w:t xml:space="preserve"> Relative risk (RR) is </w:t>
      </w:r>
      <w:r w:rsidRPr="00D416CB">
        <w:t>the ratio of the risk of disease among people with a risk factor, to those without</w:t>
      </w:r>
      <w:r>
        <w:t xml:space="preserve">. </w:t>
      </w:r>
      <w:r w:rsidRPr="00D416CB">
        <w:t>A</w:t>
      </w:r>
      <w:r>
        <w:t>n</w:t>
      </w:r>
      <w:r w:rsidRPr="00D416CB">
        <w:t xml:space="preserve"> RR </w:t>
      </w:r>
      <w:r>
        <w:t xml:space="preserve">&gt; </w:t>
      </w:r>
      <w:r w:rsidRPr="00D416CB">
        <w:t xml:space="preserve"> 1.0 means that </w:t>
      </w:r>
      <w:r>
        <w:t>incidence rate is higher in the exposed group and thus</w:t>
      </w:r>
      <w:r w:rsidRPr="00D416CB">
        <w:t xml:space="preserve"> the </w:t>
      </w:r>
      <w:r>
        <w:t xml:space="preserve">risk </w:t>
      </w:r>
      <w:r w:rsidRPr="00D416CB">
        <w:t xml:space="preserve">factor has </w:t>
      </w:r>
      <w:r>
        <w:t>an</w:t>
      </w:r>
      <w:r w:rsidRPr="00D416CB">
        <w:t xml:space="preserve"> effect.</w:t>
      </w:r>
    </w:p>
  </w:footnote>
  <w:footnote w:id="19">
    <w:p w:rsidR="00723BD5" w:rsidRDefault="00723BD5">
      <w:pPr>
        <w:pStyle w:val="FootnoteText"/>
      </w:pPr>
      <w:r>
        <w:rPr>
          <w:rStyle w:val="FootnoteReference"/>
        </w:rPr>
        <w:footnoteRef/>
      </w:r>
      <w:r>
        <w:t xml:space="preserve"> Workers had past exposure to both inorganic and organic lead. </w:t>
      </w:r>
    </w:p>
  </w:footnote>
  <w:footnote w:id="20">
    <w:p w:rsidR="00723BD5" w:rsidRDefault="00723BD5" w:rsidP="00F030CD">
      <w:pPr>
        <w:pStyle w:val="FootnoteText"/>
      </w:pPr>
      <w:r>
        <w:rPr>
          <w:rStyle w:val="FootnoteReference"/>
        </w:rPr>
        <w:footnoteRef/>
      </w:r>
      <w:r>
        <w:t xml:space="preserve"> The problem with using occupational studies for calculating a health benefit from reduced exposure to a chemical is that there is often a lower cardiovascular disease prevalence or mortality when compared to the general population. This is the result of the “healthy worker effect.” </w:t>
      </w:r>
    </w:p>
    <w:p w:rsidR="00723BD5" w:rsidRDefault="00723BD5" w:rsidP="00F030CD">
      <w:pPr>
        <w:pStyle w:val="FootnoteText"/>
      </w:pPr>
    </w:p>
    <w:p w:rsidR="00723BD5" w:rsidRPr="000F153E" w:rsidRDefault="00723BD5" w:rsidP="00F030CD">
      <w:pPr>
        <w:pStyle w:val="FootnoteText"/>
      </w:pPr>
      <w:r w:rsidRPr="000F153E">
        <w:t xml:space="preserve">Navas-Acien et al. (2007) summarised epidemiological studies of cardiovascular mortality in occupational populations exposed to </w:t>
      </w:r>
      <w:r>
        <w:t>lead</w:t>
      </w:r>
      <w:r w:rsidRPr="000F153E">
        <w:t xml:space="preserve">. Relative risk estimates varied widely, with positive, inverse and null associations. </w:t>
      </w:r>
      <w:r>
        <w:t xml:space="preserve">The authors indicated a reason for this may be that the “healthy worker effect” is extremely difficult to correct in an analysis. Additional limitations may include the assignment of lead exposure based on job titles (since often PbB measurements are not available) and cardiovascular deaths based on death certificates. </w:t>
      </w:r>
    </w:p>
    <w:p w:rsidR="00723BD5" w:rsidRDefault="00723BD5" w:rsidP="00F030CD">
      <w:pPr>
        <w:pStyle w:val="FootnoteText"/>
      </w:pPr>
    </w:p>
    <w:p w:rsidR="00723BD5" w:rsidRDefault="00723BD5" w:rsidP="00F030CD">
      <w:pPr>
        <w:pStyle w:val="FootnoteText"/>
      </w:pPr>
      <w:r>
        <w:t xml:space="preserve">Selevan et al. (1988), for example, calculated standard mortality ratios for a cohort of male lead smelter workers in the USA employed between 1940 and 1965 for at least one year by comparing mortalities to those in the general population. Mortality was determined as of December 1, 1977. Of the 1987 workers qualifying for the study group, 1281 were known to be alive, 665 known to be deceased, and the remainder (2.1%) lost to follow up. Mortality from hypertension with heart disease and without heart disease had SMRs of 61 (CI 22-133) and 117 (CI 24-342), respectively. Mortality from stroke was reduced (SMR=84, CI 61-112), but not significantly so. </w:t>
      </w:r>
    </w:p>
  </w:footnote>
  <w:footnote w:id="21">
    <w:p w:rsidR="00723BD5" w:rsidRPr="00ED5DA8" w:rsidRDefault="00723BD5">
      <w:pPr>
        <w:pStyle w:val="FootnoteText"/>
      </w:pPr>
      <w:r>
        <w:rPr>
          <w:rStyle w:val="FootnoteReference"/>
        </w:rPr>
        <w:footnoteRef/>
      </w:r>
      <w:r>
        <w:t xml:space="preserve"> After multivariate adjustment the OR for spontaneous abortion was 1.8 (95% CI: 1.1, 3.1) for every 5 </w:t>
      </w:r>
      <w:r w:rsidRPr="003D60BD">
        <w:rPr>
          <w:rFonts w:cs="Arial"/>
        </w:rPr>
        <w:t>µ</w:t>
      </w:r>
      <w:r>
        <w:t xml:space="preserve">g/dL increase in PbB from the referent PbB of &lt;5 </w:t>
      </w:r>
      <w:r w:rsidRPr="003D60BD">
        <w:rPr>
          <w:rFonts w:cs="Arial"/>
        </w:rPr>
        <w:t>µ</w:t>
      </w:r>
      <w:r>
        <w:t xml:space="preserve">g/dL (Borja-Aburto et al. 1999). </w:t>
      </w:r>
    </w:p>
    <w:p w:rsidR="00723BD5" w:rsidRDefault="00723BD5">
      <w:pPr>
        <w:pStyle w:val="FootnoteText"/>
      </w:pPr>
    </w:p>
  </w:footnote>
  <w:footnote w:id="22">
    <w:p w:rsidR="00723BD5" w:rsidRDefault="00723BD5">
      <w:pPr>
        <w:pStyle w:val="FootnoteText"/>
      </w:pPr>
      <w:r>
        <w:rPr>
          <w:rStyle w:val="FootnoteReference"/>
        </w:rPr>
        <w:footnoteRef/>
      </w:r>
      <w:r>
        <w:t xml:space="preserve"> The ORs for preterm delivery in relation to PbB were 2.1 (95% CI 0.6, 7.6) for PbB &gt;8 but </w:t>
      </w:r>
      <w:r>
        <w:rPr>
          <w:u w:val="single"/>
        </w:rPr>
        <w:t>&lt;</w:t>
      </w:r>
      <w:r>
        <w:t xml:space="preserve"> 11 </w:t>
      </w:r>
      <w:r w:rsidRPr="003D60BD">
        <w:rPr>
          <w:rFonts w:cs="Arial"/>
        </w:rPr>
        <w:t>µ</w:t>
      </w:r>
      <w:r>
        <w:t xml:space="preserve">g/dL), 3.0 (0.8, 11.3) for PbB &gt;11 but </w:t>
      </w:r>
      <w:r>
        <w:rPr>
          <w:u w:val="single"/>
        </w:rPr>
        <w:t>&lt;</w:t>
      </w:r>
      <w:r>
        <w:t xml:space="preserve"> 14 </w:t>
      </w:r>
      <w:r w:rsidRPr="003D60BD">
        <w:rPr>
          <w:rFonts w:cs="Arial"/>
        </w:rPr>
        <w:t>µ</w:t>
      </w:r>
      <w:r>
        <w:t xml:space="preserve">g/dL, and 4.4 (1.2, 16.8) for PbB &gt;14 </w:t>
      </w:r>
      <w:r w:rsidRPr="003D60BD">
        <w:rPr>
          <w:rFonts w:cs="Arial"/>
        </w:rPr>
        <w:t>µ</w:t>
      </w:r>
      <w:r>
        <w:t xml:space="preserve">g/dL (McMichael et al. 1986). </w:t>
      </w:r>
    </w:p>
    <w:p w:rsidR="00723BD5" w:rsidRPr="00ED5DA8" w:rsidRDefault="00723BD5">
      <w:pPr>
        <w:pStyle w:val="FootnoteText"/>
      </w:pPr>
    </w:p>
  </w:footnote>
  <w:footnote w:id="23">
    <w:p w:rsidR="00723BD5" w:rsidRDefault="00723BD5">
      <w:pPr>
        <w:pStyle w:val="FootnoteText"/>
      </w:pPr>
      <w:r>
        <w:rPr>
          <w:rStyle w:val="FootnoteReference"/>
        </w:rPr>
        <w:footnoteRef/>
      </w:r>
      <w:r>
        <w:t xml:space="preserve"> Irgens et al. (1998) using data from the Norwegian birth registry found that women occupationally exposed to lead (none/low compared to moderate/high) were likely to deliver a low birth weight infant (OR 1.3 [95% CI: 1.1, 1.6]). PbB measurements were not reported. </w:t>
      </w:r>
    </w:p>
  </w:footnote>
  <w:footnote w:id="24">
    <w:p w:rsidR="00723BD5" w:rsidRDefault="00723BD5">
      <w:pPr>
        <w:pStyle w:val="FootnoteText"/>
      </w:pPr>
      <w:r>
        <w:rPr>
          <w:rStyle w:val="FootnoteReference"/>
        </w:rPr>
        <w:footnoteRef/>
      </w:r>
      <w:r>
        <w:t xml:space="preserve"> Although women who are breastfeeding may experience a time of infertility, the definition of ‘women of reproductive capacity’ in this report is intended to include women who are breastfeeding. </w:t>
      </w:r>
    </w:p>
  </w:footnote>
  <w:footnote w:id="25">
    <w:p w:rsidR="00723BD5" w:rsidRDefault="00723BD5" w:rsidP="00376116">
      <w:pPr>
        <w:pStyle w:val="FootnoteText"/>
      </w:pPr>
      <w:r>
        <w:rPr>
          <w:rStyle w:val="FootnoteReference"/>
        </w:rPr>
        <w:footnoteRef/>
      </w:r>
      <w:r>
        <w:t xml:space="preserve"> </w:t>
      </w:r>
      <w:r w:rsidRPr="00244814">
        <w:rPr>
          <w:sz w:val="18"/>
          <w:szCs w:val="18"/>
        </w:rPr>
        <w:t xml:space="preserve">An impacted community is defined as </w:t>
      </w:r>
      <w:r>
        <w:rPr>
          <w:sz w:val="18"/>
          <w:szCs w:val="18"/>
        </w:rPr>
        <w:t>one residing</w:t>
      </w:r>
      <w:r w:rsidRPr="00244814">
        <w:rPr>
          <w:sz w:val="18"/>
          <w:szCs w:val="18"/>
        </w:rPr>
        <w:t xml:space="preserve"> near</w:t>
      </w:r>
      <w:r>
        <w:rPr>
          <w:sz w:val="18"/>
          <w:szCs w:val="18"/>
        </w:rPr>
        <w:t xml:space="preserve"> a</w:t>
      </w:r>
      <w:r w:rsidRPr="00244814">
        <w:rPr>
          <w:sz w:val="18"/>
          <w:szCs w:val="18"/>
        </w:rPr>
        <w:t xml:space="preserve"> known </w:t>
      </w:r>
      <w:r>
        <w:rPr>
          <w:sz w:val="18"/>
          <w:szCs w:val="18"/>
        </w:rPr>
        <w:t xml:space="preserve">anthropogenic point </w:t>
      </w:r>
      <w:r w:rsidRPr="00244814">
        <w:rPr>
          <w:sz w:val="18"/>
          <w:szCs w:val="18"/>
        </w:rPr>
        <w:t>source</w:t>
      </w:r>
      <w:r>
        <w:rPr>
          <w:sz w:val="18"/>
          <w:szCs w:val="18"/>
        </w:rPr>
        <w:t xml:space="preserve"> of atmospheric lead</w:t>
      </w:r>
      <w:r w:rsidRPr="00244814">
        <w:rPr>
          <w:sz w:val="18"/>
          <w:szCs w:val="18"/>
        </w:rPr>
        <w:t xml:space="preserve">. Blood lead </w:t>
      </w:r>
      <w:r>
        <w:rPr>
          <w:sz w:val="18"/>
          <w:szCs w:val="18"/>
        </w:rPr>
        <w:t>concentrations in a non-</w:t>
      </w:r>
      <w:r w:rsidRPr="00244814">
        <w:rPr>
          <w:sz w:val="18"/>
          <w:szCs w:val="18"/>
        </w:rPr>
        <w:t>impacted community</w:t>
      </w:r>
      <w:r>
        <w:rPr>
          <w:sz w:val="18"/>
          <w:szCs w:val="18"/>
        </w:rPr>
        <w:t xml:space="preserve"> therefore </w:t>
      </w:r>
      <w:r w:rsidRPr="00244814">
        <w:rPr>
          <w:sz w:val="18"/>
          <w:szCs w:val="18"/>
        </w:rPr>
        <w:t>represent background, or reference</w:t>
      </w:r>
      <w:r>
        <w:rPr>
          <w:sz w:val="18"/>
          <w:szCs w:val="18"/>
        </w:rPr>
        <w:t xml:space="preserve">, </w:t>
      </w:r>
      <w:r w:rsidRPr="00244814">
        <w:rPr>
          <w:sz w:val="18"/>
          <w:szCs w:val="18"/>
        </w:rPr>
        <w:t>concentrations</w:t>
      </w:r>
      <w:r>
        <w:rPr>
          <w:sz w:val="18"/>
          <w:szCs w:val="18"/>
        </w:rPr>
        <w:t xml:space="preserve"> arising from general (non-point source) environmental exposures.</w:t>
      </w:r>
      <w:r w:rsidRPr="00244814">
        <w:rPr>
          <w:sz w:val="18"/>
          <w:szCs w:val="18"/>
        </w:rPr>
        <w:t xml:space="preserve"> </w:t>
      </w:r>
      <w:r>
        <w:t xml:space="preserve"> </w:t>
      </w:r>
    </w:p>
    <w:p w:rsidR="00723BD5" w:rsidRDefault="00723BD5" w:rsidP="00376116">
      <w:pPr>
        <w:pStyle w:val="FootnoteText"/>
      </w:pPr>
    </w:p>
  </w:footnote>
  <w:footnote w:id="26">
    <w:p w:rsidR="00723BD5" w:rsidRDefault="00723BD5" w:rsidP="00376116">
      <w:pPr>
        <w:pStyle w:val="FootnoteText"/>
      </w:pPr>
      <w:r>
        <w:rPr>
          <w:rStyle w:val="FootnoteReference"/>
        </w:rPr>
        <w:footnoteRef/>
      </w:r>
      <w:r>
        <w:rPr>
          <w:sz w:val="18"/>
          <w:szCs w:val="18"/>
        </w:rPr>
        <w:t xml:space="preserve"> </w:t>
      </w:r>
      <w:r w:rsidRPr="008405AA">
        <w:t xml:space="preserve">Confidence intervals provide information on how well the mean or central estimate has been defined. The prediction interval provides information about the distribution of values in a data set, not the uncertainty in determining the population mean. They predict, with stated confidence (e.g. 95%), the band in which a data point will lie if it is randomly sampled from the data set. Prediction intervals account for both the uncertainty in knowing the value of the population mean, plus the data variability, they are therefore always broader than the 95% confidence interval on the mean. </w:t>
      </w:r>
    </w:p>
    <w:p w:rsidR="00723BD5" w:rsidRPr="008405AA" w:rsidRDefault="00723BD5" w:rsidP="00376116">
      <w:pPr>
        <w:pStyle w:val="FootnoteText"/>
      </w:pPr>
    </w:p>
  </w:footnote>
  <w:footnote w:id="27">
    <w:p w:rsidR="00723BD5" w:rsidRDefault="00723BD5" w:rsidP="00376116">
      <w:pPr>
        <w:pStyle w:val="FootnoteText"/>
      </w:pPr>
      <w:r>
        <w:rPr>
          <w:rStyle w:val="FootnoteReference"/>
        </w:rPr>
        <w:footnoteRef/>
      </w:r>
      <w:r>
        <w:t xml:space="preserve"> </w:t>
      </w:r>
      <w:r w:rsidRPr="00925758">
        <w:t xml:space="preserve">Ulenbelt et al. (1990) found </w:t>
      </w:r>
      <w:r>
        <w:t>a low</w:t>
      </w:r>
      <w:r w:rsidRPr="00925758">
        <w:t xml:space="preserve"> correlation between PbAir and PbB due to poor personal hygiene in a lead processing electric accumulator factory. Hygienic variables explained at least 64 % of the variance of PbB.</w:t>
      </w:r>
    </w:p>
  </w:footnote>
  <w:footnote w:id="28">
    <w:p w:rsidR="00723BD5" w:rsidRDefault="00723BD5" w:rsidP="00376116">
      <w:pPr>
        <w:pStyle w:val="FootnoteText"/>
      </w:pPr>
      <w:r>
        <w:rPr>
          <w:rStyle w:val="FootnoteReference"/>
        </w:rPr>
        <w:footnoteRef/>
      </w:r>
      <w:r>
        <w:t xml:space="preserve"> The oral bioavailability of the bioaccessible fraction of ingested lead (essentially soluble lead) is approximately 10 -15</w:t>
      </w:r>
      <w:r w:rsidRPr="0040232A">
        <w:t>% in</w:t>
      </w:r>
      <w:r>
        <w:t xml:space="preserve"> non-fasted </w:t>
      </w:r>
      <w:r w:rsidRPr="000A2952">
        <w:t>adults</w:t>
      </w:r>
      <w:r>
        <w:t xml:space="preserve"> but can be up to 70% in fasted adults</w:t>
      </w:r>
      <w:r w:rsidRPr="000A2952">
        <w:t xml:space="preserve"> (US EPA 1996, ATSDR 2007, US EPA 2006). In</w:t>
      </w:r>
      <w:r>
        <w:t xml:space="preserve"> the US EPA pharmacokinetic modelling software, the adult lead model (ALM), the default oral bioavailability is 12% (US EPA 1996, 2009).</w:t>
      </w:r>
    </w:p>
  </w:footnote>
  <w:footnote w:id="29">
    <w:p w:rsidR="00723BD5" w:rsidRDefault="00723BD5" w:rsidP="00F066C9">
      <w:pPr>
        <w:pStyle w:val="FootnoteText"/>
        <w:rPr>
          <w:sz w:val="18"/>
          <w:szCs w:val="18"/>
        </w:rPr>
      </w:pPr>
      <w:r>
        <w:rPr>
          <w:rStyle w:val="FootnoteReference"/>
        </w:rPr>
        <w:footnoteRef/>
      </w:r>
      <w:r>
        <w:t xml:space="preserve"> </w:t>
      </w:r>
      <w:r w:rsidRPr="003E3842">
        <w:rPr>
          <w:sz w:val="18"/>
          <w:szCs w:val="18"/>
        </w:rPr>
        <w:t xml:space="preserve">ACGIH = American Conference of Governmental and Industrial Hygienists, </w:t>
      </w:r>
      <w:r>
        <w:rPr>
          <w:sz w:val="18"/>
          <w:szCs w:val="18"/>
        </w:rPr>
        <w:t xml:space="preserve">OSHA = Occupational Safety and Health Administration, NIOSH = National Institute for Occupational Safety and Health, </w:t>
      </w:r>
      <w:r w:rsidRPr="003E3842">
        <w:rPr>
          <w:sz w:val="18"/>
          <w:szCs w:val="18"/>
        </w:rPr>
        <w:t>B</w:t>
      </w:r>
      <w:r>
        <w:rPr>
          <w:sz w:val="18"/>
          <w:szCs w:val="18"/>
        </w:rPr>
        <w:t>Au</w:t>
      </w:r>
      <w:r w:rsidRPr="003E3842">
        <w:rPr>
          <w:sz w:val="18"/>
          <w:szCs w:val="18"/>
        </w:rPr>
        <w:t xml:space="preserve">A = Bundesanstalt für Arbeitsschutz und Arbeitsmedizin (German Federal Institute of Occupational Safety and Health), DFG MAK = Deutsche </w:t>
      </w:r>
      <w:r w:rsidRPr="00271957">
        <w:rPr>
          <w:sz w:val="18"/>
          <w:szCs w:val="18"/>
        </w:rPr>
        <w:t>Forschungsgemeinschaft (German Research Foundation), DWEA = Arbejdstilsynet (Danish Working Environment Authority), European AfsHW = European Agency for Safety and Health at Work, FIOH = Finnish Institute of Occupational Health, H</w:t>
      </w:r>
      <w:r>
        <w:rPr>
          <w:sz w:val="18"/>
          <w:szCs w:val="18"/>
        </w:rPr>
        <w:t>&amp;SA</w:t>
      </w:r>
      <w:r w:rsidRPr="00271957">
        <w:rPr>
          <w:sz w:val="18"/>
          <w:szCs w:val="18"/>
        </w:rPr>
        <w:t xml:space="preserve"> = </w:t>
      </w:r>
      <w:r>
        <w:rPr>
          <w:sz w:val="18"/>
          <w:szCs w:val="18"/>
        </w:rPr>
        <w:t xml:space="preserve">Ireland </w:t>
      </w:r>
      <w:r w:rsidRPr="00271957">
        <w:rPr>
          <w:sz w:val="18"/>
          <w:szCs w:val="18"/>
        </w:rPr>
        <w:t xml:space="preserve">Health and Safety Authority, INRS = Institut National de Recherche et de Securite (National Institute of Research and Security), INSHT = Instituto Nacional de Seguridad e Higiene en el Trabajo (National Institute of Occupational Safety and Hygiene), JOGDL = Journal Officiel du Grand-Duche de Luxembourg (Official Journal of the Grand Duke of Luxembourg), </w:t>
      </w:r>
      <w:r>
        <w:rPr>
          <w:sz w:val="18"/>
          <w:szCs w:val="18"/>
        </w:rPr>
        <w:t xml:space="preserve">MoE&amp;W = </w:t>
      </w:r>
      <w:r w:rsidRPr="00590C2A">
        <w:rPr>
          <w:sz w:val="18"/>
          <w:szCs w:val="18"/>
        </w:rPr>
        <w:t>Belgian Ministry of Employment and Work</w:t>
      </w:r>
      <w:r>
        <w:rPr>
          <w:sz w:val="18"/>
          <w:szCs w:val="18"/>
        </w:rPr>
        <w:t xml:space="preserve">, </w:t>
      </w:r>
      <w:r w:rsidRPr="00271957">
        <w:rPr>
          <w:sz w:val="18"/>
          <w:szCs w:val="18"/>
        </w:rPr>
        <w:t>JSOH = Japan Society for Occupational Health, NZ DoL = New Zealand Department of Labour, SUVA = Swiss Accident Insurance Fund, SWEA = Swedish Work Environment Authority,</w:t>
      </w:r>
      <w:r>
        <w:rPr>
          <w:sz w:val="18"/>
          <w:szCs w:val="18"/>
        </w:rPr>
        <w:t xml:space="preserve"> NIWL = </w:t>
      </w:r>
      <w:r w:rsidRPr="00590C2A">
        <w:rPr>
          <w:sz w:val="18"/>
          <w:szCs w:val="18"/>
        </w:rPr>
        <w:t>National Institute for Working Life</w:t>
      </w:r>
      <w:r>
        <w:rPr>
          <w:sz w:val="18"/>
          <w:szCs w:val="18"/>
        </w:rPr>
        <w:t>,</w:t>
      </w:r>
      <w:r w:rsidRPr="00271957">
        <w:rPr>
          <w:sz w:val="18"/>
          <w:szCs w:val="18"/>
        </w:rPr>
        <w:t xml:space="preserve"> UK HSE = United Kingdom Health and Safety Executive, </w:t>
      </w:r>
      <w:r>
        <w:rPr>
          <w:sz w:val="18"/>
          <w:szCs w:val="18"/>
        </w:rPr>
        <w:t xml:space="preserve">MTES = </w:t>
      </w:r>
      <w:r w:rsidRPr="00590C2A">
        <w:rPr>
          <w:sz w:val="18"/>
          <w:szCs w:val="18"/>
        </w:rPr>
        <w:t>Ministerio de Trabajo, Empleo y Seguridad Social (Ministry of Work and Social Security)</w:t>
      </w:r>
      <w:r>
        <w:rPr>
          <w:sz w:val="18"/>
          <w:szCs w:val="18"/>
        </w:rPr>
        <w:t xml:space="preserve">, SA DoL = </w:t>
      </w:r>
      <w:r w:rsidRPr="00590C2A">
        <w:rPr>
          <w:sz w:val="18"/>
          <w:szCs w:val="18"/>
        </w:rPr>
        <w:t>South African Department of Labour</w:t>
      </w:r>
      <w:r>
        <w:rPr>
          <w:sz w:val="18"/>
          <w:szCs w:val="18"/>
        </w:rPr>
        <w:t xml:space="preserve">, </w:t>
      </w:r>
      <w:r w:rsidRPr="00271957">
        <w:rPr>
          <w:sz w:val="18"/>
          <w:szCs w:val="18"/>
        </w:rPr>
        <w:t xml:space="preserve">Ontario MoL = Ontario Ministry of Labour, </w:t>
      </w:r>
      <w:r>
        <w:rPr>
          <w:sz w:val="18"/>
          <w:szCs w:val="18"/>
        </w:rPr>
        <w:t xml:space="preserve">MdS = </w:t>
      </w:r>
      <w:r w:rsidRPr="00590C2A">
        <w:rPr>
          <w:sz w:val="18"/>
          <w:szCs w:val="18"/>
        </w:rPr>
        <w:t>Ministerio de Salud (Ministry of Health)</w:t>
      </w:r>
      <w:r>
        <w:rPr>
          <w:sz w:val="18"/>
          <w:szCs w:val="18"/>
        </w:rPr>
        <w:t xml:space="preserve">, </w:t>
      </w:r>
      <w:r w:rsidRPr="00271957">
        <w:rPr>
          <w:sz w:val="18"/>
          <w:szCs w:val="18"/>
        </w:rPr>
        <w:t>WorkSafe BC = WorkSafe British Columbia, Gov of Alberta = Government of Alberta, Quebec CfOHS = Quebec Commission for Occupational Health and Safety</w:t>
      </w:r>
      <w:r>
        <w:rPr>
          <w:sz w:val="18"/>
          <w:szCs w:val="18"/>
        </w:rPr>
        <w:t xml:space="preserve">, Cal DIR = </w:t>
      </w:r>
      <w:r w:rsidRPr="00590C2A">
        <w:rPr>
          <w:sz w:val="18"/>
          <w:szCs w:val="18"/>
        </w:rPr>
        <w:t>California Department of Industrial Relations</w:t>
      </w:r>
      <w:r>
        <w:rPr>
          <w:sz w:val="18"/>
          <w:szCs w:val="18"/>
        </w:rPr>
        <w:t>, NY DoL = New York Department of Labour, Wash DoL = Washington State Department of Labour and Industries</w:t>
      </w:r>
    </w:p>
    <w:p w:rsidR="00723BD5" w:rsidRDefault="00723BD5">
      <w:pPr>
        <w:pStyle w:val="FootnoteText"/>
      </w:pPr>
    </w:p>
  </w:footnote>
  <w:footnote w:id="30">
    <w:p w:rsidR="00723BD5" w:rsidRDefault="00723BD5">
      <w:pPr>
        <w:pStyle w:val="FootnoteText"/>
      </w:pPr>
      <w:r>
        <w:rPr>
          <w:rStyle w:val="FootnoteReference"/>
        </w:rPr>
        <w:footnoteRef/>
      </w:r>
      <w:r>
        <w:t xml:space="preserve"> Medline, Toxline (includes PubMed), Embase, ScienceDirect, and Google.</w:t>
      </w:r>
    </w:p>
  </w:footnote>
  <w:footnote w:id="31">
    <w:p w:rsidR="00723BD5" w:rsidRDefault="00723BD5" w:rsidP="00B855DE">
      <w:pPr>
        <w:pStyle w:val="FootnoteText"/>
      </w:pPr>
      <w:r>
        <w:rPr>
          <w:rStyle w:val="FootnoteReference"/>
        </w:rPr>
        <w:footnoteRef/>
      </w:r>
      <w:r>
        <w:t xml:space="preserve"> Medline, Toxline (includes PubMed), Embase, ScienceDirect, and Google.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D5" w:rsidRDefault="00723BD5" w:rsidP="003B1AB2">
    <w:pPr>
      <w:pStyle w:val="Header"/>
      <w:tabs>
        <w:tab w:val="clear" w:pos="9026"/>
        <w:tab w:val="right" w:pos="9781"/>
      </w:tabs>
      <w:ind w:right="-873"/>
    </w:pPr>
    <w:r>
      <w:rPr>
        <w:sz w:val="32"/>
        <w:szCs w:val="3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D5" w:rsidRDefault="00723BD5" w:rsidP="004E2824">
    <w:pPr>
      <w:pStyle w:val="Header"/>
      <w:tabs>
        <w:tab w:val="clear" w:pos="9026"/>
        <w:tab w:val="right" w:pos="9781"/>
      </w:tabs>
      <w:ind w:right="54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104"/>
    <w:multiLevelType w:val="hybridMultilevel"/>
    <w:tmpl w:val="6C92A1B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0538718B"/>
    <w:multiLevelType w:val="hybridMultilevel"/>
    <w:tmpl w:val="7F34683C"/>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
    <w:nsid w:val="05664F37"/>
    <w:multiLevelType w:val="hybridMultilevel"/>
    <w:tmpl w:val="352E781C"/>
    <w:lvl w:ilvl="0" w:tplc="4CE2FF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7E74BAE"/>
    <w:multiLevelType w:val="hybridMultilevel"/>
    <w:tmpl w:val="30186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293758"/>
    <w:multiLevelType w:val="hybridMultilevel"/>
    <w:tmpl w:val="C15EC29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0AB20BD8"/>
    <w:multiLevelType w:val="hybridMultilevel"/>
    <w:tmpl w:val="0B3A2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C17EAE"/>
    <w:multiLevelType w:val="hybridMultilevel"/>
    <w:tmpl w:val="DD6C3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D26A9F"/>
    <w:multiLevelType w:val="hybridMultilevel"/>
    <w:tmpl w:val="FD622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DC6426"/>
    <w:multiLevelType w:val="hybridMultilevel"/>
    <w:tmpl w:val="B476B3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4023BEA"/>
    <w:multiLevelType w:val="hybridMultilevel"/>
    <w:tmpl w:val="BC78F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3A712C"/>
    <w:multiLevelType w:val="hybridMultilevel"/>
    <w:tmpl w:val="D7CEA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FE45D9"/>
    <w:multiLevelType w:val="hybridMultilevel"/>
    <w:tmpl w:val="AC18A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6082DBF"/>
    <w:multiLevelType w:val="hybridMultilevel"/>
    <w:tmpl w:val="8EBEB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FC2270"/>
    <w:multiLevelType w:val="hybridMultilevel"/>
    <w:tmpl w:val="AE1CF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362981"/>
    <w:multiLevelType w:val="hybridMultilevel"/>
    <w:tmpl w:val="FEF0F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101B92"/>
    <w:multiLevelType w:val="hybridMultilevel"/>
    <w:tmpl w:val="C0A88378"/>
    <w:lvl w:ilvl="0" w:tplc="C43CBB3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nsid w:val="354E2107"/>
    <w:multiLevelType w:val="hybridMultilevel"/>
    <w:tmpl w:val="A150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021859"/>
    <w:multiLevelType w:val="hybridMultilevel"/>
    <w:tmpl w:val="8C88BAF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8">
    <w:nsid w:val="3AE51FAA"/>
    <w:multiLevelType w:val="hybridMultilevel"/>
    <w:tmpl w:val="A998C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D6D2DEC"/>
    <w:multiLevelType w:val="hybridMultilevel"/>
    <w:tmpl w:val="E7265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12A1AEA"/>
    <w:multiLevelType w:val="hybridMultilevel"/>
    <w:tmpl w:val="7B02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7D338E4"/>
    <w:multiLevelType w:val="hybridMultilevel"/>
    <w:tmpl w:val="8BCA3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A3A57B7"/>
    <w:multiLevelType w:val="hybridMultilevel"/>
    <w:tmpl w:val="B7CA5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26303B"/>
    <w:multiLevelType w:val="hybridMultilevel"/>
    <w:tmpl w:val="2AB85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3667C8"/>
    <w:multiLevelType w:val="hybridMultilevel"/>
    <w:tmpl w:val="8772B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4E04B73"/>
    <w:multiLevelType w:val="hybridMultilevel"/>
    <w:tmpl w:val="F60CB5E6"/>
    <w:lvl w:ilvl="0" w:tplc="9CBC4484">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574701FA"/>
    <w:multiLevelType w:val="hybridMultilevel"/>
    <w:tmpl w:val="07BAC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E25175"/>
    <w:multiLevelType w:val="hybridMultilevel"/>
    <w:tmpl w:val="A93C0A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80D3E0A"/>
    <w:multiLevelType w:val="hybridMultilevel"/>
    <w:tmpl w:val="74C0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BAB732B"/>
    <w:multiLevelType w:val="hybridMultilevel"/>
    <w:tmpl w:val="0EB6A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CB96005"/>
    <w:multiLevelType w:val="hybridMultilevel"/>
    <w:tmpl w:val="D60C3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930ACF"/>
    <w:multiLevelType w:val="hybridMultilevel"/>
    <w:tmpl w:val="9AFC38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nsid w:val="60404605"/>
    <w:multiLevelType w:val="hybridMultilevel"/>
    <w:tmpl w:val="C7FC8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480445"/>
    <w:multiLevelType w:val="hybridMultilevel"/>
    <w:tmpl w:val="D2629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4A1428"/>
    <w:multiLevelType w:val="hybridMultilevel"/>
    <w:tmpl w:val="DA9413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nsid w:val="6BC25217"/>
    <w:multiLevelType w:val="hybridMultilevel"/>
    <w:tmpl w:val="0C90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A71EBF"/>
    <w:multiLevelType w:val="hybridMultilevel"/>
    <w:tmpl w:val="5590F188"/>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38">
    <w:nsid w:val="794B749C"/>
    <w:multiLevelType w:val="hybridMultilevel"/>
    <w:tmpl w:val="CEAAC700"/>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9">
    <w:nsid w:val="79BF61E7"/>
    <w:multiLevelType w:val="hybridMultilevel"/>
    <w:tmpl w:val="6A00F30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0">
    <w:nsid w:val="7AAF69B0"/>
    <w:multiLevelType w:val="hybridMultilevel"/>
    <w:tmpl w:val="BB08A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34"/>
  </w:num>
  <w:num w:numId="4">
    <w:abstractNumId w:val="31"/>
  </w:num>
  <w:num w:numId="5">
    <w:abstractNumId w:val="3"/>
  </w:num>
  <w:num w:numId="6">
    <w:abstractNumId w:val="36"/>
  </w:num>
  <w:num w:numId="7">
    <w:abstractNumId w:val="24"/>
  </w:num>
  <w:num w:numId="8">
    <w:abstractNumId w:val="19"/>
  </w:num>
  <w:num w:numId="9">
    <w:abstractNumId w:val="22"/>
  </w:num>
  <w:num w:numId="10">
    <w:abstractNumId w:val="29"/>
  </w:num>
  <w:num w:numId="11">
    <w:abstractNumId w:val="35"/>
  </w:num>
  <w:num w:numId="12">
    <w:abstractNumId w:val="28"/>
  </w:num>
  <w:num w:numId="13">
    <w:abstractNumId w:val="27"/>
  </w:num>
  <w:num w:numId="14">
    <w:abstractNumId w:val="16"/>
  </w:num>
  <w:num w:numId="15">
    <w:abstractNumId w:val="14"/>
  </w:num>
  <w:num w:numId="16">
    <w:abstractNumId w:val="30"/>
  </w:num>
  <w:num w:numId="17">
    <w:abstractNumId w:val="38"/>
  </w:num>
  <w:num w:numId="18">
    <w:abstractNumId w:val="4"/>
  </w:num>
  <w:num w:numId="19">
    <w:abstractNumId w:val="7"/>
  </w:num>
  <w:num w:numId="20">
    <w:abstractNumId w:val="12"/>
  </w:num>
  <w:num w:numId="21">
    <w:abstractNumId w:val="8"/>
  </w:num>
  <w:num w:numId="22">
    <w:abstractNumId w:val="39"/>
  </w:num>
  <w:num w:numId="23">
    <w:abstractNumId w:val="11"/>
  </w:num>
  <w:num w:numId="24">
    <w:abstractNumId w:val="9"/>
  </w:num>
  <w:num w:numId="25">
    <w:abstractNumId w:val="0"/>
  </w:num>
  <w:num w:numId="26">
    <w:abstractNumId w:val="40"/>
  </w:num>
  <w:num w:numId="27">
    <w:abstractNumId w:val="33"/>
  </w:num>
  <w:num w:numId="28">
    <w:abstractNumId w:val="25"/>
  </w:num>
  <w:num w:numId="29">
    <w:abstractNumId w:val="13"/>
  </w:num>
  <w:num w:numId="30">
    <w:abstractNumId w:val="17"/>
  </w:num>
  <w:num w:numId="31">
    <w:abstractNumId w:val="37"/>
  </w:num>
  <w:num w:numId="32">
    <w:abstractNumId w:val="1"/>
  </w:num>
  <w:num w:numId="33">
    <w:abstractNumId w:val="20"/>
  </w:num>
  <w:num w:numId="34">
    <w:abstractNumId w:val="10"/>
  </w:num>
  <w:num w:numId="35">
    <w:abstractNumId w:val="5"/>
  </w:num>
  <w:num w:numId="36">
    <w:abstractNumId w:val="2"/>
  </w:num>
  <w:num w:numId="37">
    <w:abstractNumId w:val="15"/>
  </w:num>
  <w:num w:numId="38">
    <w:abstractNumId w:val="6"/>
  </w:num>
  <w:num w:numId="39">
    <w:abstractNumId w:val="21"/>
  </w:num>
  <w:num w:numId="40">
    <w:abstractNumId w:val="23"/>
  </w:num>
  <w:num w:numId="41">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AB2"/>
    <w:rsid w:val="00001A9A"/>
    <w:rsid w:val="000020F8"/>
    <w:rsid w:val="00002403"/>
    <w:rsid w:val="00004157"/>
    <w:rsid w:val="00013B8D"/>
    <w:rsid w:val="00015178"/>
    <w:rsid w:val="0001725E"/>
    <w:rsid w:val="0001794E"/>
    <w:rsid w:val="000200E4"/>
    <w:rsid w:val="000229A0"/>
    <w:rsid w:val="00024CE4"/>
    <w:rsid w:val="00024D0A"/>
    <w:rsid w:val="00025217"/>
    <w:rsid w:val="000311E9"/>
    <w:rsid w:val="00031DBD"/>
    <w:rsid w:val="00032E40"/>
    <w:rsid w:val="00033314"/>
    <w:rsid w:val="00034419"/>
    <w:rsid w:val="000407BD"/>
    <w:rsid w:val="00041591"/>
    <w:rsid w:val="0005093A"/>
    <w:rsid w:val="0005394E"/>
    <w:rsid w:val="00060927"/>
    <w:rsid w:val="00061B8B"/>
    <w:rsid w:val="00061CE0"/>
    <w:rsid w:val="00062D30"/>
    <w:rsid w:val="000645C3"/>
    <w:rsid w:val="000666B8"/>
    <w:rsid w:val="00070379"/>
    <w:rsid w:val="00070512"/>
    <w:rsid w:val="00070BA0"/>
    <w:rsid w:val="000730DF"/>
    <w:rsid w:val="00074D1A"/>
    <w:rsid w:val="00076344"/>
    <w:rsid w:val="000849FA"/>
    <w:rsid w:val="000853A9"/>
    <w:rsid w:val="0009468C"/>
    <w:rsid w:val="00095C87"/>
    <w:rsid w:val="000A1BA9"/>
    <w:rsid w:val="000A1E70"/>
    <w:rsid w:val="000A200B"/>
    <w:rsid w:val="000A4877"/>
    <w:rsid w:val="000A6361"/>
    <w:rsid w:val="000A6B2C"/>
    <w:rsid w:val="000B3668"/>
    <w:rsid w:val="000B3D6B"/>
    <w:rsid w:val="000B502E"/>
    <w:rsid w:val="000B5B51"/>
    <w:rsid w:val="000B6A30"/>
    <w:rsid w:val="000B7A47"/>
    <w:rsid w:val="000B7CB6"/>
    <w:rsid w:val="000C1C87"/>
    <w:rsid w:val="000C3863"/>
    <w:rsid w:val="000C61B2"/>
    <w:rsid w:val="000C6822"/>
    <w:rsid w:val="000C7288"/>
    <w:rsid w:val="000C7BD8"/>
    <w:rsid w:val="000D468B"/>
    <w:rsid w:val="000D50CB"/>
    <w:rsid w:val="000D644E"/>
    <w:rsid w:val="000D7080"/>
    <w:rsid w:val="000D75DA"/>
    <w:rsid w:val="000E2B43"/>
    <w:rsid w:val="000E3869"/>
    <w:rsid w:val="000E40B8"/>
    <w:rsid w:val="000E46AB"/>
    <w:rsid w:val="000E561A"/>
    <w:rsid w:val="000E6331"/>
    <w:rsid w:val="000E713C"/>
    <w:rsid w:val="000F001B"/>
    <w:rsid w:val="000F153E"/>
    <w:rsid w:val="000F37BB"/>
    <w:rsid w:val="000F41C3"/>
    <w:rsid w:val="000F4910"/>
    <w:rsid w:val="000F5B19"/>
    <w:rsid w:val="00102011"/>
    <w:rsid w:val="001033B1"/>
    <w:rsid w:val="001062D7"/>
    <w:rsid w:val="00107455"/>
    <w:rsid w:val="00115330"/>
    <w:rsid w:val="00116727"/>
    <w:rsid w:val="00116CCE"/>
    <w:rsid w:val="001178FD"/>
    <w:rsid w:val="001210E5"/>
    <w:rsid w:val="00123826"/>
    <w:rsid w:val="0012609B"/>
    <w:rsid w:val="001269F5"/>
    <w:rsid w:val="0013088D"/>
    <w:rsid w:val="00130EAD"/>
    <w:rsid w:val="00131882"/>
    <w:rsid w:val="00133B52"/>
    <w:rsid w:val="00137053"/>
    <w:rsid w:val="00137F8B"/>
    <w:rsid w:val="001401E6"/>
    <w:rsid w:val="00141177"/>
    <w:rsid w:val="0015026D"/>
    <w:rsid w:val="00150F76"/>
    <w:rsid w:val="001528DE"/>
    <w:rsid w:val="00153A91"/>
    <w:rsid w:val="00155D3B"/>
    <w:rsid w:val="001602EB"/>
    <w:rsid w:val="0016072C"/>
    <w:rsid w:val="001619F2"/>
    <w:rsid w:val="00161A24"/>
    <w:rsid w:val="001658E4"/>
    <w:rsid w:val="001666B4"/>
    <w:rsid w:val="00167FF7"/>
    <w:rsid w:val="0017212D"/>
    <w:rsid w:val="0017254A"/>
    <w:rsid w:val="001748CC"/>
    <w:rsid w:val="0017502B"/>
    <w:rsid w:val="00175E94"/>
    <w:rsid w:val="00175FD1"/>
    <w:rsid w:val="0017618B"/>
    <w:rsid w:val="001857AC"/>
    <w:rsid w:val="00185D5A"/>
    <w:rsid w:val="0019384B"/>
    <w:rsid w:val="001939AD"/>
    <w:rsid w:val="00194943"/>
    <w:rsid w:val="00195A4C"/>
    <w:rsid w:val="00195C1B"/>
    <w:rsid w:val="001A6185"/>
    <w:rsid w:val="001A685E"/>
    <w:rsid w:val="001B10CC"/>
    <w:rsid w:val="001B414C"/>
    <w:rsid w:val="001B601C"/>
    <w:rsid w:val="001B68EB"/>
    <w:rsid w:val="001B7FC0"/>
    <w:rsid w:val="001C2B77"/>
    <w:rsid w:val="001C2BE1"/>
    <w:rsid w:val="001C5813"/>
    <w:rsid w:val="001C5FB5"/>
    <w:rsid w:val="001C6758"/>
    <w:rsid w:val="001C74BC"/>
    <w:rsid w:val="001C76B2"/>
    <w:rsid w:val="001D0D80"/>
    <w:rsid w:val="001D4EAE"/>
    <w:rsid w:val="001D687E"/>
    <w:rsid w:val="001D6C14"/>
    <w:rsid w:val="001D761E"/>
    <w:rsid w:val="001E0189"/>
    <w:rsid w:val="001E0867"/>
    <w:rsid w:val="001E10EC"/>
    <w:rsid w:val="001E6848"/>
    <w:rsid w:val="001E757D"/>
    <w:rsid w:val="001E7E70"/>
    <w:rsid w:val="001F02B7"/>
    <w:rsid w:val="001F1A21"/>
    <w:rsid w:val="001F1D0C"/>
    <w:rsid w:val="001F1DF0"/>
    <w:rsid w:val="001F2345"/>
    <w:rsid w:val="001F6539"/>
    <w:rsid w:val="001F7AF3"/>
    <w:rsid w:val="00200712"/>
    <w:rsid w:val="0020351D"/>
    <w:rsid w:val="002038D5"/>
    <w:rsid w:val="0020564D"/>
    <w:rsid w:val="00205DD4"/>
    <w:rsid w:val="00205EC8"/>
    <w:rsid w:val="0021080C"/>
    <w:rsid w:val="00214445"/>
    <w:rsid w:val="002157D9"/>
    <w:rsid w:val="00216408"/>
    <w:rsid w:val="00222010"/>
    <w:rsid w:val="00223059"/>
    <w:rsid w:val="00223AF8"/>
    <w:rsid w:val="00223F77"/>
    <w:rsid w:val="00230802"/>
    <w:rsid w:val="00230F92"/>
    <w:rsid w:val="0023661C"/>
    <w:rsid w:val="0023747D"/>
    <w:rsid w:val="00237903"/>
    <w:rsid w:val="00237AF3"/>
    <w:rsid w:val="002427AF"/>
    <w:rsid w:val="00242F1D"/>
    <w:rsid w:val="00242F86"/>
    <w:rsid w:val="002451DF"/>
    <w:rsid w:val="002459E1"/>
    <w:rsid w:val="002506E4"/>
    <w:rsid w:val="00250D16"/>
    <w:rsid w:val="002511A3"/>
    <w:rsid w:val="002578AE"/>
    <w:rsid w:val="0026066D"/>
    <w:rsid w:val="00260A39"/>
    <w:rsid w:val="00261A6C"/>
    <w:rsid w:val="002630D4"/>
    <w:rsid w:val="0026319F"/>
    <w:rsid w:val="00263767"/>
    <w:rsid w:val="0026406E"/>
    <w:rsid w:val="00265F7D"/>
    <w:rsid w:val="0026656B"/>
    <w:rsid w:val="002742DF"/>
    <w:rsid w:val="002751A5"/>
    <w:rsid w:val="00275F89"/>
    <w:rsid w:val="0027657C"/>
    <w:rsid w:val="00277316"/>
    <w:rsid w:val="00277FB6"/>
    <w:rsid w:val="00282D1A"/>
    <w:rsid w:val="00282E02"/>
    <w:rsid w:val="002832F4"/>
    <w:rsid w:val="00283E5D"/>
    <w:rsid w:val="00283F5E"/>
    <w:rsid w:val="002872B0"/>
    <w:rsid w:val="002934C4"/>
    <w:rsid w:val="002979CF"/>
    <w:rsid w:val="00297E73"/>
    <w:rsid w:val="002A575E"/>
    <w:rsid w:val="002B0468"/>
    <w:rsid w:val="002B15BE"/>
    <w:rsid w:val="002B2B03"/>
    <w:rsid w:val="002B30C2"/>
    <w:rsid w:val="002B4710"/>
    <w:rsid w:val="002B5D66"/>
    <w:rsid w:val="002C1EF0"/>
    <w:rsid w:val="002C534C"/>
    <w:rsid w:val="002C6725"/>
    <w:rsid w:val="002C7749"/>
    <w:rsid w:val="002D0F42"/>
    <w:rsid w:val="002D1392"/>
    <w:rsid w:val="002D15A1"/>
    <w:rsid w:val="002D1702"/>
    <w:rsid w:val="002D43F3"/>
    <w:rsid w:val="002D6F7C"/>
    <w:rsid w:val="002D73DA"/>
    <w:rsid w:val="002D785F"/>
    <w:rsid w:val="002E0FBE"/>
    <w:rsid w:val="002E2662"/>
    <w:rsid w:val="002E6EA6"/>
    <w:rsid w:val="002E7853"/>
    <w:rsid w:val="002F39D7"/>
    <w:rsid w:val="002F4198"/>
    <w:rsid w:val="002F52EC"/>
    <w:rsid w:val="002F64F2"/>
    <w:rsid w:val="00302285"/>
    <w:rsid w:val="00303FE3"/>
    <w:rsid w:val="00305567"/>
    <w:rsid w:val="00306669"/>
    <w:rsid w:val="003069AC"/>
    <w:rsid w:val="00306F59"/>
    <w:rsid w:val="00307288"/>
    <w:rsid w:val="00311B54"/>
    <w:rsid w:val="00314205"/>
    <w:rsid w:val="00316683"/>
    <w:rsid w:val="00316781"/>
    <w:rsid w:val="003170DF"/>
    <w:rsid w:val="00317581"/>
    <w:rsid w:val="00324F02"/>
    <w:rsid w:val="0032692A"/>
    <w:rsid w:val="0033085E"/>
    <w:rsid w:val="00331259"/>
    <w:rsid w:val="00331F4F"/>
    <w:rsid w:val="003338CE"/>
    <w:rsid w:val="00334906"/>
    <w:rsid w:val="00335186"/>
    <w:rsid w:val="00336E91"/>
    <w:rsid w:val="00342DAA"/>
    <w:rsid w:val="00342DC2"/>
    <w:rsid w:val="003447DD"/>
    <w:rsid w:val="00345E3F"/>
    <w:rsid w:val="003469B3"/>
    <w:rsid w:val="00347839"/>
    <w:rsid w:val="00350B6C"/>
    <w:rsid w:val="00356E26"/>
    <w:rsid w:val="00360724"/>
    <w:rsid w:val="00361F64"/>
    <w:rsid w:val="00364378"/>
    <w:rsid w:val="003652D3"/>
    <w:rsid w:val="003653D9"/>
    <w:rsid w:val="003656FA"/>
    <w:rsid w:val="00365F29"/>
    <w:rsid w:val="0037074F"/>
    <w:rsid w:val="00375BEE"/>
    <w:rsid w:val="00375E22"/>
    <w:rsid w:val="00376116"/>
    <w:rsid w:val="00376281"/>
    <w:rsid w:val="0037733F"/>
    <w:rsid w:val="00377503"/>
    <w:rsid w:val="003813C8"/>
    <w:rsid w:val="00382897"/>
    <w:rsid w:val="003831E7"/>
    <w:rsid w:val="00390E1B"/>
    <w:rsid w:val="003927FC"/>
    <w:rsid w:val="00393EF6"/>
    <w:rsid w:val="003A43FC"/>
    <w:rsid w:val="003A4590"/>
    <w:rsid w:val="003A712C"/>
    <w:rsid w:val="003A7DB2"/>
    <w:rsid w:val="003A7F6B"/>
    <w:rsid w:val="003A7FA8"/>
    <w:rsid w:val="003B1AB2"/>
    <w:rsid w:val="003B208E"/>
    <w:rsid w:val="003B2E45"/>
    <w:rsid w:val="003B3AC9"/>
    <w:rsid w:val="003B5B63"/>
    <w:rsid w:val="003C4044"/>
    <w:rsid w:val="003C4336"/>
    <w:rsid w:val="003C693E"/>
    <w:rsid w:val="003C72F5"/>
    <w:rsid w:val="003D0B05"/>
    <w:rsid w:val="003D2468"/>
    <w:rsid w:val="003D35E2"/>
    <w:rsid w:val="003D3878"/>
    <w:rsid w:val="003D5113"/>
    <w:rsid w:val="003D60BD"/>
    <w:rsid w:val="003D6C4A"/>
    <w:rsid w:val="003D7D5F"/>
    <w:rsid w:val="003E03DD"/>
    <w:rsid w:val="003E12C5"/>
    <w:rsid w:val="003E2444"/>
    <w:rsid w:val="003E29DD"/>
    <w:rsid w:val="003E4604"/>
    <w:rsid w:val="003E6261"/>
    <w:rsid w:val="003E7618"/>
    <w:rsid w:val="003E7BC7"/>
    <w:rsid w:val="003F0E7C"/>
    <w:rsid w:val="003F39DF"/>
    <w:rsid w:val="003F4CAA"/>
    <w:rsid w:val="003F6A3E"/>
    <w:rsid w:val="003F734E"/>
    <w:rsid w:val="00400097"/>
    <w:rsid w:val="00401EE8"/>
    <w:rsid w:val="00405A26"/>
    <w:rsid w:val="0040732A"/>
    <w:rsid w:val="004075D6"/>
    <w:rsid w:val="00407D5F"/>
    <w:rsid w:val="004100AE"/>
    <w:rsid w:val="00420B44"/>
    <w:rsid w:val="00420FE4"/>
    <w:rsid w:val="00422757"/>
    <w:rsid w:val="00426E9F"/>
    <w:rsid w:val="00431F44"/>
    <w:rsid w:val="00434263"/>
    <w:rsid w:val="00434D68"/>
    <w:rsid w:val="0043629B"/>
    <w:rsid w:val="0044033A"/>
    <w:rsid w:val="00440F6B"/>
    <w:rsid w:val="004429A1"/>
    <w:rsid w:val="00444131"/>
    <w:rsid w:val="00450230"/>
    <w:rsid w:val="00451CD5"/>
    <w:rsid w:val="0045219D"/>
    <w:rsid w:val="004605D5"/>
    <w:rsid w:val="00460695"/>
    <w:rsid w:val="004607D3"/>
    <w:rsid w:val="0046240E"/>
    <w:rsid w:val="00463C46"/>
    <w:rsid w:val="00464095"/>
    <w:rsid w:val="00465DE0"/>
    <w:rsid w:val="00470053"/>
    <w:rsid w:val="004710C4"/>
    <w:rsid w:val="00471111"/>
    <w:rsid w:val="00471CCC"/>
    <w:rsid w:val="004726B1"/>
    <w:rsid w:val="004741BD"/>
    <w:rsid w:val="0047558B"/>
    <w:rsid w:val="00475A67"/>
    <w:rsid w:val="00475BBA"/>
    <w:rsid w:val="004766FD"/>
    <w:rsid w:val="00476AB6"/>
    <w:rsid w:val="00483634"/>
    <w:rsid w:val="004842EF"/>
    <w:rsid w:val="00491F0A"/>
    <w:rsid w:val="004933B3"/>
    <w:rsid w:val="00494A4B"/>
    <w:rsid w:val="00496143"/>
    <w:rsid w:val="00497A1A"/>
    <w:rsid w:val="004A05DA"/>
    <w:rsid w:val="004A1C8F"/>
    <w:rsid w:val="004A2557"/>
    <w:rsid w:val="004A30AE"/>
    <w:rsid w:val="004A351A"/>
    <w:rsid w:val="004A3C96"/>
    <w:rsid w:val="004A4846"/>
    <w:rsid w:val="004A508F"/>
    <w:rsid w:val="004A63EA"/>
    <w:rsid w:val="004A6DC1"/>
    <w:rsid w:val="004A7CF7"/>
    <w:rsid w:val="004B1FE9"/>
    <w:rsid w:val="004B3030"/>
    <w:rsid w:val="004B5E6F"/>
    <w:rsid w:val="004B6281"/>
    <w:rsid w:val="004B7CF0"/>
    <w:rsid w:val="004C12CF"/>
    <w:rsid w:val="004C1586"/>
    <w:rsid w:val="004C2033"/>
    <w:rsid w:val="004C4E96"/>
    <w:rsid w:val="004C65D4"/>
    <w:rsid w:val="004C7969"/>
    <w:rsid w:val="004C7E54"/>
    <w:rsid w:val="004D1FBC"/>
    <w:rsid w:val="004D2D39"/>
    <w:rsid w:val="004D35AC"/>
    <w:rsid w:val="004D4E4B"/>
    <w:rsid w:val="004D7C1B"/>
    <w:rsid w:val="004E1C8A"/>
    <w:rsid w:val="004E2824"/>
    <w:rsid w:val="004E3A06"/>
    <w:rsid w:val="004E3A68"/>
    <w:rsid w:val="004E5AFE"/>
    <w:rsid w:val="004E5E72"/>
    <w:rsid w:val="004E607D"/>
    <w:rsid w:val="004F15C2"/>
    <w:rsid w:val="004F33AF"/>
    <w:rsid w:val="004F34FD"/>
    <w:rsid w:val="004F471B"/>
    <w:rsid w:val="004F4821"/>
    <w:rsid w:val="0050192C"/>
    <w:rsid w:val="005041F4"/>
    <w:rsid w:val="00505519"/>
    <w:rsid w:val="0050785E"/>
    <w:rsid w:val="00507941"/>
    <w:rsid w:val="00512579"/>
    <w:rsid w:val="00512597"/>
    <w:rsid w:val="00513617"/>
    <w:rsid w:val="00513DB7"/>
    <w:rsid w:val="0051528A"/>
    <w:rsid w:val="00515C3E"/>
    <w:rsid w:val="0051747E"/>
    <w:rsid w:val="00521ED1"/>
    <w:rsid w:val="005227EC"/>
    <w:rsid w:val="00525A86"/>
    <w:rsid w:val="00527EB7"/>
    <w:rsid w:val="00530C73"/>
    <w:rsid w:val="005314DF"/>
    <w:rsid w:val="00532780"/>
    <w:rsid w:val="0053364A"/>
    <w:rsid w:val="00533727"/>
    <w:rsid w:val="00535F20"/>
    <w:rsid w:val="0054115F"/>
    <w:rsid w:val="00543DEB"/>
    <w:rsid w:val="005442AC"/>
    <w:rsid w:val="00545B94"/>
    <w:rsid w:val="00545F5C"/>
    <w:rsid w:val="005469A7"/>
    <w:rsid w:val="005502EB"/>
    <w:rsid w:val="00550402"/>
    <w:rsid w:val="00552CF2"/>
    <w:rsid w:val="00553D51"/>
    <w:rsid w:val="00554AC5"/>
    <w:rsid w:val="005576DE"/>
    <w:rsid w:val="00560600"/>
    <w:rsid w:val="005609B3"/>
    <w:rsid w:val="0056182F"/>
    <w:rsid w:val="0056271F"/>
    <w:rsid w:val="00563003"/>
    <w:rsid w:val="005631AB"/>
    <w:rsid w:val="00565496"/>
    <w:rsid w:val="00565841"/>
    <w:rsid w:val="0056675B"/>
    <w:rsid w:val="00566A05"/>
    <w:rsid w:val="00566B40"/>
    <w:rsid w:val="00566F01"/>
    <w:rsid w:val="00570203"/>
    <w:rsid w:val="00571824"/>
    <w:rsid w:val="00571A04"/>
    <w:rsid w:val="00573B0E"/>
    <w:rsid w:val="00575252"/>
    <w:rsid w:val="00575E2B"/>
    <w:rsid w:val="0057676B"/>
    <w:rsid w:val="00576F91"/>
    <w:rsid w:val="00580F0B"/>
    <w:rsid w:val="00581F41"/>
    <w:rsid w:val="00582DBD"/>
    <w:rsid w:val="00582EB8"/>
    <w:rsid w:val="00584D26"/>
    <w:rsid w:val="00584FDC"/>
    <w:rsid w:val="00587B4B"/>
    <w:rsid w:val="00590144"/>
    <w:rsid w:val="00590646"/>
    <w:rsid w:val="005909EF"/>
    <w:rsid w:val="00590C2A"/>
    <w:rsid w:val="00590F48"/>
    <w:rsid w:val="00591812"/>
    <w:rsid w:val="0059708A"/>
    <w:rsid w:val="005A0D80"/>
    <w:rsid w:val="005A11FE"/>
    <w:rsid w:val="005A1DC4"/>
    <w:rsid w:val="005A29DA"/>
    <w:rsid w:val="005A3315"/>
    <w:rsid w:val="005A44F6"/>
    <w:rsid w:val="005A6373"/>
    <w:rsid w:val="005A6629"/>
    <w:rsid w:val="005A708B"/>
    <w:rsid w:val="005A7FEC"/>
    <w:rsid w:val="005B3660"/>
    <w:rsid w:val="005B55C7"/>
    <w:rsid w:val="005B5B40"/>
    <w:rsid w:val="005B6E2F"/>
    <w:rsid w:val="005B7728"/>
    <w:rsid w:val="005C0C19"/>
    <w:rsid w:val="005C147B"/>
    <w:rsid w:val="005C4ED0"/>
    <w:rsid w:val="005C669F"/>
    <w:rsid w:val="005D04B6"/>
    <w:rsid w:val="005D1166"/>
    <w:rsid w:val="005D34E5"/>
    <w:rsid w:val="005D3848"/>
    <w:rsid w:val="005D3BE7"/>
    <w:rsid w:val="005D6674"/>
    <w:rsid w:val="005D66A1"/>
    <w:rsid w:val="005D68E4"/>
    <w:rsid w:val="005E221B"/>
    <w:rsid w:val="005E287F"/>
    <w:rsid w:val="005E3F9C"/>
    <w:rsid w:val="005E4A52"/>
    <w:rsid w:val="005E5809"/>
    <w:rsid w:val="005E6B04"/>
    <w:rsid w:val="005E7746"/>
    <w:rsid w:val="005E7AC4"/>
    <w:rsid w:val="005E7BAB"/>
    <w:rsid w:val="005F2E8A"/>
    <w:rsid w:val="005F3BE8"/>
    <w:rsid w:val="005F4A51"/>
    <w:rsid w:val="005F54B4"/>
    <w:rsid w:val="0060090D"/>
    <w:rsid w:val="00602D1B"/>
    <w:rsid w:val="006038D3"/>
    <w:rsid w:val="006069E1"/>
    <w:rsid w:val="00611D36"/>
    <w:rsid w:val="00613951"/>
    <w:rsid w:val="00616476"/>
    <w:rsid w:val="00621368"/>
    <w:rsid w:val="0062509B"/>
    <w:rsid w:val="0062631B"/>
    <w:rsid w:val="0062642E"/>
    <w:rsid w:val="00626F62"/>
    <w:rsid w:val="00627483"/>
    <w:rsid w:val="00630992"/>
    <w:rsid w:val="0063137E"/>
    <w:rsid w:val="00634091"/>
    <w:rsid w:val="0063483C"/>
    <w:rsid w:val="006374D3"/>
    <w:rsid w:val="00637B4C"/>
    <w:rsid w:val="00640534"/>
    <w:rsid w:val="006424AC"/>
    <w:rsid w:val="00643249"/>
    <w:rsid w:val="00643FFF"/>
    <w:rsid w:val="006459A3"/>
    <w:rsid w:val="00645FFE"/>
    <w:rsid w:val="00650668"/>
    <w:rsid w:val="00651B58"/>
    <w:rsid w:val="00652025"/>
    <w:rsid w:val="00654261"/>
    <w:rsid w:val="00655B8D"/>
    <w:rsid w:val="00657C2A"/>
    <w:rsid w:val="00657CC5"/>
    <w:rsid w:val="006610BE"/>
    <w:rsid w:val="00665FA6"/>
    <w:rsid w:val="00666FBB"/>
    <w:rsid w:val="00673D18"/>
    <w:rsid w:val="006753C2"/>
    <w:rsid w:val="00680087"/>
    <w:rsid w:val="00680183"/>
    <w:rsid w:val="00680BED"/>
    <w:rsid w:val="00680D52"/>
    <w:rsid w:val="00681D1D"/>
    <w:rsid w:val="006831A4"/>
    <w:rsid w:val="00685B0B"/>
    <w:rsid w:val="00685FBE"/>
    <w:rsid w:val="0068627E"/>
    <w:rsid w:val="00686874"/>
    <w:rsid w:val="006870D6"/>
    <w:rsid w:val="006873B4"/>
    <w:rsid w:val="00693A3D"/>
    <w:rsid w:val="00695E05"/>
    <w:rsid w:val="00696075"/>
    <w:rsid w:val="00696232"/>
    <w:rsid w:val="0069756F"/>
    <w:rsid w:val="00697BE1"/>
    <w:rsid w:val="006A2D0C"/>
    <w:rsid w:val="006A353E"/>
    <w:rsid w:val="006A3F70"/>
    <w:rsid w:val="006A4C16"/>
    <w:rsid w:val="006A5E40"/>
    <w:rsid w:val="006B1203"/>
    <w:rsid w:val="006B132B"/>
    <w:rsid w:val="006B150D"/>
    <w:rsid w:val="006C28B5"/>
    <w:rsid w:val="006C32E0"/>
    <w:rsid w:val="006C3C76"/>
    <w:rsid w:val="006C4E31"/>
    <w:rsid w:val="006C6E1D"/>
    <w:rsid w:val="006D197F"/>
    <w:rsid w:val="006D5BCF"/>
    <w:rsid w:val="006E065D"/>
    <w:rsid w:val="006E1335"/>
    <w:rsid w:val="006E237D"/>
    <w:rsid w:val="006E38C9"/>
    <w:rsid w:val="006E3917"/>
    <w:rsid w:val="006E5CA3"/>
    <w:rsid w:val="006E630E"/>
    <w:rsid w:val="006E78BA"/>
    <w:rsid w:val="006F00F4"/>
    <w:rsid w:val="006F0E6D"/>
    <w:rsid w:val="006F10BD"/>
    <w:rsid w:val="006F17E4"/>
    <w:rsid w:val="006F1DFD"/>
    <w:rsid w:val="006F300F"/>
    <w:rsid w:val="006F761E"/>
    <w:rsid w:val="00700508"/>
    <w:rsid w:val="00701B4B"/>
    <w:rsid w:val="00702548"/>
    <w:rsid w:val="007025A9"/>
    <w:rsid w:val="00703029"/>
    <w:rsid w:val="00704CEA"/>
    <w:rsid w:val="0070509D"/>
    <w:rsid w:val="007068F1"/>
    <w:rsid w:val="00711943"/>
    <w:rsid w:val="007128B1"/>
    <w:rsid w:val="00712B10"/>
    <w:rsid w:val="00713228"/>
    <w:rsid w:val="0071343E"/>
    <w:rsid w:val="00715E1D"/>
    <w:rsid w:val="00720C2A"/>
    <w:rsid w:val="0072100B"/>
    <w:rsid w:val="00721271"/>
    <w:rsid w:val="00723BD5"/>
    <w:rsid w:val="00725688"/>
    <w:rsid w:val="00726483"/>
    <w:rsid w:val="00727E1E"/>
    <w:rsid w:val="0073136F"/>
    <w:rsid w:val="0073168C"/>
    <w:rsid w:val="007316D6"/>
    <w:rsid w:val="00733D65"/>
    <w:rsid w:val="00734D8A"/>
    <w:rsid w:val="00736561"/>
    <w:rsid w:val="00736658"/>
    <w:rsid w:val="00736CB1"/>
    <w:rsid w:val="00737428"/>
    <w:rsid w:val="0074185F"/>
    <w:rsid w:val="0074269C"/>
    <w:rsid w:val="00747D87"/>
    <w:rsid w:val="007504F2"/>
    <w:rsid w:val="00751075"/>
    <w:rsid w:val="00751F05"/>
    <w:rsid w:val="00752AE4"/>
    <w:rsid w:val="0075343F"/>
    <w:rsid w:val="00753AC3"/>
    <w:rsid w:val="00754780"/>
    <w:rsid w:val="00756F55"/>
    <w:rsid w:val="007571B0"/>
    <w:rsid w:val="00757E77"/>
    <w:rsid w:val="00762D4D"/>
    <w:rsid w:val="00763718"/>
    <w:rsid w:val="00763BBC"/>
    <w:rsid w:val="0076486B"/>
    <w:rsid w:val="007648D8"/>
    <w:rsid w:val="007654F1"/>
    <w:rsid w:val="00766A2E"/>
    <w:rsid w:val="00767288"/>
    <w:rsid w:val="00770FC9"/>
    <w:rsid w:val="00772478"/>
    <w:rsid w:val="0078066E"/>
    <w:rsid w:val="00780CE8"/>
    <w:rsid w:val="00785DD5"/>
    <w:rsid w:val="00787FF8"/>
    <w:rsid w:val="00790556"/>
    <w:rsid w:val="00792404"/>
    <w:rsid w:val="0079327B"/>
    <w:rsid w:val="007943A7"/>
    <w:rsid w:val="00794ADD"/>
    <w:rsid w:val="007A5F86"/>
    <w:rsid w:val="007A6A05"/>
    <w:rsid w:val="007A7E73"/>
    <w:rsid w:val="007B08D0"/>
    <w:rsid w:val="007B1006"/>
    <w:rsid w:val="007B3182"/>
    <w:rsid w:val="007B5465"/>
    <w:rsid w:val="007B70A3"/>
    <w:rsid w:val="007C2BD0"/>
    <w:rsid w:val="007C2C67"/>
    <w:rsid w:val="007C38CF"/>
    <w:rsid w:val="007C3FEB"/>
    <w:rsid w:val="007C6145"/>
    <w:rsid w:val="007C7C00"/>
    <w:rsid w:val="007D036C"/>
    <w:rsid w:val="007D1381"/>
    <w:rsid w:val="007D23BC"/>
    <w:rsid w:val="007D6979"/>
    <w:rsid w:val="007D6BD6"/>
    <w:rsid w:val="007E143F"/>
    <w:rsid w:val="007E3D4A"/>
    <w:rsid w:val="007E66E9"/>
    <w:rsid w:val="007E7205"/>
    <w:rsid w:val="007F0508"/>
    <w:rsid w:val="007F277E"/>
    <w:rsid w:val="007F2EFA"/>
    <w:rsid w:val="007F30A6"/>
    <w:rsid w:val="007F3BBB"/>
    <w:rsid w:val="007F6110"/>
    <w:rsid w:val="007F7636"/>
    <w:rsid w:val="00800718"/>
    <w:rsid w:val="00800B43"/>
    <w:rsid w:val="0080182D"/>
    <w:rsid w:val="00802AAD"/>
    <w:rsid w:val="00802F96"/>
    <w:rsid w:val="008039FB"/>
    <w:rsid w:val="00804310"/>
    <w:rsid w:val="00804AA3"/>
    <w:rsid w:val="008051F4"/>
    <w:rsid w:val="00805500"/>
    <w:rsid w:val="00812A8E"/>
    <w:rsid w:val="008130DE"/>
    <w:rsid w:val="00813634"/>
    <w:rsid w:val="0081529E"/>
    <w:rsid w:val="00815B78"/>
    <w:rsid w:val="008209DE"/>
    <w:rsid w:val="008210A4"/>
    <w:rsid w:val="0082111A"/>
    <w:rsid w:val="008217EA"/>
    <w:rsid w:val="0082370C"/>
    <w:rsid w:val="008246C3"/>
    <w:rsid w:val="008257D4"/>
    <w:rsid w:val="00825950"/>
    <w:rsid w:val="00831A88"/>
    <w:rsid w:val="008334BC"/>
    <w:rsid w:val="008379B6"/>
    <w:rsid w:val="008453B5"/>
    <w:rsid w:val="00850577"/>
    <w:rsid w:val="0085066C"/>
    <w:rsid w:val="00851958"/>
    <w:rsid w:val="00852365"/>
    <w:rsid w:val="00854950"/>
    <w:rsid w:val="00857100"/>
    <w:rsid w:val="00860A9C"/>
    <w:rsid w:val="00862049"/>
    <w:rsid w:val="008625A2"/>
    <w:rsid w:val="00862751"/>
    <w:rsid w:val="00875087"/>
    <w:rsid w:val="00876EE3"/>
    <w:rsid w:val="0088030B"/>
    <w:rsid w:val="00882E63"/>
    <w:rsid w:val="00887169"/>
    <w:rsid w:val="00887734"/>
    <w:rsid w:val="00890163"/>
    <w:rsid w:val="008964D1"/>
    <w:rsid w:val="008A13DD"/>
    <w:rsid w:val="008A61ED"/>
    <w:rsid w:val="008A71E8"/>
    <w:rsid w:val="008A7AA3"/>
    <w:rsid w:val="008B153B"/>
    <w:rsid w:val="008B366A"/>
    <w:rsid w:val="008B37A1"/>
    <w:rsid w:val="008B7290"/>
    <w:rsid w:val="008B74A8"/>
    <w:rsid w:val="008B7F45"/>
    <w:rsid w:val="008C00A3"/>
    <w:rsid w:val="008C22F3"/>
    <w:rsid w:val="008C2F8B"/>
    <w:rsid w:val="008C5273"/>
    <w:rsid w:val="008D070D"/>
    <w:rsid w:val="008D1B2C"/>
    <w:rsid w:val="008D4D91"/>
    <w:rsid w:val="008D648C"/>
    <w:rsid w:val="008D6E68"/>
    <w:rsid w:val="008E13DB"/>
    <w:rsid w:val="008E302F"/>
    <w:rsid w:val="008E3AC5"/>
    <w:rsid w:val="008E5F6E"/>
    <w:rsid w:val="00907B68"/>
    <w:rsid w:val="00907D13"/>
    <w:rsid w:val="00916252"/>
    <w:rsid w:val="0092071D"/>
    <w:rsid w:val="00921CB2"/>
    <w:rsid w:val="009225A6"/>
    <w:rsid w:val="00922A3E"/>
    <w:rsid w:val="00927F28"/>
    <w:rsid w:val="00930F41"/>
    <w:rsid w:val="00930FA5"/>
    <w:rsid w:val="00932C8A"/>
    <w:rsid w:val="00933330"/>
    <w:rsid w:val="00934173"/>
    <w:rsid w:val="00935FFA"/>
    <w:rsid w:val="00937D19"/>
    <w:rsid w:val="009400ED"/>
    <w:rsid w:val="009409CC"/>
    <w:rsid w:val="009417FD"/>
    <w:rsid w:val="00941A32"/>
    <w:rsid w:val="00942D02"/>
    <w:rsid w:val="0094677F"/>
    <w:rsid w:val="00950118"/>
    <w:rsid w:val="009511F8"/>
    <w:rsid w:val="00951596"/>
    <w:rsid w:val="00953EEE"/>
    <w:rsid w:val="0095427C"/>
    <w:rsid w:val="0095685B"/>
    <w:rsid w:val="00961384"/>
    <w:rsid w:val="00961A5D"/>
    <w:rsid w:val="00964B32"/>
    <w:rsid w:val="009655DC"/>
    <w:rsid w:val="00965D56"/>
    <w:rsid w:val="00965EC5"/>
    <w:rsid w:val="00966162"/>
    <w:rsid w:val="00966AA2"/>
    <w:rsid w:val="00966BA8"/>
    <w:rsid w:val="00972F0B"/>
    <w:rsid w:val="009748DC"/>
    <w:rsid w:val="00975ADC"/>
    <w:rsid w:val="00975C27"/>
    <w:rsid w:val="00975F49"/>
    <w:rsid w:val="0098572F"/>
    <w:rsid w:val="00986B4E"/>
    <w:rsid w:val="009875B5"/>
    <w:rsid w:val="00990D41"/>
    <w:rsid w:val="009922B1"/>
    <w:rsid w:val="009942DB"/>
    <w:rsid w:val="009965CD"/>
    <w:rsid w:val="009A060C"/>
    <w:rsid w:val="009A1AE0"/>
    <w:rsid w:val="009A2773"/>
    <w:rsid w:val="009A3963"/>
    <w:rsid w:val="009A39B5"/>
    <w:rsid w:val="009A578C"/>
    <w:rsid w:val="009A7626"/>
    <w:rsid w:val="009A7CCA"/>
    <w:rsid w:val="009B2458"/>
    <w:rsid w:val="009B25C7"/>
    <w:rsid w:val="009B2C3F"/>
    <w:rsid w:val="009B4F14"/>
    <w:rsid w:val="009B604A"/>
    <w:rsid w:val="009B6C43"/>
    <w:rsid w:val="009C0CBB"/>
    <w:rsid w:val="009C1B38"/>
    <w:rsid w:val="009C250C"/>
    <w:rsid w:val="009C3EA2"/>
    <w:rsid w:val="009C4747"/>
    <w:rsid w:val="009C4C98"/>
    <w:rsid w:val="009C63C3"/>
    <w:rsid w:val="009D0BC0"/>
    <w:rsid w:val="009D7312"/>
    <w:rsid w:val="009E02DA"/>
    <w:rsid w:val="009E138C"/>
    <w:rsid w:val="009E3027"/>
    <w:rsid w:val="009E3296"/>
    <w:rsid w:val="009E7412"/>
    <w:rsid w:val="009F0739"/>
    <w:rsid w:val="009F109F"/>
    <w:rsid w:val="009F128B"/>
    <w:rsid w:val="009F23E9"/>
    <w:rsid w:val="009F2EA8"/>
    <w:rsid w:val="009F3116"/>
    <w:rsid w:val="009F3A19"/>
    <w:rsid w:val="009F6EAB"/>
    <w:rsid w:val="009F71F1"/>
    <w:rsid w:val="009F7C8C"/>
    <w:rsid w:val="00A00576"/>
    <w:rsid w:val="00A006E5"/>
    <w:rsid w:val="00A02BEE"/>
    <w:rsid w:val="00A0576D"/>
    <w:rsid w:val="00A05D96"/>
    <w:rsid w:val="00A0730C"/>
    <w:rsid w:val="00A07512"/>
    <w:rsid w:val="00A10078"/>
    <w:rsid w:val="00A1106F"/>
    <w:rsid w:val="00A1459B"/>
    <w:rsid w:val="00A16872"/>
    <w:rsid w:val="00A2239E"/>
    <w:rsid w:val="00A23C2B"/>
    <w:rsid w:val="00A24B3C"/>
    <w:rsid w:val="00A2786C"/>
    <w:rsid w:val="00A305D3"/>
    <w:rsid w:val="00A32629"/>
    <w:rsid w:val="00A3266D"/>
    <w:rsid w:val="00A3346F"/>
    <w:rsid w:val="00A341CF"/>
    <w:rsid w:val="00A40E7E"/>
    <w:rsid w:val="00A41FAF"/>
    <w:rsid w:val="00A45051"/>
    <w:rsid w:val="00A454B5"/>
    <w:rsid w:val="00A458F7"/>
    <w:rsid w:val="00A46D68"/>
    <w:rsid w:val="00A47B92"/>
    <w:rsid w:val="00A526F0"/>
    <w:rsid w:val="00A52AE4"/>
    <w:rsid w:val="00A53E6B"/>
    <w:rsid w:val="00A55636"/>
    <w:rsid w:val="00A57623"/>
    <w:rsid w:val="00A57BF6"/>
    <w:rsid w:val="00A6339F"/>
    <w:rsid w:val="00A6576E"/>
    <w:rsid w:val="00A65C98"/>
    <w:rsid w:val="00A6640C"/>
    <w:rsid w:val="00A71074"/>
    <w:rsid w:val="00A729EF"/>
    <w:rsid w:val="00A73A06"/>
    <w:rsid w:val="00A7721A"/>
    <w:rsid w:val="00A818B0"/>
    <w:rsid w:val="00A81B34"/>
    <w:rsid w:val="00A8207B"/>
    <w:rsid w:val="00A82FD6"/>
    <w:rsid w:val="00A83F26"/>
    <w:rsid w:val="00A84DA6"/>
    <w:rsid w:val="00A857B1"/>
    <w:rsid w:val="00A861C6"/>
    <w:rsid w:val="00A86664"/>
    <w:rsid w:val="00A87F7C"/>
    <w:rsid w:val="00A934A7"/>
    <w:rsid w:val="00A9538F"/>
    <w:rsid w:val="00A973FF"/>
    <w:rsid w:val="00AA2CFF"/>
    <w:rsid w:val="00AA3AE2"/>
    <w:rsid w:val="00AB0195"/>
    <w:rsid w:val="00AB0C90"/>
    <w:rsid w:val="00AB1C1B"/>
    <w:rsid w:val="00AB1FC5"/>
    <w:rsid w:val="00AB31C3"/>
    <w:rsid w:val="00AB4BDD"/>
    <w:rsid w:val="00AB4C99"/>
    <w:rsid w:val="00AB68A9"/>
    <w:rsid w:val="00AB7AE2"/>
    <w:rsid w:val="00AC0BF7"/>
    <w:rsid w:val="00AC3821"/>
    <w:rsid w:val="00AC4201"/>
    <w:rsid w:val="00AC5AFC"/>
    <w:rsid w:val="00AC6C67"/>
    <w:rsid w:val="00AD02CD"/>
    <w:rsid w:val="00AD3D53"/>
    <w:rsid w:val="00AD42DE"/>
    <w:rsid w:val="00AD4427"/>
    <w:rsid w:val="00AD711F"/>
    <w:rsid w:val="00AE3FD1"/>
    <w:rsid w:val="00AE6E26"/>
    <w:rsid w:val="00AE7888"/>
    <w:rsid w:val="00AE7F39"/>
    <w:rsid w:val="00AF0D0F"/>
    <w:rsid w:val="00AF379C"/>
    <w:rsid w:val="00AF4516"/>
    <w:rsid w:val="00B00E98"/>
    <w:rsid w:val="00B01203"/>
    <w:rsid w:val="00B02222"/>
    <w:rsid w:val="00B03F1E"/>
    <w:rsid w:val="00B04B8F"/>
    <w:rsid w:val="00B0568C"/>
    <w:rsid w:val="00B060EA"/>
    <w:rsid w:val="00B06ED6"/>
    <w:rsid w:val="00B1004F"/>
    <w:rsid w:val="00B11133"/>
    <w:rsid w:val="00B11601"/>
    <w:rsid w:val="00B1318A"/>
    <w:rsid w:val="00B15E58"/>
    <w:rsid w:val="00B1784B"/>
    <w:rsid w:val="00B2058E"/>
    <w:rsid w:val="00B21259"/>
    <w:rsid w:val="00B2307D"/>
    <w:rsid w:val="00B242FB"/>
    <w:rsid w:val="00B254AE"/>
    <w:rsid w:val="00B26168"/>
    <w:rsid w:val="00B31F8E"/>
    <w:rsid w:val="00B323DE"/>
    <w:rsid w:val="00B32B8B"/>
    <w:rsid w:val="00B3552F"/>
    <w:rsid w:val="00B3565A"/>
    <w:rsid w:val="00B35CF7"/>
    <w:rsid w:val="00B36B66"/>
    <w:rsid w:val="00B400ED"/>
    <w:rsid w:val="00B419BF"/>
    <w:rsid w:val="00B45175"/>
    <w:rsid w:val="00B463B8"/>
    <w:rsid w:val="00B60BF6"/>
    <w:rsid w:val="00B611A6"/>
    <w:rsid w:val="00B65F66"/>
    <w:rsid w:val="00B675C3"/>
    <w:rsid w:val="00B719D0"/>
    <w:rsid w:val="00B72446"/>
    <w:rsid w:val="00B7382E"/>
    <w:rsid w:val="00B73A23"/>
    <w:rsid w:val="00B821D8"/>
    <w:rsid w:val="00B84597"/>
    <w:rsid w:val="00B84850"/>
    <w:rsid w:val="00B84A2A"/>
    <w:rsid w:val="00B855DE"/>
    <w:rsid w:val="00B87E0A"/>
    <w:rsid w:val="00B91330"/>
    <w:rsid w:val="00B93B2F"/>
    <w:rsid w:val="00B977F9"/>
    <w:rsid w:val="00BA1245"/>
    <w:rsid w:val="00BA26C2"/>
    <w:rsid w:val="00BA3AFF"/>
    <w:rsid w:val="00BA4227"/>
    <w:rsid w:val="00BB0310"/>
    <w:rsid w:val="00BB3167"/>
    <w:rsid w:val="00BB3C62"/>
    <w:rsid w:val="00BB46F9"/>
    <w:rsid w:val="00BB7109"/>
    <w:rsid w:val="00BC020E"/>
    <w:rsid w:val="00BC0BC4"/>
    <w:rsid w:val="00BC4A7E"/>
    <w:rsid w:val="00BC5CED"/>
    <w:rsid w:val="00BC6044"/>
    <w:rsid w:val="00BC6209"/>
    <w:rsid w:val="00BC74E3"/>
    <w:rsid w:val="00BC755F"/>
    <w:rsid w:val="00BC75B9"/>
    <w:rsid w:val="00BC7957"/>
    <w:rsid w:val="00BD0164"/>
    <w:rsid w:val="00BD3B1C"/>
    <w:rsid w:val="00BE264C"/>
    <w:rsid w:val="00BE2EAA"/>
    <w:rsid w:val="00BE4A0F"/>
    <w:rsid w:val="00BE5127"/>
    <w:rsid w:val="00BE605C"/>
    <w:rsid w:val="00BE7F30"/>
    <w:rsid w:val="00BF0605"/>
    <w:rsid w:val="00BF3AEA"/>
    <w:rsid w:val="00BF4A49"/>
    <w:rsid w:val="00BF4DBC"/>
    <w:rsid w:val="00BF5622"/>
    <w:rsid w:val="00BF619D"/>
    <w:rsid w:val="00BF6314"/>
    <w:rsid w:val="00BF69C4"/>
    <w:rsid w:val="00BF6E11"/>
    <w:rsid w:val="00BF7B11"/>
    <w:rsid w:val="00C02E86"/>
    <w:rsid w:val="00C033BF"/>
    <w:rsid w:val="00C03A26"/>
    <w:rsid w:val="00C05791"/>
    <w:rsid w:val="00C05BEE"/>
    <w:rsid w:val="00C0661B"/>
    <w:rsid w:val="00C069D2"/>
    <w:rsid w:val="00C10A89"/>
    <w:rsid w:val="00C10EE9"/>
    <w:rsid w:val="00C12B95"/>
    <w:rsid w:val="00C141DB"/>
    <w:rsid w:val="00C14CB5"/>
    <w:rsid w:val="00C14E45"/>
    <w:rsid w:val="00C1570B"/>
    <w:rsid w:val="00C159B1"/>
    <w:rsid w:val="00C17826"/>
    <w:rsid w:val="00C21A12"/>
    <w:rsid w:val="00C22C69"/>
    <w:rsid w:val="00C275BD"/>
    <w:rsid w:val="00C36C4A"/>
    <w:rsid w:val="00C378EA"/>
    <w:rsid w:val="00C4087D"/>
    <w:rsid w:val="00C41E59"/>
    <w:rsid w:val="00C42AAA"/>
    <w:rsid w:val="00C4521B"/>
    <w:rsid w:val="00C45614"/>
    <w:rsid w:val="00C47DB5"/>
    <w:rsid w:val="00C501FC"/>
    <w:rsid w:val="00C50644"/>
    <w:rsid w:val="00C51AED"/>
    <w:rsid w:val="00C560B0"/>
    <w:rsid w:val="00C62D77"/>
    <w:rsid w:val="00C65033"/>
    <w:rsid w:val="00C65744"/>
    <w:rsid w:val="00C65BBF"/>
    <w:rsid w:val="00C65F4E"/>
    <w:rsid w:val="00C66228"/>
    <w:rsid w:val="00C70F68"/>
    <w:rsid w:val="00C72C1A"/>
    <w:rsid w:val="00C74A6B"/>
    <w:rsid w:val="00C75380"/>
    <w:rsid w:val="00C7609F"/>
    <w:rsid w:val="00C7642A"/>
    <w:rsid w:val="00C80039"/>
    <w:rsid w:val="00C80884"/>
    <w:rsid w:val="00C81444"/>
    <w:rsid w:val="00C82E15"/>
    <w:rsid w:val="00C85E4A"/>
    <w:rsid w:val="00C87396"/>
    <w:rsid w:val="00C904E9"/>
    <w:rsid w:val="00C909B7"/>
    <w:rsid w:val="00C91D36"/>
    <w:rsid w:val="00C93BBE"/>
    <w:rsid w:val="00C94390"/>
    <w:rsid w:val="00C96BA5"/>
    <w:rsid w:val="00C973C2"/>
    <w:rsid w:val="00C979F5"/>
    <w:rsid w:val="00CA4E82"/>
    <w:rsid w:val="00CA765D"/>
    <w:rsid w:val="00CB475B"/>
    <w:rsid w:val="00CB6E67"/>
    <w:rsid w:val="00CB763F"/>
    <w:rsid w:val="00CC232F"/>
    <w:rsid w:val="00CC4150"/>
    <w:rsid w:val="00CC46D5"/>
    <w:rsid w:val="00CC7C0A"/>
    <w:rsid w:val="00CD14A4"/>
    <w:rsid w:val="00CD3546"/>
    <w:rsid w:val="00CD3FC0"/>
    <w:rsid w:val="00CD743B"/>
    <w:rsid w:val="00CD7CC0"/>
    <w:rsid w:val="00CE0911"/>
    <w:rsid w:val="00CE0BA1"/>
    <w:rsid w:val="00CE27FA"/>
    <w:rsid w:val="00CE3642"/>
    <w:rsid w:val="00CE365B"/>
    <w:rsid w:val="00CE6936"/>
    <w:rsid w:val="00CF0A01"/>
    <w:rsid w:val="00CF26E9"/>
    <w:rsid w:val="00CF2AD9"/>
    <w:rsid w:val="00CF605B"/>
    <w:rsid w:val="00D00370"/>
    <w:rsid w:val="00D0588A"/>
    <w:rsid w:val="00D06841"/>
    <w:rsid w:val="00D07A38"/>
    <w:rsid w:val="00D15CBA"/>
    <w:rsid w:val="00D2024A"/>
    <w:rsid w:val="00D203D7"/>
    <w:rsid w:val="00D22C6D"/>
    <w:rsid w:val="00D248C0"/>
    <w:rsid w:val="00D24BDA"/>
    <w:rsid w:val="00D25924"/>
    <w:rsid w:val="00D25F9C"/>
    <w:rsid w:val="00D30B62"/>
    <w:rsid w:val="00D3346C"/>
    <w:rsid w:val="00D36761"/>
    <w:rsid w:val="00D377B6"/>
    <w:rsid w:val="00D37B09"/>
    <w:rsid w:val="00D37D80"/>
    <w:rsid w:val="00D408F7"/>
    <w:rsid w:val="00D410A7"/>
    <w:rsid w:val="00D416CB"/>
    <w:rsid w:val="00D42324"/>
    <w:rsid w:val="00D42ED4"/>
    <w:rsid w:val="00D47504"/>
    <w:rsid w:val="00D50951"/>
    <w:rsid w:val="00D52E1C"/>
    <w:rsid w:val="00D53142"/>
    <w:rsid w:val="00D561D1"/>
    <w:rsid w:val="00D5630A"/>
    <w:rsid w:val="00D63DF0"/>
    <w:rsid w:val="00D641B3"/>
    <w:rsid w:val="00D65038"/>
    <w:rsid w:val="00D6761B"/>
    <w:rsid w:val="00D67A2B"/>
    <w:rsid w:val="00D751A6"/>
    <w:rsid w:val="00D7585D"/>
    <w:rsid w:val="00D8271B"/>
    <w:rsid w:val="00D83F5B"/>
    <w:rsid w:val="00D87451"/>
    <w:rsid w:val="00D87472"/>
    <w:rsid w:val="00D906FD"/>
    <w:rsid w:val="00D94F0F"/>
    <w:rsid w:val="00D950C8"/>
    <w:rsid w:val="00D9545A"/>
    <w:rsid w:val="00D9618B"/>
    <w:rsid w:val="00D96DB0"/>
    <w:rsid w:val="00D97319"/>
    <w:rsid w:val="00DA17FF"/>
    <w:rsid w:val="00DA218B"/>
    <w:rsid w:val="00DA2917"/>
    <w:rsid w:val="00DA29A5"/>
    <w:rsid w:val="00DA2CF4"/>
    <w:rsid w:val="00DA4B34"/>
    <w:rsid w:val="00DA4F10"/>
    <w:rsid w:val="00DA769F"/>
    <w:rsid w:val="00DA7C70"/>
    <w:rsid w:val="00DB05CC"/>
    <w:rsid w:val="00DB2584"/>
    <w:rsid w:val="00DB272D"/>
    <w:rsid w:val="00DB2747"/>
    <w:rsid w:val="00DB7E81"/>
    <w:rsid w:val="00DC26D9"/>
    <w:rsid w:val="00DC300E"/>
    <w:rsid w:val="00DC42E6"/>
    <w:rsid w:val="00DC4810"/>
    <w:rsid w:val="00DC53B8"/>
    <w:rsid w:val="00DC5F6A"/>
    <w:rsid w:val="00DC69F7"/>
    <w:rsid w:val="00DC6F66"/>
    <w:rsid w:val="00DC729B"/>
    <w:rsid w:val="00DC7862"/>
    <w:rsid w:val="00DD05A8"/>
    <w:rsid w:val="00DD1102"/>
    <w:rsid w:val="00DD120A"/>
    <w:rsid w:val="00DD262A"/>
    <w:rsid w:val="00DD2765"/>
    <w:rsid w:val="00DD45CF"/>
    <w:rsid w:val="00DD4E8A"/>
    <w:rsid w:val="00DD52C8"/>
    <w:rsid w:val="00DD55F0"/>
    <w:rsid w:val="00DD5827"/>
    <w:rsid w:val="00DD5DC7"/>
    <w:rsid w:val="00DD760F"/>
    <w:rsid w:val="00DE45CB"/>
    <w:rsid w:val="00DE53A0"/>
    <w:rsid w:val="00DE764C"/>
    <w:rsid w:val="00DF09B6"/>
    <w:rsid w:val="00DF20AA"/>
    <w:rsid w:val="00DF3491"/>
    <w:rsid w:val="00DF4E2B"/>
    <w:rsid w:val="00DF571E"/>
    <w:rsid w:val="00DF721A"/>
    <w:rsid w:val="00E0096D"/>
    <w:rsid w:val="00E00AD7"/>
    <w:rsid w:val="00E01BA5"/>
    <w:rsid w:val="00E042C2"/>
    <w:rsid w:val="00E05DAD"/>
    <w:rsid w:val="00E06F7A"/>
    <w:rsid w:val="00E11337"/>
    <w:rsid w:val="00E12707"/>
    <w:rsid w:val="00E13BE2"/>
    <w:rsid w:val="00E142FE"/>
    <w:rsid w:val="00E143F5"/>
    <w:rsid w:val="00E16185"/>
    <w:rsid w:val="00E21B29"/>
    <w:rsid w:val="00E25319"/>
    <w:rsid w:val="00E27921"/>
    <w:rsid w:val="00E310B3"/>
    <w:rsid w:val="00E34473"/>
    <w:rsid w:val="00E3596B"/>
    <w:rsid w:val="00E3785B"/>
    <w:rsid w:val="00E37DF4"/>
    <w:rsid w:val="00E40759"/>
    <w:rsid w:val="00E43584"/>
    <w:rsid w:val="00E43D8B"/>
    <w:rsid w:val="00E468E0"/>
    <w:rsid w:val="00E506C9"/>
    <w:rsid w:val="00E50724"/>
    <w:rsid w:val="00E52D4C"/>
    <w:rsid w:val="00E5414A"/>
    <w:rsid w:val="00E54845"/>
    <w:rsid w:val="00E60039"/>
    <w:rsid w:val="00E63837"/>
    <w:rsid w:val="00E649E8"/>
    <w:rsid w:val="00E665A9"/>
    <w:rsid w:val="00E70309"/>
    <w:rsid w:val="00E718B7"/>
    <w:rsid w:val="00E721B7"/>
    <w:rsid w:val="00E737AE"/>
    <w:rsid w:val="00E73ED8"/>
    <w:rsid w:val="00E815AF"/>
    <w:rsid w:val="00E82CE2"/>
    <w:rsid w:val="00E87671"/>
    <w:rsid w:val="00E90807"/>
    <w:rsid w:val="00EA178D"/>
    <w:rsid w:val="00EA3CD6"/>
    <w:rsid w:val="00EA694B"/>
    <w:rsid w:val="00EB46CA"/>
    <w:rsid w:val="00EB78D4"/>
    <w:rsid w:val="00EC2BAE"/>
    <w:rsid w:val="00EC2E62"/>
    <w:rsid w:val="00EC5923"/>
    <w:rsid w:val="00EC598D"/>
    <w:rsid w:val="00EC6210"/>
    <w:rsid w:val="00ED229B"/>
    <w:rsid w:val="00ED4221"/>
    <w:rsid w:val="00ED4816"/>
    <w:rsid w:val="00ED5DA8"/>
    <w:rsid w:val="00ED6A5F"/>
    <w:rsid w:val="00ED750E"/>
    <w:rsid w:val="00ED7F03"/>
    <w:rsid w:val="00EE0554"/>
    <w:rsid w:val="00EE2C4F"/>
    <w:rsid w:val="00EE3EE1"/>
    <w:rsid w:val="00EE47F5"/>
    <w:rsid w:val="00EE4E16"/>
    <w:rsid w:val="00EE4FAC"/>
    <w:rsid w:val="00EE66D6"/>
    <w:rsid w:val="00EE6DDD"/>
    <w:rsid w:val="00EE730E"/>
    <w:rsid w:val="00EE7359"/>
    <w:rsid w:val="00EF55F1"/>
    <w:rsid w:val="00F00740"/>
    <w:rsid w:val="00F007B2"/>
    <w:rsid w:val="00F009D9"/>
    <w:rsid w:val="00F00F3A"/>
    <w:rsid w:val="00F02C5C"/>
    <w:rsid w:val="00F030CD"/>
    <w:rsid w:val="00F050B4"/>
    <w:rsid w:val="00F05DA7"/>
    <w:rsid w:val="00F062C4"/>
    <w:rsid w:val="00F066C9"/>
    <w:rsid w:val="00F12C6B"/>
    <w:rsid w:val="00F13795"/>
    <w:rsid w:val="00F17FA1"/>
    <w:rsid w:val="00F20CBE"/>
    <w:rsid w:val="00F21049"/>
    <w:rsid w:val="00F23375"/>
    <w:rsid w:val="00F23E78"/>
    <w:rsid w:val="00F26161"/>
    <w:rsid w:val="00F27942"/>
    <w:rsid w:val="00F329AC"/>
    <w:rsid w:val="00F3596A"/>
    <w:rsid w:val="00F361D8"/>
    <w:rsid w:val="00F36569"/>
    <w:rsid w:val="00F36788"/>
    <w:rsid w:val="00F37FFC"/>
    <w:rsid w:val="00F41186"/>
    <w:rsid w:val="00F423C9"/>
    <w:rsid w:val="00F43D2F"/>
    <w:rsid w:val="00F4476D"/>
    <w:rsid w:val="00F46D55"/>
    <w:rsid w:val="00F47FDA"/>
    <w:rsid w:val="00F50E22"/>
    <w:rsid w:val="00F51344"/>
    <w:rsid w:val="00F548FC"/>
    <w:rsid w:val="00F5578C"/>
    <w:rsid w:val="00F6037D"/>
    <w:rsid w:val="00F63ACD"/>
    <w:rsid w:val="00F63CD3"/>
    <w:rsid w:val="00F64575"/>
    <w:rsid w:val="00F6487E"/>
    <w:rsid w:val="00F6549B"/>
    <w:rsid w:val="00F72607"/>
    <w:rsid w:val="00F72CA8"/>
    <w:rsid w:val="00F73360"/>
    <w:rsid w:val="00F767AA"/>
    <w:rsid w:val="00F76D8B"/>
    <w:rsid w:val="00F775DE"/>
    <w:rsid w:val="00F811F1"/>
    <w:rsid w:val="00F8122E"/>
    <w:rsid w:val="00F867E9"/>
    <w:rsid w:val="00F86E9C"/>
    <w:rsid w:val="00F877A0"/>
    <w:rsid w:val="00F87ED4"/>
    <w:rsid w:val="00F901E6"/>
    <w:rsid w:val="00F908D5"/>
    <w:rsid w:val="00F9208B"/>
    <w:rsid w:val="00F942C9"/>
    <w:rsid w:val="00F943E0"/>
    <w:rsid w:val="00F96D1B"/>
    <w:rsid w:val="00F96F00"/>
    <w:rsid w:val="00FA384F"/>
    <w:rsid w:val="00FA719D"/>
    <w:rsid w:val="00FA766D"/>
    <w:rsid w:val="00FB1F78"/>
    <w:rsid w:val="00FB6676"/>
    <w:rsid w:val="00FC1BE5"/>
    <w:rsid w:val="00FC62BE"/>
    <w:rsid w:val="00FC65A9"/>
    <w:rsid w:val="00FC7F5A"/>
    <w:rsid w:val="00FD06B7"/>
    <w:rsid w:val="00FD08BD"/>
    <w:rsid w:val="00FE1BCE"/>
    <w:rsid w:val="00FE4A04"/>
    <w:rsid w:val="00FE59DC"/>
    <w:rsid w:val="00FE6707"/>
    <w:rsid w:val="00FF060A"/>
    <w:rsid w:val="00FF10A5"/>
    <w:rsid w:val="00FF1A9F"/>
    <w:rsid w:val="00FF53F1"/>
    <w:rsid w:val="00FF5CD2"/>
    <w:rsid w:val="00FF5DA8"/>
    <w:rsid w:val="00FF71EE"/>
    <w:rsid w:val="00FF737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AU" w:eastAsia="zh-TW"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813"/>
  </w:style>
  <w:style w:type="paragraph" w:styleId="Heading1">
    <w:name w:val="heading 1"/>
    <w:basedOn w:val="Normal"/>
    <w:next w:val="Normal"/>
    <w:link w:val="Heading1Char"/>
    <w:uiPriority w:val="9"/>
    <w:qFormat/>
    <w:rsid w:val="001269F5"/>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631AB"/>
    <w:pPr>
      <w:keepNext/>
      <w:keepLines/>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5631AB"/>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EB78D4"/>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9F5"/>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5631AB"/>
    <w:rPr>
      <w:rFonts w:eastAsiaTheme="majorEastAsia" w:cstheme="majorBidi"/>
      <w:b/>
      <w:bCs/>
      <w:sz w:val="24"/>
      <w:szCs w:val="26"/>
    </w:rPr>
  </w:style>
  <w:style w:type="character" w:customStyle="1" w:styleId="Heading3Char">
    <w:name w:val="Heading 3 Char"/>
    <w:basedOn w:val="DefaultParagraphFont"/>
    <w:link w:val="Heading3"/>
    <w:uiPriority w:val="9"/>
    <w:rsid w:val="005631AB"/>
    <w:rPr>
      <w:rFonts w:eastAsiaTheme="majorEastAsia" w:cstheme="majorBidi"/>
      <w:b/>
      <w:bCs/>
    </w:rPr>
  </w:style>
  <w:style w:type="character" w:customStyle="1" w:styleId="Heading4Char">
    <w:name w:val="Heading 4 Char"/>
    <w:basedOn w:val="DefaultParagraphFont"/>
    <w:link w:val="Heading4"/>
    <w:uiPriority w:val="9"/>
    <w:rsid w:val="00EB78D4"/>
    <w:rPr>
      <w:rFonts w:eastAsiaTheme="majorEastAsia" w:cstheme="majorBidi"/>
      <w:b/>
      <w:bCs/>
      <w:iCs/>
    </w:rPr>
  </w:style>
  <w:style w:type="paragraph" w:styleId="Header">
    <w:name w:val="header"/>
    <w:basedOn w:val="Normal"/>
    <w:link w:val="HeaderChar"/>
    <w:uiPriority w:val="99"/>
    <w:unhideWhenUsed/>
    <w:rsid w:val="003B1AB2"/>
    <w:pPr>
      <w:tabs>
        <w:tab w:val="center" w:pos="4513"/>
        <w:tab w:val="right" w:pos="9026"/>
      </w:tabs>
      <w:spacing w:line="240" w:lineRule="auto"/>
    </w:pPr>
  </w:style>
  <w:style w:type="character" w:customStyle="1" w:styleId="HeaderChar">
    <w:name w:val="Header Char"/>
    <w:basedOn w:val="DefaultParagraphFont"/>
    <w:link w:val="Header"/>
    <w:uiPriority w:val="99"/>
    <w:rsid w:val="003B1AB2"/>
  </w:style>
  <w:style w:type="paragraph" w:styleId="Footer">
    <w:name w:val="footer"/>
    <w:basedOn w:val="Normal"/>
    <w:link w:val="FooterChar"/>
    <w:uiPriority w:val="99"/>
    <w:unhideWhenUsed/>
    <w:rsid w:val="003B1AB2"/>
    <w:pPr>
      <w:tabs>
        <w:tab w:val="center" w:pos="4513"/>
        <w:tab w:val="right" w:pos="9026"/>
      </w:tabs>
      <w:spacing w:line="240" w:lineRule="auto"/>
    </w:pPr>
  </w:style>
  <w:style w:type="character" w:customStyle="1" w:styleId="FooterChar">
    <w:name w:val="Footer Char"/>
    <w:basedOn w:val="DefaultParagraphFont"/>
    <w:link w:val="Footer"/>
    <w:uiPriority w:val="99"/>
    <w:rsid w:val="003B1AB2"/>
  </w:style>
  <w:style w:type="paragraph" w:styleId="BalloonText">
    <w:name w:val="Balloon Text"/>
    <w:basedOn w:val="Normal"/>
    <w:link w:val="BalloonTextChar"/>
    <w:uiPriority w:val="99"/>
    <w:semiHidden/>
    <w:unhideWhenUsed/>
    <w:rsid w:val="003B1A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AB2"/>
    <w:rPr>
      <w:rFonts w:ascii="Tahoma" w:hAnsi="Tahoma" w:cs="Tahoma"/>
      <w:sz w:val="16"/>
      <w:szCs w:val="16"/>
    </w:rPr>
  </w:style>
  <w:style w:type="paragraph" w:styleId="Date">
    <w:name w:val="Date"/>
    <w:basedOn w:val="Normal"/>
    <w:next w:val="Normal"/>
    <w:link w:val="DateChar"/>
    <w:uiPriority w:val="99"/>
    <w:semiHidden/>
    <w:unhideWhenUsed/>
    <w:rsid w:val="001658E4"/>
  </w:style>
  <w:style w:type="character" w:customStyle="1" w:styleId="DateChar">
    <w:name w:val="Date Char"/>
    <w:basedOn w:val="DefaultParagraphFont"/>
    <w:link w:val="Date"/>
    <w:uiPriority w:val="99"/>
    <w:semiHidden/>
    <w:rsid w:val="001658E4"/>
  </w:style>
  <w:style w:type="paragraph" w:styleId="BlockText">
    <w:name w:val="Block Text"/>
    <w:basedOn w:val="Normal"/>
    <w:rsid w:val="005D04B6"/>
    <w:pPr>
      <w:widowControl w:val="0"/>
      <w:spacing w:line="120" w:lineRule="atLeast"/>
      <w:ind w:left="-992" w:right="-953"/>
      <w:jc w:val="center"/>
    </w:pPr>
    <w:rPr>
      <w:rFonts w:eastAsia="Times New Roman" w:cs="Times New Roman"/>
      <w:spacing w:val="-5"/>
      <w:sz w:val="12"/>
      <w:szCs w:val="20"/>
      <w:lang w:val="en-US" w:eastAsia="en-US"/>
    </w:rPr>
  </w:style>
  <w:style w:type="paragraph" w:styleId="NormalWeb">
    <w:name w:val="Normal (Web)"/>
    <w:basedOn w:val="Normal"/>
    <w:uiPriority w:val="99"/>
    <w:semiHidden/>
    <w:unhideWhenUsed/>
    <w:rsid w:val="00E5414A"/>
    <w:pPr>
      <w:spacing w:before="100" w:beforeAutospacing="1" w:after="100" w:afterAutospacing="1" w:line="240" w:lineRule="auto"/>
    </w:pPr>
    <w:rPr>
      <w:rFonts w:ascii="Times New Roman" w:hAnsi="Times New Roman" w:cs="Times New Roman"/>
      <w:sz w:val="24"/>
      <w:szCs w:val="24"/>
      <w:lang w:eastAsia="en-AU"/>
    </w:rPr>
  </w:style>
  <w:style w:type="table" w:styleId="TableGrid">
    <w:name w:val="Table Grid"/>
    <w:basedOn w:val="TableNormal"/>
    <w:uiPriority w:val="59"/>
    <w:rsid w:val="00F76D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C7609F"/>
    <w:pPr>
      <w:spacing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C7609F"/>
    <w:pPr>
      <w:spacing w:after="100"/>
    </w:pPr>
  </w:style>
  <w:style w:type="character" w:styleId="Hyperlink">
    <w:name w:val="Hyperlink"/>
    <w:basedOn w:val="DefaultParagraphFont"/>
    <w:uiPriority w:val="99"/>
    <w:unhideWhenUsed/>
    <w:rsid w:val="00C7609F"/>
    <w:rPr>
      <w:color w:val="0000FF" w:themeColor="hyperlink"/>
      <w:u w:val="single"/>
    </w:rPr>
  </w:style>
  <w:style w:type="paragraph" w:styleId="ListParagraph">
    <w:name w:val="List Paragraph"/>
    <w:basedOn w:val="Normal"/>
    <w:uiPriority w:val="34"/>
    <w:qFormat/>
    <w:rsid w:val="00DC5F6A"/>
    <w:pPr>
      <w:ind w:left="720"/>
      <w:contextualSpacing/>
    </w:pPr>
  </w:style>
  <w:style w:type="paragraph" w:styleId="FootnoteText">
    <w:name w:val="footnote text"/>
    <w:aliases w:val="Char, Char Char Char,Char Char Char Char Char,Char Char Char,Char Char Char Char"/>
    <w:basedOn w:val="Normal"/>
    <w:link w:val="FootnoteTextChar"/>
    <w:unhideWhenUsed/>
    <w:rsid w:val="00B72446"/>
    <w:pPr>
      <w:spacing w:line="240" w:lineRule="auto"/>
    </w:pPr>
    <w:rPr>
      <w:sz w:val="20"/>
      <w:szCs w:val="20"/>
    </w:rPr>
  </w:style>
  <w:style w:type="character" w:customStyle="1" w:styleId="FootnoteTextChar">
    <w:name w:val="Footnote Text Char"/>
    <w:aliases w:val="Char Char, Char Char Char Char,Char Char Char Char Char Char,Char Char Char Char1,Char Char Char Char Char1"/>
    <w:basedOn w:val="DefaultParagraphFont"/>
    <w:link w:val="FootnoteText"/>
    <w:rsid w:val="00B72446"/>
    <w:rPr>
      <w:sz w:val="20"/>
      <w:szCs w:val="20"/>
    </w:rPr>
  </w:style>
  <w:style w:type="character" w:styleId="FootnoteReference">
    <w:name w:val="footnote reference"/>
    <w:basedOn w:val="DefaultParagraphFont"/>
    <w:semiHidden/>
    <w:unhideWhenUsed/>
    <w:rsid w:val="00B72446"/>
    <w:rPr>
      <w:vertAlign w:val="superscript"/>
    </w:rPr>
  </w:style>
  <w:style w:type="paragraph" w:styleId="TOC2">
    <w:name w:val="toc 2"/>
    <w:basedOn w:val="Normal"/>
    <w:next w:val="Normal"/>
    <w:autoRedefine/>
    <w:uiPriority w:val="39"/>
    <w:unhideWhenUsed/>
    <w:rsid w:val="00AD711F"/>
    <w:pPr>
      <w:spacing w:after="100"/>
      <w:ind w:left="220"/>
    </w:pPr>
  </w:style>
  <w:style w:type="paragraph" w:styleId="TOC3">
    <w:name w:val="toc 3"/>
    <w:basedOn w:val="Normal"/>
    <w:next w:val="Normal"/>
    <w:autoRedefine/>
    <w:uiPriority w:val="39"/>
    <w:unhideWhenUsed/>
    <w:rsid w:val="00AD711F"/>
    <w:pPr>
      <w:spacing w:after="100"/>
      <w:ind w:left="440"/>
    </w:pPr>
  </w:style>
  <w:style w:type="character" w:styleId="CommentReference">
    <w:name w:val="annotation reference"/>
    <w:basedOn w:val="DefaultParagraphFont"/>
    <w:uiPriority w:val="99"/>
    <w:semiHidden/>
    <w:unhideWhenUsed/>
    <w:rsid w:val="00031DBD"/>
    <w:rPr>
      <w:sz w:val="16"/>
      <w:szCs w:val="16"/>
    </w:rPr>
  </w:style>
  <w:style w:type="paragraph" w:styleId="CommentText">
    <w:name w:val="annotation text"/>
    <w:basedOn w:val="Normal"/>
    <w:link w:val="CommentTextChar"/>
    <w:uiPriority w:val="99"/>
    <w:semiHidden/>
    <w:unhideWhenUsed/>
    <w:rsid w:val="00031DBD"/>
    <w:pPr>
      <w:spacing w:line="240" w:lineRule="auto"/>
    </w:pPr>
    <w:rPr>
      <w:sz w:val="20"/>
      <w:szCs w:val="20"/>
    </w:rPr>
  </w:style>
  <w:style w:type="character" w:customStyle="1" w:styleId="CommentTextChar">
    <w:name w:val="Comment Text Char"/>
    <w:basedOn w:val="DefaultParagraphFont"/>
    <w:link w:val="CommentText"/>
    <w:uiPriority w:val="99"/>
    <w:semiHidden/>
    <w:rsid w:val="00031DBD"/>
    <w:rPr>
      <w:sz w:val="20"/>
      <w:szCs w:val="20"/>
    </w:rPr>
  </w:style>
  <w:style w:type="paragraph" w:styleId="CommentSubject">
    <w:name w:val="annotation subject"/>
    <w:basedOn w:val="CommentText"/>
    <w:next w:val="CommentText"/>
    <w:link w:val="CommentSubjectChar"/>
    <w:uiPriority w:val="99"/>
    <w:semiHidden/>
    <w:unhideWhenUsed/>
    <w:rsid w:val="00031DBD"/>
    <w:rPr>
      <w:b/>
      <w:bCs/>
    </w:rPr>
  </w:style>
  <w:style w:type="character" w:customStyle="1" w:styleId="CommentSubjectChar">
    <w:name w:val="Comment Subject Char"/>
    <w:basedOn w:val="CommentTextChar"/>
    <w:link w:val="CommentSubject"/>
    <w:uiPriority w:val="99"/>
    <w:semiHidden/>
    <w:rsid w:val="00031DBD"/>
    <w:rPr>
      <w:b/>
      <w:bCs/>
      <w:sz w:val="20"/>
      <w:szCs w:val="20"/>
    </w:rPr>
  </w:style>
  <w:style w:type="paragraph" w:styleId="NoSpacing">
    <w:name w:val="No Spacing"/>
    <w:uiPriority w:val="1"/>
    <w:qFormat/>
    <w:rsid w:val="00DA17FF"/>
    <w:pPr>
      <w:spacing w:line="240" w:lineRule="auto"/>
    </w:pPr>
  </w:style>
  <w:style w:type="character" w:customStyle="1" w:styleId="st">
    <w:name w:val="st"/>
    <w:basedOn w:val="DefaultParagraphFont"/>
    <w:rsid w:val="00153A91"/>
  </w:style>
  <w:style w:type="paragraph" w:styleId="BodyText">
    <w:name w:val="Body Text"/>
    <w:basedOn w:val="Normal"/>
    <w:link w:val="BodyTextChar"/>
    <w:rsid w:val="009A7626"/>
    <w:pPr>
      <w:spacing w:after="120" w:line="240" w:lineRule="auto"/>
    </w:pPr>
    <w:rPr>
      <w:rFonts w:eastAsia="Times New Roman" w:cs="Arial"/>
      <w:lang w:eastAsia="en-AU"/>
    </w:rPr>
  </w:style>
  <w:style w:type="character" w:customStyle="1" w:styleId="BodyTextChar">
    <w:name w:val="Body Text Char"/>
    <w:basedOn w:val="DefaultParagraphFont"/>
    <w:link w:val="BodyText"/>
    <w:rsid w:val="009A7626"/>
    <w:rPr>
      <w:rFonts w:eastAsia="Times New Roman" w:cs="Arial"/>
      <w:lang w:eastAsia="en-AU"/>
    </w:rPr>
  </w:style>
  <w:style w:type="paragraph" w:customStyle="1" w:styleId="Default">
    <w:name w:val="Default"/>
    <w:uiPriority w:val="99"/>
    <w:rsid w:val="009A7626"/>
    <w:pPr>
      <w:autoSpaceDE w:val="0"/>
      <w:autoSpaceDN w:val="0"/>
      <w:adjustRightInd w:val="0"/>
      <w:spacing w:line="240" w:lineRule="auto"/>
    </w:pPr>
    <w:rPr>
      <w:rFonts w:eastAsia="Times New Roman" w:cs="Arial"/>
      <w:color w:val="000000"/>
      <w:sz w:val="24"/>
      <w:szCs w:val="24"/>
      <w:lang w:eastAsia="en-AU"/>
    </w:rPr>
  </w:style>
  <w:style w:type="table" w:customStyle="1" w:styleId="TableGrid1">
    <w:name w:val="Table Grid1"/>
    <w:basedOn w:val="TableNormal"/>
    <w:next w:val="TableGrid"/>
    <w:uiPriority w:val="59"/>
    <w:rsid w:val="00223059"/>
    <w:pPr>
      <w:spacing w:line="240" w:lineRule="auto"/>
    </w:pPr>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533727"/>
  </w:style>
  <w:style w:type="character" w:styleId="FollowedHyperlink">
    <w:name w:val="FollowedHyperlink"/>
    <w:basedOn w:val="DefaultParagraphFont"/>
    <w:uiPriority w:val="99"/>
    <w:semiHidden/>
    <w:unhideWhenUsed/>
    <w:rsid w:val="0074185F"/>
    <w:rPr>
      <w:color w:val="800080" w:themeColor="followedHyperlink"/>
      <w:u w:val="single"/>
    </w:rPr>
  </w:style>
  <w:style w:type="paragraph" w:styleId="Revision">
    <w:name w:val="Revision"/>
    <w:hidden/>
    <w:uiPriority w:val="99"/>
    <w:semiHidden/>
    <w:rsid w:val="000D75DA"/>
    <w:pPr>
      <w:spacing w:line="240" w:lineRule="auto"/>
    </w:pPr>
  </w:style>
  <w:style w:type="paragraph" w:customStyle="1" w:styleId="Paragraph">
    <w:name w:val="Paragraph"/>
    <w:basedOn w:val="Normal"/>
    <w:uiPriority w:val="99"/>
    <w:rsid w:val="00F942C9"/>
    <w:pPr>
      <w:numPr>
        <w:numId w:val="39"/>
      </w:numPr>
      <w:spacing w:after="240" w:line="240" w:lineRule="auto"/>
    </w:pPr>
    <w:rPr>
      <w:rFonts w:eastAsiaTheme="minorHAnsi" w:cs="Arial"/>
      <w:lang w:eastAsia="en-AU"/>
    </w:rPr>
  </w:style>
  <w:style w:type="numbering" w:customStyle="1" w:styleId="StyleOutlinenumberedVerdana">
    <w:name w:val="Style Outline numbered Verdana"/>
    <w:rsid w:val="00F942C9"/>
    <w:pPr>
      <w:numPr>
        <w:numId w:val="39"/>
      </w:numPr>
    </w:pPr>
  </w:style>
  <w:style w:type="character" w:styleId="Strong">
    <w:name w:val="Strong"/>
    <w:basedOn w:val="DefaultParagraphFont"/>
    <w:qFormat/>
    <w:rsid w:val="000C61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AU" w:eastAsia="zh-TW"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813"/>
  </w:style>
  <w:style w:type="paragraph" w:styleId="Heading1">
    <w:name w:val="heading 1"/>
    <w:basedOn w:val="Normal"/>
    <w:next w:val="Normal"/>
    <w:link w:val="Heading1Char"/>
    <w:uiPriority w:val="9"/>
    <w:qFormat/>
    <w:rsid w:val="001269F5"/>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631AB"/>
    <w:pPr>
      <w:keepNext/>
      <w:keepLines/>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5631AB"/>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EB78D4"/>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9F5"/>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5631AB"/>
    <w:rPr>
      <w:rFonts w:eastAsiaTheme="majorEastAsia" w:cstheme="majorBidi"/>
      <w:b/>
      <w:bCs/>
      <w:sz w:val="24"/>
      <w:szCs w:val="26"/>
    </w:rPr>
  </w:style>
  <w:style w:type="character" w:customStyle="1" w:styleId="Heading3Char">
    <w:name w:val="Heading 3 Char"/>
    <w:basedOn w:val="DefaultParagraphFont"/>
    <w:link w:val="Heading3"/>
    <w:uiPriority w:val="9"/>
    <w:rsid w:val="005631AB"/>
    <w:rPr>
      <w:rFonts w:eastAsiaTheme="majorEastAsia" w:cstheme="majorBidi"/>
      <w:b/>
      <w:bCs/>
    </w:rPr>
  </w:style>
  <w:style w:type="character" w:customStyle="1" w:styleId="Heading4Char">
    <w:name w:val="Heading 4 Char"/>
    <w:basedOn w:val="DefaultParagraphFont"/>
    <w:link w:val="Heading4"/>
    <w:uiPriority w:val="9"/>
    <w:rsid w:val="00EB78D4"/>
    <w:rPr>
      <w:rFonts w:eastAsiaTheme="majorEastAsia" w:cstheme="majorBidi"/>
      <w:b/>
      <w:bCs/>
      <w:iCs/>
    </w:rPr>
  </w:style>
  <w:style w:type="paragraph" w:styleId="Header">
    <w:name w:val="header"/>
    <w:basedOn w:val="Normal"/>
    <w:link w:val="HeaderChar"/>
    <w:uiPriority w:val="99"/>
    <w:unhideWhenUsed/>
    <w:rsid w:val="003B1AB2"/>
    <w:pPr>
      <w:tabs>
        <w:tab w:val="center" w:pos="4513"/>
        <w:tab w:val="right" w:pos="9026"/>
      </w:tabs>
      <w:spacing w:line="240" w:lineRule="auto"/>
    </w:pPr>
  </w:style>
  <w:style w:type="character" w:customStyle="1" w:styleId="HeaderChar">
    <w:name w:val="Header Char"/>
    <w:basedOn w:val="DefaultParagraphFont"/>
    <w:link w:val="Header"/>
    <w:uiPriority w:val="99"/>
    <w:rsid w:val="003B1AB2"/>
  </w:style>
  <w:style w:type="paragraph" w:styleId="Footer">
    <w:name w:val="footer"/>
    <w:basedOn w:val="Normal"/>
    <w:link w:val="FooterChar"/>
    <w:uiPriority w:val="99"/>
    <w:unhideWhenUsed/>
    <w:rsid w:val="003B1AB2"/>
    <w:pPr>
      <w:tabs>
        <w:tab w:val="center" w:pos="4513"/>
        <w:tab w:val="right" w:pos="9026"/>
      </w:tabs>
      <w:spacing w:line="240" w:lineRule="auto"/>
    </w:pPr>
  </w:style>
  <w:style w:type="character" w:customStyle="1" w:styleId="FooterChar">
    <w:name w:val="Footer Char"/>
    <w:basedOn w:val="DefaultParagraphFont"/>
    <w:link w:val="Footer"/>
    <w:uiPriority w:val="99"/>
    <w:rsid w:val="003B1AB2"/>
  </w:style>
  <w:style w:type="paragraph" w:styleId="BalloonText">
    <w:name w:val="Balloon Text"/>
    <w:basedOn w:val="Normal"/>
    <w:link w:val="BalloonTextChar"/>
    <w:uiPriority w:val="99"/>
    <w:semiHidden/>
    <w:unhideWhenUsed/>
    <w:rsid w:val="003B1A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AB2"/>
    <w:rPr>
      <w:rFonts w:ascii="Tahoma" w:hAnsi="Tahoma" w:cs="Tahoma"/>
      <w:sz w:val="16"/>
      <w:szCs w:val="16"/>
    </w:rPr>
  </w:style>
  <w:style w:type="paragraph" w:styleId="Date">
    <w:name w:val="Date"/>
    <w:basedOn w:val="Normal"/>
    <w:next w:val="Normal"/>
    <w:link w:val="DateChar"/>
    <w:uiPriority w:val="99"/>
    <w:semiHidden/>
    <w:unhideWhenUsed/>
    <w:rsid w:val="001658E4"/>
  </w:style>
  <w:style w:type="character" w:customStyle="1" w:styleId="DateChar">
    <w:name w:val="Date Char"/>
    <w:basedOn w:val="DefaultParagraphFont"/>
    <w:link w:val="Date"/>
    <w:uiPriority w:val="99"/>
    <w:semiHidden/>
    <w:rsid w:val="001658E4"/>
  </w:style>
  <w:style w:type="paragraph" w:styleId="BlockText">
    <w:name w:val="Block Text"/>
    <w:basedOn w:val="Normal"/>
    <w:rsid w:val="005D04B6"/>
    <w:pPr>
      <w:widowControl w:val="0"/>
      <w:spacing w:line="120" w:lineRule="atLeast"/>
      <w:ind w:left="-992" w:right="-953"/>
      <w:jc w:val="center"/>
    </w:pPr>
    <w:rPr>
      <w:rFonts w:eastAsia="Times New Roman" w:cs="Times New Roman"/>
      <w:spacing w:val="-5"/>
      <w:sz w:val="12"/>
      <w:szCs w:val="20"/>
      <w:lang w:val="en-US" w:eastAsia="en-US"/>
    </w:rPr>
  </w:style>
  <w:style w:type="paragraph" w:styleId="NormalWeb">
    <w:name w:val="Normal (Web)"/>
    <w:basedOn w:val="Normal"/>
    <w:uiPriority w:val="99"/>
    <w:semiHidden/>
    <w:unhideWhenUsed/>
    <w:rsid w:val="00E5414A"/>
    <w:pPr>
      <w:spacing w:before="100" w:beforeAutospacing="1" w:after="100" w:afterAutospacing="1" w:line="240" w:lineRule="auto"/>
    </w:pPr>
    <w:rPr>
      <w:rFonts w:ascii="Times New Roman" w:hAnsi="Times New Roman" w:cs="Times New Roman"/>
      <w:sz w:val="24"/>
      <w:szCs w:val="24"/>
      <w:lang w:eastAsia="en-AU"/>
    </w:rPr>
  </w:style>
  <w:style w:type="table" w:styleId="TableGrid">
    <w:name w:val="Table Grid"/>
    <w:basedOn w:val="TableNormal"/>
    <w:uiPriority w:val="59"/>
    <w:rsid w:val="00F76D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C7609F"/>
    <w:pPr>
      <w:spacing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C7609F"/>
    <w:pPr>
      <w:spacing w:after="100"/>
    </w:pPr>
  </w:style>
  <w:style w:type="character" w:styleId="Hyperlink">
    <w:name w:val="Hyperlink"/>
    <w:basedOn w:val="DefaultParagraphFont"/>
    <w:uiPriority w:val="99"/>
    <w:unhideWhenUsed/>
    <w:rsid w:val="00C7609F"/>
    <w:rPr>
      <w:color w:val="0000FF" w:themeColor="hyperlink"/>
      <w:u w:val="single"/>
    </w:rPr>
  </w:style>
  <w:style w:type="paragraph" w:styleId="ListParagraph">
    <w:name w:val="List Paragraph"/>
    <w:basedOn w:val="Normal"/>
    <w:uiPriority w:val="34"/>
    <w:qFormat/>
    <w:rsid w:val="00DC5F6A"/>
    <w:pPr>
      <w:ind w:left="720"/>
      <w:contextualSpacing/>
    </w:pPr>
  </w:style>
  <w:style w:type="paragraph" w:styleId="FootnoteText">
    <w:name w:val="footnote text"/>
    <w:aliases w:val="Char, Char Char Char,Char Char Char Char Char,Char Char Char,Char Char Char Char"/>
    <w:basedOn w:val="Normal"/>
    <w:link w:val="FootnoteTextChar"/>
    <w:unhideWhenUsed/>
    <w:rsid w:val="00B72446"/>
    <w:pPr>
      <w:spacing w:line="240" w:lineRule="auto"/>
    </w:pPr>
    <w:rPr>
      <w:sz w:val="20"/>
      <w:szCs w:val="20"/>
    </w:rPr>
  </w:style>
  <w:style w:type="character" w:customStyle="1" w:styleId="FootnoteTextChar">
    <w:name w:val="Footnote Text Char"/>
    <w:aliases w:val="Char Char, Char Char Char Char,Char Char Char Char Char Char,Char Char Char Char1,Char Char Char Char Char1"/>
    <w:basedOn w:val="DefaultParagraphFont"/>
    <w:link w:val="FootnoteText"/>
    <w:rsid w:val="00B72446"/>
    <w:rPr>
      <w:sz w:val="20"/>
      <w:szCs w:val="20"/>
    </w:rPr>
  </w:style>
  <w:style w:type="character" w:styleId="FootnoteReference">
    <w:name w:val="footnote reference"/>
    <w:basedOn w:val="DefaultParagraphFont"/>
    <w:semiHidden/>
    <w:unhideWhenUsed/>
    <w:rsid w:val="00B72446"/>
    <w:rPr>
      <w:vertAlign w:val="superscript"/>
    </w:rPr>
  </w:style>
  <w:style w:type="paragraph" w:styleId="TOC2">
    <w:name w:val="toc 2"/>
    <w:basedOn w:val="Normal"/>
    <w:next w:val="Normal"/>
    <w:autoRedefine/>
    <w:uiPriority w:val="39"/>
    <w:unhideWhenUsed/>
    <w:rsid w:val="00AD711F"/>
    <w:pPr>
      <w:spacing w:after="100"/>
      <w:ind w:left="220"/>
    </w:pPr>
  </w:style>
  <w:style w:type="paragraph" w:styleId="TOC3">
    <w:name w:val="toc 3"/>
    <w:basedOn w:val="Normal"/>
    <w:next w:val="Normal"/>
    <w:autoRedefine/>
    <w:uiPriority w:val="39"/>
    <w:unhideWhenUsed/>
    <w:rsid w:val="00AD711F"/>
    <w:pPr>
      <w:spacing w:after="100"/>
      <w:ind w:left="440"/>
    </w:pPr>
  </w:style>
  <w:style w:type="character" w:styleId="CommentReference">
    <w:name w:val="annotation reference"/>
    <w:basedOn w:val="DefaultParagraphFont"/>
    <w:uiPriority w:val="99"/>
    <w:semiHidden/>
    <w:unhideWhenUsed/>
    <w:rsid w:val="00031DBD"/>
    <w:rPr>
      <w:sz w:val="16"/>
      <w:szCs w:val="16"/>
    </w:rPr>
  </w:style>
  <w:style w:type="paragraph" w:styleId="CommentText">
    <w:name w:val="annotation text"/>
    <w:basedOn w:val="Normal"/>
    <w:link w:val="CommentTextChar"/>
    <w:uiPriority w:val="99"/>
    <w:semiHidden/>
    <w:unhideWhenUsed/>
    <w:rsid w:val="00031DBD"/>
    <w:pPr>
      <w:spacing w:line="240" w:lineRule="auto"/>
    </w:pPr>
    <w:rPr>
      <w:sz w:val="20"/>
      <w:szCs w:val="20"/>
    </w:rPr>
  </w:style>
  <w:style w:type="character" w:customStyle="1" w:styleId="CommentTextChar">
    <w:name w:val="Comment Text Char"/>
    <w:basedOn w:val="DefaultParagraphFont"/>
    <w:link w:val="CommentText"/>
    <w:uiPriority w:val="99"/>
    <w:semiHidden/>
    <w:rsid w:val="00031DBD"/>
    <w:rPr>
      <w:sz w:val="20"/>
      <w:szCs w:val="20"/>
    </w:rPr>
  </w:style>
  <w:style w:type="paragraph" w:styleId="CommentSubject">
    <w:name w:val="annotation subject"/>
    <w:basedOn w:val="CommentText"/>
    <w:next w:val="CommentText"/>
    <w:link w:val="CommentSubjectChar"/>
    <w:uiPriority w:val="99"/>
    <w:semiHidden/>
    <w:unhideWhenUsed/>
    <w:rsid w:val="00031DBD"/>
    <w:rPr>
      <w:b/>
      <w:bCs/>
    </w:rPr>
  </w:style>
  <w:style w:type="character" w:customStyle="1" w:styleId="CommentSubjectChar">
    <w:name w:val="Comment Subject Char"/>
    <w:basedOn w:val="CommentTextChar"/>
    <w:link w:val="CommentSubject"/>
    <w:uiPriority w:val="99"/>
    <w:semiHidden/>
    <w:rsid w:val="00031DBD"/>
    <w:rPr>
      <w:b/>
      <w:bCs/>
      <w:sz w:val="20"/>
      <w:szCs w:val="20"/>
    </w:rPr>
  </w:style>
  <w:style w:type="paragraph" w:styleId="NoSpacing">
    <w:name w:val="No Spacing"/>
    <w:uiPriority w:val="1"/>
    <w:qFormat/>
    <w:rsid w:val="00DA17FF"/>
    <w:pPr>
      <w:spacing w:line="240" w:lineRule="auto"/>
    </w:pPr>
  </w:style>
  <w:style w:type="character" w:customStyle="1" w:styleId="st">
    <w:name w:val="st"/>
    <w:basedOn w:val="DefaultParagraphFont"/>
    <w:rsid w:val="00153A91"/>
  </w:style>
  <w:style w:type="paragraph" w:styleId="BodyText">
    <w:name w:val="Body Text"/>
    <w:basedOn w:val="Normal"/>
    <w:link w:val="BodyTextChar"/>
    <w:rsid w:val="009A7626"/>
    <w:pPr>
      <w:spacing w:after="120" w:line="240" w:lineRule="auto"/>
    </w:pPr>
    <w:rPr>
      <w:rFonts w:eastAsia="Times New Roman" w:cs="Arial"/>
      <w:lang w:eastAsia="en-AU"/>
    </w:rPr>
  </w:style>
  <w:style w:type="character" w:customStyle="1" w:styleId="BodyTextChar">
    <w:name w:val="Body Text Char"/>
    <w:basedOn w:val="DefaultParagraphFont"/>
    <w:link w:val="BodyText"/>
    <w:rsid w:val="009A7626"/>
    <w:rPr>
      <w:rFonts w:eastAsia="Times New Roman" w:cs="Arial"/>
      <w:lang w:eastAsia="en-AU"/>
    </w:rPr>
  </w:style>
  <w:style w:type="paragraph" w:customStyle="1" w:styleId="Default">
    <w:name w:val="Default"/>
    <w:uiPriority w:val="99"/>
    <w:rsid w:val="009A7626"/>
    <w:pPr>
      <w:autoSpaceDE w:val="0"/>
      <w:autoSpaceDN w:val="0"/>
      <w:adjustRightInd w:val="0"/>
      <w:spacing w:line="240" w:lineRule="auto"/>
    </w:pPr>
    <w:rPr>
      <w:rFonts w:eastAsia="Times New Roman" w:cs="Arial"/>
      <w:color w:val="000000"/>
      <w:sz w:val="24"/>
      <w:szCs w:val="24"/>
      <w:lang w:eastAsia="en-AU"/>
    </w:rPr>
  </w:style>
  <w:style w:type="table" w:customStyle="1" w:styleId="TableGrid1">
    <w:name w:val="Table Grid1"/>
    <w:basedOn w:val="TableNormal"/>
    <w:next w:val="TableGrid"/>
    <w:uiPriority w:val="59"/>
    <w:rsid w:val="00223059"/>
    <w:pPr>
      <w:spacing w:line="240" w:lineRule="auto"/>
    </w:pPr>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533727"/>
  </w:style>
  <w:style w:type="character" w:styleId="FollowedHyperlink">
    <w:name w:val="FollowedHyperlink"/>
    <w:basedOn w:val="DefaultParagraphFont"/>
    <w:uiPriority w:val="99"/>
    <w:semiHidden/>
    <w:unhideWhenUsed/>
    <w:rsid w:val="0074185F"/>
    <w:rPr>
      <w:color w:val="800080" w:themeColor="followedHyperlink"/>
      <w:u w:val="single"/>
    </w:rPr>
  </w:style>
  <w:style w:type="paragraph" w:styleId="Revision">
    <w:name w:val="Revision"/>
    <w:hidden/>
    <w:uiPriority w:val="99"/>
    <w:semiHidden/>
    <w:rsid w:val="000D75DA"/>
    <w:pPr>
      <w:spacing w:line="240" w:lineRule="auto"/>
    </w:pPr>
  </w:style>
  <w:style w:type="paragraph" w:customStyle="1" w:styleId="Paragraph">
    <w:name w:val="Paragraph"/>
    <w:basedOn w:val="Normal"/>
    <w:uiPriority w:val="99"/>
    <w:rsid w:val="00F942C9"/>
    <w:pPr>
      <w:numPr>
        <w:numId w:val="39"/>
      </w:numPr>
      <w:spacing w:after="240" w:line="240" w:lineRule="auto"/>
    </w:pPr>
    <w:rPr>
      <w:rFonts w:eastAsiaTheme="minorHAnsi" w:cs="Arial"/>
      <w:lang w:eastAsia="en-AU"/>
    </w:rPr>
  </w:style>
  <w:style w:type="numbering" w:customStyle="1" w:styleId="StyleOutlinenumberedVerdana">
    <w:name w:val="Style Outline numbered Verdana"/>
    <w:rsid w:val="00F942C9"/>
    <w:pPr>
      <w:numPr>
        <w:numId w:val="39"/>
      </w:numPr>
    </w:pPr>
  </w:style>
  <w:style w:type="character" w:styleId="Strong">
    <w:name w:val="Strong"/>
    <w:basedOn w:val="DefaultParagraphFont"/>
    <w:qFormat/>
    <w:rsid w:val="000C61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55978">
      <w:bodyDiv w:val="1"/>
      <w:marLeft w:val="0"/>
      <w:marRight w:val="0"/>
      <w:marTop w:val="0"/>
      <w:marBottom w:val="0"/>
      <w:divBdr>
        <w:top w:val="none" w:sz="0" w:space="0" w:color="auto"/>
        <w:left w:val="none" w:sz="0" w:space="0" w:color="auto"/>
        <w:bottom w:val="none" w:sz="0" w:space="0" w:color="auto"/>
        <w:right w:val="none" w:sz="0" w:space="0" w:color="auto"/>
      </w:divBdr>
    </w:div>
    <w:div w:id="1274167238">
      <w:bodyDiv w:val="1"/>
      <w:marLeft w:val="0"/>
      <w:marRight w:val="0"/>
      <w:marTop w:val="0"/>
      <w:marBottom w:val="0"/>
      <w:divBdr>
        <w:top w:val="none" w:sz="0" w:space="0" w:color="auto"/>
        <w:left w:val="none" w:sz="0" w:space="0" w:color="auto"/>
        <w:bottom w:val="none" w:sz="0" w:space="0" w:color="auto"/>
        <w:right w:val="none" w:sz="0" w:space="0" w:color="auto"/>
      </w:divBdr>
    </w:div>
    <w:div w:id="1789934894">
      <w:bodyDiv w:val="1"/>
      <w:marLeft w:val="0"/>
      <w:marRight w:val="0"/>
      <w:marTop w:val="0"/>
      <w:marBottom w:val="0"/>
      <w:divBdr>
        <w:top w:val="none" w:sz="0" w:space="0" w:color="auto"/>
        <w:left w:val="none" w:sz="0" w:space="0" w:color="auto"/>
        <w:bottom w:val="none" w:sz="0" w:space="0" w:color="auto"/>
        <w:right w:val="none" w:sz="0" w:space="0" w:color="auto"/>
      </w:divBdr>
    </w:div>
    <w:div w:id="1999072994">
      <w:bodyDiv w:val="1"/>
      <w:marLeft w:val="0"/>
      <w:marRight w:val="0"/>
      <w:marTop w:val="0"/>
      <w:marBottom w:val="0"/>
      <w:divBdr>
        <w:top w:val="none" w:sz="0" w:space="0" w:color="auto"/>
        <w:left w:val="none" w:sz="0" w:space="0" w:color="auto"/>
        <w:bottom w:val="none" w:sz="0" w:space="0" w:color="auto"/>
        <w:right w:val="none" w:sz="0" w:space="0" w:color="auto"/>
      </w:divBdr>
    </w:div>
    <w:div w:id="212849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hyperlink" Target="https://www.kcl.ac.uk/sspp/departments/geography/study/masters/DissertationHaunert.pdf" TargetMode="External"/><Relationship Id="rId47" Type="http://schemas.openxmlformats.org/officeDocument/2006/relationships/hyperlink" Target="http://www.insht.es/InshtWeb/Contenidos/Documentacion/LEP%20_VALORES%20LIMITE/Valores%20limite/Limites2013/limites%202013.pdf" TargetMode="External"/><Relationship Id="rId63" Type="http://schemas.openxmlformats.org/officeDocument/2006/relationships/hyperlink" Target="http://www.labour.gov.on.ca/english/hs/pdf/ontario_oels.pdf" TargetMode="External"/><Relationship Id="rId68" Type="http://schemas.openxmlformats.org/officeDocument/2006/relationships/hyperlink" Target="http://www.av.se/dokument/inenglish/legislations/eng0506.pdf" TargetMode="External"/><Relationship Id="rId84" Type="http://schemas.openxmlformats.org/officeDocument/2006/relationships/hyperlink" Target="http://eur-lex.europa.eu/legal-content/EN/TXT/?uri=uriserv:OJ.L_.1998.350.01.0058.01.ENG" TargetMode="External"/><Relationship Id="rId89" Type="http://schemas.openxmlformats.org/officeDocument/2006/relationships/customXml" Target="../customXml/item4.xml"/><Relationship Id="rId16" Type="http://schemas.openxmlformats.org/officeDocument/2006/relationships/header" Target="header2.xml"/><Relationship Id="rId11" Type="http://schemas.openxmlformats.org/officeDocument/2006/relationships/image" Target="media/image2.jpeg"/><Relationship Id="rId32" Type="http://schemas.openxmlformats.org/officeDocument/2006/relationships/hyperlink" Target="http://www.cdph.ca.gov/programs/olppp/Documents/LeadStdRecsSummary.pdf" TargetMode="External"/><Relationship Id="rId37" Type="http://schemas.openxmlformats.org/officeDocument/2006/relationships/hyperlink" Target="http://www.environment.gov.au/atmosphere/airquality/publications/qa.html" TargetMode="External"/><Relationship Id="rId53" Type="http://schemas.openxmlformats.org/officeDocument/2006/relationships/hyperlink" Target="http://infoleg.mecon.gov.ar/infolegInternet/anexos/30000-34999/32030/dto351-1979-anexo3.htm" TargetMode="External"/><Relationship Id="rId58" Type="http://schemas.openxmlformats.org/officeDocument/2006/relationships/hyperlink" Target="http://www.cdc.gov/niosh/npg/nengapdxc.html" TargetMode="External"/><Relationship Id="rId74" Type="http://schemas.openxmlformats.org/officeDocument/2006/relationships/hyperlink" Target="http://cfpub.epa.gov/ncea/isa/recordisplay.cfm?deid=255721" TargetMode="External"/><Relationship Id="rId79" Type="http://schemas.openxmlformats.org/officeDocument/2006/relationships/hyperlink" Target="http://ntp.niehs.nih.gov/ntp/ohat/lead/final/monographhealtheffectslowlevellead_newissn_508.pdf" TargetMode="External"/><Relationship Id="rId5"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yperlink" Target="http://www.baua.de/cae/servlet/contentblob/666040/publicationFile/47859/TRGS-505.pdf" TargetMode="External"/><Relationship Id="rId30" Type="http://schemas.openxmlformats.org/officeDocument/2006/relationships/hyperlink" Target="http://www.dir.ca.gov/title8/ac1.pdf" TargetMode="External"/><Relationship Id="rId35" Type="http://schemas.openxmlformats.org/officeDocument/2006/relationships/hyperlink" Target="http://www.clu-in.org/download/contaminantfocus/pcb/third-report.pdf" TargetMode="External"/><Relationship Id="rId43" Type="http://schemas.openxmlformats.org/officeDocument/2006/relationships/hyperlink" Target="http://www.hsa.ie/eng/Publications_and_Forms/Publications/Chemical_and_Hazardous_Substances/Code_of_Practice_Chemical_Agent_Regulations_2011.pdf" TargetMode="External"/><Relationship Id="rId48" Type="http://schemas.openxmlformats.org/officeDocument/2006/relationships/hyperlink" Target="http://www.legilux.public.lu/leg/a/archives/2002/0096/a096.pdf?SID=c412d59ce0c1ae8381e9f784409d2e2b" TargetMode="External"/><Relationship Id="rId56" Type="http://schemas.openxmlformats.org/officeDocument/2006/relationships/hyperlink" Target="http://www.cdc.gov/niosh/docs/2003-154/pdfs/7105.pdf" TargetMode="External"/><Relationship Id="rId64" Type="http://schemas.openxmlformats.org/officeDocument/2006/relationships/hyperlink" Target="http://www.nmic.org/nyccelp/laws/29CFR1910.1025.pdf" TargetMode="External"/><Relationship Id="rId69" Type="http://schemas.openxmlformats.org/officeDocument/2006/relationships/hyperlink" Target="http://www.hse.gov.uk/pubns/mdhs/pdfs/mdhs6-3.pdf" TargetMode="External"/><Relationship Id="rId77" Type="http://schemas.openxmlformats.org/officeDocument/2006/relationships/hyperlink" Target="http://www.who.int/healthinfo/global_burden_disease/cra/en/" TargetMode="External"/><Relationship Id="rId8" Type="http://schemas.openxmlformats.org/officeDocument/2006/relationships/footnotes" Target="footnotes.xml"/><Relationship Id="rId51" Type="http://schemas.openxmlformats.org/officeDocument/2006/relationships/hyperlink" Target="http://www.sernageomin.cl/pdf/mineria/seguridad/reglamentos_seguridad_minera/DS594_CondicionesSanitariasLugaresTrabajo.pdf" TargetMode="External"/><Relationship Id="rId72" Type="http://schemas.openxmlformats.org/officeDocument/2006/relationships/hyperlink" Target="http://www.chem.unep.ch/pb_and_cd/SR/Files/Interim_reviews/UNEP_Lead_review_Interim-Oct2006.pdf" TargetMode="External"/><Relationship Id="rId80" Type="http://schemas.openxmlformats.org/officeDocument/2006/relationships/hyperlink" Target="http://docs.health.vic.gov.au/docs/doc/CC6A20C055B5AA75CA257A80001A7128/$FILE/VHM%20Report.pdf" TargetMode="External"/><Relationship Id="rId85" Type="http://schemas.openxmlformats.org/officeDocument/2006/relationships/hyperlink" Target="http://www.unep.org/pcfv/PDF/Matrix%20CEE_FuelsFeb_2009.pdf" TargetMode="External"/><Relationship Id="rId3" Type="http://schemas.openxmlformats.org/officeDocument/2006/relationships/numbering" Target="numbering.xml"/><Relationship Id="rId12" Type="http://schemas.openxmlformats.org/officeDocument/2006/relationships/hyperlink" Target="mailto:copyrightrequests@safeworkaustralia.gov.au"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yperlink" Target="http://www.cdph.ca.gov/programs/olppp/Documents/LeadStdRecsTracked.pdf" TargetMode="External"/><Relationship Id="rId38" Type="http://schemas.openxmlformats.org/officeDocument/2006/relationships/hyperlink" Target="http://publikationen.dguv.de/dguv/pdf/10002/rep0113.pdf" TargetMode="External"/><Relationship Id="rId46" Type="http://schemas.openxmlformats.org/officeDocument/2006/relationships/hyperlink" Target="http://www.inrs.fr/accueil/produits/mediatheque/doc/publications.html?refINRS=ED%20984" TargetMode="External"/><Relationship Id="rId59" Type="http://schemas.openxmlformats.org/officeDocument/2006/relationships/hyperlink" Target="http://www.inchem.org/documents/kemi/kemi/ah2005_03.pdf" TargetMode="External"/><Relationship Id="rId67" Type="http://schemas.openxmlformats.org/officeDocument/2006/relationships/hyperlink" Target="http://www.av.se/dokument/inenglish/legislations/eng0517.pdf" TargetMode="External"/><Relationship Id="rId20" Type="http://schemas.openxmlformats.org/officeDocument/2006/relationships/image" Target="media/image6.emf"/><Relationship Id="rId41" Type="http://schemas.openxmlformats.org/officeDocument/2006/relationships/hyperlink" Target="http://work.alberta.ca/documents/WHS-LEG_ohsc_2009.pdf" TargetMode="External"/><Relationship Id="rId54" Type="http://schemas.openxmlformats.org/officeDocument/2006/relationships/hyperlink" Target="http://www.nhmrc.gov.au/_files_nhmrc/file/publications/synopses/gp02-lead-info-paper.pdf" TargetMode="External"/><Relationship Id="rId62" Type="http://schemas.openxmlformats.org/officeDocument/2006/relationships/hyperlink" Target="http://www.ohcow.on.ca/uploads/Resources/OHCOW%202013%20Submission%20to%20the%20MOL%20on%20OELs.pdf" TargetMode="External"/><Relationship Id="rId70" Type="http://schemas.openxmlformats.org/officeDocument/2006/relationships/hyperlink" Target="http://www.hse.gov.uk/pubns/priced/l132.pdf" TargetMode="External"/><Relationship Id="rId75" Type="http://schemas.openxmlformats.org/officeDocument/2006/relationships/hyperlink" Target="http://www.lni.wa.gov/wisha/rules/generaloccupationalhealth/PDFs/62if.pdf" TargetMode="External"/><Relationship Id="rId83" Type="http://schemas.openxmlformats.org/officeDocument/2006/relationships/hyperlink" Target="http://www.environment.gov.au/atmosphere/airquality/publications/qa.html" TargetMode="Externa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hyperlink" Target="http://www.baua.de/de/Themen-von-A-Z/Gefahrstoffe/TRGS/TRGS-900.html" TargetMode="External"/><Relationship Id="rId36" Type="http://schemas.openxmlformats.org/officeDocument/2006/relationships/hyperlink" Target="http://www.regulations.gov/" TargetMode="External"/><Relationship Id="rId49" Type="http://schemas.openxmlformats.org/officeDocument/2006/relationships/hyperlink" Target="http://www.jpma.org.pk/full_article_text.php?article_id=1712" TargetMode="External"/><Relationship Id="rId57" Type="http://schemas.openxmlformats.org/officeDocument/2006/relationships/hyperlink" Target="http://www.cdc.gov/niosh/npg/npgd0368.html" TargetMode="External"/><Relationship Id="rId10" Type="http://schemas.openxmlformats.org/officeDocument/2006/relationships/image" Target="media/image1.jpg"/><Relationship Id="rId31" Type="http://schemas.openxmlformats.org/officeDocument/2006/relationships/hyperlink" Target="http://www.cdph.ca.gov/programs/olppp/Documents/medgdln.pdf" TargetMode="External"/><Relationship Id="rId44" Type="http://schemas.openxmlformats.org/officeDocument/2006/relationships/hyperlink" Target="http://www.hsa.ie/eng/Publications_and_Forms/Publications/Chemical_and_Hazardous_Substances/Biological_Monitoring_Guidelines.pdf" TargetMode="External"/><Relationship Id="rId52" Type="http://schemas.openxmlformats.org/officeDocument/2006/relationships/hyperlink" Target="http://www.stm.fi/c/document_library/get_file?folderId=5197397&amp;name=DLFE-19904.pdf" TargetMode="External"/><Relationship Id="rId60" Type="http://schemas.openxmlformats.org/officeDocument/2006/relationships/hyperlink" Target="http://www.mfe.govt.nz/publications/hazardous/toxicological-intake-values-for-priority-contaminants-in-soil/index.html" TargetMode="External"/><Relationship Id="rId65" Type="http://schemas.openxmlformats.org/officeDocument/2006/relationships/hyperlink" Target="http://www2.publicationsduquebec.gouv.qc.ca/dynamicSearch/telecharge.php?type=3&amp;file=/S_2_1/S2_1R13.HTM" TargetMode="External"/><Relationship Id="rId73" Type="http://schemas.openxmlformats.org/officeDocument/2006/relationships/hyperlink" Target="http://www.epa.gov/superfund/lead/products.htm" TargetMode="External"/><Relationship Id="rId78" Type="http://schemas.openxmlformats.org/officeDocument/2006/relationships/hyperlink" Target="http://www2.worksafebc.com/publications/ohsregulation/GuidelinePart5.asp" TargetMode="External"/><Relationship Id="rId81" Type="http://schemas.openxmlformats.org/officeDocument/2006/relationships/image" Target="media/image13.emf"/><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safeworkaustralia.gov.au/" TargetMode="External"/><Relationship Id="rId18" Type="http://schemas.openxmlformats.org/officeDocument/2006/relationships/image" Target="media/image4.emf"/><Relationship Id="rId39" Type="http://schemas.openxmlformats.org/officeDocument/2006/relationships/hyperlink" Target="http://arbejdstilsynet.dk/~/media/at/at/04-regler/05-at-vejledninger/c-vejledninger/c-0-1-graensevaerdilisten/c-0-1-graensevaerdilisten-2007%20pdf.ashx" TargetMode="External"/><Relationship Id="rId34" Type="http://schemas.openxmlformats.org/officeDocument/2006/relationships/hyperlink" Target="http://www.cdph.ca.gov/programs/olppp/Documents/LeadStdPELRec.pdf" TargetMode="External"/><Relationship Id="rId50" Type="http://schemas.openxmlformats.org/officeDocument/2006/relationships/hyperlink" Target="http://www.legifrance.gouv.fr/affichTexte.do?cidTexte=JORFTEXT000000611301&amp;dateTexte=&amp;categorieLien=id" TargetMode="External"/><Relationship Id="rId55" Type="http://schemas.openxmlformats.org/officeDocument/2006/relationships/hyperlink" Target="http://www.cdc.gov/niosh/docs/2003-154/pdfs/7082.pdf" TargetMode="External"/><Relationship Id="rId76" Type="http://schemas.openxmlformats.org/officeDocument/2006/relationships/hyperlink" Target="http://www.who.int/about/definition/en/print.html" TargetMode="External"/><Relationship Id="rId7" Type="http://schemas.openxmlformats.org/officeDocument/2006/relationships/webSettings" Target="webSettings.xml"/><Relationship Id="rId71" Type="http://schemas.openxmlformats.org/officeDocument/2006/relationships/hyperlink" Target="http://www.hse.gov.uk/pubns/indg305.pdf" TargetMode="External"/><Relationship Id="rId2" Type="http://schemas.openxmlformats.org/officeDocument/2006/relationships/customXml" Target="../customXml/item2.xml"/><Relationship Id="rId29" Type="http://schemas.openxmlformats.org/officeDocument/2006/relationships/hyperlink" Target="http://www.gaa.baden-wuerttemberg.de/servlet/is/16495/5_903.pdf" TargetMode="External"/><Relationship Id="rId24" Type="http://schemas.openxmlformats.org/officeDocument/2006/relationships/image" Target="media/image10.emf"/><Relationship Id="rId40" Type="http://schemas.openxmlformats.org/officeDocument/2006/relationships/hyperlink" Target="http://eur-lex.europa.eu/LexUriServ/LexUriServ.do?uri=OJ:L:1998:131:0011:0023:EN:PDF" TargetMode="External"/><Relationship Id="rId45" Type="http://schemas.openxmlformats.org/officeDocument/2006/relationships/hyperlink" Target="http://www.google.com.au/url?sa=t&amp;rct=j&amp;q=&amp;esrc=s&amp;frm=1&amp;source=web&amp;cd=3&amp;cad=rja&amp;ved=0CEMQFjAC&amp;url=http%3A%2F%2Fwww.inrs.fr%2Fdefault%2Fdms%2Finrs%2FFicheToxicologique%2FTI-FT-59%2Fft59.pdf&amp;ei=sccWUoiwH42Rigeni4GQBg&amp;usg=AFQjCNHUnJh4HAad6JRWAKapvO5djOO3nw&amp;sig2=7hxd71grxBQZtlqd6S9o5A&amp;bvm=bv.51156542,d.dGI" TargetMode="External"/><Relationship Id="rId66" Type="http://schemas.openxmlformats.org/officeDocument/2006/relationships/hyperlink" Target="http://www.labour.gov.za/DOL/legislation/notices/occupational-health-and-safety/notice-lead-regulations" TargetMode="External"/><Relationship Id="rId87" Type="http://schemas.openxmlformats.org/officeDocument/2006/relationships/theme" Target="theme/theme1.xml"/><Relationship Id="rId61" Type="http://schemas.openxmlformats.org/officeDocument/2006/relationships/hyperlink" Target="http://www.cdph.ca.gov/programs/olppp/Documents/OEHHALeadRept-Full.pdf" TargetMode="External"/><Relationship Id="rId82" Type="http://schemas.openxmlformats.org/officeDocument/2006/relationships/image" Target="media/image14.e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978-1-74361-720-5</PublicationIdentifier>
    <ParentFolderID xmlns="http://schemas.microsoft.com/sharepoint/v3/fields">871</ParentFolderID>
  </documentManagement>
</p:properties>
</file>

<file path=customXml/itemProps1.xml><?xml version="1.0" encoding="utf-8"?>
<ds:datastoreItem xmlns:ds="http://schemas.openxmlformats.org/officeDocument/2006/customXml" ds:itemID="{98324FDF-5248-43F9-B150-B49A77F5F52B}"/>
</file>

<file path=customXml/itemProps2.xml><?xml version="1.0" encoding="utf-8"?>
<ds:datastoreItem xmlns:ds="http://schemas.openxmlformats.org/officeDocument/2006/customXml" ds:itemID="{DDFD2397-D6E8-4B1D-928E-6B1922CDDB40}"/>
</file>

<file path=customXml/itemProps3.xml><?xml version="1.0" encoding="utf-8"?>
<ds:datastoreItem xmlns:ds="http://schemas.openxmlformats.org/officeDocument/2006/customXml" ds:itemID="{E6B94165-31C8-4E19-8861-0C5A342A627A}"/>
</file>

<file path=customXml/itemProps4.xml><?xml version="1.0" encoding="utf-8"?>
<ds:datastoreItem xmlns:ds="http://schemas.openxmlformats.org/officeDocument/2006/customXml" ds:itemID="{6D2CA6F8-BB72-4951-B3DE-417A8EE62486}"/>
</file>

<file path=docProps/app.xml><?xml version="1.0" encoding="utf-8"?>
<Properties xmlns="http://schemas.openxmlformats.org/officeDocument/2006/extended-properties" xmlns:vt="http://schemas.openxmlformats.org/officeDocument/2006/docPropsVTypes">
  <Template>Chem4Word.dotx</Template>
  <TotalTime>256</TotalTime>
  <Pages>143</Pages>
  <Words>52598</Words>
  <Characters>287186</Characters>
  <Application>Microsoft Office Word</Application>
  <DocSecurity>0</DocSecurity>
  <Lines>8446</Lines>
  <Paragraphs>4194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hazards and health effects of inorganic lead – implications for WHS regulatory policy</dc:title>
  <dc:creator>Roger Drew</dc:creator>
  <cp:lastModifiedBy>Ingrid Kimber</cp:lastModifiedBy>
  <cp:revision>13</cp:revision>
  <cp:lastPrinted>2014-02-17T01:43:00Z</cp:lastPrinted>
  <dcterms:created xsi:type="dcterms:W3CDTF">2014-06-23T02:27:00Z</dcterms:created>
  <dcterms:modified xsi:type="dcterms:W3CDTF">2014-07-17T06:53:00Z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